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emf" ContentType="image/x-emf"/>
  <Default Extension="wmf" ContentType="image/x-w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D2C123">
      <w:pPr>
        <w:keepNext w:val="0"/>
        <w:keepLines w:val="0"/>
        <w:pageBreakBefore w:val="0"/>
        <w:widowControl w:val="0"/>
        <w:kinsoku/>
        <w:wordWrap/>
        <w:overflowPunct w:val="0"/>
        <w:topLinePunct w:val="0"/>
        <w:autoSpaceDE w:val="0"/>
        <w:autoSpaceDN w:val="0"/>
        <w:bidi w:val="0"/>
        <w:adjustRightInd w:val="0"/>
        <w:snapToGrid w:val="0"/>
        <w:spacing w:line="360" w:lineRule="auto"/>
        <w:ind w:firstLine="0" w:firstLineChars="0"/>
        <w:jc w:val="both"/>
        <w:textAlignment w:val="auto"/>
        <w:rPr>
          <w:rFonts w:hint="eastAsia" w:ascii="黑体" w:hAnsi="黑体" w:eastAsia="黑体" w:cs="黑体"/>
          <w:b/>
          <w:spacing w:val="-20"/>
          <w:sz w:val="48"/>
          <w:szCs w:val="48"/>
          <w:lang w:val="en-US" w:eastAsia="zh-CN"/>
        </w:rPr>
      </w:pPr>
    </w:p>
    <w:p w14:paraId="283E4926">
      <w:pPr>
        <w:keepNext w:val="0"/>
        <w:keepLines w:val="0"/>
        <w:pageBreakBefore w:val="0"/>
        <w:widowControl w:val="0"/>
        <w:kinsoku/>
        <w:wordWrap/>
        <w:overflowPunct w:val="0"/>
        <w:topLinePunct w:val="0"/>
        <w:autoSpaceDE w:val="0"/>
        <w:autoSpaceDN w:val="0"/>
        <w:bidi w:val="0"/>
        <w:adjustRightInd w:val="0"/>
        <w:snapToGrid w:val="0"/>
        <w:spacing w:line="360" w:lineRule="auto"/>
        <w:ind w:firstLine="0" w:firstLineChars="0"/>
        <w:jc w:val="center"/>
        <w:textAlignment w:val="auto"/>
        <w:rPr>
          <w:rFonts w:hint="eastAsia" w:ascii="黑体" w:hAnsi="黑体" w:eastAsia="黑体" w:cs="黑体"/>
          <w:b/>
          <w:spacing w:val="-20"/>
          <w:sz w:val="48"/>
          <w:szCs w:val="48"/>
          <w:lang w:val="en-US" w:eastAsia="zh-CN"/>
        </w:rPr>
      </w:pPr>
    </w:p>
    <w:p w14:paraId="1171D4C4">
      <w:pPr>
        <w:keepNext w:val="0"/>
        <w:keepLines w:val="0"/>
        <w:pageBreakBefore w:val="0"/>
        <w:widowControl w:val="0"/>
        <w:kinsoku/>
        <w:wordWrap/>
        <w:overflowPunct w:val="0"/>
        <w:topLinePunct w:val="0"/>
        <w:autoSpaceDE w:val="0"/>
        <w:autoSpaceDN w:val="0"/>
        <w:bidi w:val="0"/>
        <w:adjustRightInd w:val="0"/>
        <w:snapToGrid w:val="0"/>
        <w:spacing w:line="360" w:lineRule="auto"/>
        <w:ind w:firstLine="0" w:firstLineChars="0"/>
        <w:jc w:val="center"/>
        <w:textAlignment w:val="auto"/>
        <w:rPr>
          <w:rFonts w:hint="eastAsia" w:ascii="黑体" w:hAnsi="黑体" w:eastAsia="黑体" w:cs="黑体"/>
          <w:b/>
          <w:spacing w:val="0"/>
          <w:sz w:val="48"/>
          <w:szCs w:val="48"/>
          <w:lang w:val="en-US" w:eastAsia="zh-CN"/>
        </w:rPr>
      </w:pPr>
      <w:r>
        <w:rPr>
          <w:rFonts w:hint="eastAsia" w:ascii="黑体" w:hAnsi="黑体" w:eastAsia="黑体" w:cs="黑体"/>
          <w:b/>
          <w:spacing w:val="0"/>
          <w:sz w:val="48"/>
          <w:szCs w:val="48"/>
          <w:lang w:val="en-US" w:eastAsia="zh-CN"/>
        </w:rPr>
        <w:t>顺平县金光塑料制品有限公司</w:t>
      </w:r>
    </w:p>
    <w:p w14:paraId="01BE858E">
      <w:pPr>
        <w:keepNext w:val="0"/>
        <w:keepLines w:val="0"/>
        <w:pageBreakBefore w:val="0"/>
        <w:widowControl w:val="0"/>
        <w:kinsoku/>
        <w:wordWrap/>
        <w:overflowPunct w:val="0"/>
        <w:topLinePunct w:val="0"/>
        <w:autoSpaceDE w:val="0"/>
        <w:autoSpaceDN w:val="0"/>
        <w:bidi w:val="0"/>
        <w:adjustRightInd w:val="0"/>
        <w:snapToGrid w:val="0"/>
        <w:spacing w:line="360" w:lineRule="auto"/>
        <w:ind w:firstLine="0" w:firstLineChars="0"/>
        <w:jc w:val="center"/>
        <w:textAlignment w:val="auto"/>
        <w:rPr>
          <w:rFonts w:hint="eastAsia" w:ascii="黑体" w:hAnsi="黑体" w:eastAsia="黑体" w:cs="黑体"/>
          <w:b/>
          <w:snapToGrid w:val="0"/>
          <w:spacing w:val="0"/>
          <w:sz w:val="48"/>
          <w:szCs w:val="48"/>
          <w:lang w:eastAsia="zh-CN"/>
        </w:rPr>
      </w:pPr>
      <w:r>
        <w:rPr>
          <w:rFonts w:hint="eastAsia" w:ascii="黑体" w:hAnsi="黑体" w:eastAsia="黑体" w:cs="黑体"/>
          <w:b/>
          <w:spacing w:val="0"/>
          <w:sz w:val="48"/>
          <w:szCs w:val="48"/>
          <w:lang w:val="en-US" w:eastAsia="zh-CN"/>
        </w:rPr>
        <w:t>年产25000吨PVC塑料制品建设项目</w:t>
      </w:r>
    </w:p>
    <w:p w14:paraId="03CBA186">
      <w:pPr>
        <w:keepNext w:val="0"/>
        <w:keepLines w:val="0"/>
        <w:pageBreakBefore w:val="0"/>
        <w:widowControl w:val="0"/>
        <w:kinsoku/>
        <w:wordWrap/>
        <w:overflowPunct w:val="0"/>
        <w:topLinePunct w:val="0"/>
        <w:autoSpaceDE w:val="0"/>
        <w:autoSpaceDN w:val="0"/>
        <w:bidi w:val="0"/>
        <w:adjustRightInd w:val="0"/>
        <w:snapToGrid w:val="0"/>
        <w:spacing w:line="360" w:lineRule="auto"/>
        <w:ind w:firstLine="0" w:firstLineChars="0"/>
        <w:jc w:val="center"/>
        <w:textAlignment w:val="auto"/>
        <w:rPr>
          <w:rFonts w:hint="eastAsia" w:ascii="黑体" w:hAnsi="黑体" w:eastAsia="黑体" w:cs="黑体"/>
          <w:b w:val="0"/>
          <w:bCs/>
          <w:spacing w:val="20"/>
          <w:sz w:val="72"/>
          <w:szCs w:val="72"/>
        </w:rPr>
      </w:pPr>
      <w:r>
        <w:rPr>
          <w:rFonts w:hint="eastAsia" w:ascii="黑体" w:hAnsi="黑体" w:eastAsia="黑体" w:cs="黑体"/>
          <w:b w:val="0"/>
          <w:bCs/>
          <w:spacing w:val="20"/>
          <w:sz w:val="72"/>
          <w:szCs w:val="72"/>
        </w:rPr>
        <w:t>环境影响报告书</w:t>
      </w:r>
    </w:p>
    <w:p w14:paraId="79B75E0E">
      <w:pPr>
        <w:keepNext w:val="0"/>
        <w:keepLines w:val="0"/>
        <w:pageBreakBefore w:val="0"/>
        <w:widowControl w:val="0"/>
        <w:kinsoku/>
        <w:wordWrap/>
        <w:overflowPunct w:val="0"/>
        <w:topLinePunct w:val="0"/>
        <w:autoSpaceDE w:val="0"/>
        <w:autoSpaceDN w:val="0"/>
        <w:bidi w:val="0"/>
        <w:adjustRightInd w:val="0"/>
        <w:snapToGrid w:val="0"/>
        <w:spacing w:line="360" w:lineRule="auto"/>
        <w:ind w:firstLine="0" w:firstLineChars="0"/>
        <w:jc w:val="center"/>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w:t>
      </w:r>
      <w:r>
        <w:rPr>
          <w:rFonts w:hint="eastAsia" w:ascii="黑体" w:hAnsi="黑体" w:eastAsia="黑体" w:cs="黑体"/>
          <w:sz w:val="32"/>
          <w:szCs w:val="32"/>
          <w:lang w:val="en-US" w:eastAsia="zh-CN"/>
        </w:rPr>
        <w:t>送审版</w:t>
      </w:r>
      <w:r>
        <w:rPr>
          <w:rFonts w:hint="eastAsia" w:ascii="黑体" w:hAnsi="黑体" w:eastAsia="黑体" w:cs="黑体"/>
          <w:sz w:val="32"/>
          <w:szCs w:val="32"/>
          <w:lang w:eastAsia="zh-CN"/>
        </w:rPr>
        <w:t>）</w:t>
      </w:r>
    </w:p>
    <w:p w14:paraId="5E2021D3">
      <w:pPr>
        <w:pStyle w:val="38"/>
        <w:keepNext w:val="0"/>
        <w:keepLines w:val="0"/>
        <w:pageBreakBefore w:val="0"/>
        <w:widowControl w:val="0"/>
        <w:kinsoku/>
        <w:wordWrap/>
        <w:overflowPunct w:val="0"/>
        <w:topLinePunct w:val="0"/>
        <w:autoSpaceDE w:val="0"/>
        <w:autoSpaceDN w:val="0"/>
        <w:bidi w:val="0"/>
        <w:adjustRightInd w:val="0"/>
        <w:snapToGrid w:val="0"/>
        <w:spacing w:line="360" w:lineRule="auto"/>
        <w:ind w:firstLine="0" w:firstLineChars="0"/>
        <w:jc w:val="center"/>
        <w:textAlignment w:val="auto"/>
        <w:rPr>
          <w:sz w:val="32"/>
          <w:szCs w:val="32"/>
        </w:rPr>
      </w:pPr>
    </w:p>
    <w:p w14:paraId="3CEC4037">
      <w:pPr>
        <w:keepNext w:val="0"/>
        <w:keepLines w:val="0"/>
        <w:pageBreakBefore w:val="0"/>
        <w:widowControl w:val="0"/>
        <w:kinsoku/>
        <w:wordWrap/>
        <w:overflowPunct w:val="0"/>
        <w:topLinePunct w:val="0"/>
        <w:autoSpaceDE w:val="0"/>
        <w:autoSpaceDN w:val="0"/>
        <w:bidi w:val="0"/>
        <w:adjustRightInd w:val="0"/>
        <w:snapToGrid w:val="0"/>
        <w:spacing w:line="360" w:lineRule="auto"/>
        <w:ind w:firstLine="0" w:firstLineChars="0"/>
        <w:jc w:val="center"/>
        <w:textAlignment w:val="auto"/>
        <w:rPr>
          <w:sz w:val="32"/>
          <w:szCs w:val="32"/>
        </w:rPr>
      </w:pPr>
    </w:p>
    <w:p w14:paraId="360DF896">
      <w:pPr>
        <w:keepNext w:val="0"/>
        <w:keepLines w:val="0"/>
        <w:pageBreakBefore w:val="0"/>
        <w:widowControl w:val="0"/>
        <w:kinsoku/>
        <w:wordWrap/>
        <w:overflowPunct w:val="0"/>
        <w:topLinePunct w:val="0"/>
        <w:autoSpaceDE w:val="0"/>
        <w:autoSpaceDN w:val="0"/>
        <w:bidi w:val="0"/>
        <w:adjustRightInd w:val="0"/>
        <w:snapToGrid w:val="0"/>
        <w:spacing w:line="360" w:lineRule="auto"/>
        <w:ind w:firstLine="0" w:firstLineChars="0"/>
        <w:jc w:val="center"/>
        <w:textAlignment w:val="auto"/>
        <w:rPr>
          <w:sz w:val="32"/>
          <w:szCs w:val="32"/>
        </w:rPr>
      </w:pPr>
    </w:p>
    <w:p w14:paraId="63A94354">
      <w:pPr>
        <w:keepNext w:val="0"/>
        <w:keepLines w:val="0"/>
        <w:pageBreakBefore w:val="0"/>
        <w:widowControl w:val="0"/>
        <w:kinsoku/>
        <w:wordWrap/>
        <w:overflowPunct w:val="0"/>
        <w:topLinePunct w:val="0"/>
        <w:autoSpaceDE w:val="0"/>
        <w:autoSpaceDN w:val="0"/>
        <w:bidi w:val="0"/>
        <w:adjustRightInd w:val="0"/>
        <w:snapToGrid w:val="0"/>
        <w:spacing w:line="360" w:lineRule="auto"/>
        <w:ind w:firstLine="0" w:firstLineChars="0"/>
        <w:jc w:val="both"/>
        <w:textAlignment w:val="auto"/>
        <w:rPr>
          <w:sz w:val="32"/>
          <w:szCs w:val="32"/>
        </w:rPr>
      </w:pPr>
    </w:p>
    <w:p w14:paraId="69DE940D">
      <w:pPr>
        <w:keepNext w:val="0"/>
        <w:keepLines w:val="0"/>
        <w:pageBreakBefore w:val="0"/>
        <w:widowControl w:val="0"/>
        <w:kinsoku/>
        <w:wordWrap/>
        <w:overflowPunct w:val="0"/>
        <w:topLinePunct w:val="0"/>
        <w:autoSpaceDE w:val="0"/>
        <w:autoSpaceDN w:val="0"/>
        <w:bidi w:val="0"/>
        <w:adjustRightInd w:val="0"/>
        <w:snapToGrid w:val="0"/>
        <w:spacing w:line="360" w:lineRule="auto"/>
        <w:ind w:firstLine="0" w:firstLineChars="0"/>
        <w:jc w:val="center"/>
        <w:textAlignment w:val="auto"/>
        <w:rPr>
          <w:sz w:val="32"/>
          <w:szCs w:val="32"/>
        </w:rPr>
      </w:pPr>
    </w:p>
    <w:p w14:paraId="5AE21161">
      <w:pPr>
        <w:keepNext w:val="0"/>
        <w:keepLines w:val="0"/>
        <w:pageBreakBefore w:val="0"/>
        <w:widowControl w:val="0"/>
        <w:kinsoku/>
        <w:wordWrap/>
        <w:overflowPunct w:val="0"/>
        <w:topLinePunct w:val="0"/>
        <w:autoSpaceDE w:val="0"/>
        <w:autoSpaceDN w:val="0"/>
        <w:bidi w:val="0"/>
        <w:adjustRightInd w:val="0"/>
        <w:snapToGrid w:val="0"/>
        <w:spacing w:line="360" w:lineRule="auto"/>
        <w:ind w:firstLine="0" w:firstLineChars="0"/>
        <w:jc w:val="center"/>
        <w:textAlignment w:val="auto"/>
        <w:rPr>
          <w:sz w:val="32"/>
          <w:szCs w:val="32"/>
        </w:rPr>
      </w:pPr>
    </w:p>
    <w:tbl>
      <w:tblPr>
        <w:tblStyle w:val="3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553"/>
        <w:gridCol w:w="6167"/>
      </w:tblGrid>
      <w:tr w14:paraId="4B1B75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553" w:type="dxa"/>
            <w:noWrap w:val="0"/>
            <w:vAlign w:val="center"/>
          </w:tcPr>
          <w:p w14:paraId="6BD9FCFC">
            <w:pPr>
              <w:keepNext w:val="0"/>
              <w:keepLines w:val="0"/>
              <w:pageBreakBefore w:val="0"/>
              <w:widowControl w:val="0"/>
              <w:kinsoku/>
              <w:wordWrap/>
              <w:overflowPunct w:val="0"/>
              <w:topLinePunct w:val="0"/>
              <w:autoSpaceDE w:val="0"/>
              <w:autoSpaceDN w:val="0"/>
              <w:bidi w:val="0"/>
              <w:adjustRightInd w:val="0"/>
              <w:snapToGrid w:val="0"/>
              <w:spacing w:line="400" w:lineRule="exact"/>
              <w:ind w:firstLine="0" w:firstLineChars="0"/>
              <w:jc w:val="distribute"/>
              <w:textAlignment w:val="auto"/>
              <w:rPr>
                <w:rFonts w:hint="eastAsia" w:ascii="黑体" w:hAnsi="黑体" w:eastAsia="黑体" w:cs="黑体"/>
                <w:b w:val="0"/>
                <w:bCs/>
                <w:sz w:val="32"/>
                <w:szCs w:val="32"/>
                <w:vertAlign w:val="baseline"/>
              </w:rPr>
            </w:pPr>
            <w:r>
              <w:rPr>
                <w:rFonts w:hint="eastAsia" w:ascii="黑体" w:hAnsi="黑体" w:eastAsia="黑体" w:cs="黑体"/>
                <w:b w:val="0"/>
                <w:bCs/>
                <w:sz w:val="32"/>
                <w:szCs w:val="32"/>
                <w:lang w:val="en-US" w:eastAsia="zh-CN"/>
              </w:rPr>
              <w:t>建设单位：</w:t>
            </w:r>
          </w:p>
        </w:tc>
        <w:tc>
          <w:tcPr>
            <w:tcW w:w="6167" w:type="dxa"/>
            <w:noWrap w:val="0"/>
            <w:vAlign w:val="center"/>
          </w:tcPr>
          <w:p w14:paraId="507545D6">
            <w:pPr>
              <w:keepNext w:val="0"/>
              <w:keepLines w:val="0"/>
              <w:pageBreakBefore w:val="0"/>
              <w:widowControl w:val="0"/>
              <w:kinsoku/>
              <w:wordWrap/>
              <w:overflowPunct w:val="0"/>
              <w:topLinePunct w:val="0"/>
              <w:autoSpaceDE w:val="0"/>
              <w:autoSpaceDN w:val="0"/>
              <w:bidi w:val="0"/>
              <w:adjustRightInd w:val="0"/>
              <w:snapToGrid w:val="0"/>
              <w:spacing w:line="400" w:lineRule="exact"/>
              <w:ind w:firstLine="0" w:firstLineChars="0"/>
              <w:jc w:val="center"/>
              <w:textAlignment w:val="auto"/>
              <w:rPr>
                <w:rFonts w:hint="eastAsia" w:ascii="黑体" w:hAnsi="黑体" w:eastAsia="黑体" w:cs="黑体"/>
                <w:b w:val="0"/>
                <w:bCs/>
                <w:sz w:val="32"/>
                <w:szCs w:val="32"/>
                <w:vertAlign w:val="baseline"/>
              </w:rPr>
            </w:pPr>
            <w:r>
              <w:rPr>
                <w:rFonts w:hint="eastAsia" w:ascii="黑体" w:hAnsi="黑体" w:eastAsia="黑体" w:cs="黑体"/>
                <w:b w:val="0"/>
                <w:bCs/>
                <w:sz w:val="32"/>
                <w:szCs w:val="32"/>
                <w:vertAlign w:val="baseline"/>
              </w:rPr>
              <w:t>顺平县金光塑料制品有限公司</w:t>
            </w:r>
          </w:p>
        </w:tc>
      </w:tr>
      <w:tr w14:paraId="24740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553" w:type="dxa"/>
            <w:noWrap w:val="0"/>
            <w:vAlign w:val="center"/>
          </w:tcPr>
          <w:p w14:paraId="151E1717">
            <w:pPr>
              <w:keepNext w:val="0"/>
              <w:keepLines w:val="0"/>
              <w:pageBreakBefore w:val="0"/>
              <w:widowControl w:val="0"/>
              <w:kinsoku/>
              <w:wordWrap/>
              <w:overflowPunct w:val="0"/>
              <w:topLinePunct w:val="0"/>
              <w:autoSpaceDE w:val="0"/>
              <w:autoSpaceDN w:val="0"/>
              <w:bidi w:val="0"/>
              <w:adjustRightInd w:val="0"/>
              <w:snapToGrid w:val="0"/>
              <w:spacing w:line="400" w:lineRule="exact"/>
              <w:ind w:firstLine="0" w:firstLineChars="0"/>
              <w:jc w:val="distribute"/>
              <w:textAlignment w:val="auto"/>
              <w:rPr>
                <w:rFonts w:hint="eastAsia" w:ascii="黑体" w:hAnsi="黑体" w:eastAsia="黑体" w:cs="黑体"/>
                <w:b w:val="0"/>
                <w:bCs/>
                <w:sz w:val="32"/>
                <w:szCs w:val="32"/>
                <w:lang w:val="en-US" w:eastAsia="zh-CN"/>
              </w:rPr>
            </w:pPr>
          </w:p>
        </w:tc>
        <w:tc>
          <w:tcPr>
            <w:tcW w:w="6167" w:type="dxa"/>
            <w:noWrap w:val="0"/>
            <w:vAlign w:val="center"/>
          </w:tcPr>
          <w:p w14:paraId="5D3851FA">
            <w:pPr>
              <w:keepNext w:val="0"/>
              <w:keepLines w:val="0"/>
              <w:pageBreakBefore w:val="0"/>
              <w:widowControl w:val="0"/>
              <w:kinsoku/>
              <w:wordWrap/>
              <w:overflowPunct w:val="0"/>
              <w:topLinePunct w:val="0"/>
              <w:autoSpaceDE w:val="0"/>
              <w:autoSpaceDN w:val="0"/>
              <w:bidi w:val="0"/>
              <w:adjustRightInd w:val="0"/>
              <w:snapToGrid w:val="0"/>
              <w:spacing w:line="400" w:lineRule="exact"/>
              <w:ind w:firstLine="0" w:firstLineChars="0"/>
              <w:jc w:val="center"/>
              <w:textAlignment w:val="auto"/>
              <w:rPr>
                <w:rFonts w:hint="eastAsia" w:ascii="黑体" w:hAnsi="黑体" w:eastAsia="黑体" w:cs="黑体"/>
                <w:b w:val="0"/>
                <w:bCs/>
                <w:sz w:val="32"/>
                <w:szCs w:val="32"/>
                <w:vertAlign w:val="baseline"/>
              </w:rPr>
            </w:pPr>
          </w:p>
        </w:tc>
      </w:tr>
      <w:tr w14:paraId="25606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553" w:type="dxa"/>
            <w:noWrap w:val="0"/>
            <w:vAlign w:val="center"/>
          </w:tcPr>
          <w:p w14:paraId="07D5735E">
            <w:pPr>
              <w:keepNext w:val="0"/>
              <w:keepLines w:val="0"/>
              <w:pageBreakBefore w:val="0"/>
              <w:widowControl w:val="0"/>
              <w:kinsoku/>
              <w:wordWrap/>
              <w:overflowPunct w:val="0"/>
              <w:topLinePunct w:val="0"/>
              <w:autoSpaceDE w:val="0"/>
              <w:autoSpaceDN w:val="0"/>
              <w:bidi w:val="0"/>
              <w:adjustRightInd w:val="0"/>
              <w:snapToGrid w:val="0"/>
              <w:spacing w:line="400" w:lineRule="exact"/>
              <w:ind w:firstLine="0" w:firstLineChars="0"/>
              <w:jc w:val="distribute"/>
              <w:textAlignment w:val="auto"/>
              <w:rPr>
                <w:rFonts w:hint="eastAsia" w:ascii="黑体" w:hAnsi="黑体" w:eastAsia="黑体" w:cs="黑体"/>
                <w:b w:val="0"/>
                <w:bCs/>
                <w:sz w:val="32"/>
                <w:szCs w:val="32"/>
                <w:vertAlign w:val="baseline"/>
              </w:rPr>
            </w:pPr>
            <w:r>
              <w:rPr>
                <w:rFonts w:hint="eastAsia" w:ascii="黑体" w:hAnsi="黑体" w:eastAsia="黑体" w:cs="黑体"/>
                <w:b w:val="0"/>
                <w:bCs/>
                <w:color w:val="auto"/>
                <w:sz w:val="32"/>
                <w:szCs w:val="32"/>
                <w:lang w:val="en-US" w:eastAsia="zh-CN"/>
              </w:rPr>
              <w:t>报告编制</w:t>
            </w:r>
            <w:r>
              <w:rPr>
                <w:rFonts w:hint="eastAsia" w:ascii="黑体" w:hAnsi="黑体" w:eastAsia="黑体" w:cs="黑体"/>
                <w:b w:val="0"/>
                <w:bCs/>
                <w:color w:val="auto"/>
                <w:sz w:val="32"/>
                <w:szCs w:val="32"/>
              </w:rPr>
              <w:t>单位：</w:t>
            </w:r>
          </w:p>
        </w:tc>
        <w:tc>
          <w:tcPr>
            <w:tcW w:w="6167" w:type="dxa"/>
            <w:noWrap w:val="0"/>
            <w:vAlign w:val="center"/>
          </w:tcPr>
          <w:p w14:paraId="0C5FDB78">
            <w:pPr>
              <w:keepNext w:val="0"/>
              <w:keepLines w:val="0"/>
              <w:pageBreakBefore w:val="0"/>
              <w:widowControl w:val="0"/>
              <w:kinsoku/>
              <w:wordWrap/>
              <w:overflowPunct w:val="0"/>
              <w:topLinePunct w:val="0"/>
              <w:autoSpaceDE w:val="0"/>
              <w:autoSpaceDN w:val="0"/>
              <w:bidi w:val="0"/>
              <w:adjustRightInd w:val="0"/>
              <w:snapToGrid w:val="0"/>
              <w:spacing w:line="400" w:lineRule="exact"/>
              <w:ind w:firstLine="0" w:firstLineChars="0"/>
              <w:jc w:val="center"/>
              <w:textAlignment w:val="auto"/>
              <w:rPr>
                <w:rFonts w:hint="default" w:ascii="黑体" w:hAnsi="黑体" w:eastAsia="黑体" w:cs="黑体"/>
                <w:b w:val="0"/>
                <w:bCs/>
                <w:sz w:val="32"/>
                <w:szCs w:val="32"/>
                <w:vertAlign w:val="baseline"/>
                <w:lang w:val="en-US" w:eastAsia="zh-CN"/>
              </w:rPr>
            </w:pPr>
            <w:r>
              <w:rPr>
                <w:rFonts w:hint="eastAsia" w:ascii="黑体" w:hAnsi="黑体" w:eastAsia="黑体" w:cs="黑体"/>
                <w:b w:val="0"/>
                <w:bCs/>
                <w:sz w:val="32"/>
                <w:szCs w:val="32"/>
                <w:vertAlign w:val="baseline"/>
                <w:lang w:val="en-US" w:eastAsia="zh-CN"/>
              </w:rPr>
              <w:t>河北秀景环境科技有限公司</w:t>
            </w:r>
          </w:p>
        </w:tc>
      </w:tr>
      <w:tr w14:paraId="0FE4D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553" w:type="dxa"/>
            <w:noWrap w:val="0"/>
            <w:vAlign w:val="center"/>
          </w:tcPr>
          <w:p w14:paraId="2869D628">
            <w:pPr>
              <w:keepNext w:val="0"/>
              <w:keepLines w:val="0"/>
              <w:pageBreakBefore w:val="0"/>
              <w:widowControl w:val="0"/>
              <w:kinsoku/>
              <w:wordWrap/>
              <w:overflowPunct w:val="0"/>
              <w:topLinePunct w:val="0"/>
              <w:autoSpaceDE w:val="0"/>
              <w:autoSpaceDN w:val="0"/>
              <w:bidi w:val="0"/>
              <w:adjustRightInd w:val="0"/>
              <w:snapToGrid w:val="0"/>
              <w:spacing w:line="400" w:lineRule="exact"/>
              <w:ind w:firstLine="0" w:firstLineChars="0"/>
              <w:jc w:val="distribute"/>
              <w:textAlignment w:val="auto"/>
              <w:rPr>
                <w:rFonts w:hint="eastAsia" w:ascii="黑体" w:hAnsi="黑体" w:eastAsia="黑体" w:cs="黑体"/>
                <w:b w:val="0"/>
                <w:bCs/>
                <w:color w:val="auto"/>
                <w:sz w:val="32"/>
                <w:szCs w:val="32"/>
                <w:lang w:val="en-US" w:eastAsia="zh-CN"/>
              </w:rPr>
            </w:pPr>
          </w:p>
        </w:tc>
        <w:tc>
          <w:tcPr>
            <w:tcW w:w="6167" w:type="dxa"/>
            <w:noWrap w:val="0"/>
            <w:vAlign w:val="center"/>
          </w:tcPr>
          <w:p w14:paraId="619B73AA">
            <w:pPr>
              <w:keepNext w:val="0"/>
              <w:keepLines w:val="0"/>
              <w:pageBreakBefore w:val="0"/>
              <w:widowControl w:val="0"/>
              <w:kinsoku/>
              <w:wordWrap/>
              <w:overflowPunct w:val="0"/>
              <w:topLinePunct w:val="0"/>
              <w:autoSpaceDE w:val="0"/>
              <w:autoSpaceDN w:val="0"/>
              <w:bidi w:val="0"/>
              <w:adjustRightInd w:val="0"/>
              <w:snapToGrid w:val="0"/>
              <w:spacing w:line="400" w:lineRule="exact"/>
              <w:ind w:firstLine="0" w:firstLineChars="0"/>
              <w:jc w:val="center"/>
              <w:textAlignment w:val="auto"/>
              <w:rPr>
                <w:rFonts w:hint="eastAsia" w:ascii="黑体" w:hAnsi="黑体" w:eastAsia="黑体" w:cs="黑体"/>
                <w:b w:val="0"/>
                <w:bCs/>
                <w:sz w:val="32"/>
                <w:szCs w:val="32"/>
                <w:vertAlign w:val="baseline"/>
              </w:rPr>
            </w:pPr>
          </w:p>
        </w:tc>
      </w:tr>
      <w:tr w14:paraId="25DB1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553" w:type="dxa"/>
            <w:noWrap w:val="0"/>
            <w:vAlign w:val="center"/>
          </w:tcPr>
          <w:p w14:paraId="05C1CCAB">
            <w:pPr>
              <w:keepNext w:val="0"/>
              <w:keepLines w:val="0"/>
              <w:pageBreakBefore w:val="0"/>
              <w:widowControl w:val="0"/>
              <w:kinsoku/>
              <w:wordWrap/>
              <w:overflowPunct w:val="0"/>
              <w:topLinePunct w:val="0"/>
              <w:autoSpaceDE w:val="0"/>
              <w:autoSpaceDN w:val="0"/>
              <w:bidi w:val="0"/>
              <w:adjustRightInd w:val="0"/>
              <w:snapToGrid w:val="0"/>
              <w:spacing w:line="400" w:lineRule="exact"/>
              <w:ind w:firstLine="0" w:firstLineChars="0"/>
              <w:jc w:val="distribute"/>
              <w:textAlignment w:val="auto"/>
              <w:rPr>
                <w:rFonts w:hint="eastAsia" w:ascii="黑体" w:hAnsi="黑体" w:eastAsia="黑体" w:cs="黑体"/>
                <w:b w:val="0"/>
                <w:bCs/>
                <w:sz w:val="32"/>
                <w:szCs w:val="32"/>
                <w:vertAlign w:val="baseline"/>
              </w:rPr>
            </w:pPr>
            <w:r>
              <w:rPr>
                <w:rFonts w:hint="eastAsia" w:ascii="黑体" w:hAnsi="黑体" w:eastAsia="黑体" w:cs="黑体"/>
                <w:b w:val="0"/>
                <w:bCs/>
                <w:color w:val="auto"/>
                <w:kern w:val="2"/>
                <w:sz w:val="32"/>
                <w:szCs w:val="32"/>
                <w:lang w:val="en-US" w:eastAsia="zh-CN" w:bidi="ar-SA"/>
              </w:rPr>
              <w:t>编制日期：</w:t>
            </w:r>
          </w:p>
        </w:tc>
        <w:tc>
          <w:tcPr>
            <w:tcW w:w="6167" w:type="dxa"/>
            <w:noWrap w:val="0"/>
            <w:vAlign w:val="center"/>
          </w:tcPr>
          <w:p w14:paraId="12941CBF">
            <w:pPr>
              <w:keepNext w:val="0"/>
              <w:keepLines w:val="0"/>
              <w:pageBreakBefore w:val="0"/>
              <w:widowControl w:val="0"/>
              <w:kinsoku/>
              <w:wordWrap/>
              <w:overflowPunct w:val="0"/>
              <w:topLinePunct w:val="0"/>
              <w:autoSpaceDE w:val="0"/>
              <w:autoSpaceDN w:val="0"/>
              <w:bidi w:val="0"/>
              <w:adjustRightInd w:val="0"/>
              <w:snapToGrid w:val="0"/>
              <w:spacing w:line="400" w:lineRule="exact"/>
              <w:ind w:firstLine="0" w:firstLineChars="0"/>
              <w:jc w:val="center"/>
              <w:textAlignment w:val="auto"/>
              <w:rPr>
                <w:rFonts w:hint="eastAsia" w:ascii="黑体" w:hAnsi="黑体" w:eastAsia="黑体" w:cs="黑体"/>
                <w:b w:val="0"/>
                <w:bCs/>
                <w:sz w:val="32"/>
                <w:szCs w:val="32"/>
                <w:vertAlign w:val="baseline"/>
              </w:rPr>
            </w:pPr>
            <w:r>
              <w:rPr>
                <w:rFonts w:hint="eastAsia" w:ascii="黑体" w:hAnsi="黑体" w:eastAsia="黑体" w:cs="黑体"/>
                <w:b w:val="0"/>
                <w:bCs/>
                <w:color w:val="auto"/>
                <w:kern w:val="2"/>
                <w:sz w:val="32"/>
                <w:szCs w:val="32"/>
                <w:lang w:val="en-US" w:eastAsia="zh-CN" w:bidi="ar-SA"/>
              </w:rPr>
              <w:t>二〇二五年二月</w:t>
            </w:r>
          </w:p>
        </w:tc>
      </w:tr>
    </w:tbl>
    <w:p w14:paraId="7AFF6675">
      <w:pPr>
        <w:ind w:firstLine="0" w:firstLineChars="0"/>
        <w:jc w:val="center"/>
        <w:rPr>
          <w:rFonts w:hint="eastAsia"/>
          <w:b/>
          <w:sz w:val="32"/>
        </w:rPr>
        <w:sectPr>
          <w:headerReference r:id="rId7" w:type="first"/>
          <w:footerReference r:id="rId10" w:type="first"/>
          <w:headerReference r:id="rId5" w:type="default"/>
          <w:footerReference r:id="rId8" w:type="default"/>
          <w:headerReference r:id="rId6" w:type="even"/>
          <w:footerReference r:id="rId9" w:type="even"/>
          <w:pgSz w:w="11906" w:h="16838"/>
          <w:pgMar w:top="1701" w:right="1531" w:bottom="1701" w:left="1531" w:header="851" w:footer="992" w:gutter="0"/>
          <w:pgBorders>
            <w:top w:val="none" w:sz="0" w:space="0"/>
            <w:left w:val="none" w:sz="0" w:space="0"/>
            <w:bottom w:val="none" w:sz="0" w:space="0"/>
            <w:right w:val="none" w:sz="0" w:space="0"/>
          </w:pgBorders>
          <w:pgNumType w:fmt="decimal"/>
          <w:cols w:space="425" w:num="1"/>
          <w:docGrid w:type="linesAndChars" w:linePitch="326" w:charSpace="190"/>
        </w:sectPr>
      </w:pPr>
    </w:p>
    <w:p w14:paraId="50C94F60">
      <w:pPr>
        <w:ind w:firstLine="0" w:firstLineChars="0"/>
        <w:jc w:val="center"/>
        <w:rPr>
          <w:b/>
        </w:rPr>
      </w:pPr>
      <w:r>
        <w:rPr>
          <w:rFonts w:hint="eastAsia"/>
          <w:b/>
          <w:sz w:val="32"/>
        </w:rPr>
        <w:t xml:space="preserve">目 </w:t>
      </w:r>
      <w:r>
        <w:rPr>
          <w:b/>
          <w:sz w:val="32"/>
        </w:rPr>
        <w:t xml:space="preserve"> </w:t>
      </w:r>
      <w:r>
        <w:rPr>
          <w:rFonts w:hint="eastAsia"/>
          <w:b/>
          <w:sz w:val="32"/>
        </w:rPr>
        <w:t>录</w:t>
      </w:r>
    </w:p>
    <w:p w14:paraId="420B7E74">
      <w:pPr>
        <w:pStyle w:val="23"/>
        <w:tabs>
          <w:tab w:val="right" w:leader="dot" w:pos="8844"/>
        </w:tabs>
      </w:pPr>
      <w:r>
        <w:fldChar w:fldCharType="begin"/>
      </w:r>
      <w:r>
        <w:instrText xml:space="preserve"> TOC \o "1-2" \h \z \u </w:instrText>
      </w:r>
      <w:r>
        <w:fldChar w:fldCharType="separate"/>
      </w:r>
      <w:r>
        <w:fldChar w:fldCharType="begin"/>
      </w:r>
      <w:r>
        <w:instrText xml:space="preserve"> HYPERLINK \l _Toc3345 </w:instrText>
      </w:r>
      <w:r>
        <w:fldChar w:fldCharType="separate"/>
      </w:r>
      <w:r>
        <w:rPr>
          <w:rFonts w:hint="default" w:ascii="Times New Roman" w:hAnsi="Times New Roman" w:eastAsia="黑体"/>
        </w:rPr>
        <w:t xml:space="preserve">1. </w:t>
      </w:r>
      <w:r>
        <w:rPr>
          <w:rFonts w:hint="eastAsia"/>
        </w:rPr>
        <w:t>概述</w:t>
      </w:r>
      <w:r>
        <w:tab/>
      </w:r>
      <w:r>
        <w:fldChar w:fldCharType="begin"/>
      </w:r>
      <w:r>
        <w:instrText xml:space="preserve"> PAGEREF _Toc3345 \h </w:instrText>
      </w:r>
      <w:r>
        <w:fldChar w:fldCharType="separate"/>
      </w:r>
      <w:r>
        <w:t>1</w:t>
      </w:r>
      <w:r>
        <w:fldChar w:fldCharType="end"/>
      </w:r>
      <w:r>
        <w:fldChar w:fldCharType="end"/>
      </w:r>
    </w:p>
    <w:p w14:paraId="568A4E63">
      <w:pPr>
        <w:pStyle w:val="26"/>
        <w:tabs>
          <w:tab w:val="right" w:leader="dot" w:pos="8844"/>
          <w:tab w:val="clear" w:pos="9060"/>
        </w:tabs>
      </w:pPr>
      <w:r>
        <w:fldChar w:fldCharType="begin"/>
      </w:r>
      <w:r>
        <w:instrText xml:space="preserve"> HYPERLINK \l _Toc24745 </w:instrText>
      </w:r>
      <w:r>
        <w:fldChar w:fldCharType="separate"/>
      </w:r>
      <w:r>
        <w:rPr>
          <w:rFonts w:hint="eastAsia"/>
        </w:rPr>
        <w:t xml:space="preserve">1.1 </w:t>
      </w:r>
      <w:r>
        <w:rPr>
          <w:rFonts w:hint="eastAsia"/>
          <w:lang w:val="en-US" w:eastAsia="zh-CN"/>
        </w:rPr>
        <w:t>项目实施背景</w:t>
      </w:r>
      <w:r>
        <w:tab/>
      </w:r>
      <w:r>
        <w:fldChar w:fldCharType="begin"/>
      </w:r>
      <w:r>
        <w:instrText xml:space="preserve"> PAGEREF _Toc24745 \h </w:instrText>
      </w:r>
      <w:r>
        <w:fldChar w:fldCharType="separate"/>
      </w:r>
      <w:r>
        <w:t>1</w:t>
      </w:r>
      <w:r>
        <w:fldChar w:fldCharType="end"/>
      </w:r>
      <w:r>
        <w:fldChar w:fldCharType="end"/>
      </w:r>
    </w:p>
    <w:p w14:paraId="71E59276">
      <w:pPr>
        <w:pStyle w:val="26"/>
        <w:tabs>
          <w:tab w:val="right" w:leader="dot" w:pos="8844"/>
          <w:tab w:val="clear" w:pos="9060"/>
        </w:tabs>
      </w:pPr>
      <w:r>
        <w:fldChar w:fldCharType="begin"/>
      </w:r>
      <w:r>
        <w:instrText xml:space="preserve"> HYPERLINK \l _Toc13738 </w:instrText>
      </w:r>
      <w:r>
        <w:fldChar w:fldCharType="separate"/>
      </w:r>
      <w:r>
        <w:rPr>
          <w:rFonts w:hint="eastAsia"/>
        </w:rPr>
        <w:t>1.2 项目特点</w:t>
      </w:r>
      <w:r>
        <w:tab/>
      </w:r>
      <w:r>
        <w:fldChar w:fldCharType="begin"/>
      </w:r>
      <w:r>
        <w:instrText xml:space="preserve"> PAGEREF _Toc13738 \h </w:instrText>
      </w:r>
      <w:r>
        <w:fldChar w:fldCharType="separate"/>
      </w:r>
      <w:r>
        <w:t>2</w:t>
      </w:r>
      <w:r>
        <w:fldChar w:fldCharType="end"/>
      </w:r>
      <w:r>
        <w:fldChar w:fldCharType="end"/>
      </w:r>
    </w:p>
    <w:p w14:paraId="47ACE938">
      <w:pPr>
        <w:pStyle w:val="26"/>
        <w:tabs>
          <w:tab w:val="right" w:leader="dot" w:pos="8844"/>
          <w:tab w:val="clear" w:pos="9060"/>
        </w:tabs>
      </w:pPr>
      <w:r>
        <w:fldChar w:fldCharType="begin"/>
      </w:r>
      <w:r>
        <w:instrText xml:space="preserve"> HYPERLINK \l _Toc12469 </w:instrText>
      </w:r>
      <w:r>
        <w:fldChar w:fldCharType="separate"/>
      </w:r>
      <w:r>
        <w:rPr>
          <w:rFonts w:hint="eastAsia"/>
        </w:rPr>
        <w:t>1.3 环境影响评价的工作过程</w:t>
      </w:r>
      <w:r>
        <w:tab/>
      </w:r>
      <w:r>
        <w:fldChar w:fldCharType="begin"/>
      </w:r>
      <w:r>
        <w:instrText xml:space="preserve"> PAGEREF _Toc12469 \h </w:instrText>
      </w:r>
      <w:r>
        <w:fldChar w:fldCharType="separate"/>
      </w:r>
      <w:r>
        <w:t>2</w:t>
      </w:r>
      <w:r>
        <w:fldChar w:fldCharType="end"/>
      </w:r>
      <w:r>
        <w:fldChar w:fldCharType="end"/>
      </w:r>
    </w:p>
    <w:p w14:paraId="059B2807">
      <w:pPr>
        <w:pStyle w:val="26"/>
        <w:tabs>
          <w:tab w:val="right" w:leader="dot" w:pos="8844"/>
          <w:tab w:val="clear" w:pos="9060"/>
        </w:tabs>
      </w:pPr>
      <w:r>
        <w:fldChar w:fldCharType="begin"/>
      </w:r>
      <w:r>
        <w:instrText xml:space="preserve"> HYPERLINK \l _Toc21790 </w:instrText>
      </w:r>
      <w:r>
        <w:fldChar w:fldCharType="separate"/>
      </w:r>
      <w:r>
        <w:rPr>
          <w:rFonts w:hint="eastAsia"/>
        </w:rPr>
        <w:t>1.4 分析判断相关情况</w:t>
      </w:r>
      <w:r>
        <w:tab/>
      </w:r>
      <w:r>
        <w:fldChar w:fldCharType="begin"/>
      </w:r>
      <w:r>
        <w:instrText xml:space="preserve"> PAGEREF _Toc21790 \h </w:instrText>
      </w:r>
      <w:r>
        <w:fldChar w:fldCharType="separate"/>
      </w:r>
      <w:r>
        <w:t>4</w:t>
      </w:r>
      <w:r>
        <w:fldChar w:fldCharType="end"/>
      </w:r>
      <w:r>
        <w:fldChar w:fldCharType="end"/>
      </w:r>
    </w:p>
    <w:p w14:paraId="0064FBFD">
      <w:pPr>
        <w:pStyle w:val="26"/>
        <w:tabs>
          <w:tab w:val="right" w:leader="dot" w:pos="8844"/>
          <w:tab w:val="clear" w:pos="9060"/>
        </w:tabs>
      </w:pPr>
      <w:r>
        <w:fldChar w:fldCharType="begin"/>
      </w:r>
      <w:r>
        <w:instrText xml:space="preserve"> HYPERLINK \l _Toc23609 </w:instrText>
      </w:r>
      <w:r>
        <w:fldChar w:fldCharType="separate"/>
      </w:r>
      <w:r>
        <w:rPr>
          <w:rFonts w:hint="eastAsia"/>
        </w:rPr>
        <w:t>1.5 关注</w:t>
      </w:r>
      <w:r>
        <w:t>的</w:t>
      </w:r>
      <w:r>
        <w:rPr>
          <w:rFonts w:hint="eastAsia"/>
        </w:rPr>
        <w:t>主要环境问题</w:t>
      </w:r>
      <w:r>
        <w:t>及环境影响</w:t>
      </w:r>
      <w:r>
        <w:tab/>
      </w:r>
      <w:r>
        <w:fldChar w:fldCharType="begin"/>
      </w:r>
      <w:r>
        <w:instrText xml:space="preserve"> PAGEREF _Toc23609 \h </w:instrText>
      </w:r>
      <w:r>
        <w:fldChar w:fldCharType="separate"/>
      </w:r>
      <w:r>
        <w:t>18</w:t>
      </w:r>
      <w:r>
        <w:fldChar w:fldCharType="end"/>
      </w:r>
      <w:r>
        <w:fldChar w:fldCharType="end"/>
      </w:r>
    </w:p>
    <w:p w14:paraId="6FFB17D0">
      <w:pPr>
        <w:pStyle w:val="26"/>
        <w:tabs>
          <w:tab w:val="right" w:leader="dot" w:pos="8844"/>
          <w:tab w:val="clear" w:pos="9060"/>
        </w:tabs>
      </w:pPr>
      <w:r>
        <w:fldChar w:fldCharType="begin"/>
      </w:r>
      <w:r>
        <w:instrText xml:space="preserve"> HYPERLINK \l _Toc2836 </w:instrText>
      </w:r>
      <w:r>
        <w:fldChar w:fldCharType="separate"/>
      </w:r>
      <w:r>
        <w:rPr>
          <w:rFonts w:hint="eastAsia"/>
        </w:rPr>
        <w:t>1.6 环境影响</w:t>
      </w:r>
      <w:r>
        <w:t>评价</w:t>
      </w:r>
      <w:r>
        <w:rPr>
          <w:rFonts w:hint="eastAsia"/>
        </w:rPr>
        <w:t>主要结论</w:t>
      </w:r>
      <w:r>
        <w:tab/>
      </w:r>
      <w:r>
        <w:fldChar w:fldCharType="begin"/>
      </w:r>
      <w:r>
        <w:instrText xml:space="preserve"> PAGEREF _Toc2836 \h </w:instrText>
      </w:r>
      <w:r>
        <w:fldChar w:fldCharType="separate"/>
      </w:r>
      <w:r>
        <w:t>19</w:t>
      </w:r>
      <w:r>
        <w:fldChar w:fldCharType="end"/>
      </w:r>
      <w:r>
        <w:fldChar w:fldCharType="end"/>
      </w:r>
    </w:p>
    <w:p w14:paraId="3FBC0BEB">
      <w:pPr>
        <w:pStyle w:val="23"/>
        <w:tabs>
          <w:tab w:val="right" w:leader="dot" w:pos="8844"/>
        </w:tabs>
      </w:pPr>
      <w:r>
        <w:fldChar w:fldCharType="begin"/>
      </w:r>
      <w:r>
        <w:instrText xml:space="preserve"> HYPERLINK \l _Toc3693 </w:instrText>
      </w:r>
      <w:r>
        <w:fldChar w:fldCharType="separate"/>
      </w:r>
      <w:r>
        <w:rPr>
          <w:rFonts w:hint="default" w:ascii="Times New Roman" w:hAnsi="Times New Roman" w:eastAsia="黑体"/>
        </w:rPr>
        <w:t xml:space="preserve">2. </w:t>
      </w:r>
      <w:r>
        <w:t>总</w:t>
      </w:r>
      <w:r>
        <w:rPr>
          <w:rFonts w:hint="eastAsia"/>
        </w:rPr>
        <w:t>则</w:t>
      </w:r>
      <w:r>
        <w:tab/>
      </w:r>
      <w:r>
        <w:fldChar w:fldCharType="begin"/>
      </w:r>
      <w:r>
        <w:instrText xml:space="preserve"> PAGEREF _Toc3693 \h </w:instrText>
      </w:r>
      <w:r>
        <w:fldChar w:fldCharType="separate"/>
      </w:r>
      <w:r>
        <w:t>20</w:t>
      </w:r>
      <w:r>
        <w:fldChar w:fldCharType="end"/>
      </w:r>
      <w:r>
        <w:fldChar w:fldCharType="end"/>
      </w:r>
    </w:p>
    <w:p w14:paraId="08AA6D75">
      <w:pPr>
        <w:pStyle w:val="26"/>
        <w:tabs>
          <w:tab w:val="right" w:leader="dot" w:pos="8844"/>
          <w:tab w:val="clear" w:pos="9060"/>
        </w:tabs>
      </w:pPr>
      <w:r>
        <w:fldChar w:fldCharType="begin"/>
      </w:r>
      <w:r>
        <w:instrText xml:space="preserve"> HYPERLINK \l _Toc32593 </w:instrText>
      </w:r>
      <w:r>
        <w:fldChar w:fldCharType="separate"/>
      </w:r>
      <w:r>
        <w:rPr>
          <w:rFonts w:hint="eastAsia"/>
        </w:rPr>
        <w:t xml:space="preserve">2.1 </w:t>
      </w:r>
      <w:r>
        <w:t>编制依据</w:t>
      </w:r>
      <w:r>
        <w:tab/>
      </w:r>
      <w:r>
        <w:fldChar w:fldCharType="begin"/>
      </w:r>
      <w:r>
        <w:instrText xml:space="preserve"> PAGEREF _Toc32593 \h </w:instrText>
      </w:r>
      <w:r>
        <w:fldChar w:fldCharType="separate"/>
      </w:r>
      <w:r>
        <w:t>20</w:t>
      </w:r>
      <w:r>
        <w:fldChar w:fldCharType="end"/>
      </w:r>
      <w:r>
        <w:fldChar w:fldCharType="end"/>
      </w:r>
    </w:p>
    <w:p w14:paraId="40E9FC21">
      <w:pPr>
        <w:pStyle w:val="26"/>
        <w:tabs>
          <w:tab w:val="right" w:leader="dot" w:pos="8844"/>
          <w:tab w:val="clear" w:pos="9060"/>
        </w:tabs>
      </w:pPr>
      <w:r>
        <w:fldChar w:fldCharType="begin"/>
      </w:r>
      <w:r>
        <w:instrText xml:space="preserve"> HYPERLINK \l _Toc31688 </w:instrText>
      </w:r>
      <w:r>
        <w:fldChar w:fldCharType="separate"/>
      </w:r>
      <w:r>
        <w:rPr>
          <w:rFonts w:hint="eastAsia"/>
        </w:rPr>
        <w:t xml:space="preserve">2.2 </w:t>
      </w:r>
      <w:r>
        <w:t>评价原则</w:t>
      </w:r>
      <w:r>
        <w:rPr>
          <w:rFonts w:hint="eastAsia"/>
        </w:rPr>
        <w:t>与</w:t>
      </w:r>
      <w:r>
        <w:t>评价</w:t>
      </w:r>
      <w:r>
        <w:rPr>
          <w:rFonts w:hint="eastAsia"/>
        </w:rPr>
        <w:t>目的</w:t>
      </w:r>
      <w:r>
        <w:tab/>
      </w:r>
      <w:r>
        <w:fldChar w:fldCharType="begin"/>
      </w:r>
      <w:r>
        <w:instrText xml:space="preserve"> PAGEREF _Toc31688 \h </w:instrText>
      </w:r>
      <w:r>
        <w:fldChar w:fldCharType="separate"/>
      </w:r>
      <w:r>
        <w:t>25</w:t>
      </w:r>
      <w:r>
        <w:fldChar w:fldCharType="end"/>
      </w:r>
      <w:r>
        <w:fldChar w:fldCharType="end"/>
      </w:r>
    </w:p>
    <w:p w14:paraId="5E28A51F">
      <w:pPr>
        <w:pStyle w:val="26"/>
        <w:tabs>
          <w:tab w:val="right" w:leader="dot" w:pos="8844"/>
          <w:tab w:val="clear" w:pos="9060"/>
        </w:tabs>
      </w:pPr>
      <w:r>
        <w:fldChar w:fldCharType="begin"/>
      </w:r>
      <w:r>
        <w:instrText xml:space="preserve"> HYPERLINK \l _Toc6445 </w:instrText>
      </w:r>
      <w:r>
        <w:fldChar w:fldCharType="separate"/>
      </w:r>
      <w:r>
        <w:rPr>
          <w:rFonts w:hint="eastAsia"/>
        </w:rPr>
        <w:t>2.3 环境影响</w:t>
      </w:r>
      <w:r>
        <w:t>识别</w:t>
      </w:r>
      <w:r>
        <w:rPr>
          <w:rFonts w:hint="eastAsia"/>
        </w:rPr>
        <w:t>与</w:t>
      </w:r>
      <w:r>
        <w:t>评价因子筛选</w:t>
      </w:r>
      <w:r>
        <w:tab/>
      </w:r>
      <w:r>
        <w:fldChar w:fldCharType="begin"/>
      </w:r>
      <w:r>
        <w:instrText xml:space="preserve"> PAGEREF _Toc6445 \h </w:instrText>
      </w:r>
      <w:r>
        <w:fldChar w:fldCharType="separate"/>
      </w:r>
      <w:r>
        <w:t>26</w:t>
      </w:r>
      <w:r>
        <w:fldChar w:fldCharType="end"/>
      </w:r>
      <w:r>
        <w:fldChar w:fldCharType="end"/>
      </w:r>
    </w:p>
    <w:p w14:paraId="4C65BBF4">
      <w:pPr>
        <w:pStyle w:val="26"/>
        <w:tabs>
          <w:tab w:val="right" w:leader="dot" w:pos="8844"/>
          <w:tab w:val="clear" w:pos="9060"/>
        </w:tabs>
      </w:pPr>
      <w:r>
        <w:fldChar w:fldCharType="begin"/>
      </w:r>
      <w:r>
        <w:instrText xml:space="preserve"> HYPERLINK \l _Toc18449 </w:instrText>
      </w:r>
      <w:r>
        <w:fldChar w:fldCharType="separate"/>
      </w:r>
      <w:r>
        <w:rPr>
          <w:rFonts w:hint="eastAsia"/>
        </w:rPr>
        <w:t>2.4 环境</w:t>
      </w:r>
      <w:r>
        <w:t>影响评价等级</w:t>
      </w:r>
      <w:r>
        <w:rPr>
          <w:rFonts w:hint="eastAsia"/>
          <w:lang w:val="en-US" w:eastAsia="zh-CN"/>
        </w:rPr>
        <w:t>及评价重点</w:t>
      </w:r>
      <w:r>
        <w:tab/>
      </w:r>
      <w:r>
        <w:fldChar w:fldCharType="begin"/>
      </w:r>
      <w:r>
        <w:instrText xml:space="preserve"> PAGEREF _Toc18449 \h </w:instrText>
      </w:r>
      <w:r>
        <w:fldChar w:fldCharType="separate"/>
      </w:r>
      <w:r>
        <w:t>27</w:t>
      </w:r>
      <w:r>
        <w:fldChar w:fldCharType="end"/>
      </w:r>
      <w:r>
        <w:fldChar w:fldCharType="end"/>
      </w:r>
    </w:p>
    <w:p w14:paraId="231E5970">
      <w:pPr>
        <w:pStyle w:val="26"/>
        <w:tabs>
          <w:tab w:val="right" w:leader="dot" w:pos="8844"/>
          <w:tab w:val="clear" w:pos="9060"/>
        </w:tabs>
      </w:pPr>
      <w:r>
        <w:fldChar w:fldCharType="begin"/>
      </w:r>
      <w:r>
        <w:instrText xml:space="preserve"> HYPERLINK \l _Toc10199 </w:instrText>
      </w:r>
      <w:r>
        <w:fldChar w:fldCharType="separate"/>
      </w:r>
      <w:r>
        <w:rPr>
          <w:rFonts w:hint="eastAsia"/>
        </w:rPr>
        <w:t>2.5 环境</w:t>
      </w:r>
      <w:r>
        <w:t>影响评价范围</w:t>
      </w:r>
      <w:r>
        <w:rPr>
          <w:rFonts w:hint="eastAsia"/>
          <w:lang w:val="en-US" w:eastAsia="zh-CN"/>
        </w:rPr>
        <w:t>及环境敏感目标</w:t>
      </w:r>
      <w:r>
        <w:tab/>
      </w:r>
      <w:r>
        <w:fldChar w:fldCharType="begin"/>
      </w:r>
      <w:r>
        <w:instrText xml:space="preserve"> PAGEREF _Toc10199 \h </w:instrText>
      </w:r>
      <w:r>
        <w:fldChar w:fldCharType="separate"/>
      </w:r>
      <w:r>
        <w:t>37</w:t>
      </w:r>
      <w:r>
        <w:fldChar w:fldCharType="end"/>
      </w:r>
      <w:r>
        <w:fldChar w:fldCharType="end"/>
      </w:r>
    </w:p>
    <w:p w14:paraId="2A20C223">
      <w:pPr>
        <w:pStyle w:val="26"/>
        <w:tabs>
          <w:tab w:val="right" w:leader="dot" w:pos="8844"/>
          <w:tab w:val="clear" w:pos="9060"/>
        </w:tabs>
      </w:pPr>
      <w:r>
        <w:fldChar w:fldCharType="begin"/>
      </w:r>
      <w:r>
        <w:instrText xml:space="preserve"> HYPERLINK \l _Toc32288 </w:instrText>
      </w:r>
      <w:r>
        <w:fldChar w:fldCharType="separate"/>
      </w:r>
      <w:r>
        <w:rPr>
          <w:rFonts w:hint="eastAsia"/>
        </w:rPr>
        <w:t>2.6 环境功能区划</w:t>
      </w:r>
      <w:r>
        <w:tab/>
      </w:r>
      <w:r>
        <w:fldChar w:fldCharType="begin"/>
      </w:r>
      <w:r>
        <w:instrText xml:space="preserve"> PAGEREF _Toc32288 \h </w:instrText>
      </w:r>
      <w:r>
        <w:fldChar w:fldCharType="separate"/>
      </w:r>
      <w:r>
        <w:t>38</w:t>
      </w:r>
      <w:r>
        <w:fldChar w:fldCharType="end"/>
      </w:r>
      <w:r>
        <w:fldChar w:fldCharType="end"/>
      </w:r>
    </w:p>
    <w:p w14:paraId="576055D5">
      <w:pPr>
        <w:pStyle w:val="26"/>
        <w:tabs>
          <w:tab w:val="right" w:leader="dot" w:pos="8844"/>
          <w:tab w:val="clear" w:pos="9060"/>
        </w:tabs>
      </w:pPr>
      <w:r>
        <w:fldChar w:fldCharType="begin"/>
      </w:r>
      <w:r>
        <w:instrText xml:space="preserve"> HYPERLINK \l _Toc10663 </w:instrText>
      </w:r>
      <w:r>
        <w:fldChar w:fldCharType="separate"/>
      </w:r>
      <w:r>
        <w:rPr>
          <w:rFonts w:hint="eastAsia"/>
        </w:rPr>
        <w:t>2.7 环境</w:t>
      </w:r>
      <w:r>
        <w:t>影响评价标准</w:t>
      </w:r>
      <w:r>
        <w:tab/>
      </w:r>
      <w:r>
        <w:fldChar w:fldCharType="begin"/>
      </w:r>
      <w:r>
        <w:instrText xml:space="preserve"> PAGEREF _Toc10663 \h </w:instrText>
      </w:r>
      <w:r>
        <w:fldChar w:fldCharType="separate"/>
      </w:r>
      <w:r>
        <w:t>39</w:t>
      </w:r>
      <w:r>
        <w:fldChar w:fldCharType="end"/>
      </w:r>
      <w:r>
        <w:fldChar w:fldCharType="end"/>
      </w:r>
    </w:p>
    <w:p w14:paraId="1C89AFED">
      <w:pPr>
        <w:pStyle w:val="26"/>
        <w:tabs>
          <w:tab w:val="right" w:leader="dot" w:pos="8844"/>
          <w:tab w:val="clear" w:pos="9060"/>
        </w:tabs>
      </w:pPr>
      <w:r>
        <w:fldChar w:fldCharType="begin"/>
      </w:r>
      <w:r>
        <w:instrText xml:space="preserve"> HYPERLINK \l _Toc11869 </w:instrText>
      </w:r>
      <w:r>
        <w:fldChar w:fldCharType="separate"/>
      </w:r>
      <w:r>
        <w:rPr>
          <w:rFonts w:hint="eastAsia"/>
        </w:rPr>
        <w:t>2.8 产业政策和规划相符性分析</w:t>
      </w:r>
      <w:r>
        <w:tab/>
      </w:r>
      <w:r>
        <w:fldChar w:fldCharType="begin"/>
      </w:r>
      <w:r>
        <w:instrText xml:space="preserve"> PAGEREF _Toc11869 \h </w:instrText>
      </w:r>
      <w:r>
        <w:fldChar w:fldCharType="separate"/>
      </w:r>
      <w:r>
        <w:t>45</w:t>
      </w:r>
      <w:r>
        <w:fldChar w:fldCharType="end"/>
      </w:r>
      <w:r>
        <w:fldChar w:fldCharType="end"/>
      </w:r>
    </w:p>
    <w:p w14:paraId="451BBAC9">
      <w:pPr>
        <w:pStyle w:val="26"/>
        <w:tabs>
          <w:tab w:val="right" w:leader="dot" w:pos="8844"/>
          <w:tab w:val="clear" w:pos="9060"/>
        </w:tabs>
      </w:pPr>
      <w:r>
        <w:fldChar w:fldCharType="begin"/>
      </w:r>
      <w:r>
        <w:instrText xml:space="preserve"> HYPERLINK \l _Toc4874 </w:instrText>
      </w:r>
      <w:r>
        <w:fldChar w:fldCharType="separate"/>
      </w:r>
      <w:r>
        <w:rPr>
          <w:rFonts w:hint="eastAsia"/>
        </w:rPr>
        <w:t>2.9 选址合理性分析</w:t>
      </w:r>
      <w:r>
        <w:tab/>
      </w:r>
      <w:r>
        <w:fldChar w:fldCharType="begin"/>
      </w:r>
      <w:r>
        <w:instrText xml:space="preserve"> PAGEREF _Toc4874 \h </w:instrText>
      </w:r>
      <w:r>
        <w:fldChar w:fldCharType="separate"/>
      </w:r>
      <w:r>
        <w:t>50</w:t>
      </w:r>
      <w:r>
        <w:fldChar w:fldCharType="end"/>
      </w:r>
      <w:r>
        <w:fldChar w:fldCharType="end"/>
      </w:r>
    </w:p>
    <w:p w14:paraId="2ED66781">
      <w:pPr>
        <w:pStyle w:val="23"/>
        <w:tabs>
          <w:tab w:val="right" w:leader="dot" w:pos="8844"/>
        </w:tabs>
      </w:pPr>
      <w:r>
        <w:fldChar w:fldCharType="begin"/>
      </w:r>
      <w:r>
        <w:instrText xml:space="preserve"> HYPERLINK \l _Toc12930 </w:instrText>
      </w:r>
      <w:r>
        <w:fldChar w:fldCharType="separate"/>
      </w:r>
      <w:r>
        <w:rPr>
          <w:rFonts w:hint="default" w:ascii="Times New Roman" w:hAnsi="Times New Roman" w:eastAsia="黑体"/>
        </w:rPr>
        <w:t xml:space="preserve">3. </w:t>
      </w:r>
      <w:r>
        <w:rPr>
          <w:rFonts w:hint="eastAsia"/>
        </w:rPr>
        <w:t>建设项目工程</w:t>
      </w:r>
      <w:r>
        <w:t>分析</w:t>
      </w:r>
      <w:r>
        <w:tab/>
      </w:r>
      <w:r>
        <w:fldChar w:fldCharType="begin"/>
      </w:r>
      <w:r>
        <w:instrText xml:space="preserve"> PAGEREF _Toc12930 \h </w:instrText>
      </w:r>
      <w:r>
        <w:fldChar w:fldCharType="separate"/>
      </w:r>
      <w:r>
        <w:t>51</w:t>
      </w:r>
      <w:r>
        <w:fldChar w:fldCharType="end"/>
      </w:r>
      <w:r>
        <w:fldChar w:fldCharType="end"/>
      </w:r>
    </w:p>
    <w:p w14:paraId="6451C9AF">
      <w:pPr>
        <w:pStyle w:val="26"/>
        <w:tabs>
          <w:tab w:val="right" w:leader="dot" w:pos="8844"/>
          <w:tab w:val="clear" w:pos="9060"/>
        </w:tabs>
      </w:pPr>
      <w:r>
        <w:fldChar w:fldCharType="begin"/>
      </w:r>
      <w:r>
        <w:instrText xml:space="preserve"> HYPERLINK \l _Toc14802 </w:instrText>
      </w:r>
      <w:r>
        <w:fldChar w:fldCharType="separate"/>
      </w:r>
      <w:r>
        <w:rPr>
          <w:rFonts w:hint="eastAsia"/>
        </w:rPr>
        <w:t>3.1 项目概况</w:t>
      </w:r>
      <w:r>
        <w:tab/>
      </w:r>
      <w:r>
        <w:fldChar w:fldCharType="begin"/>
      </w:r>
      <w:r>
        <w:instrText xml:space="preserve"> PAGEREF _Toc14802 \h </w:instrText>
      </w:r>
      <w:r>
        <w:fldChar w:fldCharType="separate"/>
      </w:r>
      <w:r>
        <w:t>51</w:t>
      </w:r>
      <w:r>
        <w:fldChar w:fldCharType="end"/>
      </w:r>
      <w:r>
        <w:fldChar w:fldCharType="end"/>
      </w:r>
    </w:p>
    <w:p w14:paraId="4E133E84">
      <w:pPr>
        <w:pStyle w:val="26"/>
        <w:tabs>
          <w:tab w:val="right" w:leader="dot" w:pos="8844"/>
          <w:tab w:val="clear" w:pos="9060"/>
        </w:tabs>
      </w:pPr>
      <w:r>
        <w:fldChar w:fldCharType="begin"/>
      </w:r>
      <w:r>
        <w:instrText xml:space="preserve"> HYPERLINK \l _Toc18477 </w:instrText>
      </w:r>
      <w:r>
        <w:fldChar w:fldCharType="separate"/>
      </w:r>
      <w:r>
        <w:rPr>
          <w:rFonts w:hint="eastAsia"/>
        </w:rPr>
        <w:t>3.2 工程内容</w:t>
      </w:r>
      <w:r>
        <w:tab/>
      </w:r>
      <w:r>
        <w:fldChar w:fldCharType="begin"/>
      </w:r>
      <w:r>
        <w:instrText xml:space="preserve"> PAGEREF _Toc18477 \h </w:instrText>
      </w:r>
      <w:r>
        <w:fldChar w:fldCharType="separate"/>
      </w:r>
      <w:r>
        <w:t>51</w:t>
      </w:r>
      <w:r>
        <w:fldChar w:fldCharType="end"/>
      </w:r>
      <w:r>
        <w:fldChar w:fldCharType="end"/>
      </w:r>
    </w:p>
    <w:p w14:paraId="0FC2CE8B">
      <w:pPr>
        <w:pStyle w:val="26"/>
        <w:tabs>
          <w:tab w:val="right" w:leader="dot" w:pos="8844"/>
          <w:tab w:val="clear" w:pos="9060"/>
        </w:tabs>
      </w:pPr>
      <w:r>
        <w:fldChar w:fldCharType="begin"/>
      </w:r>
      <w:r>
        <w:instrText xml:space="preserve"> HYPERLINK \l _Toc28648 </w:instrText>
      </w:r>
      <w:r>
        <w:fldChar w:fldCharType="separate"/>
      </w:r>
      <w:r>
        <w:rPr>
          <w:rFonts w:hint="eastAsia"/>
        </w:rPr>
        <w:t>3.3 工艺流程及产污节点</w:t>
      </w:r>
      <w:r>
        <w:tab/>
      </w:r>
      <w:r>
        <w:fldChar w:fldCharType="begin"/>
      </w:r>
      <w:r>
        <w:instrText xml:space="preserve"> PAGEREF _Toc28648 \h </w:instrText>
      </w:r>
      <w:r>
        <w:fldChar w:fldCharType="separate"/>
      </w:r>
      <w:r>
        <w:t>57</w:t>
      </w:r>
      <w:r>
        <w:fldChar w:fldCharType="end"/>
      </w:r>
      <w:r>
        <w:fldChar w:fldCharType="end"/>
      </w:r>
    </w:p>
    <w:p w14:paraId="5AE64F90">
      <w:pPr>
        <w:pStyle w:val="26"/>
        <w:tabs>
          <w:tab w:val="right" w:leader="dot" w:pos="8844"/>
          <w:tab w:val="clear" w:pos="9060"/>
        </w:tabs>
      </w:pPr>
      <w:r>
        <w:fldChar w:fldCharType="begin"/>
      </w:r>
      <w:r>
        <w:instrText xml:space="preserve"> HYPERLINK \l _Toc325 </w:instrText>
      </w:r>
      <w:r>
        <w:fldChar w:fldCharType="separate"/>
      </w:r>
      <w:r>
        <w:rPr>
          <w:rFonts w:hint="eastAsia"/>
        </w:rPr>
        <w:t>3.4 污染源分析与</w:t>
      </w:r>
      <w:r>
        <w:t>治理措施</w:t>
      </w:r>
      <w:r>
        <w:tab/>
      </w:r>
      <w:r>
        <w:fldChar w:fldCharType="begin"/>
      </w:r>
      <w:r>
        <w:instrText xml:space="preserve"> PAGEREF _Toc325 \h </w:instrText>
      </w:r>
      <w:r>
        <w:fldChar w:fldCharType="separate"/>
      </w:r>
      <w:r>
        <w:t>62</w:t>
      </w:r>
      <w:r>
        <w:fldChar w:fldCharType="end"/>
      </w:r>
      <w:r>
        <w:fldChar w:fldCharType="end"/>
      </w:r>
    </w:p>
    <w:p w14:paraId="24E02BF0">
      <w:pPr>
        <w:pStyle w:val="26"/>
        <w:tabs>
          <w:tab w:val="right" w:leader="dot" w:pos="8844"/>
          <w:tab w:val="clear" w:pos="9060"/>
        </w:tabs>
      </w:pPr>
      <w:r>
        <w:fldChar w:fldCharType="begin"/>
      </w:r>
      <w:r>
        <w:instrText xml:space="preserve"> HYPERLINK \l _Toc28853 </w:instrText>
      </w:r>
      <w:r>
        <w:fldChar w:fldCharType="separate"/>
      </w:r>
      <w:r>
        <w:rPr>
          <w:rFonts w:hint="eastAsia"/>
        </w:rPr>
        <w:t>3.5 项目建成后全厂污染物排放情况</w:t>
      </w:r>
      <w:r>
        <w:tab/>
      </w:r>
      <w:r>
        <w:fldChar w:fldCharType="begin"/>
      </w:r>
      <w:r>
        <w:instrText xml:space="preserve"> PAGEREF _Toc28853 \h </w:instrText>
      </w:r>
      <w:r>
        <w:fldChar w:fldCharType="separate"/>
      </w:r>
      <w:r>
        <w:t>74</w:t>
      </w:r>
      <w:r>
        <w:fldChar w:fldCharType="end"/>
      </w:r>
      <w:r>
        <w:fldChar w:fldCharType="end"/>
      </w:r>
    </w:p>
    <w:p w14:paraId="62FB87EF">
      <w:pPr>
        <w:pStyle w:val="26"/>
        <w:tabs>
          <w:tab w:val="right" w:leader="dot" w:pos="8844"/>
          <w:tab w:val="clear" w:pos="9060"/>
        </w:tabs>
      </w:pPr>
      <w:r>
        <w:fldChar w:fldCharType="begin"/>
      </w:r>
      <w:r>
        <w:instrText xml:space="preserve"> HYPERLINK \l _Toc16447 </w:instrText>
      </w:r>
      <w:r>
        <w:fldChar w:fldCharType="separate"/>
      </w:r>
      <w:r>
        <w:rPr>
          <w:rFonts w:hint="eastAsia"/>
        </w:rPr>
        <w:t>3.6 污染物总量控制分析</w:t>
      </w:r>
      <w:r>
        <w:tab/>
      </w:r>
      <w:r>
        <w:fldChar w:fldCharType="begin"/>
      </w:r>
      <w:r>
        <w:instrText xml:space="preserve"> PAGEREF _Toc16447 \h </w:instrText>
      </w:r>
      <w:r>
        <w:fldChar w:fldCharType="separate"/>
      </w:r>
      <w:r>
        <w:t>75</w:t>
      </w:r>
      <w:r>
        <w:fldChar w:fldCharType="end"/>
      </w:r>
      <w:r>
        <w:fldChar w:fldCharType="end"/>
      </w:r>
    </w:p>
    <w:p w14:paraId="35E4D8EB">
      <w:pPr>
        <w:pStyle w:val="26"/>
        <w:tabs>
          <w:tab w:val="right" w:leader="dot" w:pos="8844"/>
          <w:tab w:val="clear" w:pos="9060"/>
        </w:tabs>
      </w:pPr>
      <w:r>
        <w:fldChar w:fldCharType="begin"/>
      </w:r>
      <w:r>
        <w:instrText xml:space="preserve"> HYPERLINK \l _Toc7875 </w:instrText>
      </w:r>
      <w:r>
        <w:fldChar w:fldCharType="separate"/>
      </w:r>
      <w:r>
        <w:rPr>
          <w:rFonts w:hint="eastAsia"/>
        </w:rPr>
        <w:t>3.7 清洁生产分析</w:t>
      </w:r>
      <w:r>
        <w:tab/>
      </w:r>
      <w:r>
        <w:fldChar w:fldCharType="begin"/>
      </w:r>
      <w:r>
        <w:instrText xml:space="preserve"> PAGEREF _Toc7875 \h </w:instrText>
      </w:r>
      <w:r>
        <w:fldChar w:fldCharType="separate"/>
      </w:r>
      <w:r>
        <w:t>76</w:t>
      </w:r>
      <w:r>
        <w:fldChar w:fldCharType="end"/>
      </w:r>
      <w:r>
        <w:fldChar w:fldCharType="end"/>
      </w:r>
    </w:p>
    <w:p w14:paraId="0BCA8A78">
      <w:pPr>
        <w:pStyle w:val="23"/>
        <w:tabs>
          <w:tab w:val="right" w:leader="dot" w:pos="8844"/>
        </w:tabs>
      </w:pPr>
      <w:r>
        <w:fldChar w:fldCharType="begin"/>
      </w:r>
      <w:r>
        <w:instrText xml:space="preserve"> HYPERLINK \l _Toc26560 </w:instrText>
      </w:r>
      <w:r>
        <w:fldChar w:fldCharType="separate"/>
      </w:r>
      <w:r>
        <w:rPr>
          <w:rFonts w:hint="default" w:ascii="Times New Roman" w:hAnsi="Times New Roman" w:eastAsia="黑体"/>
        </w:rPr>
        <w:t xml:space="preserve">4. </w:t>
      </w:r>
      <w:r>
        <w:rPr>
          <w:rFonts w:hint="eastAsia"/>
        </w:rPr>
        <w:t>环境现状</w:t>
      </w:r>
      <w:r>
        <w:t>调查与评价</w:t>
      </w:r>
      <w:r>
        <w:tab/>
      </w:r>
      <w:r>
        <w:fldChar w:fldCharType="begin"/>
      </w:r>
      <w:r>
        <w:instrText xml:space="preserve"> PAGEREF _Toc26560 \h </w:instrText>
      </w:r>
      <w:r>
        <w:fldChar w:fldCharType="separate"/>
      </w:r>
      <w:r>
        <w:t>79</w:t>
      </w:r>
      <w:r>
        <w:fldChar w:fldCharType="end"/>
      </w:r>
      <w:r>
        <w:fldChar w:fldCharType="end"/>
      </w:r>
    </w:p>
    <w:p w14:paraId="55F599EA">
      <w:pPr>
        <w:pStyle w:val="26"/>
        <w:tabs>
          <w:tab w:val="right" w:leader="dot" w:pos="8844"/>
          <w:tab w:val="clear" w:pos="9060"/>
        </w:tabs>
      </w:pPr>
      <w:r>
        <w:fldChar w:fldCharType="begin"/>
      </w:r>
      <w:r>
        <w:instrText xml:space="preserve"> HYPERLINK \l _Toc15197 </w:instrText>
      </w:r>
      <w:r>
        <w:fldChar w:fldCharType="separate"/>
      </w:r>
      <w:r>
        <w:rPr>
          <w:rFonts w:hint="eastAsia"/>
        </w:rPr>
        <w:t>4.1 地理位置</w:t>
      </w:r>
      <w:r>
        <w:tab/>
      </w:r>
      <w:r>
        <w:fldChar w:fldCharType="begin"/>
      </w:r>
      <w:r>
        <w:instrText xml:space="preserve"> PAGEREF _Toc15197 \h </w:instrText>
      </w:r>
      <w:r>
        <w:fldChar w:fldCharType="separate"/>
      </w:r>
      <w:r>
        <w:t>79</w:t>
      </w:r>
      <w:r>
        <w:fldChar w:fldCharType="end"/>
      </w:r>
      <w:r>
        <w:fldChar w:fldCharType="end"/>
      </w:r>
    </w:p>
    <w:p w14:paraId="09BCB428">
      <w:pPr>
        <w:pStyle w:val="26"/>
        <w:tabs>
          <w:tab w:val="right" w:leader="dot" w:pos="8844"/>
          <w:tab w:val="clear" w:pos="9060"/>
        </w:tabs>
      </w:pPr>
      <w:r>
        <w:fldChar w:fldCharType="begin"/>
      </w:r>
      <w:r>
        <w:instrText xml:space="preserve"> HYPERLINK \l _Toc24633 </w:instrText>
      </w:r>
      <w:r>
        <w:fldChar w:fldCharType="separate"/>
      </w:r>
      <w:r>
        <w:rPr>
          <w:rFonts w:hint="eastAsia"/>
        </w:rPr>
        <w:t>4.2 自然</w:t>
      </w:r>
      <w:r>
        <w:t>环境简况</w:t>
      </w:r>
      <w:r>
        <w:tab/>
      </w:r>
      <w:r>
        <w:fldChar w:fldCharType="begin"/>
      </w:r>
      <w:r>
        <w:instrText xml:space="preserve"> PAGEREF _Toc24633 \h </w:instrText>
      </w:r>
      <w:r>
        <w:fldChar w:fldCharType="separate"/>
      </w:r>
      <w:r>
        <w:t>79</w:t>
      </w:r>
      <w:r>
        <w:fldChar w:fldCharType="end"/>
      </w:r>
      <w:r>
        <w:fldChar w:fldCharType="end"/>
      </w:r>
    </w:p>
    <w:p w14:paraId="3947DF79">
      <w:pPr>
        <w:pStyle w:val="26"/>
        <w:tabs>
          <w:tab w:val="right" w:leader="dot" w:pos="8844"/>
          <w:tab w:val="clear" w:pos="9060"/>
        </w:tabs>
      </w:pPr>
      <w:r>
        <w:fldChar w:fldCharType="begin"/>
      </w:r>
      <w:r>
        <w:instrText xml:space="preserve"> HYPERLINK \l _Toc20537 </w:instrText>
      </w:r>
      <w:r>
        <w:fldChar w:fldCharType="separate"/>
      </w:r>
      <w:r>
        <w:rPr>
          <w:rFonts w:hint="eastAsia"/>
        </w:rPr>
        <w:t>4.3 环境现状</w:t>
      </w:r>
      <w:r>
        <w:t>调查与评价</w:t>
      </w:r>
      <w:r>
        <w:tab/>
      </w:r>
      <w:r>
        <w:fldChar w:fldCharType="begin"/>
      </w:r>
      <w:r>
        <w:instrText xml:space="preserve"> PAGEREF _Toc20537 \h </w:instrText>
      </w:r>
      <w:r>
        <w:fldChar w:fldCharType="separate"/>
      </w:r>
      <w:r>
        <w:t>83</w:t>
      </w:r>
      <w:r>
        <w:fldChar w:fldCharType="end"/>
      </w:r>
      <w:r>
        <w:fldChar w:fldCharType="end"/>
      </w:r>
    </w:p>
    <w:p w14:paraId="79FFE08C">
      <w:pPr>
        <w:pStyle w:val="23"/>
        <w:tabs>
          <w:tab w:val="right" w:leader="dot" w:pos="8844"/>
        </w:tabs>
      </w:pPr>
      <w:r>
        <w:fldChar w:fldCharType="begin"/>
      </w:r>
      <w:r>
        <w:instrText xml:space="preserve"> HYPERLINK \l _Toc27498 </w:instrText>
      </w:r>
      <w:r>
        <w:fldChar w:fldCharType="separate"/>
      </w:r>
      <w:r>
        <w:rPr>
          <w:rFonts w:hint="default" w:ascii="Times New Roman" w:hAnsi="Times New Roman" w:eastAsia="黑体"/>
        </w:rPr>
        <w:t xml:space="preserve">5. </w:t>
      </w:r>
      <w:r>
        <w:rPr>
          <w:rFonts w:hint="eastAsia"/>
        </w:rPr>
        <w:t>施工期环境</w:t>
      </w:r>
      <w:r>
        <w:t>影响预测与评价</w:t>
      </w:r>
      <w:r>
        <w:tab/>
      </w:r>
      <w:r>
        <w:fldChar w:fldCharType="begin"/>
      </w:r>
      <w:r>
        <w:instrText xml:space="preserve"> PAGEREF _Toc27498 \h </w:instrText>
      </w:r>
      <w:r>
        <w:fldChar w:fldCharType="separate"/>
      </w:r>
      <w:r>
        <w:t>93</w:t>
      </w:r>
      <w:r>
        <w:fldChar w:fldCharType="end"/>
      </w:r>
      <w:r>
        <w:fldChar w:fldCharType="end"/>
      </w:r>
    </w:p>
    <w:p w14:paraId="4F8DF253">
      <w:pPr>
        <w:pStyle w:val="26"/>
        <w:tabs>
          <w:tab w:val="right" w:leader="dot" w:pos="8844"/>
          <w:tab w:val="clear" w:pos="9060"/>
        </w:tabs>
      </w:pPr>
      <w:r>
        <w:fldChar w:fldCharType="begin"/>
      </w:r>
      <w:r>
        <w:instrText xml:space="preserve"> HYPERLINK \l _Toc885 </w:instrText>
      </w:r>
      <w:r>
        <w:fldChar w:fldCharType="separate"/>
      </w:r>
      <w:r>
        <w:rPr>
          <w:rFonts w:hint="eastAsia"/>
        </w:rPr>
        <w:t>5.1 施工扬尘</w:t>
      </w:r>
      <w:r>
        <w:tab/>
      </w:r>
      <w:r>
        <w:fldChar w:fldCharType="begin"/>
      </w:r>
      <w:r>
        <w:instrText xml:space="preserve"> PAGEREF _Toc885 \h </w:instrText>
      </w:r>
      <w:r>
        <w:fldChar w:fldCharType="separate"/>
      </w:r>
      <w:r>
        <w:t>93</w:t>
      </w:r>
      <w:r>
        <w:fldChar w:fldCharType="end"/>
      </w:r>
      <w:r>
        <w:fldChar w:fldCharType="end"/>
      </w:r>
    </w:p>
    <w:p w14:paraId="641109FD">
      <w:pPr>
        <w:pStyle w:val="26"/>
        <w:tabs>
          <w:tab w:val="right" w:leader="dot" w:pos="8844"/>
          <w:tab w:val="clear" w:pos="9060"/>
        </w:tabs>
      </w:pPr>
      <w:r>
        <w:fldChar w:fldCharType="begin"/>
      </w:r>
      <w:r>
        <w:instrText xml:space="preserve"> HYPERLINK \l _Toc15598 </w:instrText>
      </w:r>
      <w:r>
        <w:fldChar w:fldCharType="separate"/>
      </w:r>
      <w:r>
        <w:rPr>
          <w:rFonts w:hint="eastAsia"/>
        </w:rPr>
        <w:t>5.2 施工废水</w:t>
      </w:r>
      <w:r>
        <w:tab/>
      </w:r>
      <w:r>
        <w:fldChar w:fldCharType="begin"/>
      </w:r>
      <w:r>
        <w:instrText xml:space="preserve"> PAGEREF _Toc15598 \h </w:instrText>
      </w:r>
      <w:r>
        <w:fldChar w:fldCharType="separate"/>
      </w:r>
      <w:r>
        <w:t>93</w:t>
      </w:r>
      <w:r>
        <w:fldChar w:fldCharType="end"/>
      </w:r>
      <w:r>
        <w:fldChar w:fldCharType="end"/>
      </w:r>
    </w:p>
    <w:p w14:paraId="4A4335A8">
      <w:pPr>
        <w:pStyle w:val="26"/>
        <w:tabs>
          <w:tab w:val="right" w:leader="dot" w:pos="8844"/>
          <w:tab w:val="clear" w:pos="9060"/>
        </w:tabs>
      </w:pPr>
      <w:r>
        <w:fldChar w:fldCharType="begin"/>
      </w:r>
      <w:r>
        <w:instrText xml:space="preserve"> HYPERLINK \l _Toc4199 </w:instrText>
      </w:r>
      <w:r>
        <w:fldChar w:fldCharType="separate"/>
      </w:r>
      <w:r>
        <w:rPr>
          <w:rFonts w:hint="eastAsia"/>
        </w:rPr>
        <w:t>5.3 施工噪声</w:t>
      </w:r>
      <w:r>
        <w:tab/>
      </w:r>
      <w:r>
        <w:fldChar w:fldCharType="begin"/>
      </w:r>
      <w:r>
        <w:instrText xml:space="preserve"> PAGEREF _Toc4199 \h </w:instrText>
      </w:r>
      <w:r>
        <w:fldChar w:fldCharType="separate"/>
      </w:r>
      <w:r>
        <w:t>93</w:t>
      </w:r>
      <w:r>
        <w:fldChar w:fldCharType="end"/>
      </w:r>
      <w:r>
        <w:fldChar w:fldCharType="end"/>
      </w:r>
    </w:p>
    <w:p w14:paraId="3B7AC5C6">
      <w:pPr>
        <w:pStyle w:val="26"/>
        <w:tabs>
          <w:tab w:val="right" w:leader="dot" w:pos="8844"/>
          <w:tab w:val="clear" w:pos="9060"/>
        </w:tabs>
      </w:pPr>
      <w:r>
        <w:fldChar w:fldCharType="begin"/>
      </w:r>
      <w:r>
        <w:instrText xml:space="preserve"> HYPERLINK \l _Toc18496 </w:instrText>
      </w:r>
      <w:r>
        <w:fldChar w:fldCharType="separate"/>
      </w:r>
      <w:r>
        <w:rPr>
          <w:rFonts w:hint="eastAsia"/>
        </w:rPr>
        <w:t>5.4 施工固体废物</w:t>
      </w:r>
      <w:r>
        <w:tab/>
      </w:r>
      <w:r>
        <w:fldChar w:fldCharType="begin"/>
      </w:r>
      <w:r>
        <w:instrText xml:space="preserve"> PAGEREF _Toc18496 \h </w:instrText>
      </w:r>
      <w:r>
        <w:fldChar w:fldCharType="separate"/>
      </w:r>
      <w:r>
        <w:t>94</w:t>
      </w:r>
      <w:r>
        <w:fldChar w:fldCharType="end"/>
      </w:r>
      <w:r>
        <w:fldChar w:fldCharType="end"/>
      </w:r>
    </w:p>
    <w:p w14:paraId="1DE697A8">
      <w:pPr>
        <w:pStyle w:val="23"/>
        <w:tabs>
          <w:tab w:val="right" w:leader="dot" w:pos="8844"/>
        </w:tabs>
      </w:pPr>
      <w:r>
        <w:fldChar w:fldCharType="begin"/>
      </w:r>
      <w:r>
        <w:instrText xml:space="preserve"> HYPERLINK \l _Toc13335 </w:instrText>
      </w:r>
      <w:r>
        <w:fldChar w:fldCharType="separate"/>
      </w:r>
      <w:r>
        <w:rPr>
          <w:rFonts w:hint="default" w:ascii="Times New Roman" w:hAnsi="Times New Roman" w:eastAsia="黑体"/>
        </w:rPr>
        <w:t xml:space="preserve">6. </w:t>
      </w:r>
      <w:r>
        <w:rPr>
          <w:rFonts w:hint="eastAsia"/>
        </w:rPr>
        <w:t>营运期环境</w:t>
      </w:r>
      <w:r>
        <w:t>影响预测与评价</w:t>
      </w:r>
      <w:r>
        <w:tab/>
      </w:r>
      <w:r>
        <w:fldChar w:fldCharType="begin"/>
      </w:r>
      <w:r>
        <w:instrText xml:space="preserve"> PAGEREF _Toc13335 \h </w:instrText>
      </w:r>
      <w:r>
        <w:fldChar w:fldCharType="separate"/>
      </w:r>
      <w:r>
        <w:t>96</w:t>
      </w:r>
      <w:r>
        <w:fldChar w:fldCharType="end"/>
      </w:r>
      <w:r>
        <w:fldChar w:fldCharType="end"/>
      </w:r>
    </w:p>
    <w:p w14:paraId="77F6DDD5">
      <w:pPr>
        <w:pStyle w:val="26"/>
        <w:tabs>
          <w:tab w:val="right" w:leader="dot" w:pos="8844"/>
          <w:tab w:val="clear" w:pos="9060"/>
        </w:tabs>
      </w:pPr>
      <w:r>
        <w:fldChar w:fldCharType="begin"/>
      </w:r>
      <w:r>
        <w:instrText xml:space="preserve"> HYPERLINK \l _Toc30685 </w:instrText>
      </w:r>
      <w:r>
        <w:fldChar w:fldCharType="separate"/>
      </w:r>
      <w:r>
        <w:rPr>
          <w:rFonts w:hint="eastAsia"/>
        </w:rPr>
        <w:t>6.1 大气环境影响分析</w:t>
      </w:r>
      <w:r>
        <w:tab/>
      </w:r>
      <w:r>
        <w:fldChar w:fldCharType="begin"/>
      </w:r>
      <w:r>
        <w:instrText xml:space="preserve"> PAGEREF _Toc30685 \h </w:instrText>
      </w:r>
      <w:r>
        <w:fldChar w:fldCharType="separate"/>
      </w:r>
      <w:r>
        <w:t>96</w:t>
      </w:r>
      <w:r>
        <w:fldChar w:fldCharType="end"/>
      </w:r>
      <w:r>
        <w:fldChar w:fldCharType="end"/>
      </w:r>
    </w:p>
    <w:p w14:paraId="0738D396">
      <w:pPr>
        <w:pStyle w:val="26"/>
        <w:tabs>
          <w:tab w:val="right" w:leader="dot" w:pos="8844"/>
          <w:tab w:val="clear" w:pos="9060"/>
        </w:tabs>
      </w:pPr>
      <w:r>
        <w:fldChar w:fldCharType="begin"/>
      </w:r>
      <w:r>
        <w:instrText xml:space="preserve"> HYPERLINK \l _Toc4698 </w:instrText>
      </w:r>
      <w:r>
        <w:fldChar w:fldCharType="separate"/>
      </w:r>
      <w:r>
        <w:rPr>
          <w:rFonts w:hint="eastAsia"/>
        </w:rPr>
        <w:t>6.2 地表水环境</w:t>
      </w:r>
      <w:r>
        <w:t>影响分析</w:t>
      </w:r>
      <w:r>
        <w:tab/>
      </w:r>
      <w:r>
        <w:fldChar w:fldCharType="begin"/>
      </w:r>
      <w:r>
        <w:instrText xml:space="preserve"> PAGEREF _Toc4698 \h </w:instrText>
      </w:r>
      <w:r>
        <w:fldChar w:fldCharType="separate"/>
      </w:r>
      <w:r>
        <w:t>106</w:t>
      </w:r>
      <w:r>
        <w:fldChar w:fldCharType="end"/>
      </w:r>
      <w:r>
        <w:fldChar w:fldCharType="end"/>
      </w:r>
    </w:p>
    <w:p w14:paraId="77A4153F">
      <w:pPr>
        <w:pStyle w:val="26"/>
        <w:tabs>
          <w:tab w:val="right" w:leader="dot" w:pos="8844"/>
          <w:tab w:val="clear" w:pos="9060"/>
        </w:tabs>
      </w:pPr>
      <w:r>
        <w:fldChar w:fldCharType="begin"/>
      </w:r>
      <w:r>
        <w:instrText xml:space="preserve"> HYPERLINK \l _Toc24167 </w:instrText>
      </w:r>
      <w:r>
        <w:fldChar w:fldCharType="separate"/>
      </w:r>
      <w:r>
        <w:rPr>
          <w:rFonts w:hint="eastAsia"/>
        </w:rPr>
        <w:t>6.3 地</w:t>
      </w:r>
      <w:r>
        <w:rPr>
          <w:rFonts w:hint="eastAsia"/>
          <w:lang w:val="en-US" w:eastAsia="zh-CN"/>
        </w:rPr>
        <w:t>下</w:t>
      </w:r>
      <w:r>
        <w:rPr>
          <w:rFonts w:hint="eastAsia"/>
        </w:rPr>
        <w:t>水环境</w:t>
      </w:r>
      <w:r>
        <w:t>影响分析</w:t>
      </w:r>
      <w:r>
        <w:tab/>
      </w:r>
      <w:r>
        <w:fldChar w:fldCharType="begin"/>
      </w:r>
      <w:r>
        <w:instrText xml:space="preserve"> PAGEREF _Toc24167 \h </w:instrText>
      </w:r>
      <w:r>
        <w:fldChar w:fldCharType="separate"/>
      </w:r>
      <w:r>
        <w:t>107</w:t>
      </w:r>
      <w:r>
        <w:fldChar w:fldCharType="end"/>
      </w:r>
      <w:r>
        <w:fldChar w:fldCharType="end"/>
      </w:r>
    </w:p>
    <w:p w14:paraId="138A084E">
      <w:pPr>
        <w:pStyle w:val="26"/>
        <w:tabs>
          <w:tab w:val="right" w:leader="dot" w:pos="8844"/>
          <w:tab w:val="clear" w:pos="9060"/>
        </w:tabs>
      </w:pPr>
      <w:r>
        <w:fldChar w:fldCharType="begin"/>
      </w:r>
      <w:r>
        <w:instrText xml:space="preserve"> HYPERLINK \l _Toc226 </w:instrText>
      </w:r>
      <w:r>
        <w:fldChar w:fldCharType="separate"/>
      </w:r>
      <w:r>
        <w:rPr>
          <w:rFonts w:hint="eastAsia"/>
        </w:rPr>
        <w:t>6.4 噪声环境影响分析</w:t>
      </w:r>
      <w:r>
        <w:tab/>
      </w:r>
      <w:r>
        <w:fldChar w:fldCharType="begin"/>
      </w:r>
      <w:r>
        <w:instrText xml:space="preserve"> PAGEREF _Toc226 \h </w:instrText>
      </w:r>
      <w:r>
        <w:fldChar w:fldCharType="separate"/>
      </w:r>
      <w:r>
        <w:t>123</w:t>
      </w:r>
      <w:r>
        <w:fldChar w:fldCharType="end"/>
      </w:r>
      <w:r>
        <w:fldChar w:fldCharType="end"/>
      </w:r>
    </w:p>
    <w:p w14:paraId="0E329A6F">
      <w:pPr>
        <w:pStyle w:val="26"/>
        <w:tabs>
          <w:tab w:val="right" w:leader="dot" w:pos="8844"/>
          <w:tab w:val="clear" w:pos="9060"/>
        </w:tabs>
      </w:pPr>
      <w:r>
        <w:fldChar w:fldCharType="begin"/>
      </w:r>
      <w:r>
        <w:instrText xml:space="preserve"> HYPERLINK \l _Toc14842 </w:instrText>
      </w:r>
      <w:r>
        <w:fldChar w:fldCharType="separate"/>
      </w:r>
      <w:r>
        <w:rPr>
          <w:rFonts w:hint="eastAsia"/>
        </w:rPr>
        <w:t>6.5 固体废物对环境的影响分析</w:t>
      </w:r>
      <w:r>
        <w:tab/>
      </w:r>
      <w:r>
        <w:fldChar w:fldCharType="begin"/>
      </w:r>
      <w:r>
        <w:instrText xml:space="preserve"> PAGEREF _Toc14842 \h </w:instrText>
      </w:r>
      <w:r>
        <w:fldChar w:fldCharType="separate"/>
      </w:r>
      <w:r>
        <w:t>129</w:t>
      </w:r>
      <w:r>
        <w:fldChar w:fldCharType="end"/>
      </w:r>
      <w:r>
        <w:fldChar w:fldCharType="end"/>
      </w:r>
    </w:p>
    <w:p w14:paraId="7E8B7D7D">
      <w:pPr>
        <w:pStyle w:val="26"/>
        <w:tabs>
          <w:tab w:val="right" w:leader="dot" w:pos="8844"/>
          <w:tab w:val="clear" w:pos="9060"/>
        </w:tabs>
      </w:pPr>
      <w:r>
        <w:fldChar w:fldCharType="begin"/>
      </w:r>
      <w:r>
        <w:instrText xml:space="preserve"> HYPERLINK \l _Toc20422 </w:instrText>
      </w:r>
      <w:r>
        <w:fldChar w:fldCharType="separate"/>
      </w:r>
      <w:r>
        <w:rPr>
          <w:rFonts w:hint="eastAsia"/>
        </w:rPr>
        <w:t>6.6 土壤环境影响预测与评价</w:t>
      </w:r>
      <w:r>
        <w:tab/>
      </w:r>
      <w:r>
        <w:fldChar w:fldCharType="begin"/>
      </w:r>
      <w:r>
        <w:instrText xml:space="preserve"> PAGEREF _Toc20422 \h </w:instrText>
      </w:r>
      <w:r>
        <w:fldChar w:fldCharType="separate"/>
      </w:r>
      <w:r>
        <w:t>131</w:t>
      </w:r>
      <w:r>
        <w:fldChar w:fldCharType="end"/>
      </w:r>
      <w:r>
        <w:fldChar w:fldCharType="end"/>
      </w:r>
    </w:p>
    <w:p w14:paraId="5357AB85">
      <w:pPr>
        <w:pStyle w:val="26"/>
        <w:tabs>
          <w:tab w:val="right" w:leader="dot" w:pos="8844"/>
          <w:tab w:val="clear" w:pos="9060"/>
        </w:tabs>
      </w:pPr>
      <w:r>
        <w:fldChar w:fldCharType="begin"/>
      </w:r>
      <w:r>
        <w:instrText xml:space="preserve"> HYPERLINK \l _Toc8979 </w:instrText>
      </w:r>
      <w:r>
        <w:fldChar w:fldCharType="separate"/>
      </w:r>
      <w:r>
        <w:rPr>
          <w:rFonts w:hint="eastAsia"/>
        </w:rPr>
        <w:t>6.7 环境风险分析</w:t>
      </w:r>
      <w:r>
        <w:tab/>
      </w:r>
      <w:r>
        <w:fldChar w:fldCharType="begin"/>
      </w:r>
      <w:r>
        <w:instrText xml:space="preserve"> PAGEREF _Toc8979 \h </w:instrText>
      </w:r>
      <w:r>
        <w:fldChar w:fldCharType="separate"/>
      </w:r>
      <w:r>
        <w:t>133</w:t>
      </w:r>
      <w:r>
        <w:fldChar w:fldCharType="end"/>
      </w:r>
      <w:r>
        <w:fldChar w:fldCharType="end"/>
      </w:r>
    </w:p>
    <w:p w14:paraId="4F7D568C">
      <w:pPr>
        <w:pStyle w:val="23"/>
        <w:tabs>
          <w:tab w:val="right" w:leader="dot" w:pos="8844"/>
        </w:tabs>
      </w:pPr>
      <w:r>
        <w:fldChar w:fldCharType="begin"/>
      </w:r>
      <w:r>
        <w:instrText xml:space="preserve"> HYPERLINK \l _Toc9037 </w:instrText>
      </w:r>
      <w:r>
        <w:fldChar w:fldCharType="separate"/>
      </w:r>
      <w:r>
        <w:rPr>
          <w:rFonts w:hint="default" w:ascii="Times New Roman" w:hAnsi="Times New Roman" w:eastAsia="黑体"/>
        </w:rPr>
        <w:t xml:space="preserve">7. </w:t>
      </w:r>
      <w:r>
        <w:rPr>
          <w:rFonts w:hint="eastAsia"/>
        </w:rPr>
        <w:t>环境保护</w:t>
      </w:r>
      <w:r>
        <w:t>措施及其可行性论证</w:t>
      </w:r>
      <w:r>
        <w:tab/>
      </w:r>
      <w:r>
        <w:fldChar w:fldCharType="begin"/>
      </w:r>
      <w:r>
        <w:instrText xml:space="preserve"> PAGEREF _Toc9037 \h </w:instrText>
      </w:r>
      <w:r>
        <w:fldChar w:fldCharType="separate"/>
      </w:r>
      <w:r>
        <w:t>143</w:t>
      </w:r>
      <w:r>
        <w:fldChar w:fldCharType="end"/>
      </w:r>
      <w:r>
        <w:fldChar w:fldCharType="end"/>
      </w:r>
    </w:p>
    <w:p w14:paraId="25F92A4A">
      <w:pPr>
        <w:pStyle w:val="26"/>
        <w:tabs>
          <w:tab w:val="right" w:leader="dot" w:pos="8844"/>
          <w:tab w:val="clear" w:pos="9060"/>
        </w:tabs>
      </w:pPr>
      <w:r>
        <w:fldChar w:fldCharType="begin"/>
      </w:r>
      <w:r>
        <w:instrText xml:space="preserve"> HYPERLINK \l _Toc19378 </w:instrText>
      </w:r>
      <w:r>
        <w:fldChar w:fldCharType="separate"/>
      </w:r>
      <w:r>
        <w:rPr>
          <w:rFonts w:hint="eastAsia"/>
        </w:rPr>
        <w:t>7.1 施工期环境保护措施</w:t>
      </w:r>
      <w:r>
        <w:tab/>
      </w:r>
      <w:r>
        <w:fldChar w:fldCharType="begin"/>
      </w:r>
      <w:r>
        <w:instrText xml:space="preserve"> PAGEREF _Toc19378 \h </w:instrText>
      </w:r>
      <w:r>
        <w:fldChar w:fldCharType="separate"/>
      </w:r>
      <w:r>
        <w:t>143</w:t>
      </w:r>
      <w:r>
        <w:fldChar w:fldCharType="end"/>
      </w:r>
      <w:r>
        <w:fldChar w:fldCharType="end"/>
      </w:r>
    </w:p>
    <w:p w14:paraId="7F105F53">
      <w:pPr>
        <w:pStyle w:val="26"/>
        <w:tabs>
          <w:tab w:val="right" w:leader="dot" w:pos="8844"/>
          <w:tab w:val="clear" w:pos="9060"/>
        </w:tabs>
      </w:pPr>
      <w:r>
        <w:fldChar w:fldCharType="begin"/>
      </w:r>
      <w:r>
        <w:instrText xml:space="preserve"> HYPERLINK \l _Toc20731 </w:instrText>
      </w:r>
      <w:r>
        <w:fldChar w:fldCharType="separate"/>
      </w:r>
      <w:r>
        <w:rPr>
          <w:rFonts w:hint="eastAsia"/>
        </w:rPr>
        <w:t>7.2 营运期环境保护措施</w:t>
      </w:r>
      <w:r>
        <w:tab/>
      </w:r>
      <w:r>
        <w:fldChar w:fldCharType="begin"/>
      </w:r>
      <w:r>
        <w:instrText xml:space="preserve"> PAGEREF _Toc20731 \h </w:instrText>
      </w:r>
      <w:r>
        <w:fldChar w:fldCharType="separate"/>
      </w:r>
      <w:r>
        <w:t>145</w:t>
      </w:r>
      <w:r>
        <w:fldChar w:fldCharType="end"/>
      </w:r>
      <w:r>
        <w:fldChar w:fldCharType="end"/>
      </w:r>
    </w:p>
    <w:p w14:paraId="3BAC938D">
      <w:pPr>
        <w:pStyle w:val="23"/>
        <w:tabs>
          <w:tab w:val="right" w:leader="dot" w:pos="8844"/>
        </w:tabs>
      </w:pPr>
      <w:r>
        <w:fldChar w:fldCharType="begin"/>
      </w:r>
      <w:r>
        <w:instrText xml:space="preserve"> HYPERLINK \l _Toc6311 </w:instrText>
      </w:r>
      <w:r>
        <w:fldChar w:fldCharType="separate"/>
      </w:r>
      <w:r>
        <w:rPr>
          <w:rFonts w:hint="default" w:ascii="Times New Roman" w:hAnsi="Times New Roman" w:eastAsia="黑体"/>
        </w:rPr>
        <w:t xml:space="preserve">8. </w:t>
      </w:r>
      <w:r>
        <w:rPr>
          <w:rFonts w:hint="eastAsia"/>
        </w:rPr>
        <w:t>环境影响</w:t>
      </w:r>
      <w:r>
        <w:t>经济损益分析</w:t>
      </w:r>
      <w:r>
        <w:tab/>
      </w:r>
      <w:r>
        <w:fldChar w:fldCharType="begin"/>
      </w:r>
      <w:r>
        <w:instrText xml:space="preserve"> PAGEREF _Toc6311 \h </w:instrText>
      </w:r>
      <w:r>
        <w:fldChar w:fldCharType="separate"/>
      </w:r>
      <w:r>
        <w:t>156</w:t>
      </w:r>
      <w:r>
        <w:fldChar w:fldCharType="end"/>
      </w:r>
      <w:r>
        <w:fldChar w:fldCharType="end"/>
      </w:r>
    </w:p>
    <w:p w14:paraId="1E0C2EAF">
      <w:pPr>
        <w:pStyle w:val="26"/>
        <w:tabs>
          <w:tab w:val="right" w:leader="dot" w:pos="8844"/>
          <w:tab w:val="clear" w:pos="9060"/>
        </w:tabs>
      </w:pPr>
      <w:r>
        <w:fldChar w:fldCharType="begin"/>
      </w:r>
      <w:r>
        <w:instrText xml:space="preserve"> HYPERLINK \l _Toc570 </w:instrText>
      </w:r>
      <w:r>
        <w:fldChar w:fldCharType="separate"/>
      </w:r>
      <w:r>
        <w:rPr>
          <w:rFonts w:hint="eastAsia"/>
        </w:rPr>
        <w:t>8.1 环保投资估算</w:t>
      </w:r>
      <w:r>
        <w:tab/>
      </w:r>
      <w:r>
        <w:fldChar w:fldCharType="begin"/>
      </w:r>
      <w:r>
        <w:instrText xml:space="preserve"> PAGEREF _Toc570 \h </w:instrText>
      </w:r>
      <w:r>
        <w:fldChar w:fldCharType="separate"/>
      </w:r>
      <w:r>
        <w:t>156</w:t>
      </w:r>
      <w:r>
        <w:fldChar w:fldCharType="end"/>
      </w:r>
      <w:r>
        <w:fldChar w:fldCharType="end"/>
      </w:r>
    </w:p>
    <w:p w14:paraId="2EC86D65">
      <w:pPr>
        <w:pStyle w:val="26"/>
        <w:tabs>
          <w:tab w:val="right" w:leader="dot" w:pos="8844"/>
          <w:tab w:val="clear" w:pos="9060"/>
        </w:tabs>
      </w:pPr>
      <w:r>
        <w:fldChar w:fldCharType="begin"/>
      </w:r>
      <w:r>
        <w:instrText xml:space="preserve"> HYPERLINK \l _Toc28201 </w:instrText>
      </w:r>
      <w:r>
        <w:fldChar w:fldCharType="separate"/>
      </w:r>
      <w:r>
        <w:rPr>
          <w:rFonts w:hint="eastAsia"/>
        </w:rPr>
        <w:t>8.2 环境影响经济损益分析</w:t>
      </w:r>
      <w:r>
        <w:tab/>
      </w:r>
      <w:r>
        <w:fldChar w:fldCharType="begin"/>
      </w:r>
      <w:r>
        <w:instrText xml:space="preserve"> PAGEREF _Toc28201 \h </w:instrText>
      </w:r>
      <w:r>
        <w:fldChar w:fldCharType="separate"/>
      </w:r>
      <w:r>
        <w:t>157</w:t>
      </w:r>
      <w:r>
        <w:fldChar w:fldCharType="end"/>
      </w:r>
      <w:r>
        <w:fldChar w:fldCharType="end"/>
      </w:r>
    </w:p>
    <w:p w14:paraId="12D0B0A3">
      <w:pPr>
        <w:pStyle w:val="23"/>
        <w:tabs>
          <w:tab w:val="right" w:leader="dot" w:pos="8844"/>
        </w:tabs>
      </w:pPr>
      <w:r>
        <w:fldChar w:fldCharType="begin"/>
      </w:r>
      <w:r>
        <w:instrText xml:space="preserve"> HYPERLINK \l _Toc12564 </w:instrText>
      </w:r>
      <w:r>
        <w:fldChar w:fldCharType="separate"/>
      </w:r>
      <w:r>
        <w:rPr>
          <w:rFonts w:hint="default" w:ascii="Times New Roman" w:hAnsi="Times New Roman" w:eastAsia="黑体"/>
        </w:rPr>
        <w:t xml:space="preserve">9. </w:t>
      </w:r>
      <w:r>
        <w:rPr>
          <w:rFonts w:hint="eastAsia"/>
        </w:rPr>
        <w:t>环境管理</w:t>
      </w:r>
      <w:r>
        <w:t>与监测计划</w:t>
      </w:r>
      <w:r>
        <w:tab/>
      </w:r>
      <w:r>
        <w:fldChar w:fldCharType="begin"/>
      </w:r>
      <w:r>
        <w:instrText xml:space="preserve"> PAGEREF _Toc12564 \h </w:instrText>
      </w:r>
      <w:r>
        <w:fldChar w:fldCharType="separate"/>
      </w:r>
      <w:r>
        <w:t>159</w:t>
      </w:r>
      <w:r>
        <w:fldChar w:fldCharType="end"/>
      </w:r>
      <w:r>
        <w:fldChar w:fldCharType="end"/>
      </w:r>
    </w:p>
    <w:p w14:paraId="3079B68E">
      <w:pPr>
        <w:pStyle w:val="26"/>
        <w:tabs>
          <w:tab w:val="right" w:leader="dot" w:pos="8844"/>
          <w:tab w:val="clear" w:pos="9060"/>
        </w:tabs>
      </w:pPr>
      <w:r>
        <w:fldChar w:fldCharType="begin"/>
      </w:r>
      <w:r>
        <w:instrText xml:space="preserve"> HYPERLINK \l _Toc4638 </w:instrText>
      </w:r>
      <w:r>
        <w:fldChar w:fldCharType="separate"/>
      </w:r>
      <w:r>
        <w:rPr>
          <w:rFonts w:hint="eastAsia"/>
        </w:rPr>
        <w:t>9.1 环境管理</w:t>
      </w:r>
      <w:r>
        <w:tab/>
      </w:r>
      <w:r>
        <w:fldChar w:fldCharType="begin"/>
      </w:r>
      <w:r>
        <w:instrText xml:space="preserve"> PAGEREF _Toc4638 \h </w:instrText>
      </w:r>
      <w:r>
        <w:fldChar w:fldCharType="separate"/>
      </w:r>
      <w:r>
        <w:t>159</w:t>
      </w:r>
      <w:r>
        <w:fldChar w:fldCharType="end"/>
      </w:r>
      <w:r>
        <w:fldChar w:fldCharType="end"/>
      </w:r>
    </w:p>
    <w:p w14:paraId="07FDE863">
      <w:pPr>
        <w:pStyle w:val="26"/>
        <w:tabs>
          <w:tab w:val="right" w:leader="dot" w:pos="8844"/>
          <w:tab w:val="clear" w:pos="9060"/>
        </w:tabs>
      </w:pPr>
      <w:r>
        <w:fldChar w:fldCharType="begin"/>
      </w:r>
      <w:r>
        <w:instrText xml:space="preserve"> HYPERLINK \l _Toc30671 </w:instrText>
      </w:r>
      <w:r>
        <w:fldChar w:fldCharType="separate"/>
      </w:r>
      <w:r>
        <w:rPr>
          <w:rFonts w:hint="eastAsia"/>
        </w:rPr>
        <w:t>9.2 污染物</w:t>
      </w:r>
      <w:r>
        <w:t>排放清单</w:t>
      </w:r>
      <w:r>
        <w:tab/>
      </w:r>
      <w:r>
        <w:fldChar w:fldCharType="begin"/>
      </w:r>
      <w:r>
        <w:instrText xml:space="preserve"> PAGEREF _Toc30671 \h </w:instrText>
      </w:r>
      <w:r>
        <w:fldChar w:fldCharType="separate"/>
      </w:r>
      <w:r>
        <w:t>167</w:t>
      </w:r>
      <w:r>
        <w:fldChar w:fldCharType="end"/>
      </w:r>
      <w:r>
        <w:fldChar w:fldCharType="end"/>
      </w:r>
    </w:p>
    <w:p w14:paraId="689ABDDF">
      <w:pPr>
        <w:pStyle w:val="26"/>
        <w:tabs>
          <w:tab w:val="right" w:leader="dot" w:pos="8844"/>
          <w:tab w:val="clear" w:pos="9060"/>
        </w:tabs>
      </w:pPr>
      <w:r>
        <w:fldChar w:fldCharType="begin"/>
      </w:r>
      <w:r>
        <w:instrText xml:space="preserve"> HYPERLINK \l _Toc22982 </w:instrText>
      </w:r>
      <w:r>
        <w:fldChar w:fldCharType="separate"/>
      </w:r>
      <w:r>
        <w:rPr>
          <w:rFonts w:hint="eastAsia"/>
        </w:rPr>
        <w:t>9.3 环境监测计划</w:t>
      </w:r>
      <w:r>
        <w:tab/>
      </w:r>
      <w:r>
        <w:fldChar w:fldCharType="begin"/>
      </w:r>
      <w:r>
        <w:instrText xml:space="preserve"> PAGEREF _Toc22982 \h </w:instrText>
      </w:r>
      <w:r>
        <w:fldChar w:fldCharType="separate"/>
      </w:r>
      <w:r>
        <w:t>171</w:t>
      </w:r>
      <w:r>
        <w:fldChar w:fldCharType="end"/>
      </w:r>
      <w:r>
        <w:fldChar w:fldCharType="end"/>
      </w:r>
    </w:p>
    <w:p w14:paraId="04A6B461">
      <w:pPr>
        <w:pStyle w:val="26"/>
        <w:tabs>
          <w:tab w:val="right" w:leader="dot" w:pos="8844"/>
          <w:tab w:val="clear" w:pos="9060"/>
        </w:tabs>
      </w:pPr>
      <w:r>
        <w:fldChar w:fldCharType="begin"/>
      </w:r>
      <w:r>
        <w:instrText xml:space="preserve"> HYPERLINK \l _Toc12914 </w:instrText>
      </w:r>
      <w:r>
        <w:fldChar w:fldCharType="separate"/>
      </w:r>
      <w:r>
        <w:rPr>
          <w:rFonts w:hint="eastAsia"/>
        </w:rPr>
        <w:t xml:space="preserve">9.4 </w:t>
      </w:r>
      <w:r>
        <w:rPr>
          <w:rFonts w:hint="eastAsia"/>
          <w:lang w:val="en-US" w:eastAsia="zh-CN"/>
        </w:rPr>
        <w:t>信息公开</w:t>
      </w:r>
      <w:r>
        <w:tab/>
      </w:r>
      <w:r>
        <w:fldChar w:fldCharType="begin"/>
      </w:r>
      <w:r>
        <w:instrText xml:space="preserve"> PAGEREF _Toc12914 \h </w:instrText>
      </w:r>
      <w:r>
        <w:fldChar w:fldCharType="separate"/>
      </w:r>
      <w:r>
        <w:t>173</w:t>
      </w:r>
      <w:r>
        <w:fldChar w:fldCharType="end"/>
      </w:r>
      <w:r>
        <w:fldChar w:fldCharType="end"/>
      </w:r>
    </w:p>
    <w:p w14:paraId="36921A0D">
      <w:pPr>
        <w:pStyle w:val="26"/>
        <w:tabs>
          <w:tab w:val="right" w:leader="dot" w:pos="8844"/>
          <w:tab w:val="clear" w:pos="9060"/>
        </w:tabs>
      </w:pPr>
      <w:r>
        <w:fldChar w:fldCharType="begin"/>
      </w:r>
      <w:r>
        <w:instrText xml:space="preserve"> HYPERLINK \l _Toc17833 </w:instrText>
      </w:r>
      <w:r>
        <w:fldChar w:fldCharType="separate"/>
      </w:r>
      <w:r>
        <w:rPr>
          <w:rFonts w:hint="eastAsia"/>
          <w:lang w:eastAsia="zh-CN"/>
        </w:rPr>
        <w:t xml:space="preserve">9.5 </w:t>
      </w:r>
      <w:r>
        <w:rPr>
          <w:rFonts w:hint="eastAsia"/>
          <w:lang w:val="en-US" w:eastAsia="zh-CN"/>
        </w:rPr>
        <w:t>总量控制因子</w:t>
      </w:r>
      <w:r>
        <w:tab/>
      </w:r>
      <w:r>
        <w:fldChar w:fldCharType="begin"/>
      </w:r>
      <w:r>
        <w:instrText xml:space="preserve"> PAGEREF _Toc17833 \h </w:instrText>
      </w:r>
      <w:r>
        <w:fldChar w:fldCharType="separate"/>
      </w:r>
      <w:r>
        <w:t>173</w:t>
      </w:r>
      <w:r>
        <w:fldChar w:fldCharType="end"/>
      </w:r>
      <w:r>
        <w:fldChar w:fldCharType="end"/>
      </w:r>
    </w:p>
    <w:p w14:paraId="2A3A8ECA">
      <w:pPr>
        <w:pStyle w:val="23"/>
        <w:tabs>
          <w:tab w:val="right" w:leader="dot" w:pos="8844"/>
        </w:tabs>
      </w:pPr>
      <w:r>
        <w:fldChar w:fldCharType="begin"/>
      </w:r>
      <w:r>
        <w:instrText xml:space="preserve"> HYPERLINK \l _Toc10625 </w:instrText>
      </w:r>
      <w:r>
        <w:fldChar w:fldCharType="separate"/>
      </w:r>
      <w:r>
        <w:rPr>
          <w:rFonts w:hint="default" w:ascii="Times New Roman" w:hAnsi="Times New Roman" w:eastAsia="黑体"/>
        </w:rPr>
        <w:t xml:space="preserve">10. </w:t>
      </w:r>
      <w:r>
        <w:rPr>
          <w:rFonts w:hint="eastAsia"/>
        </w:rPr>
        <w:t>环境影</w:t>
      </w:r>
      <w:r>
        <w:t>响评价</w:t>
      </w:r>
      <w:r>
        <w:rPr>
          <w:rFonts w:hint="eastAsia"/>
        </w:rPr>
        <w:t>结论</w:t>
      </w:r>
      <w:r>
        <w:tab/>
      </w:r>
      <w:r>
        <w:fldChar w:fldCharType="begin"/>
      </w:r>
      <w:r>
        <w:instrText xml:space="preserve"> PAGEREF _Toc10625 \h </w:instrText>
      </w:r>
      <w:r>
        <w:fldChar w:fldCharType="separate"/>
      </w:r>
      <w:r>
        <w:t>175</w:t>
      </w:r>
      <w:r>
        <w:fldChar w:fldCharType="end"/>
      </w:r>
      <w:r>
        <w:fldChar w:fldCharType="end"/>
      </w:r>
    </w:p>
    <w:p w14:paraId="2423F3DF">
      <w:pPr>
        <w:pStyle w:val="26"/>
        <w:tabs>
          <w:tab w:val="right" w:leader="dot" w:pos="8844"/>
          <w:tab w:val="clear" w:pos="9060"/>
        </w:tabs>
      </w:pPr>
      <w:r>
        <w:fldChar w:fldCharType="begin"/>
      </w:r>
      <w:r>
        <w:instrText xml:space="preserve"> HYPERLINK \l _Toc1521 </w:instrText>
      </w:r>
      <w:r>
        <w:fldChar w:fldCharType="separate"/>
      </w:r>
      <w:r>
        <w:rPr>
          <w:rFonts w:hint="eastAsia"/>
        </w:rPr>
        <w:t>10.1 评价</w:t>
      </w:r>
      <w:r>
        <w:t>结论</w:t>
      </w:r>
      <w:r>
        <w:tab/>
      </w:r>
      <w:r>
        <w:fldChar w:fldCharType="begin"/>
      </w:r>
      <w:r>
        <w:instrText xml:space="preserve"> PAGEREF _Toc1521 \h </w:instrText>
      </w:r>
      <w:r>
        <w:fldChar w:fldCharType="separate"/>
      </w:r>
      <w:r>
        <w:t>175</w:t>
      </w:r>
      <w:r>
        <w:fldChar w:fldCharType="end"/>
      </w:r>
      <w:r>
        <w:fldChar w:fldCharType="end"/>
      </w:r>
    </w:p>
    <w:p w14:paraId="18AC7355">
      <w:pPr>
        <w:pStyle w:val="26"/>
        <w:tabs>
          <w:tab w:val="right" w:leader="dot" w:pos="8844"/>
          <w:tab w:val="clear" w:pos="9060"/>
        </w:tabs>
      </w:pPr>
      <w:r>
        <w:fldChar w:fldCharType="begin"/>
      </w:r>
      <w:r>
        <w:instrText xml:space="preserve"> HYPERLINK \l _Toc30569 </w:instrText>
      </w:r>
      <w:r>
        <w:fldChar w:fldCharType="separate"/>
      </w:r>
      <w:r>
        <w:rPr>
          <w:rFonts w:hint="eastAsia"/>
        </w:rPr>
        <w:t>10.2 建议</w:t>
      </w:r>
      <w:r>
        <w:tab/>
      </w:r>
      <w:r>
        <w:fldChar w:fldCharType="begin"/>
      </w:r>
      <w:r>
        <w:instrText xml:space="preserve"> PAGEREF _Toc30569 \h </w:instrText>
      </w:r>
      <w:r>
        <w:fldChar w:fldCharType="separate"/>
      </w:r>
      <w:r>
        <w:t>180</w:t>
      </w:r>
      <w:r>
        <w:fldChar w:fldCharType="end"/>
      </w:r>
      <w:r>
        <w:fldChar w:fldCharType="end"/>
      </w:r>
    </w:p>
    <w:p w14:paraId="26109A61">
      <w:pPr>
        <w:ind w:firstLine="482"/>
      </w:pPr>
      <w:r>
        <w:fldChar w:fldCharType="end"/>
      </w:r>
    </w:p>
    <w:p w14:paraId="2AC4D488">
      <w:pPr>
        <w:ind w:firstLine="482"/>
      </w:pPr>
    </w:p>
    <w:p w14:paraId="3650BEA9">
      <w:pPr>
        <w:widowControl/>
        <w:spacing w:line="240" w:lineRule="auto"/>
        <w:ind w:firstLine="0" w:firstLineChars="0"/>
        <w:jc w:val="left"/>
      </w:pPr>
      <w:r>
        <w:br w:type="page"/>
      </w:r>
    </w:p>
    <w:p w14:paraId="2987ED40">
      <w:pPr>
        <w:pStyle w:val="47"/>
        <w:keepNext w:val="0"/>
        <w:keepLines w:val="0"/>
        <w:pageBreakBefore w:val="0"/>
        <w:widowControl w:val="0"/>
        <w:kinsoku/>
        <w:wordWrap/>
        <w:overflowPunct/>
        <w:topLinePunct w:val="0"/>
        <w:autoSpaceDE/>
        <w:autoSpaceDN/>
        <w:bidi w:val="0"/>
        <w:ind w:leftChars="0" w:firstLine="0" w:firstLineChars="0"/>
        <w:textAlignment w:val="auto"/>
        <w:rPr>
          <w:rFonts w:hint="default" w:ascii="Times New Roman" w:hAnsi="Times New Roman" w:eastAsia="楷体" w:cs="Times New Roman"/>
          <w:b/>
          <w:bCs/>
          <w:color w:val="000000" w:themeColor="text1"/>
          <w14:textFill>
            <w14:solidFill>
              <w14:schemeClr w14:val="tx1"/>
            </w14:solidFill>
          </w14:textFill>
        </w:rPr>
      </w:pPr>
      <w:r>
        <w:rPr>
          <w:rFonts w:hint="default" w:ascii="Times New Roman" w:hAnsi="Times New Roman" w:eastAsia="楷体" w:cs="Times New Roman"/>
          <w:b/>
          <w:bCs/>
          <w:color w:val="000000" w:themeColor="text1"/>
          <w14:textFill>
            <w14:solidFill>
              <w14:schemeClr w14:val="tx1"/>
            </w14:solidFill>
          </w14:textFill>
        </w:rPr>
        <w:t>附图：</w:t>
      </w:r>
    </w:p>
    <w:p w14:paraId="7C20C08E">
      <w:pPr>
        <w:pStyle w:val="47"/>
        <w:keepNext w:val="0"/>
        <w:keepLines w:val="0"/>
        <w:pageBreakBefore w:val="0"/>
        <w:widowControl w:val="0"/>
        <w:numPr>
          <w:ilvl w:val="0"/>
          <w:numId w:val="0"/>
        </w:numPr>
        <w:kinsoku/>
        <w:wordWrap/>
        <w:overflowPunct/>
        <w:topLinePunct w:val="0"/>
        <w:autoSpaceDE/>
        <w:autoSpaceDN/>
        <w:bidi w:val="0"/>
        <w:ind w:leftChars="0" w:firstLine="0" w:firstLineChars="0"/>
        <w:textAlignment w:val="auto"/>
        <w:rPr>
          <w:rFonts w:hint="default" w:ascii="Times New Roman" w:hAnsi="Times New Roman" w:eastAsia="楷体" w:cs="Times New Roman"/>
          <w:color w:val="000000" w:themeColor="text1"/>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 xml:space="preserve">附图1 </w:t>
      </w:r>
      <w:r>
        <w:rPr>
          <w:rFonts w:hint="default" w:ascii="Times New Roman" w:hAnsi="Times New Roman" w:eastAsia="楷体" w:cs="Times New Roman"/>
          <w:color w:val="000000" w:themeColor="text1"/>
          <w:lang w:val="en-US" w:eastAsia="zh-CN"/>
          <w14:textFill>
            <w14:solidFill>
              <w14:schemeClr w14:val="tx1"/>
            </w14:solidFill>
          </w14:textFill>
        </w:rPr>
        <w:t>建设</w:t>
      </w:r>
      <w:r>
        <w:rPr>
          <w:rFonts w:hint="default" w:ascii="Times New Roman" w:hAnsi="Times New Roman" w:eastAsia="楷体" w:cs="Times New Roman"/>
          <w:color w:val="000000" w:themeColor="text1"/>
          <w14:textFill>
            <w14:solidFill>
              <w14:schemeClr w14:val="tx1"/>
            </w14:solidFill>
          </w14:textFill>
        </w:rPr>
        <w:t>项目地理位置图</w:t>
      </w:r>
    </w:p>
    <w:p w14:paraId="0CB25D4E">
      <w:pPr>
        <w:pStyle w:val="47"/>
        <w:keepNext w:val="0"/>
        <w:keepLines w:val="0"/>
        <w:pageBreakBefore w:val="0"/>
        <w:widowControl w:val="0"/>
        <w:numPr>
          <w:ilvl w:val="0"/>
          <w:numId w:val="0"/>
        </w:numPr>
        <w:kinsoku/>
        <w:wordWrap/>
        <w:overflowPunct/>
        <w:topLinePunct w:val="0"/>
        <w:autoSpaceDE/>
        <w:autoSpaceDN/>
        <w:bidi w:val="0"/>
        <w:ind w:leftChars="0" w:firstLine="0" w:firstLineChars="0"/>
        <w:textAlignment w:val="auto"/>
        <w:rPr>
          <w:rFonts w:hint="default" w:ascii="Times New Roman" w:hAnsi="Times New Roman" w:eastAsia="楷体" w:cs="Times New Roman"/>
          <w:color w:val="000000" w:themeColor="text1"/>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 xml:space="preserve">附图2 </w:t>
      </w:r>
      <w:r>
        <w:rPr>
          <w:rFonts w:hint="default" w:ascii="Times New Roman" w:hAnsi="Times New Roman" w:eastAsia="楷体" w:cs="Times New Roman"/>
          <w:color w:val="000000" w:themeColor="text1"/>
          <w:lang w:val="en-US" w:eastAsia="zh-CN"/>
          <w14:textFill>
            <w14:solidFill>
              <w14:schemeClr w14:val="tx1"/>
            </w14:solidFill>
          </w14:textFill>
        </w:rPr>
        <w:t>建设</w:t>
      </w:r>
      <w:r>
        <w:rPr>
          <w:rFonts w:hint="default" w:ascii="Times New Roman" w:hAnsi="Times New Roman" w:eastAsia="楷体" w:cs="Times New Roman"/>
          <w:color w:val="000000" w:themeColor="text1"/>
          <w14:textFill>
            <w14:solidFill>
              <w14:schemeClr w14:val="tx1"/>
            </w14:solidFill>
          </w14:textFill>
        </w:rPr>
        <w:t>项目</w:t>
      </w:r>
      <w:r>
        <w:rPr>
          <w:rFonts w:hint="default" w:ascii="Times New Roman" w:hAnsi="Times New Roman" w:eastAsia="楷体" w:cs="Times New Roman"/>
          <w:color w:val="000000" w:themeColor="text1"/>
          <w:lang w:val="en-US" w:eastAsia="zh-CN"/>
          <w14:textFill>
            <w14:solidFill>
              <w14:schemeClr w14:val="tx1"/>
            </w14:solidFill>
          </w14:textFill>
        </w:rPr>
        <w:t>周边关系</w:t>
      </w:r>
      <w:r>
        <w:rPr>
          <w:rFonts w:hint="default" w:ascii="Times New Roman" w:hAnsi="Times New Roman" w:eastAsia="楷体" w:cs="Times New Roman"/>
          <w:color w:val="000000" w:themeColor="text1"/>
          <w14:textFill>
            <w14:solidFill>
              <w14:schemeClr w14:val="tx1"/>
            </w14:solidFill>
          </w14:textFill>
        </w:rPr>
        <w:t>图</w:t>
      </w:r>
    </w:p>
    <w:p w14:paraId="53AF4CDC">
      <w:pPr>
        <w:pStyle w:val="47"/>
        <w:keepNext w:val="0"/>
        <w:keepLines w:val="0"/>
        <w:pageBreakBefore w:val="0"/>
        <w:widowControl w:val="0"/>
        <w:numPr>
          <w:ilvl w:val="0"/>
          <w:numId w:val="0"/>
        </w:numPr>
        <w:kinsoku/>
        <w:wordWrap/>
        <w:overflowPunct/>
        <w:topLinePunct w:val="0"/>
        <w:autoSpaceDE/>
        <w:autoSpaceDN/>
        <w:bidi w:val="0"/>
        <w:ind w:leftChars="0" w:firstLine="0" w:firstLineChars="0"/>
        <w:textAlignment w:val="auto"/>
        <w:rPr>
          <w:rFonts w:hint="default" w:ascii="Times New Roman" w:hAnsi="Times New Roman" w:eastAsia="楷体" w:cs="Times New Roman"/>
          <w:color w:val="000000" w:themeColor="text1"/>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 xml:space="preserve">附图3 </w:t>
      </w:r>
      <w:r>
        <w:rPr>
          <w:rFonts w:hint="default" w:ascii="Times New Roman" w:hAnsi="Times New Roman" w:eastAsia="楷体" w:cs="Times New Roman"/>
          <w:color w:val="000000" w:themeColor="text1"/>
          <w:lang w:val="en-US" w:eastAsia="zh-CN"/>
          <w14:textFill>
            <w14:solidFill>
              <w14:schemeClr w14:val="tx1"/>
            </w14:solidFill>
          </w14:textFill>
        </w:rPr>
        <w:t>建设项目平面布置图</w:t>
      </w:r>
    </w:p>
    <w:p w14:paraId="3F8A47C4">
      <w:pPr>
        <w:pStyle w:val="47"/>
        <w:keepNext w:val="0"/>
        <w:keepLines w:val="0"/>
        <w:pageBreakBefore w:val="0"/>
        <w:widowControl w:val="0"/>
        <w:numPr>
          <w:ilvl w:val="0"/>
          <w:numId w:val="0"/>
        </w:numPr>
        <w:kinsoku/>
        <w:wordWrap/>
        <w:overflowPunct/>
        <w:topLinePunct w:val="0"/>
        <w:autoSpaceDE/>
        <w:autoSpaceDN/>
        <w:bidi w:val="0"/>
        <w:ind w:leftChars="0" w:firstLine="0" w:firstLineChars="0"/>
        <w:textAlignment w:val="auto"/>
        <w:rPr>
          <w:rFonts w:hint="default" w:ascii="Times New Roman" w:hAnsi="Times New Roman" w:eastAsia="楷体" w:cs="Times New Roman"/>
          <w:color w:val="000000" w:themeColor="text1"/>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 xml:space="preserve">附图4 </w:t>
      </w:r>
      <w:r>
        <w:rPr>
          <w:rFonts w:hint="default" w:ascii="Times New Roman" w:hAnsi="Times New Roman" w:eastAsia="楷体" w:cs="Times New Roman"/>
          <w:color w:val="000000" w:themeColor="text1"/>
          <w14:textFill>
            <w14:solidFill>
              <w14:schemeClr w14:val="tx1"/>
            </w14:solidFill>
          </w14:textFill>
        </w:rPr>
        <w:t>建设项目大气评价范围环保目标及监测点位图</w:t>
      </w:r>
    </w:p>
    <w:p w14:paraId="34474099">
      <w:pPr>
        <w:pStyle w:val="47"/>
        <w:keepNext w:val="0"/>
        <w:keepLines w:val="0"/>
        <w:pageBreakBefore w:val="0"/>
        <w:widowControl w:val="0"/>
        <w:numPr>
          <w:ilvl w:val="0"/>
          <w:numId w:val="0"/>
        </w:numPr>
        <w:kinsoku/>
        <w:wordWrap/>
        <w:overflowPunct/>
        <w:topLinePunct w:val="0"/>
        <w:autoSpaceDE/>
        <w:autoSpaceDN/>
        <w:bidi w:val="0"/>
        <w:ind w:leftChars="0" w:firstLine="0" w:firstLineChars="0"/>
        <w:textAlignment w:val="auto"/>
        <w:rPr>
          <w:rFonts w:hint="default" w:ascii="Times New Roman" w:hAnsi="Times New Roman" w:eastAsia="楷体" w:cs="Times New Roman"/>
          <w:color w:val="000000" w:themeColor="text1"/>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 xml:space="preserve">附图5 </w:t>
      </w:r>
      <w:r>
        <w:rPr>
          <w:rFonts w:hint="default" w:ascii="Times New Roman" w:hAnsi="Times New Roman" w:eastAsia="楷体" w:cs="Times New Roman"/>
          <w:color w:val="000000" w:themeColor="text1"/>
          <w14:textFill>
            <w14:solidFill>
              <w14:schemeClr w14:val="tx1"/>
            </w14:solidFill>
          </w14:textFill>
        </w:rPr>
        <w:t>建设项目地下水评价范围环保目标及监测点位图</w:t>
      </w:r>
    </w:p>
    <w:p w14:paraId="03D74AD9">
      <w:pPr>
        <w:pStyle w:val="47"/>
        <w:keepNext w:val="0"/>
        <w:keepLines w:val="0"/>
        <w:pageBreakBefore w:val="0"/>
        <w:widowControl w:val="0"/>
        <w:numPr>
          <w:ilvl w:val="0"/>
          <w:numId w:val="0"/>
        </w:numPr>
        <w:kinsoku/>
        <w:wordWrap/>
        <w:overflowPunct/>
        <w:topLinePunct w:val="0"/>
        <w:autoSpaceDE/>
        <w:autoSpaceDN/>
        <w:bidi w:val="0"/>
        <w:ind w:leftChars="0" w:firstLine="0" w:firstLineChars="0"/>
        <w:textAlignment w:val="auto"/>
        <w:rPr>
          <w:rFonts w:hint="default" w:ascii="Times New Roman" w:hAnsi="Times New Roman" w:eastAsia="楷体" w:cs="Times New Roman"/>
          <w:color w:val="000000" w:themeColor="text1"/>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 xml:space="preserve">附图6 </w:t>
      </w:r>
      <w:r>
        <w:rPr>
          <w:rFonts w:hint="default" w:ascii="Times New Roman" w:hAnsi="Times New Roman" w:eastAsia="楷体" w:cs="Times New Roman"/>
          <w:color w:val="000000" w:themeColor="text1"/>
          <w14:textFill>
            <w14:solidFill>
              <w14:schemeClr w14:val="tx1"/>
            </w14:solidFill>
          </w14:textFill>
        </w:rPr>
        <w:t>建设项目土壤及噪声监测点位图</w:t>
      </w:r>
    </w:p>
    <w:p w14:paraId="48377678">
      <w:pPr>
        <w:pStyle w:val="47"/>
        <w:keepNext w:val="0"/>
        <w:keepLines w:val="0"/>
        <w:pageBreakBefore w:val="0"/>
        <w:widowControl w:val="0"/>
        <w:numPr>
          <w:ilvl w:val="0"/>
          <w:numId w:val="0"/>
        </w:numPr>
        <w:kinsoku/>
        <w:wordWrap/>
        <w:overflowPunct/>
        <w:topLinePunct w:val="0"/>
        <w:autoSpaceDE/>
        <w:autoSpaceDN/>
        <w:bidi w:val="0"/>
        <w:ind w:leftChars="0" w:firstLine="0" w:firstLineChars="0"/>
        <w:textAlignment w:val="auto"/>
        <w:rPr>
          <w:rFonts w:hint="default" w:ascii="Times New Roman" w:hAnsi="Times New Roman" w:eastAsia="楷体" w:cs="Times New Roman"/>
          <w:color w:val="000000" w:themeColor="text1"/>
          <w:u w:val="none"/>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 xml:space="preserve">附图7 </w:t>
      </w:r>
      <w:r>
        <w:rPr>
          <w:rFonts w:hint="default" w:ascii="Times New Roman" w:hAnsi="Times New Roman" w:eastAsia="楷体" w:cs="Times New Roman"/>
          <w:color w:val="000000" w:themeColor="text1"/>
          <w:u w:val="none"/>
          <w14:textFill>
            <w14:solidFill>
              <w14:schemeClr w14:val="tx1"/>
            </w14:solidFill>
          </w14:textFill>
        </w:rPr>
        <w:t>塑料产业循环经济园区北园土地使用规划图</w:t>
      </w:r>
    </w:p>
    <w:p w14:paraId="4D55ED41">
      <w:pPr>
        <w:pStyle w:val="47"/>
        <w:keepNext w:val="0"/>
        <w:keepLines w:val="0"/>
        <w:pageBreakBefore w:val="0"/>
        <w:widowControl w:val="0"/>
        <w:numPr>
          <w:ilvl w:val="0"/>
          <w:numId w:val="0"/>
        </w:numPr>
        <w:kinsoku/>
        <w:wordWrap/>
        <w:overflowPunct/>
        <w:topLinePunct w:val="0"/>
        <w:autoSpaceDE/>
        <w:autoSpaceDN/>
        <w:bidi w:val="0"/>
        <w:ind w:leftChars="0" w:firstLine="0" w:firstLineChars="0"/>
        <w:textAlignment w:val="auto"/>
        <w:rPr>
          <w:rFonts w:hint="default" w:ascii="Times New Roman" w:hAnsi="Times New Roman" w:eastAsia="楷体" w:cs="Times New Roman"/>
          <w:color w:val="000000" w:themeColor="text1"/>
          <w:u w:val="none"/>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 xml:space="preserve">附图8 </w:t>
      </w:r>
      <w:r>
        <w:rPr>
          <w:rFonts w:hint="default" w:ascii="Times New Roman" w:hAnsi="Times New Roman" w:eastAsia="楷体" w:cs="Times New Roman"/>
          <w:color w:val="000000" w:themeColor="text1"/>
          <w:u w:val="none"/>
          <w14:textFill>
            <w14:solidFill>
              <w14:schemeClr w14:val="tx1"/>
            </w14:solidFill>
          </w14:textFill>
        </w:rPr>
        <w:t>塑料产业循环经济园区北园产业规划分布图</w:t>
      </w:r>
    </w:p>
    <w:p w14:paraId="0FDA40C0">
      <w:pPr>
        <w:pStyle w:val="47"/>
        <w:keepNext w:val="0"/>
        <w:keepLines w:val="0"/>
        <w:pageBreakBefore w:val="0"/>
        <w:widowControl w:val="0"/>
        <w:numPr>
          <w:ilvl w:val="0"/>
          <w:numId w:val="0"/>
        </w:numPr>
        <w:kinsoku/>
        <w:wordWrap/>
        <w:overflowPunct/>
        <w:topLinePunct w:val="0"/>
        <w:autoSpaceDE/>
        <w:autoSpaceDN/>
        <w:bidi w:val="0"/>
        <w:ind w:leftChars="0" w:firstLine="0" w:firstLineChars="0"/>
        <w:textAlignment w:val="auto"/>
        <w:rPr>
          <w:rFonts w:hint="default" w:ascii="Times New Roman" w:hAnsi="Times New Roman" w:eastAsia="楷体" w:cs="Times New Roman"/>
          <w:color w:val="000000" w:themeColor="text1"/>
          <w:u w:val="none"/>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 xml:space="preserve">附图9 </w:t>
      </w:r>
      <w:r>
        <w:rPr>
          <w:rFonts w:hint="default" w:ascii="Times New Roman" w:hAnsi="Times New Roman" w:eastAsia="楷体" w:cs="Times New Roman"/>
          <w:color w:val="000000" w:themeColor="text1"/>
          <w:u w:val="none"/>
          <w14:textFill>
            <w14:solidFill>
              <w14:schemeClr w14:val="tx1"/>
            </w14:solidFill>
          </w14:textFill>
        </w:rPr>
        <w:t>建设项目与保定市生态环境分区管控位置图</w:t>
      </w:r>
    </w:p>
    <w:p w14:paraId="56492A45">
      <w:pPr>
        <w:pStyle w:val="47"/>
        <w:keepNext w:val="0"/>
        <w:keepLines w:val="0"/>
        <w:pageBreakBefore w:val="0"/>
        <w:widowControl w:val="0"/>
        <w:numPr>
          <w:ilvl w:val="0"/>
          <w:numId w:val="0"/>
        </w:numPr>
        <w:kinsoku/>
        <w:wordWrap/>
        <w:overflowPunct/>
        <w:topLinePunct w:val="0"/>
        <w:autoSpaceDE/>
        <w:autoSpaceDN/>
        <w:bidi w:val="0"/>
        <w:ind w:leftChars="0" w:firstLine="0" w:firstLineChars="0"/>
        <w:textAlignment w:val="auto"/>
        <w:rPr>
          <w:rFonts w:hint="default" w:ascii="Times New Roman" w:hAnsi="Times New Roman" w:eastAsia="楷体" w:cs="Times New Roman"/>
          <w:color w:val="000000" w:themeColor="text1"/>
          <w:u w:val="none"/>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 xml:space="preserve">附图10 </w:t>
      </w:r>
      <w:r>
        <w:rPr>
          <w:rFonts w:hint="default" w:ascii="Times New Roman" w:hAnsi="Times New Roman" w:eastAsia="楷体" w:cs="Times New Roman"/>
          <w:color w:val="000000" w:themeColor="text1"/>
          <w:u w:val="none"/>
          <w14:textFill>
            <w14:solidFill>
              <w14:schemeClr w14:val="tx1"/>
            </w14:solidFill>
          </w14:textFill>
        </w:rPr>
        <w:t>保定市“四区一线”示意图</w:t>
      </w:r>
    </w:p>
    <w:p w14:paraId="6FEE180F">
      <w:pPr>
        <w:pStyle w:val="47"/>
        <w:keepNext w:val="0"/>
        <w:keepLines w:val="0"/>
        <w:pageBreakBefore w:val="0"/>
        <w:widowControl w:val="0"/>
        <w:kinsoku/>
        <w:wordWrap/>
        <w:overflowPunct/>
        <w:topLinePunct w:val="0"/>
        <w:autoSpaceDE/>
        <w:autoSpaceDN/>
        <w:bidi w:val="0"/>
        <w:ind w:leftChars="0" w:firstLine="0" w:firstLineChars="0"/>
        <w:textAlignment w:val="auto"/>
        <w:rPr>
          <w:rFonts w:hint="default" w:ascii="Times New Roman" w:hAnsi="Times New Roman" w:eastAsia="楷体" w:cs="Times New Roman"/>
          <w:color w:val="000000" w:themeColor="text1"/>
          <w14:textFill>
            <w14:solidFill>
              <w14:schemeClr w14:val="tx1"/>
            </w14:solidFill>
          </w14:textFill>
        </w:rPr>
      </w:pPr>
    </w:p>
    <w:p w14:paraId="255A544C">
      <w:pPr>
        <w:pStyle w:val="47"/>
        <w:keepNext w:val="0"/>
        <w:keepLines w:val="0"/>
        <w:pageBreakBefore w:val="0"/>
        <w:widowControl w:val="0"/>
        <w:kinsoku/>
        <w:wordWrap/>
        <w:overflowPunct/>
        <w:topLinePunct w:val="0"/>
        <w:autoSpaceDE/>
        <w:autoSpaceDN/>
        <w:bidi w:val="0"/>
        <w:ind w:leftChars="0" w:firstLine="0" w:firstLineChars="0"/>
        <w:textAlignment w:val="auto"/>
        <w:rPr>
          <w:rFonts w:hint="default" w:ascii="Times New Roman" w:hAnsi="Times New Roman" w:eastAsia="楷体" w:cs="Times New Roman"/>
          <w:b/>
          <w:bCs/>
          <w:color w:val="000000" w:themeColor="text1"/>
          <w14:textFill>
            <w14:solidFill>
              <w14:schemeClr w14:val="tx1"/>
            </w14:solidFill>
          </w14:textFill>
        </w:rPr>
      </w:pPr>
      <w:r>
        <w:rPr>
          <w:rFonts w:hint="default" w:ascii="Times New Roman" w:hAnsi="Times New Roman" w:eastAsia="楷体" w:cs="Times New Roman"/>
          <w:b/>
          <w:bCs/>
          <w:color w:val="000000" w:themeColor="text1"/>
          <w14:textFill>
            <w14:solidFill>
              <w14:schemeClr w14:val="tx1"/>
            </w14:solidFill>
          </w14:textFill>
        </w:rPr>
        <w:t>附件：</w:t>
      </w:r>
    </w:p>
    <w:p w14:paraId="3104D0F2">
      <w:pPr>
        <w:pStyle w:val="47"/>
        <w:keepNext w:val="0"/>
        <w:keepLines w:val="0"/>
        <w:pageBreakBefore w:val="0"/>
        <w:widowControl w:val="0"/>
        <w:numPr>
          <w:ilvl w:val="0"/>
          <w:numId w:val="0"/>
        </w:numPr>
        <w:kinsoku/>
        <w:wordWrap/>
        <w:overflowPunct/>
        <w:topLinePunct w:val="0"/>
        <w:autoSpaceDE/>
        <w:autoSpaceDN/>
        <w:bidi w:val="0"/>
        <w:ind w:leftChars="0" w:firstLine="0" w:firstLineChars="0"/>
        <w:textAlignment w:val="auto"/>
        <w:rPr>
          <w:rFonts w:hint="default" w:ascii="Times New Roman" w:hAnsi="Times New Roman" w:eastAsia="楷体" w:cs="Times New Roman"/>
          <w:color w:val="000000" w:themeColor="text1"/>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 xml:space="preserve">附件1 </w:t>
      </w:r>
      <w:r>
        <w:rPr>
          <w:rFonts w:hint="default" w:ascii="Times New Roman" w:hAnsi="Times New Roman" w:eastAsia="楷体" w:cs="Times New Roman"/>
          <w:color w:val="000000" w:themeColor="text1"/>
          <w14:textFill>
            <w14:solidFill>
              <w14:schemeClr w14:val="tx1"/>
            </w14:solidFill>
          </w14:textFill>
        </w:rPr>
        <w:t>营业执照</w:t>
      </w:r>
    </w:p>
    <w:p w14:paraId="13167255">
      <w:pPr>
        <w:pStyle w:val="47"/>
        <w:keepNext w:val="0"/>
        <w:keepLines w:val="0"/>
        <w:pageBreakBefore w:val="0"/>
        <w:widowControl w:val="0"/>
        <w:numPr>
          <w:ilvl w:val="0"/>
          <w:numId w:val="0"/>
        </w:numPr>
        <w:kinsoku/>
        <w:wordWrap/>
        <w:overflowPunct/>
        <w:topLinePunct w:val="0"/>
        <w:autoSpaceDE/>
        <w:autoSpaceDN/>
        <w:bidi w:val="0"/>
        <w:ind w:leftChars="0" w:firstLine="0" w:firstLineChars="0"/>
        <w:textAlignment w:val="auto"/>
        <w:rPr>
          <w:rFonts w:hint="default" w:ascii="Times New Roman" w:hAnsi="Times New Roman" w:eastAsia="楷体"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附</w:t>
      </w:r>
      <w:r>
        <w:rPr>
          <w:rFonts w:hint="eastAsia" w:ascii="Times New Roman" w:hAnsi="Times New Roman" w:cs="Times New Roman"/>
          <w:color w:val="000000" w:themeColor="text1"/>
          <w:highlight w:val="none"/>
          <w:lang w:val="en-US" w:eastAsia="zh-CN"/>
          <w14:textFill>
            <w14:solidFill>
              <w14:schemeClr w14:val="tx1"/>
            </w14:solidFill>
          </w14:textFill>
        </w:rPr>
        <w:t xml:space="preserve">件2 </w:t>
      </w:r>
      <w:r>
        <w:rPr>
          <w:rFonts w:hint="default" w:ascii="Times New Roman" w:hAnsi="Times New Roman" w:eastAsia="楷体" w:cs="Times New Roman"/>
          <w:color w:val="000000" w:themeColor="text1"/>
          <w:highlight w:val="none"/>
          <w:lang w:val="en-US" w:eastAsia="zh-CN"/>
          <w14:textFill>
            <w14:solidFill>
              <w14:schemeClr w14:val="tx1"/>
            </w14:solidFill>
          </w14:textFill>
        </w:rPr>
        <w:t>备案意见</w:t>
      </w:r>
    </w:p>
    <w:p w14:paraId="6FA7369A">
      <w:pPr>
        <w:pStyle w:val="47"/>
        <w:keepNext w:val="0"/>
        <w:keepLines w:val="0"/>
        <w:pageBreakBefore w:val="0"/>
        <w:widowControl w:val="0"/>
        <w:numPr>
          <w:ilvl w:val="0"/>
          <w:numId w:val="0"/>
        </w:numPr>
        <w:kinsoku/>
        <w:wordWrap/>
        <w:overflowPunct/>
        <w:topLinePunct w:val="0"/>
        <w:autoSpaceDE/>
        <w:autoSpaceDN/>
        <w:bidi w:val="0"/>
        <w:ind w:leftChars="0" w:firstLine="0" w:firstLineChars="0"/>
        <w:textAlignment w:val="auto"/>
        <w:rPr>
          <w:rFonts w:hint="default" w:ascii="Times New Roman" w:hAnsi="Times New Roman" w:eastAsia="楷体"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 xml:space="preserve">附件3 </w:t>
      </w:r>
      <w:r>
        <w:rPr>
          <w:rFonts w:hint="default" w:ascii="Times New Roman" w:hAnsi="Times New Roman" w:eastAsia="楷体" w:cs="Times New Roman"/>
          <w:color w:val="000000" w:themeColor="text1"/>
          <w:highlight w:val="none"/>
          <w:lang w:val="en-US" w:eastAsia="zh-CN"/>
          <w14:textFill>
            <w14:solidFill>
              <w14:schemeClr w14:val="tx1"/>
            </w14:solidFill>
          </w14:textFill>
        </w:rPr>
        <w:t>土地证</w:t>
      </w:r>
    </w:p>
    <w:p w14:paraId="31C6A1F3">
      <w:pPr>
        <w:pStyle w:val="47"/>
        <w:keepNext w:val="0"/>
        <w:keepLines w:val="0"/>
        <w:pageBreakBefore w:val="0"/>
        <w:widowControl w:val="0"/>
        <w:numPr>
          <w:ilvl w:val="0"/>
          <w:numId w:val="0"/>
        </w:numPr>
        <w:kinsoku/>
        <w:wordWrap/>
        <w:overflowPunct/>
        <w:topLinePunct w:val="0"/>
        <w:autoSpaceDE/>
        <w:autoSpaceDN/>
        <w:bidi w:val="0"/>
        <w:ind w:leftChars="0" w:firstLine="0" w:firstLineChars="0"/>
        <w:textAlignment w:val="auto"/>
        <w:rPr>
          <w:rFonts w:hint="default" w:ascii="Times New Roman" w:hAnsi="Times New Roman" w:eastAsia="楷体" w:cs="Times New Roman"/>
          <w:highlight w:val="none"/>
        </w:rPr>
      </w:pPr>
      <w:r>
        <w:rPr>
          <w:rFonts w:hint="eastAsia" w:ascii="Times New Roman" w:hAnsi="Times New Roman" w:cs="Times New Roman"/>
          <w:highlight w:val="none"/>
          <w:lang w:val="en-US" w:eastAsia="zh-CN"/>
        </w:rPr>
        <w:t xml:space="preserve">附件4 </w:t>
      </w:r>
      <w:r>
        <w:rPr>
          <w:rFonts w:hint="default" w:ascii="Times New Roman" w:hAnsi="Times New Roman" w:eastAsia="楷体" w:cs="Times New Roman"/>
          <w:highlight w:val="none"/>
          <w:lang w:val="en-US" w:eastAsia="zh-CN"/>
        </w:rPr>
        <w:t>租赁协议</w:t>
      </w:r>
    </w:p>
    <w:p w14:paraId="0313EE63">
      <w:pPr>
        <w:pStyle w:val="47"/>
        <w:keepNext w:val="0"/>
        <w:keepLines w:val="0"/>
        <w:pageBreakBefore w:val="0"/>
        <w:widowControl w:val="0"/>
        <w:numPr>
          <w:ilvl w:val="0"/>
          <w:numId w:val="0"/>
        </w:numPr>
        <w:kinsoku/>
        <w:wordWrap/>
        <w:overflowPunct/>
        <w:topLinePunct w:val="0"/>
        <w:autoSpaceDE/>
        <w:autoSpaceDN/>
        <w:bidi w:val="0"/>
        <w:ind w:leftChars="0" w:firstLine="0" w:firstLineChars="0"/>
        <w:textAlignment w:val="auto"/>
        <w:rPr>
          <w:rFonts w:hint="default" w:ascii="Times New Roman" w:hAnsi="Times New Roman" w:eastAsia="楷体" w:cs="Times New Roman"/>
          <w:highlight w:val="none"/>
        </w:rPr>
      </w:pPr>
      <w:r>
        <w:rPr>
          <w:rFonts w:hint="eastAsia" w:ascii="Times New Roman" w:hAnsi="Times New Roman" w:cs="Times New Roman"/>
          <w:highlight w:val="none"/>
          <w:lang w:val="en-US" w:eastAsia="zh-CN"/>
        </w:rPr>
        <w:t xml:space="preserve">附件5 </w:t>
      </w:r>
      <w:r>
        <w:rPr>
          <w:rFonts w:hint="eastAsia" w:cs="Times New Roman"/>
          <w:highlight w:val="none"/>
          <w:lang w:val="en-US" w:eastAsia="zh-CN"/>
        </w:rPr>
        <w:t>规划</w:t>
      </w:r>
      <w:r>
        <w:rPr>
          <w:rFonts w:hint="default" w:ascii="Times New Roman" w:hAnsi="Times New Roman" w:eastAsia="楷体" w:cs="Times New Roman"/>
          <w:highlight w:val="none"/>
        </w:rPr>
        <w:t>环评审查意见</w:t>
      </w:r>
    </w:p>
    <w:p w14:paraId="31F9DD9C">
      <w:pPr>
        <w:pStyle w:val="47"/>
        <w:keepNext w:val="0"/>
        <w:keepLines w:val="0"/>
        <w:pageBreakBefore w:val="0"/>
        <w:widowControl w:val="0"/>
        <w:numPr>
          <w:ilvl w:val="0"/>
          <w:numId w:val="0"/>
        </w:numPr>
        <w:kinsoku/>
        <w:wordWrap/>
        <w:overflowPunct/>
        <w:topLinePunct w:val="0"/>
        <w:autoSpaceDE/>
        <w:autoSpaceDN/>
        <w:bidi w:val="0"/>
        <w:ind w:leftChars="0" w:firstLine="0" w:firstLineChars="0"/>
        <w:textAlignment w:val="auto"/>
        <w:rPr>
          <w:rFonts w:hint="default" w:ascii="Times New Roman" w:hAnsi="Times New Roman" w:eastAsia="楷体" w:cs="Times New Roman"/>
          <w:highlight w:val="none"/>
        </w:rPr>
      </w:pPr>
      <w:r>
        <w:rPr>
          <w:rFonts w:hint="eastAsia" w:ascii="Times New Roman" w:hAnsi="Times New Roman" w:cs="Times New Roman"/>
          <w:highlight w:val="none"/>
          <w:lang w:val="en-US" w:eastAsia="zh-CN"/>
        </w:rPr>
        <w:t xml:space="preserve">附件6 </w:t>
      </w:r>
      <w:r>
        <w:rPr>
          <w:rFonts w:hint="default" w:ascii="Times New Roman" w:hAnsi="Times New Roman" w:eastAsia="楷体" w:cs="Times New Roman"/>
          <w:highlight w:val="none"/>
          <w:lang w:val="en-US" w:eastAsia="zh-CN"/>
        </w:rPr>
        <w:t>监测报告</w:t>
      </w:r>
    </w:p>
    <w:p w14:paraId="4CEC10A3">
      <w:pPr>
        <w:pStyle w:val="47"/>
        <w:keepNext w:val="0"/>
        <w:keepLines w:val="0"/>
        <w:pageBreakBefore w:val="0"/>
        <w:widowControl w:val="0"/>
        <w:numPr>
          <w:ilvl w:val="0"/>
          <w:numId w:val="0"/>
        </w:numPr>
        <w:kinsoku/>
        <w:wordWrap/>
        <w:overflowPunct/>
        <w:topLinePunct w:val="0"/>
        <w:autoSpaceDE/>
        <w:autoSpaceDN/>
        <w:bidi w:val="0"/>
        <w:ind w:leftChars="0" w:firstLine="0" w:firstLineChars="0"/>
        <w:textAlignment w:val="auto"/>
        <w:rPr>
          <w:rFonts w:hint="default" w:ascii="Times New Roman" w:hAnsi="Times New Roman" w:eastAsia="楷体" w:cs="Times New Roman"/>
          <w:highlight w:val="none"/>
          <w:u w:val="none"/>
        </w:rPr>
      </w:pPr>
      <w:r>
        <w:rPr>
          <w:rFonts w:hint="eastAsia" w:ascii="Times New Roman" w:hAnsi="Times New Roman" w:cs="Times New Roman"/>
          <w:highlight w:val="none"/>
          <w:lang w:val="en-US" w:eastAsia="zh-CN"/>
        </w:rPr>
        <w:t xml:space="preserve">附件7 </w:t>
      </w:r>
      <w:r>
        <w:rPr>
          <w:rFonts w:hint="default" w:ascii="Times New Roman" w:hAnsi="Times New Roman" w:eastAsia="楷体" w:cs="Times New Roman"/>
          <w:highlight w:val="none"/>
          <w:u w:val="none"/>
          <w:lang w:val="en-US" w:eastAsia="zh-CN"/>
        </w:rPr>
        <w:t>专家意见</w:t>
      </w:r>
    </w:p>
    <w:p w14:paraId="553CE349">
      <w:pPr>
        <w:keepNext w:val="0"/>
        <w:keepLines w:val="0"/>
        <w:pageBreakBefore w:val="0"/>
        <w:widowControl w:val="0"/>
        <w:kinsoku/>
        <w:wordWrap/>
        <w:overflowPunct/>
        <w:topLinePunct w:val="0"/>
        <w:autoSpaceDE/>
        <w:autoSpaceDN/>
        <w:bidi w:val="0"/>
        <w:ind w:leftChars="0" w:firstLine="0" w:firstLineChars="0"/>
        <w:textAlignment w:val="auto"/>
        <w:sectPr>
          <w:headerReference r:id="rId11" w:type="default"/>
          <w:footerReference r:id="rId12" w:type="default"/>
          <w:pgSz w:w="11906" w:h="16838"/>
          <w:pgMar w:top="1417" w:right="1417" w:bottom="1417" w:left="1417" w:header="964" w:footer="964" w:gutter="0"/>
          <w:pgBorders>
            <w:top w:val="none" w:sz="0" w:space="0"/>
            <w:left w:val="none" w:sz="0" w:space="0"/>
            <w:bottom w:val="none" w:sz="0" w:space="0"/>
            <w:right w:val="none" w:sz="0" w:space="0"/>
          </w:pgBorders>
          <w:pgNumType w:fmt="decimal" w:start="1"/>
          <w:cols w:space="425" w:num="1"/>
          <w:docGrid w:type="linesAndChars" w:linePitch="326" w:charSpace="190"/>
        </w:sectPr>
      </w:pPr>
    </w:p>
    <w:p w14:paraId="1D497DC6">
      <w:pPr>
        <w:pStyle w:val="88"/>
        <w:bidi w:val="0"/>
        <w:ind w:left="0" w:leftChars="0" w:hanging="102" w:firstLineChars="0"/>
      </w:pPr>
      <w:bookmarkStart w:id="0" w:name="_Toc3345"/>
      <w:r>
        <w:rPr>
          <w:rFonts w:hint="eastAsia"/>
        </w:rPr>
        <w:t>概述</w:t>
      </w:r>
      <w:bookmarkEnd w:id="0"/>
    </w:p>
    <w:p w14:paraId="047E74B4">
      <w:pPr>
        <w:pStyle w:val="90"/>
        <w:bidi w:val="0"/>
        <w:ind w:left="0" w:leftChars="0" w:firstLine="0" w:firstLineChars="0"/>
      </w:pPr>
      <w:bookmarkStart w:id="1" w:name="_Toc24745"/>
      <w:r>
        <w:rPr>
          <w:rFonts w:hint="eastAsia"/>
          <w:lang w:val="en-US" w:eastAsia="zh-CN"/>
        </w:rPr>
        <w:t>项目实施背景</w:t>
      </w:r>
      <w:bookmarkEnd w:id="1"/>
    </w:p>
    <w:p w14:paraId="19C42247">
      <w:pPr>
        <w:pStyle w:val="47"/>
        <w:ind w:firstLine="700" w:firstLineChars="250"/>
        <w:rPr>
          <w:rFonts w:hint="eastAsia"/>
          <w:u w:val="none"/>
        </w:rPr>
      </w:pPr>
      <w:r>
        <w:rPr>
          <w:rFonts w:hint="eastAsia"/>
          <w:u w:val="none"/>
        </w:rPr>
        <w:t>近年来，各地方、各部门按照党中央、国务院的部署，把发展循环经济作为调整经济结构、转变发展方式的有效途径。循环经济是最大限度地节约资源和保护环境的经济发展模式，是解决我国资源环境瓶颈约束的根本性举措。</w:t>
      </w:r>
    </w:p>
    <w:p w14:paraId="512147EF">
      <w:pPr>
        <w:pStyle w:val="47"/>
        <w:ind w:firstLine="700" w:firstLineChars="250"/>
        <w:rPr>
          <w:rFonts w:hint="eastAsia"/>
          <w:u w:val="none"/>
        </w:rPr>
      </w:pPr>
      <w:r>
        <w:rPr>
          <w:rFonts w:hint="eastAsia"/>
          <w:u w:val="none"/>
        </w:rPr>
        <w:t>废旧塑料的回收利用作为一项节约资源、保护环境的措施，正日益受到重视。尤其是发达国家工作起步早，已经收到明显效益。废旧塑料加工成颗粒后，依然具有良好的综合材料性能，可满足吹膜、拉丝、拉管、注塑、挤出型材等技术要求，大量应用于塑料制品的生产。由于再生塑料价格优势突出，效益明显，国内废旧塑料回收市场已渐成气候。</w:t>
      </w:r>
    </w:p>
    <w:p w14:paraId="5213B8ED">
      <w:pPr>
        <w:pStyle w:val="47"/>
        <w:ind w:firstLine="700" w:firstLineChars="250"/>
        <w:rPr>
          <w:rFonts w:hint="eastAsia"/>
          <w:highlight w:val="yellow"/>
          <w:u w:val="none"/>
        </w:rPr>
      </w:pPr>
      <w:r>
        <w:rPr>
          <w:rFonts w:hint="eastAsia"/>
          <w:u w:val="none"/>
        </w:rPr>
        <w:t>顺平县金光塑料制品有限公司为了满足消费者对于PVC</w:t>
      </w:r>
      <w:r>
        <w:rPr>
          <w:rFonts w:hint="eastAsia"/>
          <w:u w:val="none"/>
          <w:lang w:val="en-US" w:eastAsia="zh-CN"/>
        </w:rPr>
        <w:t>电缆颗粒</w:t>
      </w:r>
      <w:r>
        <w:rPr>
          <w:rFonts w:hint="eastAsia"/>
          <w:u w:val="none"/>
        </w:rPr>
        <w:t>的需求，同时增加社会经济效益，积极采用先进技术及先进设备发展高性能、高水平的产品以适应市场需求，</w:t>
      </w:r>
      <w:r>
        <w:rPr>
          <w:rFonts w:hint="eastAsia"/>
          <w:u w:val="none"/>
          <w:lang w:val="en-US" w:eastAsia="zh-CN"/>
        </w:rPr>
        <w:t>总</w:t>
      </w:r>
      <w:r>
        <w:rPr>
          <w:rFonts w:hint="eastAsia"/>
          <w:highlight w:val="none"/>
          <w:u w:val="none"/>
        </w:rPr>
        <w:t>投资</w:t>
      </w:r>
      <w:r>
        <w:rPr>
          <w:rFonts w:hint="eastAsia"/>
          <w:highlight w:val="none"/>
          <w:u w:val="none"/>
          <w:lang w:val="en-US" w:eastAsia="zh-CN"/>
        </w:rPr>
        <w:t>5013.5</w:t>
      </w:r>
      <w:r>
        <w:rPr>
          <w:rFonts w:hint="eastAsia"/>
          <w:highlight w:val="none"/>
          <w:u w:val="none"/>
        </w:rPr>
        <w:t>万元在</w:t>
      </w:r>
      <w:r>
        <w:rPr>
          <w:rFonts w:hint="eastAsia"/>
          <w:highlight w:val="none"/>
          <w:u w:val="none"/>
          <w:lang w:val="en-US" w:eastAsia="zh-CN"/>
        </w:rPr>
        <w:t>河北省保定市顺平县顺高线（顺平县塑料产业循环经济园区（北区）内）</w:t>
      </w:r>
      <w:r>
        <w:rPr>
          <w:rFonts w:hint="eastAsia"/>
          <w:highlight w:val="none"/>
          <w:u w:val="none"/>
        </w:rPr>
        <w:t>建设</w:t>
      </w:r>
      <w:r>
        <w:rPr>
          <w:rFonts w:hint="eastAsia"/>
          <w:highlight w:val="none"/>
          <w:u w:val="none"/>
          <w:lang w:eastAsia="zh-CN"/>
        </w:rPr>
        <w:t>“顺平县金光塑料制品有限公司年产25000吨PVC</w:t>
      </w:r>
      <w:r>
        <w:rPr>
          <w:rFonts w:hint="eastAsia"/>
          <w:highlight w:val="none"/>
          <w:u w:val="none"/>
          <w:lang w:val="en-US" w:eastAsia="zh-CN"/>
        </w:rPr>
        <w:t>塑料制品</w:t>
      </w:r>
      <w:r>
        <w:rPr>
          <w:rFonts w:hint="eastAsia"/>
          <w:highlight w:val="none"/>
          <w:u w:val="none"/>
          <w:lang w:eastAsia="zh-CN"/>
        </w:rPr>
        <w:t>建设项目”</w:t>
      </w:r>
      <w:r>
        <w:rPr>
          <w:rFonts w:hint="eastAsia"/>
          <w:highlight w:val="none"/>
          <w:u w:val="none"/>
        </w:rPr>
        <w:t>。</w:t>
      </w:r>
      <w:r>
        <w:rPr>
          <w:rFonts w:hint="eastAsia"/>
          <w:u w:val="none"/>
          <w:lang w:val="en-US" w:eastAsia="zh-CN"/>
        </w:rPr>
        <w:t>利用</w:t>
      </w:r>
      <w:r>
        <w:rPr>
          <w:rFonts w:hint="eastAsia"/>
          <w:u w:val="none"/>
        </w:rPr>
        <w:t>废旧PVC塑料、PVC</w:t>
      </w:r>
      <w:r>
        <w:rPr>
          <w:rFonts w:hint="eastAsia"/>
          <w:u w:val="none"/>
          <w:lang w:val="en-US" w:eastAsia="zh-CN"/>
        </w:rPr>
        <w:t>颗粒</w:t>
      </w:r>
      <w:r>
        <w:rPr>
          <w:rFonts w:hint="eastAsia"/>
          <w:u w:val="none"/>
        </w:rPr>
        <w:t>、钙粉等原料，经</w:t>
      </w:r>
      <w:r>
        <w:rPr>
          <w:rFonts w:hint="eastAsia"/>
          <w:highlight w:val="none"/>
          <w:u w:val="none"/>
          <w:lang w:val="en-US" w:eastAsia="zh-CN"/>
        </w:rPr>
        <w:t>破碎</w:t>
      </w:r>
      <w:r>
        <w:rPr>
          <w:rFonts w:hint="eastAsia"/>
          <w:highlight w:val="none"/>
          <w:u w:val="none"/>
        </w:rPr>
        <w:t>、</w:t>
      </w:r>
      <w:r>
        <w:rPr>
          <w:rFonts w:hint="eastAsia"/>
          <w:highlight w:val="none"/>
          <w:u w:val="none"/>
          <w:lang w:val="en-US" w:eastAsia="zh-CN"/>
        </w:rPr>
        <w:t>水浮分</w:t>
      </w:r>
      <w:r>
        <w:rPr>
          <w:rFonts w:hint="eastAsia"/>
          <w:highlight w:val="none"/>
          <w:u w:val="none"/>
        </w:rPr>
        <w:t>、</w:t>
      </w:r>
      <w:r>
        <w:rPr>
          <w:rFonts w:hint="eastAsia"/>
          <w:highlight w:val="none"/>
          <w:u w:val="none"/>
          <w:lang w:val="en-US" w:eastAsia="zh-CN"/>
        </w:rPr>
        <w:t>甩干机、搅拌</w:t>
      </w:r>
      <w:r>
        <w:rPr>
          <w:rFonts w:hint="eastAsia"/>
          <w:highlight w:val="none"/>
          <w:u w:val="none"/>
        </w:rPr>
        <w:t>混合、挤出等</w:t>
      </w:r>
      <w:r>
        <w:rPr>
          <w:rFonts w:hint="eastAsia"/>
          <w:highlight w:val="none"/>
          <w:u w:val="none"/>
          <w:lang w:val="en-US" w:eastAsia="zh-CN"/>
        </w:rPr>
        <w:t>生产</w:t>
      </w:r>
      <w:r>
        <w:rPr>
          <w:rFonts w:hint="eastAsia"/>
          <w:highlight w:val="none"/>
          <w:u w:val="none"/>
        </w:rPr>
        <w:t>工艺生产PVC</w:t>
      </w:r>
      <w:r>
        <w:rPr>
          <w:rFonts w:hint="eastAsia"/>
          <w:highlight w:val="none"/>
          <w:u w:val="none"/>
          <w:lang w:val="en-US" w:eastAsia="zh-CN"/>
        </w:rPr>
        <w:t>电缆颗粒</w:t>
      </w:r>
      <w:r>
        <w:rPr>
          <w:rFonts w:hint="eastAsia"/>
          <w:highlight w:val="none"/>
          <w:u w:val="none"/>
        </w:rPr>
        <w:t>，生产规模为</w:t>
      </w:r>
      <w:r>
        <w:rPr>
          <w:rFonts w:hint="eastAsia"/>
          <w:highlight w:val="none"/>
          <w:u w:val="none"/>
          <w:lang w:val="en-US" w:eastAsia="zh-CN"/>
        </w:rPr>
        <w:t>25000</w:t>
      </w:r>
      <w:r>
        <w:rPr>
          <w:rFonts w:hint="eastAsia"/>
          <w:highlight w:val="none"/>
          <w:u w:val="none"/>
        </w:rPr>
        <w:t>t/a。本项目于202</w:t>
      </w:r>
      <w:r>
        <w:rPr>
          <w:rFonts w:hint="eastAsia"/>
          <w:highlight w:val="none"/>
          <w:u w:val="none"/>
          <w:lang w:val="en-US" w:eastAsia="zh-CN"/>
        </w:rPr>
        <w:t>5</w:t>
      </w:r>
      <w:r>
        <w:rPr>
          <w:rFonts w:hint="eastAsia"/>
          <w:highlight w:val="none"/>
          <w:u w:val="none"/>
        </w:rPr>
        <w:t>年1月2</w:t>
      </w:r>
      <w:r>
        <w:rPr>
          <w:rFonts w:hint="eastAsia"/>
          <w:highlight w:val="none"/>
          <w:u w:val="none"/>
          <w:lang w:val="en-US" w:eastAsia="zh-CN"/>
        </w:rPr>
        <w:t>0</w:t>
      </w:r>
      <w:r>
        <w:rPr>
          <w:rFonts w:hint="eastAsia"/>
          <w:highlight w:val="none"/>
          <w:u w:val="none"/>
        </w:rPr>
        <w:t>日在</w:t>
      </w:r>
      <w:r>
        <w:rPr>
          <w:rFonts w:hint="eastAsia"/>
          <w:highlight w:val="none"/>
          <w:u w:val="none"/>
          <w:lang w:val="en-US" w:eastAsia="zh-CN"/>
        </w:rPr>
        <w:t>顺平县行政审批局备案（顺行审备字〔2025〕2号）</w:t>
      </w:r>
      <w:r>
        <w:rPr>
          <w:rFonts w:hint="eastAsia"/>
          <w:highlight w:val="none"/>
          <w:u w:val="none"/>
        </w:rPr>
        <w:t>，代码为2</w:t>
      </w:r>
      <w:r>
        <w:rPr>
          <w:rFonts w:hint="eastAsia"/>
          <w:highlight w:val="none"/>
          <w:u w:val="none"/>
          <w:lang w:val="en-US" w:eastAsia="zh-CN"/>
        </w:rPr>
        <w:t>501</w:t>
      </w:r>
      <w:r>
        <w:rPr>
          <w:rFonts w:hint="eastAsia"/>
          <w:highlight w:val="none"/>
          <w:u w:val="none"/>
        </w:rPr>
        <w:t>-</w:t>
      </w:r>
      <w:r>
        <w:rPr>
          <w:rFonts w:hint="eastAsia"/>
          <w:highlight w:val="none"/>
          <w:u w:val="none"/>
          <w:lang w:val="en-US" w:eastAsia="zh-CN"/>
        </w:rPr>
        <w:t>130636</w:t>
      </w:r>
      <w:r>
        <w:rPr>
          <w:rFonts w:hint="eastAsia"/>
          <w:highlight w:val="none"/>
          <w:u w:val="none"/>
        </w:rPr>
        <w:t>-</w:t>
      </w:r>
      <w:r>
        <w:rPr>
          <w:rFonts w:hint="eastAsia"/>
          <w:highlight w:val="none"/>
          <w:u w:val="none"/>
          <w:lang w:val="en-US" w:eastAsia="zh-CN"/>
        </w:rPr>
        <w:t>89</w:t>
      </w:r>
      <w:r>
        <w:rPr>
          <w:rFonts w:hint="eastAsia"/>
          <w:highlight w:val="none"/>
          <w:u w:val="none"/>
        </w:rPr>
        <w:t>-0</w:t>
      </w:r>
      <w:r>
        <w:rPr>
          <w:rFonts w:hint="eastAsia"/>
          <w:highlight w:val="none"/>
          <w:u w:val="none"/>
          <w:lang w:val="en-US" w:eastAsia="zh-CN"/>
        </w:rPr>
        <w:t>5</w:t>
      </w:r>
      <w:r>
        <w:rPr>
          <w:rFonts w:hint="eastAsia"/>
          <w:highlight w:val="none"/>
          <w:u w:val="none"/>
        </w:rPr>
        <w:t>-</w:t>
      </w:r>
      <w:r>
        <w:rPr>
          <w:rFonts w:hint="eastAsia"/>
          <w:highlight w:val="none"/>
          <w:u w:val="none"/>
          <w:lang w:val="en-US" w:eastAsia="zh-CN"/>
        </w:rPr>
        <w:t>836387</w:t>
      </w:r>
      <w:r>
        <w:rPr>
          <w:rFonts w:hint="eastAsia"/>
          <w:highlight w:val="none"/>
          <w:u w:val="none"/>
        </w:rPr>
        <w:t>。</w:t>
      </w:r>
    </w:p>
    <w:p w14:paraId="2E8859B6">
      <w:pPr>
        <w:pStyle w:val="47"/>
        <w:ind w:firstLine="700" w:firstLineChars="250"/>
        <w:rPr>
          <w:rFonts w:hint="eastAsia"/>
          <w:u w:val="none"/>
        </w:rPr>
      </w:pPr>
      <w:r>
        <w:rPr>
          <w:rFonts w:hint="eastAsia"/>
          <w:u w:val="none"/>
        </w:rPr>
        <w:t>受顺平县金光塑料制品有限公司委托，河北秀景环境科技有限公司承担了本项目的环境影响评价工作，为项目在建设过程和建成投入运营后，完善环境管理，落实污染防治措施，减轻对环境的影响，改善和保护环境提供科学依据。</w:t>
      </w:r>
    </w:p>
    <w:p w14:paraId="0FC23172">
      <w:pPr>
        <w:pStyle w:val="90"/>
        <w:bidi w:val="0"/>
        <w:ind w:left="0" w:leftChars="0" w:firstLine="0" w:firstLineChars="0"/>
        <w:rPr>
          <w:rFonts w:hint="eastAsia"/>
        </w:rPr>
      </w:pPr>
      <w:bookmarkStart w:id="2" w:name="_Toc13738"/>
      <w:r>
        <w:rPr>
          <w:rFonts w:hint="eastAsia"/>
        </w:rPr>
        <w:t>项目特点</w:t>
      </w:r>
      <w:bookmarkEnd w:id="2"/>
    </w:p>
    <w:p w14:paraId="4928AF10">
      <w:pPr>
        <w:pStyle w:val="47"/>
        <w:rPr>
          <w:rFonts w:hint="eastAsia"/>
        </w:rPr>
      </w:pPr>
      <w:r>
        <w:rPr>
          <w:rFonts w:hint="eastAsia"/>
        </w:rPr>
        <w:t>项目的主要特征表现为：</w:t>
      </w:r>
    </w:p>
    <w:p w14:paraId="256DAC6D">
      <w:pPr>
        <w:pStyle w:val="47"/>
        <w:rPr>
          <w:rFonts w:hint="eastAsia"/>
          <w:highlight w:val="none"/>
        </w:rPr>
      </w:pPr>
      <w:r>
        <w:rPr>
          <w:rFonts w:hint="eastAsia"/>
          <w:highlight w:val="none"/>
        </w:rPr>
        <w:t>（1）项目利用废旧塑料回收造粒生产</w:t>
      </w:r>
      <w:r>
        <w:rPr>
          <w:rFonts w:hint="eastAsia"/>
          <w:highlight w:val="none"/>
          <w:lang w:val="en-US" w:eastAsia="zh-CN"/>
        </w:rPr>
        <w:t>电缆颗粒25000t/a</w:t>
      </w:r>
      <w:r>
        <w:rPr>
          <w:rFonts w:hint="eastAsia"/>
          <w:highlight w:val="none"/>
        </w:rPr>
        <w:t>，属于新建项目，建设地点位于</w:t>
      </w:r>
      <w:r>
        <w:rPr>
          <w:rFonts w:hint="eastAsia"/>
          <w:highlight w:val="none"/>
          <w:u w:val="none"/>
          <w:lang w:val="en-US" w:eastAsia="zh-CN"/>
        </w:rPr>
        <w:t>河北省保定市顺平县顺高线（原职教中心院内）</w:t>
      </w:r>
      <w:r>
        <w:rPr>
          <w:rFonts w:hint="eastAsia"/>
          <w:highlight w:val="none"/>
        </w:rPr>
        <w:t>。本项目占地为工业用地。</w:t>
      </w:r>
    </w:p>
    <w:p w14:paraId="0049B807">
      <w:pPr>
        <w:pStyle w:val="47"/>
        <w:rPr>
          <w:rFonts w:hint="default"/>
          <w:lang w:val="en-US"/>
        </w:rPr>
      </w:pPr>
      <w:r>
        <w:rPr>
          <w:rFonts w:hint="eastAsia"/>
        </w:rPr>
        <w:t>（2）</w:t>
      </w:r>
      <w:r>
        <w:rPr>
          <w:rFonts w:hint="eastAsia"/>
          <w:u w:val="none"/>
        </w:rPr>
        <w:t>项目建成后废气主要为配料搅拌</w:t>
      </w:r>
      <w:r>
        <w:rPr>
          <w:rFonts w:hint="eastAsia"/>
          <w:u w:val="none"/>
          <w:lang w:val="en-US" w:eastAsia="zh-CN"/>
        </w:rPr>
        <w:t>工序</w:t>
      </w:r>
      <w:r>
        <w:rPr>
          <w:rFonts w:hint="eastAsia"/>
          <w:u w:val="none"/>
        </w:rPr>
        <w:t>废气、挤出</w:t>
      </w:r>
      <w:r>
        <w:rPr>
          <w:rFonts w:hint="eastAsia"/>
          <w:u w:val="none"/>
          <w:lang w:val="en-US" w:eastAsia="zh-CN"/>
        </w:rPr>
        <w:t>工序</w:t>
      </w:r>
      <w:r>
        <w:rPr>
          <w:rFonts w:hint="eastAsia"/>
          <w:u w:val="none"/>
        </w:rPr>
        <w:t>废气。其中配料搅拌</w:t>
      </w:r>
      <w:r>
        <w:rPr>
          <w:rFonts w:hint="eastAsia"/>
          <w:u w:val="none"/>
          <w:lang w:val="en-US" w:eastAsia="zh-CN"/>
        </w:rPr>
        <w:t>工序</w:t>
      </w:r>
      <w:r>
        <w:rPr>
          <w:rFonts w:hint="eastAsia"/>
          <w:u w:val="none"/>
        </w:rPr>
        <w:t>废气污染因子主要为颗粒物</w:t>
      </w:r>
      <w:r>
        <w:rPr>
          <w:rFonts w:hint="eastAsia"/>
          <w:u w:val="none"/>
          <w:lang w:eastAsia="zh-CN"/>
        </w:rPr>
        <w:t>，</w:t>
      </w:r>
      <w:r>
        <w:rPr>
          <w:rFonts w:hint="eastAsia"/>
          <w:lang w:val="en-US" w:eastAsia="zh-CN"/>
        </w:rPr>
        <w:t>挤出工序</w:t>
      </w:r>
      <w:r>
        <w:rPr>
          <w:rFonts w:hint="eastAsia"/>
          <w:u w:val="none"/>
        </w:rPr>
        <w:t>废气主要为</w:t>
      </w:r>
      <w:r>
        <w:rPr>
          <w:rFonts w:hint="eastAsia"/>
          <w:lang w:val="en-US" w:eastAsia="zh-CN"/>
        </w:rPr>
        <w:t>颗粒物、</w:t>
      </w:r>
      <w:r>
        <w:rPr>
          <w:rFonts w:hint="eastAsia"/>
        </w:rPr>
        <w:t>非甲烷总烃</w:t>
      </w:r>
      <w:r>
        <w:rPr>
          <w:rFonts w:hint="eastAsia"/>
          <w:lang w:eastAsia="zh-CN"/>
        </w:rPr>
        <w:t>、</w:t>
      </w:r>
      <w:r>
        <w:rPr>
          <w:rFonts w:hint="eastAsia"/>
          <w:lang w:val="en-US" w:eastAsia="zh-CN"/>
        </w:rPr>
        <w:t>HCL、臭气浓度，废气分别经集气罩收集，引入3套“布袋除尘器</w:t>
      </w:r>
      <w:r>
        <w:rPr>
          <w:rFonts w:hint="eastAsia"/>
        </w:rPr>
        <w:t>+</w:t>
      </w:r>
      <w:r>
        <w:rPr>
          <w:rFonts w:hint="eastAsia"/>
          <w:lang w:val="en-US" w:eastAsia="zh-CN"/>
        </w:rPr>
        <w:t>2级</w:t>
      </w:r>
      <w:r>
        <w:rPr>
          <w:rFonts w:hint="eastAsia"/>
        </w:rPr>
        <w:t>活性炭吸附装置</w:t>
      </w:r>
      <w:r>
        <w:rPr>
          <w:rFonts w:hint="eastAsia"/>
          <w:lang w:val="en-US" w:eastAsia="zh-CN"/>
        </w:rPr>
        <w:t>”后，由3根15m高排气筒排放。</w:t>
      </w:r>
    </w:p>
    <w:p w14:paraId="5FE9F14F">
      <w:pPr>
        <w:pStyle w:val="47"/>
        <w:rPr>
          <w:rFonts w:hint="eastAsia"/>
        </w:rPr>
      </w:pPr>
      <w:r>
        <w:rPr>
          <w:rFonts w:hint="eastAsia"/>
        </w:rPr>
        <w:t>（3）项目生产工艺先进，破碎及清洗废水经</w:t>
      </w:r>
      <w:r>
        <w:rPr>
          <w:rFonts w:hint="eastAsia"/>
          <w:lang w:val="en-US" w:eastAsia="zh-CN"/>
        </w:rPr>
        <w:t>沉淀池沉淀后</w:t>
      </w:r>
      <w:r>
        <w:rPr>
          <w:rFonts w:hint="eastAsia"/>
        </w:rPr>
        <w:t>回用于破碎及清洗工序，废水不外排。满足清洁生产要求。</w:t>
      </w:r>
    </w:p>
    <w:p w14:paraId="56DF4DF8">
      <w:pPr>
        <w:pStyle w:val="90"/>
        <w:bidi w:val="0"/>
        <w:ind w:left="0" w:leftChars="0" w:firstLine="0" w:firstLineChars="0"/>
        <w:rPr>
          <w:rFonts w:hint="eastAsia"/>
        </w:rPr>
      </w:pPr>
      <w:bookmarkStart w:id="3" w:name="_Toc12469"/>
      <w:r>
        <w:rPr>
          <w:rFonts w:hint="eastAsia"/>
        </w:rPr>
        <w:t>环境影响评价的工作过程</w:t>
      </w:r>
      <w:bookmarkEnd w:id="3"/>
    </w:p>
    <w:p w14:paraId="41DA7844">
      <w:pPr>
        <w:pStyle w:val="47"/>
        <w:ind w:firstLine="700" w:firstLineChars="250"/>
        <w:rPr>
          <w:rFonts w:hint="eastAsia"/>
          <w:u w:val="none"/>
        </w:rPr>
      </w:pPr>
      <w:r>
        <w:rPr>
          <w:rFonts w:hint="eastAsia"/>
          <w:u w:val="none"/>
        </w:rPr>
        <w:t>按照《中华人民共和国环境保护法》、《中华人民共和国环境影响评价法》和《建设项目环境保护管理条例》（国务院第682号令）的要求，本项目须进行环境影响评价。依据《建设项目环境影响评价分类管理名录》（2021年版），本项目属于“二十六、橡胶和塑料制品业29-53塑料制品业292-以再生塑料为原料生产”，应当编制环境影响报告书。</w:t>
      </w:r>
    </w:p>
    <w:p w14:paraId="30BFB5D4">
      <w:pPr>
        <w:pStyle w:val="47"/>
        <w:tabs>
          <w:tab w:val="left" w:pos="4395"/>
        </w:tabs>
        <w:ind w:firstLine="482"/>
        <w:rPr>
          <w:rFonts w:hint="eastAsia"/>
        </w:rPr>
      </w:pPr>
      <w:r>
        <w:rPr>
          <w:rFonts w:hint="eastAsia"/>
          <w:u w:val="none"/>
        </w:rPr>
        <w:t>公司接受委托后，及时组织人员到项目现场进行调查和勘察，并在资料收集整理，环境质量现状监测等的基础上，遵照国家及省内有关环保法规和评价技术导则的有关规定和要求，本着客观、公正、科学、规范的要求，编制完成了项目的环境影响报告书。</w:t>
      </w:r>
    </w:p>
    <w:p w14:paraId="62260DDF">
      <w:pPr>
        <w:pStyle w:val="47"/>
        <w:tabs>
          <w:tab w:val="left" w:pos="4395"/>
        </w:tabs>
        <w:ind w:firstLine="482"/>
        <w:rPr>
          <w:rFonts w:hint="eastAsia"/>
        </w:rPr>
      </w:pPr>
      <w:r>
        <w:rPr>
          <w:rFonts w:hint="eastAsia"/>
          <w:highlight w:val="none"/>
        </w:rPr>
        <w:t>在环评报告编制期间，建设单位于202</w:t>
      </w:r>
      <w:r>
        <w:rPr>
          <w:rFonts w:hint="eastAsia"/>
          <w:highlight w:val="none"/>
          <w:lang w:val="en-US" w:eastAsia="zh-CN"/>
        </w:rPr>
        <w:t>5</w:t>
      </w:r>
      <w:r>
        <w:rPr>
          <w:rFonts w:hint="eastAsia"/>
          <w:highlight w:val="none"/>
        </w:rPr>
        <w:t>年</w:t>
      </w:r>
      <w:r>
        <w:rPr>
          <w:rFonts w:hint="eastAsia"/>
          <w:highlight w:val="none"/>
          <w:lang w:val="en-US" w:eastAsia="zh-CN"/>
        </w:rPr>
        <w:t>1</w:t>
      </w:r>
      <w:r>
        <w:rPr>
          <w:rFonts w:hint="eastAsia"/>
          <w:highlight w:val="none"/>
        </w:rPr>
        <w:t>月</w:t>
      </w:r>
      <w:r>
        <w:rPr>
          <w:rFonts w:hint="eastAsia"/>
          <w:highlight w:val="none"/>
          <w:lang w:val="en-US" w:eastAsia="zh-CN"/>
        </w:rPr>
        <w:t>23</w:t>
      </w:r>
      <w:r>
        <w:rPr>
          <w:rFonts w:hint="eastAsia"/>
          <w:highlight w:val="none"/>
        </w:rPr>
        <w:t>日在“环保</w:t>
      </w:r>
      <w:r>
        <w:rPr>
          <w:rFonts w:hint="eastAsia"/>
          <w:highlight w:val="none"/>
          <w:lang w:val="en-US" w:eastAsia="zh-CN"/>
        </w:rPr>
        <w:t>之家</w:t>
      </w:r>
      <w:r>
        <w:rPr>
          <w:rFonts w:hint="eastAsia"/>
          <w:highlight w:val="none"/>
        </w:rPr>
        <w:t>”网站进行了第一次环境影响评价信息公示，2024年</w:t>
      </w:r>
      <w:r>
        <w:rPr>
          <w:rFonts w:hint="eastAsia"/>
          <w:highlight w:val="none"/>
          <w:lang w:val="en-US" w:eastAsia="zh-CN"/>
        </w:rPr>
        <w:t>9</w:t>
      </w:r>
      <w:r>
        <w:rPr>
          <w:rFonts w:hint="eastAsia"/>
          <w:highlight w:val="none"/>
        </w:rPr>
        <w:t>月</w:t>
      </w:r>
      <w:r>
        <w:rPr>
          <w:rFonts w:hint="eastAsia"/>
          <w:highlight w:val="none"/>
          <w:lang w:val="en-US" w:eastAsia="zh-CN"/>
        </w:rPr>
        <w:t>及2025年1月</w:t>
      </w:r>
      <w:r>
        <w:rPr>
          <w:rFonts w:hint="eastAsia"/>
          <w:highlight w:val="none"/>
        </w:rPr>
        <w:t>委托河北磊清检测技术服务有限公司</w:t>
      </w:r>
      <w:r>
        <w:rPr>
          <w:rFonts w:hint="eastAsia"/>
          <w:highlight w:val="none"/>
          <w:lang w:eastAsia="zh-CN"/>
        </w:rPr>
        <w:t>、河北新环检测集团有限公司</w:t>
      </w:r>
      <w:r>
        <w:rPr>
          <w:rFonts w:hint="eastAsia"/>
          <w:highlight w:val="none"/>
        </w:rPr>
        <w:t>开展环境质量现状监测。在得到环评初步结论后，建设单位于202</w:t>
      </w:r>
      <w:r>
        <w:rPr>
          <w:rFonts w:hint="eastAsia"/>
          <w:highlight w:val="none"/>
          <w:lang w:val="en-US" w:eastAsia="zh-CN"/>
        </w:rPr>
        <w:t>5</w:t>
      </w:r>
      <w:r>
        <w:rPr>
          <w:rFonts w:hint="eastAsia"/>
          <w:highlight w:val="none"/>
        </w:rPr>
        <w:t>年</w:t>
      </w:r>
      <w:r>
        <w:rPr>
          <w:rFonts w:hint="eastAsia"/>
          <w:highlight w:val="none"/>
          <w:lang w:val="en-US" w:eastAsia="zh-CN"/>
        </w:rPr>
        <w:t>2</w:t>
      </w:r>
      <w:r>
        <w:rPr>
          <w:rFonts w:hint="eastAsia"/>
          <w:highlight w:val="none"/>
        </w:rPr>
        <w:t>月</w:t>
      </w:r>
      <w:r>
        <w:rPr>
          <w:rFonts w:hint="eastAsia"/>
          <w:highlight w:val="none"/>
          <w:lang w:val="en-US" w:eastAsia="zh-CN"/>
        </w:rPr>
        <w:t>8</w:t>
      </w:r>
      <w:r>
        <w:rPr>
          <w:rFonts w:hint="eastAsia"/>
          <w:highlight w:val="none"/>
        </w:rPr>
        <w:t>日~</w:t>
      </w:r>
      <w:r>
        <w:rPr>
          <w:rFonts w:hint="eastAsia"/>
          <w:highlight w:val="none"/>
          <w:lang w:val="en-US" w:eastAsia="zh-CN"/>
        </w:rPr>
        <w:t>2</w:t>
      </w:r>
      <w:r>
        <w:rPr>
          <w:rFonts w:hint="eastAsia"/>
          <w:highlight w:val="none"/>
        </w:rPr>
        <w:t>月1</w:t>
      </w:r>
      <w:r>
        <w:rPr>
          <w:rFonts w:hint="eastAsia"/>
          <w:highlight w:val="none"/>
          <w:lang w:val="en-US" w:eastAsia="zh-CN"/>
        </w:rPr>
        <w:t>7</w:t>
      </w:r>
      <w:r>
        <w:rPr>
          <w:rFonts w:hint="eastAsia"/>
          <w:highlight w:val="none"/>
        </w:rPr>
        <w:t>日通过网络公示、报刊公示</w:t>
      </w:r>
      <w:r>
        <w:rPr>
          <w:rFonts w:hint="eastAsia"/>
        </w:rPr>
        <w:t>、公告张贴等形式进行了第二次公众意见调查工作；两次公示期间均未收到反馈意见。</w:t>
      </w:r>
    </w:p>
    <w:p w14:paraId="31CC02C2">
      <w:pPr>
        <w:pStyle w:val="47"/>
        <w:tabs>
          <w:tab w:val="left" w:pos="4395"/>
        </w:tabs>
        <w:ind w:firstLine="482"/>
        <w:rPr>
          <w:rFonts w:hint="eastAsia"/>
        </w:rPr>
      </w:pPr>
      <w:r>
        <w:rPr>
          <w:rFonts w:hint="eastAsia"/>
        </w:rPr>
        <w:t>在以上工作基础上，评价单位按照《建设项目环境影响评价技术导则》的要求和各级生态环境保护行政主管部门的意见，编制完成了《</w:t>
      </w:r>
      <w:r>
        <w:rPr>
          <w:rFonts w:hint="eastAsia"/>
          <w:lang w:eastAsia="zh-CN"/>
        </w:rPr>
        <w:t>顺平县金光塑料制品有限公司年产25000吨PVC塑料制品建设项目</w:t>
      </w:r>
      <w:r>
        <w:rPr>
          <w:rFonts w:hint="eastAsia"/>
        </w:rPr>
        <w:t>环境影响报告书》（</w:t>
      </w:r>
      <w:r>
        <w:rPr>
          <w:rFonts w:hint="eastAsia"/>
          <w:lang w:val="en-US" w:eastAsia="zh-CN"/>
        </w:rPr>
        <w:t>送</w:t>
      </w:r>
      <w:r>
        <w:rPr>
          <w:rFonts w:hint="eastAsia"/>
        </w:rPr>
        <w:t>审版）。</w:t>
      </w:r>
    </w:p>
    <w:p w14:paraId="50FA5BB6">
      <w:pPr>
        <w:pStyle w:val="47"/>
        <w:tabs>
          <w:tab w:val="left" w:pos="4395"/>
        </w:tabs>
        <w:ind w:firstLine="482"/>
      </w:pPr>
      <w:r>
        <w:rPr>
          <w:rFonts w:hint="eastAsia"/>
        </w:rPr>
        <w:t>本项目环境影响评价工作程序见图1.3-1。</w:t>
      </w:r>
    </w:p>
    <w:p w14:paraId="5708CB3D">
      <w:pPr>
        <w:pStyle w:val="55"/>
        <w:keepNext w:val="0"/>
        <w:keepLines w:val="0"/>
        <w:pageBreakBefore w:val="0"/>
        <w:widowControl/>
        <w:kinsoku/>
        <w:wordWrap/>
        <w:overflowPunct/>
        <w:topLinePunct w:val="0"/>
        <w:autoSpaceDE/>
        <w:autoSpaceDN/>
        <w:bidi w:val="0"/>
        <w:adjustRightInd w:val="0"/>
        <w:snapToGrid w:val="0"/>
        <w:spacing w:line="360" w:lineRule="auto"/>
        <w:textAlignment w:val="auto"/>
      </w:pPr>
      <w:r>
        <w:drawing>
          <wp:inline distT="0" distB="0" distL="0" distR="0">
            <wp:extent cx="4042410" cy="4556125"/>
            <wp:effectExtent l="0" t="0" r="15240" b="15875"/>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15">
                      <a:extLst>
                        <a:ext uri="{28A0092B-C50C-407E-A947-70E740481C1C}">
                          <a14:useLocalDpi xmlns:a14="http://schemas.microsoft.com/office/drawing/2010/main" val="0"/>
                        </a:ext>
                      </a:extLst>
                    </a:blip>
                    <a:stretch>
                      <a:fillRect/>
                    </a:stretch>
                  </pic:blipFill>
                  <pic:spPr>
                    <a:xfrm>
                      <a:off x="0" y="0"/>
                      <a:ext cx="4042410" cy="4556125"/>
                    </a:xfrm>
                    <a:prstGeom prst="rect">
                      <a:avLst/>
                    </a:prstGeom>
                  </pic:spPr>
                </pic:pic>
              </a:graphicData>
            </a:graphic>
          </wp:inline>
        </w:drawing>
      </w:r>
    </w:p>
    <w:p w14:paraId="482FD169">
      <w:pPr>
        <w:pStyle w:val="98"/>
        <w:bidi w:val="0"/>
        <w:ind w:left="0" w:leftChars="0" w:firstLine="0" w:firstLineChars="0"/>
      </w:pPr>
      <w:r>
        <w:rPr>
          <w:rFonts w:hint="eastAsia"/>
        </w:rPr>
        <w:t>环境影响评价工作程序图</w:t>
      </w:r>
    </w:p>
    <w:p w14:paraId="00CE975D">
      <w:pPr>
        <w:pStyle w:val="90"/>
        <w:bidi w:val="0"/>
        <w:ind w:left="0" w:leftChars="0" w:firstLine="0" w:firstLineChars="0"/>
        <w:rPr>
          <w:rFonts w:hint="eastAsia"/>
        </w:rPr>
      </w:pPr>
      <w:bookmarkStart w:id="4" w:name="_Toc21790"/>
      <w:r>
        <w:rPr>
          <w:rFonts w:hint="eastAsia"/>
        </w:rPr>
        <w:t>分析判断相关情况</w:t>
      </w:r>
      <w:bookmarkEnd w:id="4"/>
    </w:p>
    <w:p w14:paraId="66BCA7E3">
      <w:pPr>
        <w:pStyle w:val="92"/>
        <w:bidi w:val="0"/>
        <w:ind w:left="0" w:leftChars="0" w:firstLine="0" w:firstLineChars="0"/>
        <w:rPr>
          <w:rFonts w:hint="eastAsia"/>
        </w:rPr>
      </w:pPr>
      <w:r>
        <w:rPr>
          <w:rFonts w:hint="eastAsia"/>
        </w:rPr>
        <w:t>“三线一单”符合性</w:t>
      </w:r>
    </w:p>
    <w:p w14:paraId="54272718">
      <w:pPr>
        <w:pStyle w:val="47"/>
        <w:bidi w:val="0"/>
        <w:rPr>
          <w:rFonts w:hint="eastAsia"/>
          <w:lang w:val="en-GB" w:eastAsia="zh-CN"/>
        </w:rPr>
      </w:pPr>
      <w:r>
        <w:rPr>
          <w:rFonts w:hint="eastAsia"/>
          <w:lang w:val="en-GB" w:eastAsia="zh-CN"/>
        </w:rPr>
        <w:t>（1）生态</w:t>
      </w:r>
      <w:r>
        <w:rPr>
          <w:rFonts w:hint="eastAsia"/>
          <w:lang w:val="en-US" w:eastAsia="zh-CN"/>
        </w:rPr>
        <w:t>保护红线</w:t>
      </w:r>
      <w:r>
        <w:rPr>
          <w:rFonts w:hint="eastAsia"/>
          <w:lang w:val="en-GB" w:eastAsia="zh-CN"/>
        </w:rPr>
        <w:t>符合性分析</w:t>
      </w:r>
    </w:p>
    <w:p w14:paraId="48EE89D3">
      <w:pPr>
        <w:pStyle w:val="47"/>
        <w:bidi w:val="0"/>
        <w:rPr>
          <w:rFonts w:hint="eastAsia"/>
          <w:lang w:val="en-GB" w:eastAsia="zh-CN"/>
        </w:rPr>
      </w:pPr>
      <w:r>
        <w:rPr>
          <w:rFonts w:hint="eastAsia"/>
          <w:lang w:val="en-GB" w:eastAsia="zh-CN"/>
        </w:rPr>
        <w:t>对照《河北省人民政府关于发布&lt;河北省生态保护红线&gt;的通知》（冀政字〔2018年〕23号），项目在河北省保定市顺平县顺高线（原职教中心院内）内建设，不在生态保护红线内。</w:t>
      </w:r>
    </w:p>
    <w:p w14:paraId="6FC7CFD0">
      <w:pPr>
        <w:pStyle w:val="47"/>
        <w:bidi w:val="0"/>
        <w:rPr>
          <w:rFonts w:hint="eastAsia"/>
          <w:lang w:val="en-GB" w:eastAsia="zh-CN"/>
        </w:rPr>
      </w:pPr>
      <w:r>
        <w:rPr>
          <w:rFonts w:hint="eastAsia"/>
          <w:lang w:val="en-GB" w:eastAsia="zh-CN"/>
        </w:rPr>
        <w:t>（</w:t>
      </w:r>
      <w:r>
        <w:rPr>
          <w:rFonts w:hint="eastAsia"/>
          <w:lang w:val="en-US" w:eastAsia="zh-CN"/>
        </w:rPr>
        <w:t>2</w:t>
      </w:r>
      <w:r>
        <w:rPr>
          <w:rFonts w:hint="eastAsia"/>
          <w:lang w:val="en-GB" w:eastAsia="zh-CN"/>
        </w:rPr>
        <w:t>）环境质量底线符合性分析</w:t>
      </w:r>
    </w:p>
    <w:p w14:paraId="02846AF2">
      <w:pPr>
        <w:pStyle w:val="47"/>
        <w:bidi w:val="0"/>
        <w:rPr>
          <w:rFonts w:hint="eastAsia"/>
          <w:lang w:val="en-GB" w:eastAsia="zh-CN"/>
        </w:rPr>
      </w:pPr>
      <w:r>
        <w:rPr>
          <w:rFonts w:hint="eastAsia"/>
          <w:lang w:val="en-GB" w:eastAsia="zh-CN"/>
        </w:rPr>
        <w:t>废气经治理后达标排放；生活污水排入防渗旱厕，定期清掏；固体废物全部合理处置，对周边环境质量影响较小，不会触及环境质量底线。</w:t>
      </w:r>
    </w:p>
    <w:p w14:paraId="31786C35">
      <w:pPr>
        <w:pStyle w:val="47"/>
        <w:bidi w:val="0"/>
        <w:rPr>
          <w:rFonts w:hint="eastAsia"/>
          <w:lang w:val="en-GB" w:eastAsia="zh-CN"/>
        </w:rPr>
      </w:pPr>
      <w:r>
        <w:rPr>
          <w:rFonts w:hint="eastAsia"/>
          <w:lang w:val="en-GB" w:eastAsia="zh-CN"/>
        </w:rPr>
        <w:t>（</w:t>
      </w:r>
      <w:r>
        <w:rPr>
          <w:rFonts w:hint="eastAsia"/>
          <w:lang w:val="en-US" w:eastAsia="zh-CN"/>
        </w:rPr>
        <w:t>3</w:t>
      </w:r>
      <w:r>
        <w:rPr>
          <w:rFonts w:hint="eastAsia"/>
          <w:lang w:val="en-GB" w:eastAsia="zh-CN"/>
        </w:rPr>
        <w:t>）资源利用上线符合性分析</w:t>
      </w:r>
    </w:p>
    <w:p w14:paraId="3619869F">
      <w:pPr>
        <w:pStyle w:val="47"/>
        <w:bidi w:val="0"/>
        <w:rPr>
          <w:rFonts w:hint="eastAsia"/>
          <w:lang w:val="en-GB" w:eastAsia="zh-CN"/>
        </w:rPr>
      </w:pPr>
      <w:r>
        <w:rPr>
          <w:rFonts w:hint="eastAsia"/>
          <w:lang w:val="en-GB" w:eastAsia="zh-CN"/>
        </w:rPr>
        <w:t>项目租赁河北凯巍塑业有限公司进行建设，符合区域土地资源利用要求；运营过程中有一定的电力资源、水资源的消耗，相对区域资源利用总量较少，不会触及资源利用上线。</w:t>
      </w:r>
    </w:p>
    <w:p w14:paraId="58981287">
      <w:pPr>
        <w:pStyle w:val="47"/>
        <w:bidi w:val="0"/>
        <w:rPr>
          <w:rFonts w:hint="eastAsia"/>
          <w:lang w:val="en-GB" w:eastAsia="zh-CN"/>
        </w:rPr>
      </w:pPr>
      <w:r>
        <w:rPr>
          <w:rFonts w:hint="eastAsia"/>
          <w:lang w:val="en-GB" w:eastAsia="zh-CN"/>
        </w:rPr>
        <w:t>（4）生态环境准入清单符合性分析</w:t>
      </w:r>
    </w:p>
    <w:p w14:paraId="13E7E1C6">
      <w:pPr>
        <w:pStyle w:val="47"/>
        <w:bidi w:val="0"/>
        <w:rPr>
          <w:rFonts w:hint="eastAsia" w:ascii="Times New Roman" w:hAnsi="Times New Roman" w:eastAsia="楷体" w:cs="Times New Roman"/>
          <w:snapToGrid w:val="0"/>
          <w:color w:val="000000" w:themeColor="text1"/>
          <w:kern w:val="0"/>
          <w:sz w:val="28"/>
          <w:szCs w:val="21"/>
          <w:lang w:val="en-GB" w:eastAsia="zh-CN" w:bidi="ar-SA"/>
          <w14:textFill>
            <w14:solidFill>
              <w14:schemeClr w14:val="tx1"/>
            </w14:solidFill>
          </w14:textFill>
        </w:rPr>
      </w:pPr>
      <w:r>
        <w:rPr>
          <w:rFonts w:hint="eastAsia"/>
          <w:lang w:val="en-GB" w:eastAsia="zh-CN"/>
        </w:rPr>
        <w:t>根据</w:t>
      </w:r>
      <w:r>
        <w:rPr>
          <w:rFonts w:hint="eastAsia"/>
          <w:highlight w:val="none"/>
          <w:lang w:val="en-GB" w:eastAsia="zh-CN"/>
        </w:rPr>
        <w:t>《保定市生态环境分区管控成果2023更新方案》，项目位于重点管控单元（见附图</w:t>
      </w:r>
      <w:r>
        <w:rPr>
          <w:rFonts w:hint="eastAsia"/>
          <w:highlight w:val="none"/>
          <w:lang w:val="en-US" w:eastAsia="zh-CN"/>
        </w:rPr>
        <w:t>9</w:t>
      </w:r>
      <w:r>
        <w:rPr>
          <w:rFonts w:hint="eastAsia"/>
          <w:highlight w:val="none"/>
          <w:lang w:val="en-GB" w:eastAsia="zh-CN"/>
        </w:rPr>
        <w:t>）</w:t>
      </w:r>
      <w:r>
        <w:rPr>
          <w:rFonts w:hint="eastAsia"/>
          <w:lang w:val="en-GB" w:eastAsia="zh-CN"/>
        </w:rPr>
        <w:t>，</w:t>
      </w:r>
      <w:r>
        <w:rPr>
          <w:rFonts w:hint="eastAsia"/>
          <w:lang w:val="en-US" w:eastAsia="zh-CN"/>
        </w:rPr>
        <w:t>单位</w:t>
      </w:r>
      <w:r>
        <w:rPr>
          <w:rFonts w:hint="eastAsia"/>
          <w:lang w:val="en-GB" w:eastAsia="zh-CN"/>
        </w:rPr>
        <w:t>编码ZH13063620137（涉及乡镇包括：蒲阳镇、高于铺镇、腰山镇、蒲上镇、白云乡、河口乡、安阳乡、台鱼乡），符合性分析见</w:t>
      </w:r>
      <w:r>
        <w:rPr>
          <w:rFonts w:hint="eastAsia"/>
          <w:lang w:val="en-US" w:eastAsia="zh-CN"/>
        </w:rPr>
        <w:t>下</w:t>
      </w:r>
      <w:r>
        <w:rPr>
          <w:rFonts w:hint="eastAsia"/>
          <w:lang w:val="en-GB" w:eastAsia="zh-CN"/>
        </w:rPr>
        <w:t>表。</w:t>
      </w:r>
    </w:p>
    <w:p w14:paraId="0E995200">
      <w:pPr>
        <w:pStyle w:val="94"/>
        <w:bidi w:val="0"/>
        <w:ind w:left="0" w:leftChars="0" w:firstLine="0" w:firstLineChars="0"/>
        <w:rPr>
          <w:rFonts w:hint="eastAsia"/>
          <w:lang w:val="en-GB" w:eastAsia="zh-CN"/>
        </w:rPr>
      </w:pPr>
      <w:r>
        <w:rPr>
          <w:rFonts w:hint="eastAsia"/>
          <w:lang w:val="en-GB" w:eastAsia="zh-CN"/>
        </w:rPr>
        <w:t>项目与“三线一单”总体管控要求符合性分析一览表</w:t>
      </w:r>
    </w:p>
    <w:tbl>
      <w:tblPr>
        <w:tblStyle w:val="32"/>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50"/>
        <w:gridCol w:w="1181"/>
        <w:gridCol w:w="3219"/>
        <w:gridCol w:w="3431"/>
      </w:tblGrid>
      <w:tr w14:paraId="3B99C5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blHeader/>
          <w:jc w:val="center"/>
        </w:trPr>
        <w:tc>
          <w:tcPr>
            <w:tcW w:w="781" w:type="pct"/>
            <w:noWrap w:val="0"/>
            <w:vAlign w:val="center"/>
          </w:tcPr>
          <w:p w14:paraId="3E456350">
            <w:pPr>
              <w:pStyle w:val="55"/>
              <w:bidi w:val="0"/>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清单类别</w:t>
            </w:r>
          </w:p>
        </w:tc>
        <w:tc>
          <w:tcPr>
            <w:tcW w:w="2370" w:type="pct"/>
            <w:gridSpan w:val="2"/>
            <w:noWrap w:val="0"/>
            <w:vAlign w:val="center"/>
          </w:tcPr>
          <w:p w14:paraId="13633FEC">
            <w:pPr>
              <w:pStyle w:val="55"/>
              <w:bidi w:val="0"/>
              <w:rPr>
                <w:rFonts w:hint="default" w:ascii="Times New Roman" w:hAnsi="Times New Roman" w:eastAsia="楷体" w:cs="Times New Roman"/>
                <w:sz w:val="24"/>
                <w:szCs w:val="24"/>
                <w:lang w:val="en-US"/>
              </w:rPr>
            </w:pPr>
            <w:r>
              <w:rPr>
                <w:rFonts w:hint="default" w:ascii="Times New Roman" w:hAnsi="Times New Roman" w:eastAsia="楷体" w:cs="Times New Roman"/>
                <w:sz w:val="24"/>
                <w:szCs w:val="24"/>
                <w:lang w:val="en-US" w:eastAsia="zh-CN"/>
              </w:rPr>
              <w:t>涉及本项目的管控维度及要求</w:t>
            </w:r>
          </w:p>
        </w:tc>
        <w:tc>
          <w:tcPr>
            <w:tcW w:w="1848" w:type="pct"/>
            <w:noWrap w:val="0"/>
            <w:vAlign w:val="center"/>
          </w:tcPr>
          <w:p w14:paraId="7F9C626C">
            <w:pPr>
              <w:pStyle w:val="55"/>
              <w:bidi w:val="0"/>
              <w:rPr>
                <w:rFonts w:hint="default" w:ascii="Times New Roman" w:hAnsi="Times New Roman" w:eastAsia="楷体" w:cs="Times New Roman"/>
                <w:sz w:val="24"/>
                <w:szCs w:val="24"/>
              </w:rPr>
            </w:pPr>
            <w:r>
              <w:rPr>
                <w:rFonts w:hint="default" w:ascii="Times New Roman" w:hAnsi="Times New Roman" w:eastAsia="楷体" w:cs="Times New Roman"/>
                <w:sz w:val="24"/>
                <w:szCs w:val="24"/>
              </w:rPr>
              <w:t>符合性分析</w:t>
            </w:r>
          </w:p>
        </w:tc>
      </w:tr>
      <w:tr w14:paraId="5168B1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81" w:type="pct"/>
            <w:noWrap w:val="0"/>
            <w:vAlign w:val="center"/>
          </w:tcPr>
          <w:p w14:paraId="6E164B43">
            <w:pPr>
              <w:pStyle w:val="55"/>
              <w:bidi w:val="0"/>
              <w:rPr>
                <w:rFonts w:hint="default" w:ascii="Times New Roman" w:hAnsi="Times New Roman" w:eastAsia="楷体" w:cs="Times New Roman"/>
                <w:sz w:val="24"/>
                <w:szCs w:val="24"/>
              </w:rPr>
            </w:pPr>
            <w:r>
              <w:rPr>
                <w:rFonts w:hint="default" w:ascii="Times New Roman" w:hAnsi="Times New Roman" w:eastAsia="楷体" w:cs="Times New Roman"/>
                <w:sz w:val="24"/>
                <w:szCs w:val="24"/>
              </w:rPr>
              <w:t>生态空间总体管控要求</w:t>
            </w:r>
          </w:p>
        </w:tc>
        <w:tc>
          <w:tcPr>
            <w:tcW w:w="2370" w:type="pct"/>
            <w:gridSpan w:val="2"/>
            <w:noWrap w:val="0"/>
            <w:vAlign w:val="center"/>
          </w:tcPr>
          <w:p w14:paraId="6DB65442">
            <w:pPr>
              <w:pStyle w:val="55"/>
              <w:bidi w:val="0"/>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不涉及</w:t>
            </w:r>
          </w:p>
        </w:tc>
        <w:tc>
          <w:tcPr>
            <w:tcW w:w="1848" w:type="pct"/>
            <w:noWrap w:val="0"/>
            <w:vAlign w:val="center"/>
          </w:tcPr>
          <w:p w14:paraId="7F0E9B95">
            <w:pPr>
              <w:pStyle w:val="55"/>
              <w:bidi w:val="0"/>
              <w:rPr>
                <w:rFonts w:hint="default" w:ascii="Times New Roman" w:hAnsi="Times New Roman" w:eastAsia="楷体" w:cs="Times New Roman"/>
                <w:sz w:val="24"/>
                <w:szCs w:val="24"/>
                <w:lang w:eastAsia="zh-CN"/>
              </w:rPr>
            </w:pPr>
            <w:r>
              <w:rPr>
                <w:rFonts w:hint="default" w:ascii="Times New Roman" w:hAnsi="Times New Roman" w:eastAsia="楷体" w:cs="Times New Roman"/>
                <w:sz w:val="24"/>
                <w:szCs w:val="24"/>
              </w:rPr>
              <w:t>符合</w:t>
            </w:r>
            <w:r>
              <w:rPr>
                <w:rFonts w:hint="default" w:ascii="Times New Roman" w:hAnsi="Times New Roman" w:eastAsia="楷体" w:cs="Times New Roman"/>
                <w:sz w:val="24"/>
                <w:szCs w:val="24"/>
                <w:lang w:eastAsia="zh-CN"/>
              </w:rPr>
              <w:t>。</w:t>
            </w:r>
          </w:p>
        </w:tc>
      </w:tr>
      <w:tr w14:paraId="492AB0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81" w:type="pct"/>
            <w:vMerge w:val="restart"/>
            <w:noWrap w:val="0"/>
            <w:vAlign w:val="center"/>
          </w:tcPr>
          <w:p w14:paraId="6210A993">
            <w:pPr>
              <w:pStyle w:val="55"/>
              <w:bidi w:val="0"/>
              <w:rPr>
                <w:rFonts w:hint="default" w:ascii="Times New Roman" w:hAnsi="Times New Roman" w:eastAsia="楷体" w:cs="Times New Roman"/>
                <w:sz w:val="24"/>
                <w:szCs w:val="24"/>
              </w:rPr>
            </w:pPr>
            <w:r>
              <w:rPr>
                <w:rFonts w:hint="default" w:ascii="Times New Roman" w:hAnsi="Times New Roman" w:eastAsia="楷体" w:cs="Times New Roman"/>
                <w:sz w:val="24"/>
                <w:szCs w:val="24"/>
              </w:rPr>
              <w:t>产业准入及布局总体管控要求</w:t>
            </w:r>
          </w:p>
        </w:tc>
        <w:tc>
          <w:tcPr>
            <w:tcW w:w="2370" w:type="pct"/>
            <w:gridSpan w:val="2"/>
            <w:noWrap w:val="0"/>
            <w:vAlign w:val="center"/>
          </w:tcPr>
          <w:p w14:paraId="6C884974">
            <w:pPr>
              <w:pStyle w:val="55"/>
              <w:bidi w:val="0"/>
              <w:jc w:val="both"/>
              <w:rPr>
                <w:rFonts w:hint="default" w:ascii="Times New Roman" w:hAnsi="Times New Roman" w:eastAsia="楷体" w:cs="Times New Roman"/>
                <w:sz w:val="24"/>
                <w:szCs w:val="24"/>
              </w:rPr>
            </w:pPr>
            <w:r>
              <w:rPr>
                <w:rFonts w:hint="default" w:ascii="Times New Roman" w:hAnsi="Times New Roman" w:eastAsia="楷体" w:cs="Times New Roman"/>
                <w:sz w:val="24"/>
                <w:szCs w:val="24"/>
              </w:rPr>
              <w:t>准入总体要求</w:t>
            </w:r>
            <w:r>
              <w:rPr>
                <w:rFonts w:hint="default" w:ascii="Times New Roman" w:hAnsi="Times New Roman" w:eastAsia="楷体" w:cs="Times New Roman"/>
                <w:sz w:val="24"/>
                <w:szCs w:val="24"/>
                <w:lang w:eastAsia="zh-CN"/>
              </w:rPr>
              <w:t>：</w:t>
            </w:r>
            <w:r>
              <w:rPr>
                <w:rFonts w:hint="default" w:ascii="Times New Roman" w:hAnsi="Times New Roman" w:eastAsia="楷体" w:cs="Times New Roman"/>
                <w:sz w:val="24"/>
                <w:szCs w:val="24"/>
              </w:rPr>
              <w:t>1.新建、扩建产业项目符合《产业结构调整指导目录》、《市场准入负面清单》、《河北省禁止投资的产业目录》、《产业发展与转移指导目录》、《禁止用地项目目录》、《限制用地项目目录》《河北省京冀交界地区新增产业的禁止和限制目录》、《廊坊市广阳区、永清县、固安县和涿州市新增产业的禁止和限制目录》等准入文件要求。</w:t>
            </w:r>
          </w:p>
        </w:tc>
        <w:tc>
          <w:tcPr>
            <w:tcW w:w="1848" w:type="pct"/>
            <w:noWrap w:val="0"/>
            <w:vAlign w:val="center"/>
          </w:tcPr>
          <w:p w14:paraId="1DA1036C">
            <w:pPr>
              <w:pStyle w:val="55"/>
              <w:bidi w:val="0"/>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rPr>
              <w:t>符合</w:t>
            </w:r>
            <w:r>
              <w:rPr>
                <w:rFonts w:hint="default" w:ascii="Times New Roman" w:hAnsi="Times New Roman" w:eastAsia="楷体" w:cs="Times New Roman"/>
                <w:sz w:val="24"/>
                <w:szCs w:val="24"/>
                <w:lang w:eastAsia="zh-CN"/>
              </w:rPr>
              <w:t>。</w:t>
            </w:r>
            <w:r>
              <w:rPr>
                <w:rFonts w:hint="default" w:ascii="Times New Roman" w:hAnsi="Times New Roman" w:eastAsia="楷体" w:cs="Times New Roman"/>
                <w:sz w:val="24"/>
                <w:szCs w:val="24"/>
                <w:lang w:val="en-US" w:eastAsia="zh-CN"/>
              </w:rPr>
              <w:t>项目不在上述文件中的禁止、限制和淘汰类。</w:t>
            </w:r>
          </w:p>
        </w:tc>
      </w:tr>
      <w:tr w14:paraId="18AA14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81" w:type="pct"/>
            <w:vMerge w:val="continue"/>
            <w:noWrap w:val="0"/>
            <w:vAlign w:val="center"/>
          </w:tcPr>
          <w:p w14:paraId="757A2C5A">
            <w:pPr>
              <w:pStyle w:val="55"/>
              <w:bidi w:val="0"/>
              <w:rPr>
                <w:rFonts w:hint="default" w:ascii="Times New Roman" w:hAnsi="Times New Roman" w:eastAsia="楷体" w:cs="Times New Roman"/>
                <w:sz w:val="24"/>
                <w:szCs w:val="24"/>
              </w:rPr>
            </w:pPr>
          </w:p>
        </w:tc>
        <w:tc>
          <w:tcPr>
            <w:tcW w:w="2370" w:type="pct"/>
            <w:gridSpan w:val="2"/>
            <w:tcBorders>
              <w:bottom w:val="single" w:color="auto" w:sz="4" w:space="0"/>
            </w:tcBorders>
            <w:noWrap w:val="0"/>
            <w:vAlign w:val="center"/>
          </w:tcPr>
          <w:p w14:paraId="401A0D42">
            <w:pPr>
              <w:pStyle w:val="55"/>
              <w:bidi w:val="0"/>
              <w:jc w:val="both"/>
              <w:rPr>
                <w:rFonts w:hint="default" w:ascii="Times New Roman" w:hAnsi="Times New Roman" w:eastAsia="楷体" w:cs="Times New Roman"/>
                <w:sz w:val="24"/>
                <w:szCs w:val="24"/>
                <w:lang w:eastAsia="zh-CN"/>
              </w:rPr>
            </w:pPr>
            <w:r>
              <w:rPr>
                <w:rFonts w:hint="default" w:ascii="Times New Roman" w:hAnsi="Times New Roman" w:eastAsia="楷体" w:cs="Times New Roman"/>
                <w:sz w:val="24"/>
                <w:szCs w:val="24"/>
              </w:rPr>
              <w:t>禁止布局要求</w:t>
            </w:r>
            <w:r>
              <w:rPr>
                <w:rFonts w:hint="default" w:ascii="Times New Roman" w:hAnsi="Times New Roman" w:eastAsia="楷体" w:cs="Times New Roman"/>
                <w:sz w:val="24"/>
                <w:szCs w:val="24"/>
                <w:lang w:eastAsia="zh-CN"/>
              </w:rPr>
              <w:t>：4.全市范围禁止生产和销售厚度小于0.025毫米的超薄塑料购物袋、厚度小于0.01毫米的聚乙烯农用地膜，禁止以医疗废物为原料制造塑料制品。禁止生产和销售一次性发泡塑料餐具、一次性塑料棉签；禁止生产、销售含有塑料微珠的日化产品。</w:t>
            </w:r>
          </w:p>
        </w:tc>
        <w:tc>
          <w:tcPr>
            <w:tcW w:w="1848" w:type="pct"/>
            <w:tcBorders>
              <w:bottom w:val="single" w:color="auto" w:sz="4" w:space="0"/>
            </w:tcBorders>
            <w:noWrap w:val="0"/>
            <w:vAlign w:val="center"/>
          </w:tcPr>
          <w:p w14:paraId="04E1831E">
            <w:pPr>
              <w:pStyle w:val="55"/>
              <w:bidi w:val="0"/>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符合。项目属于塑料制品行业，</w:t>
            </w:r>
            <w:r>
              <w:rPr>
                <w:rFonts w:hint="default" w:ascii="Times New Roman" w:hAnsi="Times New Roman" w:eastAsia="楷体" w:cs="Times New Roman"/>
                <w:sz w:val="24"/>
                <w:szCs w:val="24"/>
              </w:rPr>
              <w:t>回收处置塑料制品加工生产的热塑性（主要为淋膜纸）边角料、残次品等，生产PVC电缆颗粒</w:t>
            </w:r>
            <w:r>
              <w:rPr>
                <w:rFonts w:hint="default" w:ascii="Times New Roman" w:hAnsi="Times New Roman" w:eastAsia="楷体" w:cs="Times New Roman"/>
                <w:sz w:val="24"/>
                <w:szCs w:val="24"/>
                <w:lang w:val="en-US" w:eastAsia="zh-CN"/>
              </w:rPr>
              <w:t>。</w:t>
            </w:r>
          </w:p>
        </w:tc>
      </w:tr>
      <w:tr w14:paraId="017A22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81" w:type="pct"/>
            <w:vMerge w:val="continue"/>
            <w:noWrap w:val="0"/>
            <w:vAlign w:val="center"/>
          </w:tcPr>
          <w:p w14:paraId="3213FF04">
            <w:pPr>
              <w:pStyle w:val="55"/>
              <w:bidi w:val="0"/>
              <w:rPr>
                <w:rFonts w:hint="default" w:ascii="Times New Roman" w:hAnsi="Times New Roman" w:eastAsia="楷体" w:cs="Times New Roman"/>
                <w:sz w:val="24"/>
                <w:szCs w:val="24"/>
              </w:rPr>
            </w:pPr>
          </w:p>
        </w:tc>
        <w:tc>
          <w:tcPr>
            <w:tcW w:w="2370" w:type="pct"/>
            <w:gridSpan w:val="2"/>
            <w:tcBorders>
              <w:top w:val="single" w:color="auto" w:sz="4" w:space="0"/>
            </w:tcBorders>
            <w:noWrap w:val="0"/>
            <w:vAlign w:val="center"/>
          </w:tcPr>
          <w:p w14:paraId="10726C08">
            <w:pPr>
              <w:pStyle w:val="55"/>
              <w:bidi w:val="0"/>
              <w:jc w:val="both"/>
              <w:rPr>
                <w:rFonts w:hint="default" w:ascii="Times New Roman" w:hAnsi="Times New Roman" w:eastAsia="楷体" w:cs="Times New Roman"/>
                <w:sz w:val="24"/>
                <w:szCs w:val="24"/>
                <w:highlight w:val="none"/>
                <w:lang w:eastAsia="zh-CN"/>
              </w:rPr>
            </w:pPr>
            <w:r>
              <w:rPr>
                <w:rFonts w:hint="default" w:ascii="Times New Roman" w:hAnsi="Times New Roman" w:eastAsia="楷体" w:cs="Times New Roman"/>
                <w:sz w:val="24"/>
                <w:szCs w:val="24"/>
                <w:highlight w:val="none"/>
                <w:lang w:eastAsia="zh-CN"/>
              </w:rPr>
              <w:t>限制布局要求：新(改、扩)建项目严格执行产能置换、煤炭替代和污染物倍量削减替代制度，当地有相关园区规划的，原则上要进入园区并配套建设高效环保治理设施，符合园区规划环评、建设项目环评要求。</w:t>
            </w:r>
          </w:p>
        </w:tc>
        <w:tc>
          <w:tcPr>
            <w:tcW w:w="1848" w:type="pct"/>
            <w:tcBorders>
              <w:top w:val="single" w:color="auto" w:sz="4" w:space="0"/>
            </w:tcBorders>
            <w:noWrap w:val="0"/>
            <w:vAlign w:val="center"/>
          </w:tcPr>
          <w:p w14:paraId="2425B87F">
            <w:pPr>
              <w:pStyle w:val="55"/>
              <w:bidi w:val="0"/>
              <w:rPr>
                <w:rFonts w:hint="default" w:ascii="Times New Roman" w:hAnsi="Times New Roman" w:eastAsia="楷体" w:cs="Times New Roman"/>
                <w:sz w:val="24"/>
                <w:szCs w:val="24"/>
                <w:highlight w:val="none"/>
                <w:lang w:val="en-US" w:eastAsia="zh-CN"/>
              </w:rPr>
            </w:pPr>
            <w:r>
              <w:rPr>
                <w:rFonts w:hint="default" w:ascii="Times New Roman" w:hAnsi="Times New Roman" w:eastAsia="楷体" w:cs="Times New Roman"/>
                <w:color w:val="000000" w:themeColor="text1"/>
                <w:sz w:val="24"/>
                <w:szCs w:val="24"/>
                <w:highlight w:val="none"/>
                <w:lang w:val="en-US" w:eastAsia="zh-CN"/>
                <w14:textFill>
                  <w14:solidFill>
                    <w14:schemeClr w14:val="tx1"/>
                  </w14:solidFill>
                </w14:textFill>
              </w:rPr>
              <w:t>符合。项目无废水排放，废气污染物主要为颗粒物、非甲烷总烃、HCL、臭气浓度，</w:t>
            </w:r>
            <w:r>
              <w:rPr>
                <w:rFonts w:hint="default" w:ascii="Times New Roman" w:hAnsi="Times New Roman" w:eastAsia="楷体" w:cs="Times New Roman"/>
                <w:sz w:val="24"/>
                <w:szCs w:val="24"/>
                <w:highlight w:val="none"/>
                <w:lang w:eastAsia="zh-CN"/>
              </w:rPr>
              <w:t>污染物</w:t>
            </w:r>
            <w:r>
              <w:rPr>
                <w:rFonts w:hint="default" w:ascii="Times New Roman" w:hAnsi="Times New Roman" w:eastAsia="楷体" w:cs="Times New Roman"/>
                <w:sz w:val="24"/>
                <w:szCs w:val="24"/>
                <w:highlight w:val="none"/>
                <w:lang w:val="en-US" w:eastAsia="zh-CN"/>
              </w:rPr>
              <w:t>进行</w:t>
            </w:r>
            <w:r>
              <w:rPr>
                <w:rFonts w:hint="default" w:ascii="Times New Roman" w:hAnsi="Times New Roman" w:eastAsia="楷体" w:cs="Times New Roman"/>
                <w:sz w:val="24"/>
                <w:szCs w:val="24"/>
                <w:highlight w:val="none"/>
                <w:lang w:eastAsia="zh-CN"/>
              </w:rPr>
              <w:t>倍量削减替代</w:t>
            </w:r>
            <w:r>
              <w:rPr>
                <w:rFonts w:hint="default" w:ascii="Times New Roman" w:hAnsi="Times New Roman" w:eastAsia="楷体" w:cs="Times New Roman"/>
                <w:color w:val="000000" w:themeColor="text1"/>
                <w:sz w:val="24"/>
                <w:szCs w:val="24"/>
                <w:highlight w:val="none"/>
                <w:lang w:val="en-US" w:eastAsia="zh-CN"/>
                <w14:textFill>
                  <w14:solidFill>
                    <w14:schemeClr w14:val="tx1"/>
                  </w14:solidFill>
                </w14:textFill>
              </w:rPr>
              <w:t>。</w:t>
            </w:r>
          </w:p>
        </w:tc>
      </w:tr>
      <w:tr w14:paraId="6ACC1E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81" w:type="pct"/>
            <w:vMerge w:val="continue"/>
            <w:noWrap w:val="0"/>
            <w:vAlign w:val="center"/>
          </w:tcPr>
          <w:p w14:paraId="4D92B1E3">
            <w:pPr>
              <w:pStyle w:val="55"/>
              <w:bidi w:val="0"/>
              <w:rPr>
                <w:rFonts w:hint="default" w:ascii="Times New Roman" w:hAnsi="Times New Roman" w:eastAsia="楷体" w:cs="Times New Roman"/>
                <w:sz w:val="24"/>
                <w:szCs w:val="24"/>
              </w:rPr>
            </w:pPr>
          </w:p>
        </w:tc>
        <w:tc>
          <w:tcPr>
            <w:tcW w:w="2370" w:type="pct"/>
            <w:gridSpan w:val="2"/>
            <w:noWrap w:val="0"/>
            <w:vAlign w:val="center"/>
          </w:tcPr>
          <w:p w14:paraId="24249917">
            <w:pPr>
              <w:pStyle w:val="55"/>
              <w:bidi w:val="0"/>
              <w:jc w:val="both"/>
              <w:rPr>
                <w:rFonts w:hint="default" w:ascii="Times New Roman" w:hAnsi="Times New Roman" w:eastAsia="楷体" w:cs="Times New Roman"/>
                <w:sz w:val="24"/>
                <w:szCs w:val="24"/>
                <w:highlight w:val="none"/>
                <w:lang w:eastAsia="zh-CN"/>
              </w:rPr>
            </w:pPr>
            <w:r>
              <w:rPr>
                <w:rFonts w:hint="default" w:ascii="Times New Roman" w:hAnsi="Times New Roman" w:eastAsia="楷体" w:cs="Times New Roman"/>
                <w:sz w:val="24"/>
                <w:szCs w:val="24"/>
                <w:highlight w:val="none"/>
              </w:rPr>
              <w:t>推进现有企业向依法合规设立、环保设施齐全、符合规划环评要求、向满足法律法规规定的工业集聚区集中，明确涉水工业企业入园时间表；确因不具备入园条件需原地保留的涉水工业企业，明确保留条件，其中直排环境企业应达到排入水体功能区标准。</w:t>
            </w:r>
          </w:p>
        </w:tc>
        <w:tc>
          <w:tcPr>
            <w:tcW w:w="1848" w:type="pct"/>
            <w:noWrap w:val="0"/>
            <w:vAlign w:val="center"/>
          </w:tcPr>
          <w:p w14:paraId="5C518189">
            <w:pPr>
              <w:pStyle w:val="55"/>
              <w:bidi w:val="0"/>
              <w:rPr>
                <w:rFonts w:hint="default" w:ascii="Times New Roman" w:hAnsi="Times New Roman" w:eastAsia="楷体" w:cs="Times New Roman"/>
                <w:sz w:val="24"/>
                <w:szCs w:val="24"/>
                <w:highlight w:val="none"/>
                <w:lang w:val="en-US" w:eastAsia="zh-CN"/>
              </w:rPr>
            </w:pPr>
            <w:r>
              <w:rPr>
                <w:rFonts w:hint="default" w:ascii="Times New Roman" w:hAnsi="Times New Roman" w:eastAsia="楷体" w:cs="Times New Roman"/>
                <w:sz w:val="24"/>
                <w:szCs w:val="24"/>
                <w:highlight w:val="none"/>
                <w:lang w:val="en-US" w:eastAsia="zh-CN"/>
              </w:rPr>
              <w:t>符合。项目位于顺平县塑料产业循环经济园区（北区）内，属于塑料制品行业，项目生产用水循环利用</w:t>
            </w:r>
            <w:r>
              <w:rPr>
                <w:rFonts w:hint="eastAsia" w:cs="Times New Roman"/>
                <w:sz w:val="24"/>
                <w:szCs w:val="24"/>
                <w:highlight w:val="none"/>
                <w:lang w:val="en-US" w:eastAsia="zh-CN"/>
              </w:rPr>
              <w:t>不外排</w:t>
            </w:r>
            <w:r>
              <w:rPr>
                <w:rFonts w:hint="default" w:ascii="Times New Roman" w:hAnsi="Times New Roman" w:eastAsia="楷体" w:cs="Times New Roman"/>
                <w:sz w:val="24"/>
                <w:szCs w:val="24"/>
                <w:highlight w:val="none"/>
                <w:lang w:val="en-US" w:eastAsia="zh-CN"/>
              </w:rPr>
              <w:t>，生活污水排入厂区化粪池，定期清掏，不外排。</w:t>
            </w:r>
          </w:p>
        </w:tc>
      </w:tr>
      <w:tr w14:paraId="01BC7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81" w:type="pct"/>
            <w:noWrap w:val="0"/>
            <w:vAlign w:val="center"/>
          </w:tcPr>
          <w:p w14:paraId="57F8E4FD">
            <w:pPr>
              <w:pStyle w:val="55"/>
              <w:bidi w:val="0"/>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水环境</w:t>
            </w:r>
            <w:r>
              <w:rPr>
                <w:rFonts w:hint="default" w:ascii="Times New Roman" w:hAnsi="Times New Roman" w:eastAsia="楷体" w:cs="Times New Roman"/>
                <w:sz w:val="24"/>
                <w:szCs w:val="24"/>
              </w:rPr>
              <w:t>总体管控要求</w:t>
            </w:r>
          </w:p>
        </w:tc>
        <w:tc>
          <w:tcPr>
            <w:tcW w:w="2370" w:type="pct"/>
            <w:gridSpan w:val="2"/>
            <w:noWrap w:val="0"/>
            <w:vAlign w:val="center"/>
          </w:tcPr>
          <w:p w14:paraId="4634A607">
            <w:pPr>
              <w:pStyle w:val="55"/>
              <w:bidi w:val="0"/>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环境质量目标：2025年，国省控断面地表水达到或好于Ⅲ类水体比例达100%，地表水劣Ⅴ类水体实现动态清零。</w:t>
            </w:r>
          </w:p>
        </w:tc>
        <w:tc>
          <w:tcPr>
            <w:tcW w:w="1848" w:type="pct"/>
            <w:noWrap w:val="0"/>
            <w:vAlign w:val="center"/>
          </w:tcPr>
          <w:p w14:paraId="14A5BD66">
            <w:pPr>
              <w:pStyle w:val="55"/>
              <w:bidi w:val="0"/>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符合。</w:t>
            </w:r>
            <w:r>
              <w:rPr>
                <w:rFonts w:hint="default" w:ascii="Times New Roman" w:hAnsi="Times New Roman" w:eastAsia="楷体" w:cs="Times New Roman"/>
                <w:sz w:val="24"/>
                <w:szCs w:val="24"/>
                <w:lang w:eastAsia="zh-CN"/>
              </w:rPr>
              <w:t>项目</w:t>
            </w:r>
            <w:r>
              <w:rPr>
                <w:rFonts w:hint="default" w:ascii="Times New Roman" w:hAnsi="Times New Roman" w:eastAsia="楷体" w:cs="Times New Roman"/>
                <w:sz w:val="24"/>
                <w:szCs w:val="24"/>
                <w:lang w:val="en-US" w:eastAsia="zh-CN"/>
              </w:rPr>
              <w:t>无废水向地表水体排放，不涉及该管控要求。</w:t>
            </w:r>
          </w:p>
        </w:tc>
      </w:tr>
      <w:tr w14:paraId="7DC0C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81" w:type="pct"/>
            <w:vMerge w:val="restart"/>
            <w:noWrap w:val="0"/>
            <w:vAlign w:val="center"/>
          </w:tcPr>
          <w:p w14:paraId="1E61C64F">
            <w:pPr>
              <w:pStyle w:val="55"/>
              <w:bidi w:val="0"/>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大气环境</w:t>
            </w:r>
            <w:r>
              <w:rPr>
                <w:rFonts w:hint="default" w:ascii="Times New Roman" w:hAnsi="Times New Roman" w:eastAsia="楷体" w:cs="Times New Roman"/>
                <w:sz w:val="24"/>
                <w:szCs w:val="24"/>
              </w:rPr>
              <w:t>总体管控要求</w:t>
            </w:r>
          </w:p>
        </w:tc>
        <w:tc>
          <w:tcPr>
            <w:tcW w:w="2370" w:type="pct"/>
            <w:gridSpan w:val="2"/>
            <w:tcBorders>
              <w:bottom w:val="single" w:color="auto" w:sz="4" w:space="0"/>
            </w:tcBorders>
            <w:noWrap w:val="0"/>
            <w:vAlign w:val="center"/>
          </w:tcPr>
          <w:p w14:paraId="0E68795B">
            <w:pPr>
              <w:pStyle w:val="55"/>
              <w:bidi w:val="0"/>
              <w:jc w:val="both"/>
              <w:rPr>
                <w:rFonts w:hint="default" w:ascii="Times New Roman" w:hAnsi="Times New Roman" w:eastAsia="楷体" w:cs="Times New Roman"/>
                <w:sz w:val="24"/>
                <w:szCs w:val="24"/>
                <w:highlight w:val="none"/>
                <w:lang w:val="en-US" w:eastAsia="zh-CN"/>
              </w:rPr>
            </w:pPr>
            <w:r>
              <w:rPr>
                <w:rFonts w:hint="default" w:ascii="Times New Roman" w:hAnsi="Times New Roman" w:eastAsia="楷体" w:cs="Times New Roman"/>
                <w:sz w:val="24"/>
                <w:szCs w:val="24"/>
                <w:highlight w:val="none"/>
                <w:lang w:val="en-US" w:eastAsia="zh-CN"/>
              </w:rPr>
              <w:t>空间布局约束：严格限制石化、化工、包装印刷、工业涂装等高VOCs排放建设项目，新建、改建涉VOCs的石油炼制、石油化工、有机化工、制药、煤化工等工业企业要进入工业园区。未纳入国家和省《石化产业规划布局方案》的新建炼化项目一律不得建设。</w:t>
            </w:r>
          </w:p>
        </w:tc>
        <w:tc>
          <w:tcPr>
            <w:tcW w:w="1848" w:type="pct"/>
            <w:vMerge w:val="restart"/>
            <w:noWrap w:val="0"/>
            <w:vAlign w:val="center"/>
          </w:tcPr>
          <w:p w14:paraId="4174AF58">
            <w:pPr>
              <w:pStyle w:val="55"/>
              <w:bidi w:val="0"/>
              <w:rPr>
                <w:rFonts w:hint="default" w:ascii="Times New Roman" w:hAnsi="Times New Roman" w:eastAsia="楷体" w:cs="Times New Roman"/>
                <w:sz w:val="24"/>
                <w:szCs w:val="24"/>
                <w:highlight w:val="none"/>
                <w:lang w:val="en-US" w:eastAsia="zh-CN"/>
              </w:rPr>
            </w:pPr>
            <w:r>
              <w:rPr>
                <w:rFonts w:hint="default" w:ascii="Times New Roman" w:hAnsi="Times New Roman" w:eastAsia="楷体" w:cs="Times New Roman"/>
                <w:sz w:val="24"/>
                <w:szCs w:val="24"/>
                <w:highlight w:val="none"/>
              </w:rPr>
              <w:t>符合</w:t>
            </w:r>
            <w:r>
              <w:rPr>
                <w:rFonts w:hint="default" w:ascii="Times New Roman" w:hAnsi="Times New Roman" w:eastAsia="楷体" w:cs="Times New Roman"/>
                <w:sz w:val="24"/>
                <w:szCs w:val="24"/>
                <w:highlight w:val="none"/>
                <w:lang w:eastAsia="zh-CN"/>
              </w:rPr>
              <w:t>。</w:t>
            </w:r>
            <w:r>
              <w:rPr>
                <w:rFonts w:hint="default" w:ascii="Times New Roman" w:hAnsi="Times New Roman" w:eastAsia="楷体" w:cs="Times New Roman"/>
                <w:sz w:val="24"/>
                <w:szCs w:val="24"/>
                <w:highlight w:val="none"/>
                <w:lang w:val="en-US" w:eastAsia="zh-CN"/>
              </w:rPr>
              <w:t>项目位于顺平县塑料产业循环经济园区（北区）内，属于塑料制品行业，生产废气主要为</w:t>
            </w:r>
            <w:r>
              <w:rPr>
                <w:rFonts w:hint="default" w:ascii="Times New Roman" w:hAnsi="Times New Roman" w:eastAsia="楷体" w:cs="Times New Roman"/>
                <w:color w:val="000000" w:themeColor="text1"/>
                <w:sz w:val="24"/>
                <w:szCs w:val="24"/>
                <w:highlight w:val="none"/>
                <w:lang w:val="en-US" w:eastAsia="zh-CN"/>
                <w14:textFill>
                  <w14:solidFill>
                    <w14:schemeClr w14:val="tx1"/>
                  </w14:solidFill>
                </w14:textFill>
              </w:rPr>
              <w:t>颗粒物、非甲烷总烃、HCL、臭气浓度，废气经集气罩收集，引入“布袋除尘器+两级活性炭吸附装置”处理后，由15m高排气筒排放。</w:t>
            </w:r>
          </w:p>
        </w:tc>
      </w:tr>
      <w:tr w14:paraId="10C1E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81" w:type="pct"/>
            <w:vMerge w:val="continue"/>
            <w:noWrap w:val="0"/>
            <w:vAlign w:val="center"/>
          </w:tcPr>
          <w:p w14:paraId="56F79D09">
            <w:pPr>
              <w:pStyle w:val="55"/>
              <w:bidi w:val="0"/>
              <w:rPr>
                <w:rFonts w:hint="default" w:ascii="Times New Roman" w:hAnsi="Times New Roman" w:eastAsia="楷体" w:cs="Times New Roman"/>
                <w:sz w:val="24"/>
                <w:szCs w:val="24"/>
                <w:lang w:val="en-US" w:eastAsia="zh-CN"/>
              </w:rPr>
            </w:pPr>
          </w:p>
        </w:tc>
        <w:tc>
          <w:tcPr>
            <w:tcW w:w="2370" w:type="pct"/>
            <w:gridSpan w:val="2"/>
            <w:tcBorders>
              <w:top w:val="single" w:color="auto" w:sz="4" w:space="0"/>
            </w:tcBorders>
            <w:noWrap w:val="0"/>
            <w:vAlign w:val="center"/>
          </w:tcPr>
          <w:p w14:paraId="76BF9799">
            <w:pPr>
              <w:pStyle w:val="55"/>
              <w:bidi w:val="0"/>
              <w:jc w:val="both"/>
              <w:rPr>
                <w:rFonts w:hint="default" w:ascii="Times New Roman" w:hAnsi="Times New Roman" w:eastAsia="楷体" w:cs="Times New Roman"/>
                <w:sz w:val="24"/>
                <w:szCs w:val="24"/>
                <w:highlight w:val="none"/>
                <w:lang w:val="en-US" w:eastAsia="zh-CN"/>
              </w:rPr>
            </w:pPr>
            <w:r>
              <w:rPr>
                <w:rFonts w:hint="default" w:ascii="Times New Roman" w:hAnsi="Times New Roman" w:eastAsia="楷体" w:cs="Times New Roman"/>
                <w:sz w:val="24"/>
                <w:szCs w:val="24"/>
                <w:lang w:val="zh-CN"/>
              </w:rPr>
              <w:t>污染物排放管控：</w:t>
            </w:r>
            <w:r>
              <w:rPr>
                <w:rFonts w:hint="default" w:ascii="Times New Roman" w:hAnsi="Times New Roman" w:eastAsia="楷体" w:cs="Times New Roman"/>
                <w:sz w:val="24"/>
                <w:szCs w:val="24"/>
                <w:highlight w:val="none"/>
                <w:lang w:val="en-US" w:eastAsia="zh-CN"/>
              </w:rPr>
              <w:t>15.坚持分类施策、一群一策，通过淘汰关停、搬迁入园、就地改造提升等措施，积极推动塑料制品橡胶橡塑制品、制鞋、水泥制品、铸造、砖瓦、石灰、有色金属等行业19个涉气产业集群开展升级改造，提升企业环保治理水平。完善动态管理机制，严防“散乱污”企业反弹。</w:t>
            </w:r>
          </w:p>
        </w:tc>
        <w:tc>
          <w:tcPr>
            <w:tcW w:w="1848" w:type="pct"/>
            <w:vMerge w:val="continue"/>
            <w:noWrap w:val="0"/>
            <w:vAlign w:val="center"/>
          </w:tcPr>
          <w:p w14:paraId="2561CEC2">
            <w:pPr>
              <w:pStyle w:val="55"/>
              <w:bidi w:val="0"/>
              <w:rPr>
                <w:rFonts w:hint="default" w:ascii="Times New Roman" w:hAnsi="Times New Roman" w:eastAsia="楷体" w:cs="Times New Roman"/>
                <w:sz w:val="24"/>
                <w:szCs w:val="24"/>
                <w:highlight w:val="none"/>
              </w:rPr>
            </w:pPr>
          </w:p>
        </w:tc>
      </w:tr>
      <w:tr w14:paraId="776682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blHeader/>
          <w:jc w:val="center"/>
        </w:trPr>
        <w:tc>
          <w:tcPr>
            <w:tcW w:w="781" w:type="pct"/>
            <w:vMerge w:val="restart"/>
            <w:noWrap w:val="0"/>
            <w:vAlign w:val="center"/>
          </w:tcPr>
          <w:p w14:paraId="665A8535">
            <w:pPr>
              <w:pStyle w:val="55"/>
              <w:bidi w:val="0"/>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土壤环境</w:t>
            </w:r>
            <w:r>
              <w:rPr>
                <w:rFonts w:hint="default" w:ascii="Times New Roman" w:hAnsi="Times New Roman" w:eastAsia="楷体" w:cs="Times New Roman"/>
                <w:sz w:val="24"/>
                <w:szCs w:val="24"/>
              </w:rPr>
              <w:t>总体管控要求</w:t>
            </w:r>
          </w:p>
        </w:tc>
        <w:tc>
          <w:tcPr>
            <w:tcW w:w="2370" w:type="pct"/>
            <w:gridSpan w:val="2"/>
            <w:noWrap w:val="0"/>
            <w:vAlign w:val="center"/>
          </w:tcPr>
          <w:p w14:paraId="6E5492FC">
            <w:pPr>
              <w:pStyle w:val="55"/>
              <w:bidi w:val="0"/>
              <w:jc w:val="both"/>
              <w:rPr>
                <w:rFonts w:hint="default" w:ascii="Times New Roman" w:hAnsi="Times New Roman" w:eastAsia="楷体" w:cs="Times New Roman"/>
                <w:sz w:val="24"/>
                <w:szCs w:val="24"/>
              </w:rPr>
            </w:pPr>
            <w:r>
              <w:rPr>
                <w:rFonts w:hint="default" w:ascii="Times New Roman" w:hAnsi="Times New Roman" w:eastAsia="楷体" w:cs="Times New Roman"/>
                <w:sz w:val="24"/>
                <w:szCs w:val="24"/>
                <w:lang w:val="zh-CN"/>
              </w:rPr>
              <w:t>空间布局约束：</w:t>
            </w:r>
            <w:r>
              <w:rPr>
                <w:rFonts w:hint="default" w:ascii="Times New Roman" w:hAnsi="Times New Roman" w:eastAsia="楷体" w:cs="Times New Roman"/>
                <w:sz w:val="24"/>
                <w:szCs w:val="24"/>
              </w:rPr>
              <w:t>1.禁止向涉重金属相关行业落后产能和产能过剩行业提供土地。</w:t>
            </w:r>
          </w:p>
          <w:p w14:paraId="4C779228">
            <w:pPr>
              <w:pStyle w:val="55"/>
              <w:bidi w:val="0"/>
              <w:jc w:val="both"/>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rPr>
              <w:t>2.禁止在居民区和学校、医院、疗养院、养老院等单位周边新建、改建、扩建有色金属冶炼、石油加工、焦化、化工、电镀、制革等可能造成土壤污染的建设项目；依法搬迁或关闭对土壤造成严重污染的现有企业。</w:t>
            </w:r>
          </w:p>
        </w:tc>
        <w:tc>
          <w:tcPr>
            <w:tcW w:w="1848" w:type="pct"/>
            <w:noWrap w:val="0"/>
            <w:vAlign w:val="center"/>
          </w:tcPr>
          <w:p w14:paraId="581AAB53">
            <w:pPr>
              <w:pStyle w:val="55"/>
              <w:bidi w:val="0"/>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rPr>
              <w:t>符合</w:t>
            </w:r>
            <w:r>
              <w:rPr>
                <w:rFonts w:hint="default" w:ascii="Times New Roman" w:hAnsi="Times New Roman" w:eastAsia="楷体" w:cs="Times New Roman"/>
                <w:sz w:val="24"/>
                <w:szCs w:val="24"/>
                <w:lang w:eastAsia="zh-CN"/>
              </w:rPr>
              <w:t>。项目位于顺平县塑料产业循环经济园区（北区）内，</w:t>
            </w:r>
            <w:r>
              <w:rPr>
                <w:rFonts w:hint="default" w:ascii="Times New Roman" w:hAnsi="Times New Roman" w:eastAsia="楷体" w:cs="Times New Roman"/>
                <w:sz w:val="24"/>
                <w:szCs w:val="24"/>
                <w:highlight w:val="none"/>
                <w:lang w:val="en-US" w:eastAsia="zh-CN"/>
              </w:rPr>
              <w:t>属于塑料制品行业，不涉及重金属；项目</w:t>
            </w:r>
            <w:r>
              <w:rPr>
                <w:rFonts w:hint="default" w:ascii="Times New Roman" w:hAnsi="Times New Roman" w:eastAsia="楷体" w:cs="Times New Roman"/>
                <w:sz w:val="24"/>
                <w:szCs w:val="24"/>
                <w:lang w:eastAsia="zh-CN"/>
              </w:rPr>
              <w:t>租赁河北凯巍塑业有限公司进行建设，</w:t>
            </w:r>
            <w:r>
              <w:rPr>
                <w:rFonts w:hint="default" w:ascii="Times New Roman" w:hAnsi="Times New Roman" w:eastAsia="楷体" w:cs="Times New Roman"/>
                <w:sz w:val="24"/>
                <w:szCs w:val="24"/>
                <w:lang w:val="en-US" w:eastAsia="zh-CN"/>
              </w:rPr>
              <w:t>占地类型为工业用地。</w:t>
            </w:r>
          </w:p>
        </w:tc>
      </w:tr>
      <w:tr w14:paraId="4C70B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blHeader/>
          <w:jc w:val="center"/>
        </w:trPr>
        <w:tc>
          <w:tcPr>
            <w:tcW w:w="781" w:type="pct"/>
            <w:vMerge w:val="continue"/>
            <w:noWrap w:val="0"/>
            <w:vAlign w:val="center"/>
          </w:tcPr>
          <w:p w14:paraId="11AA0C63">
            <w:pPr>
              <w:pStyle w:val="55"/>
              <w:bidi w:val="0"/>
              <w:rPr>
                <w:rFonts w:hint="default" w:ascii="Times New Roman" w:hAnsi="Times New Roman" w:eastAsia="楷体" w:cs="Times New Roman"/>
                <w:sz w:val="24"/>
                <w:szCs w:val="24"/>
                <w:lang w:val="en-US" w:eastAsia="zh-CN"/>
              </w:rPr>
            </w:pPr>
          </w:p>
        </w:tc>
        <w:tc>
          <w:tcPr>
            <w:tcW w:w="2370" w:type="pct"/>
            <w:gridSpan w:val="2"/>
            <w:noWrap w:val="0"/>
            <w:vAlign w:val="center"/>
          </w:tcPr>
          <w:p w14:paraId="2DF2F6A4">
            <w:pPr>
              <w:pStyle w:val="55"/>
              <w:bidi w:val="0"/>
              <w:jc w:val="both"/>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zh-CN"/>
              </w:rPr>
              <w:t>污染物排放管控：</w:t>
            </w:r>
            <w:r>
              <w:rPr>
                <w:rFonts w:hint="default" w:ascii="Times New Roman" w:hAnsi="Times New Roman" w:eastAsia="楷体" w:cs="Times New Roman"/>
                <w:sz w:val="24"/>
                <w:szCs w:val="24"/>
                <w:lang w:val="en-US" w:eastAsia="zh-CN"/>
              </w:rPr>
              <w:t>2.开展工业固体废物堆存和废旧资源再生利用活动场所及企业危废贮存场所的防扬散、防流失、防渗漏等环境风险排查整治。</w:t>
            </w:r>
          </w:p>
        </w:tc>
        <w:tc>
          <w:tcPr>
            <w:tcW w:w="1848" w:type="pct"/>
            <w:noWrap w:val="0"/>
            <w:vAlign w:val="center"/>
          </w:tcPr>
          <w:p w14:paraId="36D49B3B">
            <w:pPr>
              <w:pStyle w:val="55"/>
              <w:bidi w:val="0"/>
              <w:rPr>
                <w:rFonts w:hint="eastAsia" w:ascii="Times New Roman" w:hAnsi="Times New Roman" w:eastAsia="楷体" w:cs="Times New Roman"/>
                <w:sz w:val="24"/>
                <w:szCs w:val="24"/>
                <w:highlight w:val="none"/>
                <w:lang w:eastAsia="zh-CN"/>
              </w:rPr>
            </w:pPr>
            <w:r>
              <w:rPr>
                <w:rFonts w:hint="default" w:ascii="Times New Roman" w:hAnsi="Times New Roman" w:eastAsia="楷体" w:cs="Times New Roman"/>
                <w:sz w:val="24"/>
                <w:szCs w:val="24"/>
                <w:highlight w:val="none"/>
              </w:rPr>
              <w:t>项目固体废物主要</w:t>
            </w:r>
            <w:r>
              <w:rPr>
                <w:rFonts w:hint="default" w:ascii="Times New Roman" w:hAnsi="Times New Roman" w:eastAsia="楷体" w:cs="Times New Roman"/>
                <w:sz w:val="24"/>
                <w:szCs w:val="24"/>
                <w:highlight w:val="none"/>
                <w:lang w:val="en-US" w:eastAsia="zh-CN"/>
              </w:rPr>
              <w:t>为</w:t>
            </w:r>
            <w:r>
              <w:rPr>
                <w:rFonts w:hint="default" w:ascii="Times New Roman" w:hAnsi="Times New Roman" w:eastAsia="楷体" w:cs="Times New Roman"/>
                <w:sz w:val="24"/>
                <w:szCs w:val="24"/>
                <w:highlight w:val="none"/>
              </w:rPr>
              <w:t>分拣废物</w:t>
            </w:r>
            <w:r>
              <w:rPr>
                <w:rFonts w:hint="eastAsia"/>
                <w:sz w:val="24"/>
                <w:szCs w:val="24"/>
                <w:highlight w:val="none"/>
              </w:rPr>
              <w:t>定期送往环卫部门指定地点处置</w:t>
            </w:r>
            <w:r>
              <w:rPr>
                <w:rFonts w:hint="eastAsia"/>
                <w:sz w:val="24"/>
                <w:szCs w:val="24"/>
                <w:highlight w:val="none"/>
                <w:lang w:eastAsia="zh-CN"/>
              </w:rPr>
              <w:t>；</w:t>
            </w:r>
            <w:r>
              <w:rPr>
                <w:rFonts w:hint="default" w:ascii="Times New Roman" w:hAnsi="Times New Roman" w:eastAsia="楷体" w:cs="Times New Roman"/>
                <w:sz w:val="24"/>
                <w:szCs w:val="24"/>
                <w:highlight w:val="none"/>
              </w:rPr>
              <w:t>沉淀池污泥</w:t>
            </w:r>
            <w:r>
              <w:rPr>
                <w:rFonts w:hint="eastAsia"/>
                <w:sz w:val="24"/>
                <w:szCs w:val="24"/>
                <w:highlight w:val="none"/>
              </w:rPr>
              <w:t>定期清掏自然干化后作为生活垃圾交由环卫部门处理</w:t>
            </w:r>
            <w:r>
              <w:rPr>
                <w:rFonts w:hint="default" w:ascii="Times New Roman" w:hAnsi="Times New Roman" w:eastAsia="楷体" w:cs="Times New Roman"/>
                <w:sz w:val="24"/>
                <w:szCs w:val="24"/>
                <w:highlight w:val="none"/>
                <w:lang w:eastAsia="zh-CN"/>
              </w:rPr>
              <w:t>；</w:t>
            </w:r>
            <w:r>
              <w:rPr>
                <w:rFonts w:hint="default" w:ascii="Times New Roman" w:hAnsi="Times New Roman" w:eastAsia="楷体" w:cs="Times New Roman"/>
                <w:sz w:val="24"/>
                <w:szCs w:val="24"/>
                <w:highlight w:val="none"/>
              </w:rPr>
              <w:t>废滤网由厂家回收</w:t>
            </w:r>
            <w:r>
              <w:rPr>
                <w:rFonts w:hint="default" w:ascii="Times New Roman" w:hAnsi="Times New Roman" w:eastAsia="楷体" w:cs="Times New Roman"/>
                <w:sz w:val="24"/>
                <w:szCs w:val="24"/>
                <w:highlight w:val="none"/>
                <w:lang w:eastAsia="zh-CN"/>
              </w:rPr>
              <w:t>；</w:t>
            </w:r>
          </w:p>
          <w:p w14:paraId="2C5C2465">
            <w:pPr>
              <w:pStyle w:val="55"/>
              <w:bidi w:val="0"/>
              <w:rPr>
                <w:rFonts w:hint="default" w:ascii="Times New Roman" w:hAnsi="Times New Roman" w:eastAsia="楷体" w:cs="Times New Roman"/>
                <w:sz w:val="24"/>
                <w:szCs w:val="24"/>
                <w:lang w:eastAsia="zh-CN"/>
              </w:rPr>
            </w:pPr>
            <w:r>
              <w:rPr>
                <w:rFonts w:hint="default" w:ascii="Times New Roman" w:hAnsi="Times New Roman" w:eastAsia="楷体" w:cs="Times New Roman"/>
                <w:sz w:val="24"/>
                <w:szCs w:val="24"/>
                <w:highlight w:val="none"/>
                <w:lang w:val="en-US" w:eastAsia="zh-CN"/>
              </w:rPr>
              <w:t>除尘灰回用于生产；</w:t>
            </w:r>
            <w:r>
              <w:rPr>
                <w:rFonts w:hint="eastAsia" w:cs="Times New Roman"/>
                <w:sz w:val="24"/>
                <w:szCs w:val="24"/>
                <w:highlight w:val="none"/>
                <w:lang w:val="en-US" w:eastAsia="zh-CN"/>
              </w:rPr>
              <w:t>废包装袋</w:t>
            </w:r>
            <w:r>
              <w:rPr>
                <w:rFonts w:hint="eastAsia"/>
                <w:sz w:val="24"/>
                <w:szCs w:val="24"/>
                <w:highlight w:val="none"/>
              </w:rPr>
              <w:t>定期外售废品收购站</w:t>
            </w:r>
            <w:r>
              <w:rPr>
                <w:rFonts w:hint="eastAsia"/>
                <w:sz w:val="24"/>
                <w:szCs w:val="24"/>
                <w:highlight w:val="none"/>
                <w:lang w:eastAsia="zh-CN"/>
              </w:rPr>
              <w:t>；</w:t>
            </w:r>
            <w:r>
              <w:rPr>
                <w:rFonts w:hint="default" w:ascii="Times New Roman" w:hAnsi="Times New Roman" w:eastAsia="楷体" w:cs="Times New Roman"/>
                <w:sz w:val="24"/>
                <w:szCs w:val="24"/>
                <w:highlight w:val="none"/>
              </w:rPr>
              <w:t>废活性炭、</w:t>
            </w:r>
            <w:r>
              <w:rPr>
                <w:rFonts w:hint="eastAsia" w:eastAsia="楷体" w:cs="Times New Roman"/>
                <w:color w:val="000000" w:themeColor="text1"/>
                <w:sz w:val="24"/>
                <w:szCs w:val="24"/>
                <w:highlight w:val="none"/>
                <w:lang w:val="en-US" w:eastAsia="zh-CN"/>
                <w14:textFill>
                  <w14:solidFill>
                    <w14:schemeClr w14:val="tx1"/>
                  </w14:solidFill>
                </w14:textFill>
              </w:rPr>
              <w:t>废过滤棉</w:t>
            </w:r>
            <w:r>
              <w:rPr>
                <w:rFonts w:hint="eastAsia" w:cs="Times New Roman"/>
                <w:color w:val="000000" w:themeColor="text1"/>
                <w:sz w:val="24"/>
                <w:szCs w:val="24"/>
                <w:highlight w:val="none"/>
                <w:lang w:val="en-US" w:eastAsia="zh-CN"/>
                <w14:textFill>
                  <w14:solidFill>
                    <w14:schemeClr w14:val="tx1"/>
                  </w14:solidFill>
                </w14:textFill>
              </w:rPr>
              <w:t>、</w:t>
            </w:r>
            <w:r>
              <w:rPr>
                <w:rFonts w:hint="default" w:ascii="Times New Roman" w:hAnsi="Times New Roman" w:eastAsia="楷体" w:cs="Times New Roman"/>
                <w:sz w:val="24"/>
                <w:szCs w:val="24"/>
                <w:highlight w:val="none"/>
              </w:rPr>
              <w:t>废润滑油</w:t>
            </w:r>
            <w:r>
              <w:rPr>
                <w:rFonts w:hint="default" w:ascii="Times New Roman" w:hAnsi="Times New Roman" w:eastAsia="楷体" w:cs="Times New Roman"/>
                <w:sz w:val="24"/>
                <w:szCs w:val="24"/>
                <w:highlight w:val="none"/>
                <w:lang w:eastAsia="zh-CN"/>
              </w:rPr>
              <w:t>、</w:t>
            </w:r>
            <w:r>
              <w:rPr>
                <w:rFonts w:hint="default" w:ascii="Times New Roman" w:hAnsi="Times New Roman" w:eastAsia="楷体" w:cs="Times New Roman"/>
                <w:sz w:val="24"/>
                <w:szCs w:val="24"/>
                <w:highlight w:val="none"/>
              </w:rPr>
              <w:t>废润滑油</w:t>
            </w:r>
            <w:r>
              <w:rPr>
                <w:rFonts w:hint="default" w:ascii="Times New Roman" w:hAnsi="Times New Roman" w:eastAsia="楷体" w:cs="Times New Roman"/>
                <w:sz w:val="24"/>
                <w:szCs w:val="24"/>
                <w:highlight w:val="none"/>
                <w:lang w:val="en-US" w:eastAsia="zh-CN"/>
              </w:rPr>
              <w:t>桶</w:t>
            </w:r>
            <w:r>
              <w:rPr>
                <w:rFonts w:hint="default" w:ascii="Times New Roman" w:hAnsi="Times New Roman" w:eastAsia="楷体" w:cs="Times New Roman"/>
                <w:sz w:val="24"/>
                <w:szCs w:val="24"/>
                <w:highlight w:val="none"/>
              </w:rPr>
              <w:t>暂存于危废暂存间，定期委托有资质单位处置</w:t>
            </w:r>
            <w:r>
              <w:rPr>
                <w:rFonts w:hint="default" w:ascii="Times New Roman" w:hAnsi="Times New Roman" w:eastAsia="楷体" w:cs="Times New Roman"/>
                <w:sz w:val="24"/>
                <w:szCs w:val="24"/>
                <w:highlight w:val="none"/>
                <w:lang w:eastAsia="zh-CN"/>
              </w:rPr>
              <w:t>；</w:t>
            </w:r>
            <w:r>
              <w:rPr>
                <w:rFonts w:hint="default" w:ascii="Times New Roman" w:hAnsi="Times New Roman" w:eastAsia="楷体" w:cs="Times New Roman"/>
                <w:sz w:val="24"/>
                <w:szCs w:val="24"/>
                <w:highlight w:val="none"/>
              </w:rPr>
              <w:t>生活垃圾由环卫部门集中收集后统一处置</w:t>
            </w:r>
            <w:r>
              <w:rPr>
                <w:rFonts w:hint="default" w:ascii="Times New Roman" w:hAnsi="Times New Roman" w:eastAsia="楷体" w:cs="Times New Roman"/>
                <w:sz w:val="24"/>
                <w:szCs w:val="24"/>
                <w:highlight w:val="none"/>
                <w:lang w:eastAsia="zh-CN"/>
              </w:rPr>
              <w:t>。</w:t>
            </w:r>
          </w:p>
        </w:tc>
      </w:tr>
      <w:tr w14:paraId="47949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blHeader/>
          <w:jc w:val="center"/>
        </w:trPr>
        <w:tc>
          <w:tcPr>
            <w:tcW w:w="781" w:type="pct"/>
            <w:vMerge w:val="restart"/>
            <w:noWrap w:val="0"/>
            <w:vAlign w:val="center"/>
          </w:tcPr>
          <w:p w14:paraId="662C740E">
            <w:pPr>
              <w:pStyle w:val="55"/>
              <w:bidi w:val="0"/>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资源利用总体管控要求</w:t>
            </w:r>
          </w:p>
        </w:tc>
        <w:tc>
          <w:tcPr>
            <w:tcW w:w="2370" w:type="pct"/>
            <w:gridSpan w:val="2"/>
            <w:tcBorders>
              <w:bottom w:val="single" w:color="auto" w:sz="4" w:space="0"/>
            </w:tcBorders>
            <w:noWrap w:val="0"/>
            <w:vAlign w:val="center"/>
          </w:tcPr>
          <w:p w14:paraId="450DE8D6">
            <w:pPr>
              <w:pStyle w:val="55"/>
              <w:bidi w:val="0"/>
              <w:jc w:val="both"/>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水资源管控要求：深入推进工业节水，严格限制高耗水产业发展，开展水平衡测试或用水审计，对超过取用水定额标准的企业，指导开展节水技术改造。</w:t>
            </w:r>
          </w:p>
        </w:tc>
        <w:tc>
          <w:tcPr>
            <w:tcW w:w="1848" w:type="pct"/>
            <w:tcBorders>
              <w:bottom w:val="single" w:color="auto" w:sz="4" w:space="0"/>
            </w:tcBorders>
            <w:noWrap w:val="0"/>
            <w:vAlign w:val="center"/>
          </w:tcPr>
          <w:p w14:paraId="56FF039F">
            <w:pPr>
              <w:pStyle w:val="55"/>
              <w:bidi w:val="0"/>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rPr>
              <w:t>符合</w:t>
            </w:r>
            <w:r>
              <w:rPr>
                <w:rFonts w:hint="default" w:ascii="Times New Roman" w:hAnsi="Times New Roman" w:eastAsia="楷体" w:cs="Times New Roman"/>
                <w:sz w:val="24"/>
                <w:szCs w:val="24"/>
                <w:lang w:eastAsia="zh-CN"/>
              </w:rPr>
              <w:t>。</w:t>
            </w:r>
            <w:r>
              <w:rPr>
                <w:rFonts w:hint="default" w:ascii="Times New Roman" w:hAnsi="Times New Roman" w:eastAsia="楷体" w:cs="Times New Roman"/>
                <w:sz w:val="24"/>
                <w:szCs w:val="24"/>
                <w:lang w:val="en-US" w:eastAsia="zh-CN"/>
              </w:rPr>
              <w:t>项目用水主要为生产用水和生活用水，生产用水循环利用，定期补给，生活</w:t>
            </w:r>
            <w:r>
              <w:rPr>
                <w:rFonts w:hint="eastAsia" w:cs="Times New Roman"/>
                <w:sz w:val="24"/>
                <w:szCs w:val="24"/>
                <w:lang w:val="en-US" w:eastAsia="zh-CN"/>
              </w:rPr>
              <w:t>用水主要为职工盥洗用水，用水量较小</w:t>
            </w:r>
            <w:r>
              <w:rPr>
                <w:rFonts w:hint="default" w:ascii="Times New Roman" w:hAnsi="Times New Roman" w:eastAsia="楷体" w:cs="Times New Roman"/>
                <w:sz w:val="24"/>
                <w:szCs w:val="24"/>
                <w:lang w:val="en-US" w:eastAsia="zh-CN"/>
              </w:rPr>
              <w:t>。</w:t>
            </w:r>
          </w:p>
        </w:tc>
      </w:tr>
      <w:tr w14:paraId="7F161C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blHeader/>
          <w:jc w:val="center"/>
        </w:trPr>
        <w:tc>
          <w:tcPr>
            <w:tcW w:w="781" w:type="pct"/>
            <w:vMerge w:val="continue"/>
            <w:noWrap w:val="0"/>
            <w:vAlign w:val="center"/>
          </w:tcPr>
          <w:p w14:paraId="1EE2A061">
            <w:pPr>
              <w:pStyle w:val="55"/>
              <w:bidi w:val="0"/>
              <w:rPr>
                <w:rFonts w:hint="default" w:ascii="Times New Roman" w:hAnsi="Times New Roman" w:eastAsia="楷体" w:cs="Times New Roman"/>
                <w:sz w:val="24"/>
                <w:szCs w:val="24"/>
                <w:lang w:val="en-US" w:eastAsia="zh-CN"/>
              </w:rPr>
            </w:pPr>
          </w:p>
        </w:tc>
        <w:tc>
          <w:tcPr>
            <w:tcW w:w="2370" w:type="pct"/>
            <w:gridSpan w:val="2"/>
            <w:tcBorders>
              <w:top w:val="single" w:color="auto" w:sz="4" w:space="0"/>
              <w:bottom w:val="single" w:color="auto" w:sz="4" w:space="0"/>
            </w:tcBorders>
            <w:noWrap w:val="0"/>
            <w:vAlign w:val="center"/>
          </w:tcPr>
          <w:p w14:paraId="2CA7DCA4">
            <w:pPr>
              <w:pStyle w:val="55"/>
              <w:bidi w:val="0"/>
              <w:jc w:val="both"/>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zh-CN" w:eastAsia="zh-CN"/>
              </w:rPr>
              <w:t>能源</w:t>
            </w:r>
            <w:r>
              <w:rPr>
                <w:rFonts w:hint="default" w:ascii="Times New Roman" w:hAnsi="Times New Roman" w:eastAsia="楷体" w:cs="Times New Roman"/>
                <w:sz w:val="24"/>
                <w:szCs w:val="24"/>
                <w:lang w:val="en-US" w:eastAsia="zh-CN"/>
              </w:rPr>
              <w:t>管控要求：</w:t>
            </w:r>
            <w:r>
              <w:rPr>
                <w:rFonts w:hint="default" w:ascii="Times New Roman" w:hAnsi="Times New Roman" w:eastAsia="楷体" w:cs="Times New Roman"/>
                <w:sz w:val="24"/>
                <w:szCs w:val="24"/>
                <w:lang w:val="zh-CN"/>
              </w:rPr>
              <w:t>严格控制新建耗煤项目，强化煤炭消费总量控制，大力推进以电代煤、以电代气，加大散煤治理力。推进分布式光伏发电规模化应用和风能利用，开发利用保定地区的太阳能、风能等清洁资源，大力推进煤炭清洁能源替代。大力推进能源节约，实施企业能耗在线监测平台提升计划，健全节能计量、统计、监测、预警、信息发布和目标责任体系，加强重点行业用能管理。</w:t>
            </w:r>
          </w:p>
        </w:tc>
        <w:tc>
          <w:tcPr>
            <w:tcW w:w="1848" w:type="pct"/>
            <w:tcBorders>
              <w:top w:val="single" w:color="auto" w:sz="4" w:space="0"/>
              <w:bottom w:val="single" w:color="auto" w:sz="4" w:space="0"/>
            </w:tcBorders>
            <w:noWrap w:val="0"/>
            <w:vAlign w:val="center"/>
          </w:tcPr>
          <w:p w14:paraId="005319D0">
            <w:pPr>
              <w:pStyle w:val="55"/>
              <w:bidi w:val="0"/>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en-US" w:eastAsia="zh-CN"/>
              </w:rPr>
              <w:t>符合。项目属于塑料制品行业，生产工序用热为电加热，冬季取暖为空调。</w:t>
            </w:r>
          </w:p>
        </w:tc>
      </w:tr>
      <w:tr w14:paraId="147AC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blHeader/>
          <w:jc w:val="center"/>
        </w:trPr>
        <w:tc>
          <w:tcPr>
            <w:tcW w:w="781" w:type="pct"/>
            <w:noWrap w:val="0"/>
            <w:vAlign w:val="center"/>
          </w:tcPr>
          <w:p w14:paraId="47632267">
            <w:pPr>
              <w:pStyle w:val="55"/>
              <w:bidi w:val="0"/>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环境管控单元生态环境准入清单</w:t>
            </w:r>
          </w:p>
        </w:tc>
        <w:tc>
          <w:tcPr>
            <w:tcW w:w="1216" w:type="dxa"/>
            <w:tcBorders>
              <w:top w:val="single" w:color="auto" w:sz="4" w:space="0"/>
              <w:bottom w:val="single" w:color="auto" w:sz="4" w:space="0"/>
              <w:right w:val="single" w:color="auto" w:sz="4" w:space="0"/>
            </w:tcBorders>
            <w:noWrap w:val="0"/>
            <w:vAlign w:val="center"/>
          </w:tcPr>
          <w:p w14:paraId="1193BABE">
            <w:pPr>
              <w:pStyle w:val="55"/>
              <w:bidi w:val="0"/>
              <w:rPr>
                <w:rFonts w:hint="default" w:ascii="Times New Roman" w:hAnsi="Times New Roman" w:eastAsia="楷体" w:cs="Times New Roman"/>
                <w:sz w:val="24"/>
                <w:szCs w:val="24"/>
                <w:lang w:val="zh-CN" w:eastAsia="zh-CN"/>
              </w:rPr>
            </w:pPr>
            <w:r>
              <w:rPr>
                <w:rFonts w:hint="default" w:ascii="Times New Roman" w:hAnsi="Times New Roman" w:eastAsia="楷体" w:cs="Times New Roman"/>
                <w:sz w:val="24"/>
                <w:szCs w:val="24"/>
                <w:lang w:val="en-US" w:eastAsia="zh-CN"/>
              </w:rPr>
              <w:t>污染排放管控</w:t>
            </w:r>
          </w:p>
        </w:tc>
        <w:tc>
          <w:tcPr>
            <w:tcW w:w="3077" w:type="dxa"/>
            <w:tcBorders>
              <w:top w:val="single" w:color="auto" w:sz="4" w:space="0"/>
              <w:left w:val="single" w:color="auto" w:sz="4" w:space="0"/>
              <w:bottom w:val="single" w:color="auto" w:sz="4" w:space="0"/>
            </w:tcBorders>
            <w:noWrap w:val="0"/>
            <w:vAlign w:val="center"/>
          </w:tcPr>
          <w:p w14:paraId="504ED8F1">
            <w:pPr>
              <w:pStyle w:val="55"/>
              <w:bidi w:val="0"/>
              <w:rPr>
                <w:rFonts w:hint="default" w:ascii="Times New Roman" w:hAnsi="Times New Roman" w:eastAsia="楷体" w:cs="Times New Roman"/>
                <w:sz w:val="24"/>
                <w:szCs w:val="24"/>
                <w:lang w:val="zh-CN" w:eastAsia="zh-CN"/>
              </w:rPr>
            </w:pPr>
            <w:r>
              <w:rPr>
                <w:rFonts w:hint="default" w:ascii="Times New Roman" w:hAnsi="Times New Roman" w:eastAsia="楷体" w:cs="Times New Roman"/>
                <w:sz w:val="24"/>
                <w:szCs w:val="24"/>
                <w:lang w:val="en-US" w:eastAsia="zh-CN"/>
              </w:rPr>
              <w:t>7、加强塑料制品行业VOCs治理力度，重点提高涉VOCs排放主要工序密闭化水平，加强无组织排放收集，加大含VOCs物料储存和装卸治理力度。</w:t>
            </w:r>
          </w:p>
        </w:tc>
        <w:tc>
          <w:tcPr>
            <w:tcW w:w="3347" w:type="dxa"/>
            <w:tcBorders>
              <w:top w:val="single" w:color="auto" w:sz="4" w:space="0"/>
              <w:bottom w:val="single" w:color="auto" w:sz="4" w:space="0"/>
            </w:tcBorders>
            <w:noWrap w:val="0"/>
            <w:vAlign w:val="center"/>
          </w:tcPr>
          <w:p w14:paraId="5DD46A5D">
            <w:pPr>
              <w:pStyle w:val="55"/>
              <w:bidi w:val="0"/>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highlight w:val="none"/>
                <w:lang w:val="en-US" w:eastAsia="zh-CN"/>
              </w:rPr>
              <w:t>项目位于顺平县塑料产业循环经济园区（北区）内，属于塑料制品行业，生产设备及原料均位于密闭车间内，废气主要为</w:t>
            </w:r>
            <w:r>
              <w:rPr>
                <w:rFonts w:hint="default" w:ascii="Times New Roman" w:hAnsi="Times New Roman" w:eastAsia="楷体" w:cs="Times New Roman"/>
                <w:color w:val="000000" w:themeColor="text1"/>
                <w:sz w:val="24"/>
                <w:szCs w:val="24"/>
                <w:highlight w:val="none"/>
                <w:lang w:val="en-US" w:eastAsia="zh-CN"/>
                <w14:textFill>
                  <w14:solidFill>
                    <w14:schemeClr w14:val="tx1"/>
                  </w14:solidFill>
                </w14:textFill>
              </w:rPr>
              <w:t>颗粒物、非甲烷总烃、HCL、臭气浓度，废气经集气罩收集，引入“布袋除尘器+两级活性炭吸附装置”处理后，由15m高排气筒排放。</w:t>
            </w:r>
          </w:p>
        </w:tc>
      </w:tr>
    </w:tbl>
    <w:p w14:paraId="09EDA747">
      <w:pPr>
        <w:pStyle w:val="55"/>
        <w:rPr>
          <w:rFonts w:hint="default"/>
        </w:rPr>
      </w:pPr>
    </w:p>
    <w:p w14:paraId="6E75826F">
      <w:pPr>
        <w:pStyle w:val="92"/>
        <w:bidi w:val="0"/>
        <w:ind w:left="0" w:leftChars="0" w:firstLine="0" w:firstLineChars="0"/>
        <w:rPr>
          <w:rFonts w:hint="eastAsia"/>
          <w:lang w:val="en-GB" w:eastAsia="zh-CN"/>
        </w:rPr>
      </w:pPr>
      <w:r>
        <w:rPr>
          <w:rFonts w:hint="eastAsia"/>
          <w:lang w:val="en-GB" w:eastAsia="zh-CN"/>
        </w:rPr>
        <w:t>“四区一线”符合性分析</w:t>
      </w:r>
    </w:p>
    <w:p w14:paraId="2F40EA4B">
      <w:pPr>
        <w:pStyle w:val="15"/>
        <w:keepNext w:val="0"/>
        <w:keepLines w:val="0"/>
        <w:pageBreakBefore w:val="0"/>
        <w:widowControl w:val="0"/>
        <w:kinsoku/>
        <w:wordWrap/>
        <w:overflowPunct/>
        <w:topLinePunct w:val="0"/>
        <w:autoSpaceDE/>
        <w:autoSpaceDN/>
        <w:bidi w:val="0"/>
        <w:adjustRightInd/>
        <w:snapToGrid/>
        <w:spacing w:line="500" w:lineRule="exact"/>
        <w:ind w:left="0" w:leftChars="0" w:firstLine="482"/>
        <w:textAlignment w:val="auto"/>
        <w:rPr>
          <w:rFonts w:hint="eastAsia" w:ascii="Times New Roman" w:hAnsi="Times New Roman" w:eastAsia="楷体" w:cs="Times New Roman"/>
          <w:snapToGrid w:val="0"/>
          <w:color w:val="000000" w:themeColor="text1"/>
          <w:kern w:val="0"/>
          <w:sz w:val="28"/>
          <w:szCs w:val="21"/>
          <w:lang w:val="en-GB" w:eastAsia="zh-CN" w:bidi="ar-SA"/>
          <w14:textFill>
            <w14:solidFill>
              <w14:schemeClr w14:val="tx1"/>
            </w14:solidFill>
          </w14:textFill>
        </w:rPr>
      </w:pPr>
      <w:r>
        <w:rPr>
          <w:rFonts w:hint="eastAsia" w:ascii="Times New Roman" w:hAnsi="Times New Roman" w:eastAsia="楷体" w:cs="Times New Roman"/>
          <w:snapToGrid w:val="0"/>
          <w:color w:val="000000" w:themeColor="text1"/>
          <w:kern w:val="0"/>
          <w:sz w:val="28"/>
          <w:szCs w:val="21"/>
          <w:lang w:val="en-GB" w:eastAsia="zh-CN" w:bidi="ar-SA"/>
          <w14:textFill>
            <w14:solidFill>
              <w14:schemeClr w14:val="tx1"/>
            </w14:solidFill>
          </w14:textFill>
        </w:rPr>
        <w:t>对照《保定市人民政府办公室关于加强自然保护区风景名胜区核心景区重点河流湖库管理范围</w:t>
      </w:r>
      <w:r>
        <w:rPr>
          <w:rFonts w:hint="eastAsia" w:ascii="Times New Roman" w:hAnsi="Times New Roman" w:eastAsia="楷体" w:cs="Times New Roman"/>
          <w:snapToGrid w:val="0"/>
          <w:color w:val="000000" w:themeColor="text1"/>
          <w:kern w:val="0"/>
          <w:sz w:val="28"/>
          <w:szCs w:val="21"/>
          <w:highlight w:val="none"/>
          <w:lang w:val="en-GB" w:eastAsia="zh-CN" w:bidi="ar-SA"/>
          <w14:textFill>
            <w14:solidFill>
              <w14:schemeClr w14:val="tx1"/>
            </w14:solidFill>
          </w14:textFill>
        </w:rPr>
        <w:t>饮用水水源地保护区周边地区建设管理的通知》（保政办函〔2019〕10号），项目不涉及生态红线区、自然保护区、风景名胜区核心景区、重点河流水库、水源保护区范围，符合要求（见附图</w:t>
      </w:r>
      <w:r>
        <w:rPr>
          <w:rFonts w:hint="eastAsia" w:eastAsia="楷体" w:cs="Times New Roman"/>
          <w:snapToGrid w:val="0"/>
          <w:color w:val="000000" w:themeColor="text1"/>
          <w:kern w:val="0"/>
          <w:sz w:val="28"/>
          <w:szCs w:val="21"/>
          <w:highlight w:val="none"/>
          <w:lang w:val="en-US" w:eastAsia="zh-CN" w:bidi="ar-SA"/>
          <w14:textFill>
            <w14:solidFill>
              <w14:schemeClr w14:val="tx1"/>
            </w14:solidFill>
          </w14:textFill>
        </w:rPr>
        <w:t>10</w:t>
      </w:r>
      <w:r>
        <w:rPr>
          <w:rFonts w:hint="eastAsia" w:ascii="Times New Roman" w:hAnsi="Times New Roman" w:eastAsia="楷体" w:cs="Times New Roman"/>
          <w:snapToGrid w:val="0"/>
          <w:color w:val="000000" w:themeColor="text1"/>
          <w:kern w:val="0"/>
          <w:sz w:val="28"/>
          <w:szCs w:val="21"/>
          <w:highlight w:val="none"/>
          <w:lang w:val="en-GB" w:eastAsia="zh-CN" w:bidi="ar-SA"/>
          <w14:textFill>
            <w14:solidFill>
              <w14:schemeClr w14:val="tx1"/>
            </w14:solidFill>
          </w14:textFill>
        </w:rPr>
        <w:t>）。</w:t>
      </w:r>
    </w:p>
    <w:p w14:paraId="6AE97FC9">
      <w:pPr>
        <w:pStyle w:val="92"/>
        <w:bidi w:val="0"/>
        <w:ind w:left="0" w:leftChars="0" w:firstLine="0" w:firstLineChars="0"/>
        <w:rPr>
          <w:rFonts w:hint="eastAsia"/>
          <w:lang w:val="en-US"/>
        </w:rPr>
      </w:pPr>
      <w:r>
        <w:rPr>
          <w:rFonts w:hint="eastAsia"/>
        </w:rPr>
        <w:t>环境管理政策符合性</w:t>
      </w:r>
    </w:p>
    <w:p w14:paraId="278CBCD1">
      <w:pPr>
        <w:pStyle w:val="94"/>
        <w:bidi w:val="0"/>
        <w:ind w:left="0" w:leftChars="0" w:firstLine="0" w:firstLineChars="0"/>
        <w:rPr>
          <w:rFonts w:hint="eastAsia"/>
          <w:lang w:val="en-US"/>
        </w:rPr>
      </w:pPr>
      <w:r>
        <w:rPr>
          <w:rFonts w:hint="eastAsia"/>
          <w:lang w:val="en-US"/>
        </w:rPr>
        <w:t>与环境管理政策符合性符合性分析</w:t>
      </w:r>
    </w:p>
    <w:tbl>
      <w:tblPr>
        <w:tblStyle w:val="3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9"/>
        <w:gridCol w:w="4126"/>
        <w:gridCol w:w="2425"/>
        <w:gridCol w:w="791"/>
      </w:tblGrid>
      <w:tr w14:paraId="1F100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3267" w:type="pct"/>
            <w:gridSpan w:val="2"/>
            <w:tcBorders>
              <w:tl2br w:val="nil"/>
              <w:tr2bl w:val="nil"/>
            </w:tcBorders>
            <w:noWrap w:val="0"/>
            <w:vAlign w:val="center"/>
          </w:tcPr>
          <w:p w14:paraId="4AA584E8">
            <w:pPr>
              <w:pStyle w:val="55"/>
              <w:bidi w:val="0"/>
              <w:rPr>
                <w:rFonts w:hint="default"/>
                <w:sz w:val="24"/>
                <w:szCs w:val="24"/>
                <w:lang w:val="en-US" w:eastAsia="zh-CN"/>
              </w:rPr>
            </w:pPr>
            <w:r>
              <w:rPr>
                <w:rFonts w:hint="default"/>
                <w:sz w:val="24"/>
                <w:szCs w:val="24"/>
              </w:rPr>
              <w:t>与项目有关的条例、条文</w:t>
            </w:r>
          </w:p>
        </w:tc>
        <w:tc>
          <w:tcPr>
            <w:tcW w:w="1306" w:type="pct"/>
            <w:tcBorders>
              <w:tl2br w:val="nil"/>
              <w:tr2bl w:val="nil"/>
            </w:tcBorders>
            <w:noWrap w:val="0"/>
            <w:vAlign w:val="center"/>
          </w:tcPr>
          <w:p w14:paraId="1FD78BDB">
            <w:pPr>
              <w:pStyle w:val="55"/>
              <w:bidi w:val="0"/>
              <w:rPr>
                <w:rFonts w:hint="default"/>
                <w:sz w:val="24"/>
                <w:szCs w:val="24"/>
                <w:lang w:val="en-US" w:eastAsia="zh-CN"/>
              </w:rPr>
            </w:pPr>
            <w:r>
              <w:rPr>
                <w:rFonts w:hint="default"/>
                <w:sz w:val="24"/>
                <w:szCs w:val="24"/>
              </w:rPr>
              <w:t>本项目</w:t>
            </w:r>
          </w:p>
        </w:tc>
        <w:tc>
          <w:tcPr>
            <w:tcW w:w="426" w:type="pct"/>
            <w:tcBorders>
              <w:tl2br w:val="nil"/>
              <w:tr2bl w:val="nil"/>
            </w:tcBorders>
            <w:noWrap w:val="0"/>
            <w:vAlign w:val="center"/>
          </w:tcPr>
          <w:p w14:paraId="306437B5">
            <w:pPr>
              <w:pStyle w:val="55"/>
              <w:bidi w:val="0"/>
              <w:rPr>
                <w:rFonts w:hint="eastAsia"/>
                <w:sz w:val="24"/>
                <w:szCs w:val="24"/>
                <w:lang w:val="en-US" w:eastAsia="zh-CN"/>
              </w:rPr>
            </w:pPr>
            <w:r>
              <w:rPr>
                <w:rFonts w:hint="default"/>
                <w:sz w:val="24"/>
                <w:szCs w:val="24"/>
              </w:rPr>
              <w:t>符合性</w:t>
            </w:r>
            <w:r>
              <w:rPr>
                <w:rFonts w:hint="eastAsia"/>
                <w:sz w:val="24"/>
                <w:szCs w:val="24"/>
                <w:lang w:eastAsia="zh-CN"/>
              </w:rPr>
              <w:t>分析</w:t>
            </w:r>
          </w:p>
        </w:tc>
      </w:tr>
      <w:tr w14:paraId="7CC35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44" w:type="pct"/>
            <w:tcBorders>
              <w:tl2br w:val="nil"/>
              <w:tr2bl w:val="nil"/>
            </w:tcBorders>
            <w:noWrap w:val="0"/>
            <w:vAlign w:val="center"/>
          </w:tcPr>
          <w:p w14:paraId="6FE96733">
            <w:pPr>
              <w:pStyle w:val="55"/>
              <w:bidi w:val="0"/>
              <w:rPr>
                <w:rFonts w:hint="default"/>
                <w:sz w:val="24"/>
                <w:szCs w:val="24"/>
              </w:rPr>
            </w:pPr>
            <w:r>
              <w:rPr>
                <w:rFonts w:hint="default"/>
                <w:sz w:val="24"/>
                <w:szCs w:val="24"/>
                <w:lang w:val="en-US" w:eastAsia="zh-CN"/>
              </w:rPr>
              <w:t>《2020年挥发性有机物治理攻坚方案》（环大气〔2020〕33号）</w:t>
            </w:r>
          </w:p>
        </w:tc>
        <w:tc>
          <w:tcPr>
            <w:tcW w:w="2222" w:type="pct"/>
            <w:tcBorders>
              <w:tl2br w:val="nil"/>
              <w:tr2bl w:val="nil"/>
            </w:tcBorders>
            <w:noWrap w:val="0"/>
            <w:vAlign w:val="center"/>
          </w:tcPr>
          <w:p w14:paraId="36B2ECF0">
            <w:pPr>
              <w:pStyle w:val="55"/>
              <w:bidi w:val="0"/>
              <w:jc w:val="both"/>
              <w:rPr>
                <w:rFonts w:hint="default"/>
                <w:sz w:val="24"/>
                <w:szCs w:val="24"/>
              </w:rPr>
            </w:pPr>
            <w:r>
              <w:rPr>
                <w:rFonts w:hint="default"/>
                <w:sz w:val="24"/>
                <w:szCs w:val="24"/>
              </w:rPr>
              <w:t>企业新建治污设施或对现有治污设施实施改造，应依据排放废气特征、VOCs组分及浓度、生产工况等，合理选择治理技术，对治理难度大、单一治理工艺难以稳定达标的，要采用多种技术的组合工艺。</w:t>
            </w:r>
          </w:p>
        </w:tc>
        <w:tc>
          <w:tcPr>
            <w:tcW w:w="1306" w:type="pct"/>
            <w:tcBorders>
              <w:tl2br w:val="nil"/>
              <w:tr2bl w:val="nil"/>
            </w:tcBorders>
            <w:noWrap w:val="0"/>
            <w:vAlign w:val="center"/>
          </w:tcPr>
          <w:p w14:paraId="47BFC9E2">
            <w:pPr>
              <w:pStyle w:val="55"/>
              <w:bidi w:val="0"/>
              <w:jc w:val="both"/>
              <w:rPr>
                <w:rFonts w:hint="default"/>
                <w:sz w:val="24"/>
                <w:szCs w:val="24"/>
              </w:rPr>
            </w:pPr>
            <w:r>
              <w:rPr>
                <w:rFonts w:hint="default"/>
                <w:sz w:val="24"/>
                <w:szCs w:val="24"/>
                <w:lang w:eastAsia="zh-CN"/>
              </w:rPr>
              <w:t>项目有机废气采用</w:t>
            </w:r>
            <w:r>
              <w:rPr>
                <w:rFonts w:hint="eastAsia"/>
                <w:sz w:val="24"/>
                <w:szCs w:val="24"/>
                <w:lang w:eastAsia="zh-CN"/>
              </w:rPr>
              <w:t>“</w:t>
            </w:r>
            <w:r>
              <w:rPr>
                <w:rFonts w:hint="eastAsia"/>
                <w:sz w:val="24"/>
                <w:szCs w:val="24"/>
                <w:lang w:val="en-US" w:eastAsia="zh-CN"/>
              </w:rPr>
              <w:t>布袋除尘器+两级活性炭吸附装置</w:t>
            </w:r>
            <w:r>
              <w:rPr>
                <w:rFonts w:hint="eastAsia"/>
                <w:sz w:val="24"/>
                <w:szCs w:val="24"/>
                <w:lang w:eastAsia="zh-CN"/>
              </w:rPr>
              <w:t>”</w:t>
            </w:r>
            <w:r>
              <w:rPr>
                <w:rFonts w:hint="eastAsia"/>
                <w:sz w:val="24"/>
                <w:szCs w:val="24"/>
                <w:lang w:val="en-US" w:eastAsia="zh-CN"/>
              </w:rPr>
              <w:t>处理</w:t>
            </w:r>
            <w:r>
              <w:rPr>
                <w:rFonts w:hint="eastAsia" w:eastAsia="楷体" w:cs="Times New Roman"/>
                <w:color w:val="000000" w:themeColor="text1"/>
                <w:sz w:val="24"/>
                <w:szCs w:val="24"/>
                <w:highlight w:val="none"/>
                <w:lang w:val="en-US" w:eastAsia="zh-CN"/>
                <w14:textFill>
                  <w14:solidFill>
                    <w14:schemeClr w14:val="tx1"/>
                  </w14:solidFill>
                </w14:textFill>
              </w:rPr>
              <w:t>后达标排放。</w:t>
            </w:r>
          </w:p>
        </w:tc>
        <w:tc>
          <w:tcPr>
            <w:tcW w:w="426" w:type="pct"/>
            <w:tcBorders>
              <w:tl2br w:val="nil"/>
              <w:tr2bl w:val="nil"/>
            </w:tcBorders>
            <w:noWrap w:val="0"/>
            <w:vAlign w:val="center"/>
          </w:tcPr>
          <w:p w14:paraId="33C8A016">
            <w:pPr>
              <w:pStyle w:val="55"/>
              <w:bidi w:val="0"/>
              <w:rPr>
                <w:rFonts w:hint="eastAsia"/>
                <w:sz w:val="24"/>
                <w:szCs w:val="24"/>
                <w:lang w:eastAsia="zh-CN"/>
              </w:rPr>
            </w:pPr>
            <w:r>
              <w:rPr>
                <w:rFonts w:hint="eastAsia"/>
                <w:sz w:val="24"/>
                <w:szCs w:val="24"/>
                <w:lang w:eastAsia="zh-CN"/>
              </w:rPr>
              <w:t>符合</w:t>
            </w:r>
          </w:p>
        </w:tc>
      </w:tr>
      <w:tr w14:paraId="005DB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44" w:type="pct"/>
            <w:tcBorders>
              <w:tl2br w:val="nil"/>
              <w:tr2bl w:val="nil"/>
            </w:tcBorders>
            <w:noWrap w:val="0"/>
            <w:vAlign w:val="center"/>
          </w:tcPr>
          <w:p w14:paraId="4267B92D">
            <w:pPr>
              <w:pStyle w:val="55"/>
              <w:bidi w:val="0"/>
              <w:rPr>
                <w:rFonts w:hint="default"/>
                <w:sz w:val="24"/>
                <w:szCs w:val="24"/>
                <w:lang w:val="en-US" w:eastAsia="zh-CN"/>
              </w:rPr>
            </w:pPr>
            <w:r>
              <w:rPr>
                <w:rFonts w:hint="default"/>
                <w:sz w:val="24"/>
                <w:szCs w:val="24"/>
                <w:lang w:val="en-US" w:eastAsia="zh-CN"/>
              </w:rPr>
              <w:t>《河北省深入实施大气污染综合治理十条措施》（〔2021〕65号）</w:t>
            </w:r>
          </w:p>
        </w:tc>
        <w:tc>
          <w:tcPr>
            <w:tcW w:w="2222" w:type="pct"/>
            <w:tcBorders>
              <w:tl2br w:val="nil"/>
              <w:tr2bl w:val="nil"/>
            </w:tcBorders>
            <w:noWrap w:val="0"/>
            <w:vAlign w:val="center"/>
          </w:tcPr>
          <w:p w14:paraId="3001A45B">
            <w:pPr>
              <w:pStyle w:val="55"/>
              <w:bidi w:val="0"/>
              <w:jc w:val="both"/>
              <w:rPr>
                <w:rFonts w:hint="default"/>
                <w:sz w:val="24"/>
                <w:szCs w:val="24"/>
                <w:lang w:val="en-US" w:eastAsia="zh-CN"/>
              </w:rPr>
            </w:pPr>
            <w:r>
              <w:rPr>
                <w:rFonts w:hint="default"/>
                <w:sz w:val="24"/>
                <w:szCs w:val="24"/>
                <w:lang w:val="en-US" w:eastAsia="zh-CN"/>
              </w:rPr>
              <w:t>强化涉VOCs企业“一厂一策”精细管控，组织开展现有VOCs废气收集、治理设施同步运行率和去除率自查，对标先进高效治理技术实施深度整治；加强工业企业含VOCs物料储存、转移和输送、设备与管线组件泄漏、敞开液面逸散以及工艺过程等无组织排放收集处理，确保达标排放。</w:t>
            </w:r>
          </w:p>
        </w:tc>
        <w:tc>
          <w:tcPr>
            <w:tcW w:w="1306" w:type="pct"/>
            <w:vMerge w:val="restart"/>
            <w:tcBorders>
              <w:tl2br w:val="nil"/>
              <w:tr2bl w:val="nil"/>
            </w:tcBorders>
            <w:noWrap w:val="0"/>
            <w:vAlign w:val="center"/>
          </w:tcPr>
          <w:p w14:paraId="35A2B5E8">
            <w:pPr>
              <w:pStyle w:val="55"/>
              <w:bidi w:val="0"/>
              <w:jc w:val="both"/>
              <w:rPr>
                <w:rFonts w:hint="default"/>
                <w:sz w:val="24"/>
                <w:szCs w:val="24"/>
              </w:rPr>
            </w:pPr>
            <w:r>
              <w:rPr>
                <w:rFonts w:hint="default"/>
                <w:sz w:val="24"/>
                <w:szCs w:val="24"/>
                <w:lang w:eastAsia="zh-CN"/>
              </w:rPr>
              <w:t>项目产生</w:t>
            </w:r>
            <w:r>
              <w:rPr>
                <w:rFonts w:hint="eastAsia"/>
                <w:sz w:val="24"/>
                <w:szCs w:val="24"/>
                <w:lang w:val="en-US" w:eastAsia="zh-CN"/>
              </w:rPr>
              <w:t>有机废气</w:t>
            </w:r>
            <w:r>
              <w:rPr>
                <w:rFonts w:hint="default"/>
                <w:sz w:val="24"/>
                <w:szCs w:val="24"/>
                <w:lang w:eastAsia="zh-CN"/>
              </w:rPr>
              <w:t>的生产设备</w:t>
            </w:r>
            <w:r>
              <w:rPr>
                <w:rFonts w:hint="eastAsia"/>
                <w:sz w:val="24"/>
                <w:szCs w:val="24"/>
                <w:lang w:val="en-US" w:eastAsia="zh-CN"/>
              </w:rPr>
              <w:t>及原料</w:t>
            </w:r>
            <w:r>
              <w:rPr>
                <w:rFonts w:hint="default"/>
                <w:sz w:val="24"/>
                <w:szCs w:val="24"/>
                <w:lang w:eastAsia="zh-CN"/>
              </w:rPr>
              <w:t>均设置在密闭车间内，采用</w:t>
            </w:r>
            <w:r>
              <w:rPr>
                <w:rFonts w:hint="eastAsia"/>
                <w:sz w:val="24"/>
                <w:szCs w:val="24"/>
                <w:lang w:eastAsia="zh-CN"/>
              </w:rPr>
              <w:t>“</w:t>
            </w:r>
            <w:r>
              <w:rPr>
                <w:rFonts w:hint="eastAsia"/>
                <w:sz w:val="24"/>
                <w:szCs w:val="24"/>
                <w:lang w:val="en-US" w:eastAsia="zh-CN"/>
              </w:rPr>
              <w:t>布袋除尘器+两级活性炭吸附装置</w:t>
            </w:r>
            <w:r>
              <w:rPr>
                <w:rFonts w:hint="eastAsia"/>
                <w:sz w:val="24"/>
                <w:szCs w:val="24"/>
                <w:lang w:eastAsia="zh-CN"/>
              </w:rPr>
              <w:t>”</w:t>
            </w:r>
            <w:r>
              <w:rPr>
                <w:rFonts w:hint="eastAsia"/>
                <w:sz w:val="24"/>
                <w:szCs w:val="24"/>
                <w:lang w:val="en-US" w:eastAsia="zh-CN"/>
              </w:rPr>
              <w:t>处理</w:t>
            </w:r>
            <w:r>
              <w:rPr>
                <w:rFonts w:hint="eastAsia" w:eastAsia="楷体" w:cs="Times New Roman"/>
                <w:color w:val="000000" w:themeColor="text1"/>
                <w:sz w:val="24"/>
                <w:szCs w:val="24"/>
                <w:highlight w:val="none"/>
                <w:lang w:val="en-US" w:eastAsia="zh-CN"/>
                <w14:textFill>
                  <w14:solidFill>
                    <w14:schemeClr w14:val="tx1"/>
                  </w14:solidFill>
                </w14:textFill>
              </w:rPr>
              <w:t>后达标排放。</w:t>
            </w:r>
          </w:p>
        </w:tc>
        <w:tc>
          <w:tcPr>
            <w:tcW w:w="426" w:type="pct"/>
            <w:tcBorders>
              <w:tl2br w:val="nil"/>
              <w:tr2bl w:val="nil"/>
            </w:tcBorders>
            <w:noWrap w:val="0"/>
            <w:vAlign w:val="center"/>
          </w:tcPr>
          <w:p w14:paraId="5BB334AC">
            <w:pPr>
              <w:pStyle w:val="55"/>
              <w:bidi w:val="0"/>
              <w:rPr>
                <w:rFonts w:hint="eastAsia"/>
                <w:sz w:val="24"/>
                <w:szCs w:val="24"/>
                <w:lang w:eastAsia="zh-CN"/>
              </w:rPr>
            </w:pPr>
            <w:r>
              <w:rPr>
                <w:rFonts w:hint="eastAsia"/>
                <w:sz w:val="24"/>
                <w:szCs w:val="24"/>
                <w:lang w:eastAsia="zh-CN"/>
              </w:rPr>
              <w:t>符合</w:t>
            </w:r>
          </w:p>
        </w:tc>
      </w:tr>
      <w:tr w14:paraId="2533B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44" w:type="pct"/>
            <w:tcBorders>
              <w:tl2br w:val="nil"/>
              <w:tr2bl w:val="nil"/>
            </w:tcBorders>
            <w:noWrap w:val="0"/>
            <w:vAlign w:val="center"/>
          </w:tcPr>
          <w:p w14:paraId="2AF9D888">
            <w:pPr>
              <w:pStyle w:val="55"/>
              <w:bidi w:val="0"/>
              <w:rPr>
                <w:rFonts w:hint="default"/>
                <w:sz w:val="24"/>
                <w:szCs w:val="24"/>
                <w:lang w:val="en-US" w:eastAsia="zh-CN"/>
              </w:rPr>
            </w:pPr>
            <w:r>
              <w:rPr>
                <w:rFonts w:hint="default"/>
                <w:sz w:val="24"/>
                <w:szCs w:val="24"/>
                <w:lang w:val="en-US" w:eastAsia="zh-CN"/>
              </w:rPr>
              <w:t>《河北省202</w:t>
            </w:r>
            <w:r>
              <w:rPr>
                <w:rFonts w:hint="eastAsia"/>
                <w:sz w:val="24"/>
                <w:szCs w:val="24"/>
                <w:lang w:val="en-US" w:eastAsia="zh-CN"/>
              </w:rPr>
              <w:t>3</w:t>
            </w:r>
            <w:r>
              <w:rPr>
                <w:rFonts w:hint="default"/>
                <w:sz w:val="24"/>
                <w:szCs w:val="24"/>
                <w:lang w:val="en-US" w:eastAsia="zh-CN"/>
              </w:rPr>
              <w:t>年大气污染综合治理工作要点》</w:t>
            </w:r>
          </w:p>
        </w:tc>
        <w:tc>
          <w:tcPr>
            <w:tcW w:w="2222" w:type="pct"/>
            <w:tcBorders>
              <w:tl2br w:val="nil"/>
              <w:tr2bl w:val="nil"/>
            </w:tcBorders>
            <w:noWrap w:val="0"/>
            <w:vAlign w:val="center"/>
          </w:tcPr>
          <w:p w14:paraId="79BBB25F">
            <w:pPr>
              <w:pStyle w:val="55"/>
              <w:bidi w:val="0"/>
              <w:rPr>
                <w:rFonts w:hint="default"/>
                <w:sz w:val="24"/>
                <w:szCs w:val="24"/>
                <w:lang w:val="en-US" w:eastAsia="zh-CN"/>
              </w:rPr>
            </w:pPr>
            <w:r>
              <w:rPr>
                <w:rFonts w:hint="eastAsia"/>
                <w:sz w:val="24"/>
                <w:szCs w:val="24"/>
              </w:rPr>
              <w:t>精准开展臭氧污染防治。开展VOCs治理专项攻坚行动，大力推进原辅材料源头替代、工业源无组织排放和工业企业深度治理</w:t>
            </w:r>
            <w:r>
              <w:rPr>
                <w:rFonts w:hint="eastAsia"/>
                <w:sz w:val="24"/>
                <w:szCs w:val="24"/>
                <w:lang w:eastAsia="zh-CN"/>
              </w:rPr>
              <w:t>。</w:t>
            </w:r>
          </w:p>
        </w:tc>
        <w:tc>
          <w:tcPr>
            <w:tcW w:w="1306" w:type="pct"/>
            <w:vMerge w:val="continue"/>
            <w:tcBorders>
              <w:tl2br w:val="nil"/>
              <w:tr2bl w:val="nil"/>
            </w:tcBorders>
            <w:noWrap w:val="0"/>
            <w:vAlign w:val="center"/>
          </w:tcPr>
          <w:p w14:paraId="4B66A2C1">
            <w:pPr>
              <w:pStyle w:val="55"/>
              <w:bidi w:val="0"/>
              <w:rPr>
                <w:rFonts w:hint="default"/>
                <w:sz w:val="24"/>
                <w:szCs w:val="24"/>
                <w:lang w:val="en-US" w:eastAsia="zh-CN"/>
              </w:rPr>
            </w:pPr>
          </w:p>
        </w:tc>
        <w:tc>
          <w:tcPr>
            <w:tcW w:w="426" w:type="pct"/>
            <w:tcBorders>
              <w:tl2br w:val="nil"/>
              <w:tr2bl w:val="nil"/>
            </w:tcBorders>
            <w:noWrap w:val="0"/>
            <w:vAlign w:val="center"/>
          </w:tcPr>
          <w:p w14:paraId="45F84BE2">
            <w:pPr>
              <w:pStyle w:val="55"/>
              <w:bidi w:val="0"/>
              <w:rPr>
                <w:rFonts w:hint="eastAsia"/>
                <w:sz w:val="24"/>
                <w:szCs w:val="24"/>
                <w:lang w:val="en-US" w:eastAsia="zh-CN"/>
              </w:rPr>
            </w:pPr>
            <w:r>
              <w:rPr>
                <w:rFonts w:hint="eastAsia"/>
                <w:sz w:val="24"/>
                <w:szCs w:val="24"/>
                <w:lang w:eastAsia="zh-CN"/>
              </w:rPr>
              <w:t>符合</w:t>
            </w:r>
          </w:p>
        </w:tc>
      </w:tr>
      <w:tr w14:paraId="1CD32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1044" w:type="pct"/>
            <w:tcBorders>
              <w:tl2br w:val="nil"/>
              <w:tr2bl w:val="nil"/>
            </w:tcBorders>
            <w:noWrap w:val="0"/>
            <w:vAlign w:val="center"/>
          </w:tcPr>
          <w:p w14:paraId="729181C4">
            <w:pPr>
              <w:pStyle w:val="55"/>
              <w:bidi w:val="0"/>
              <w:rPr>
                <w:rFonts w:hint="default"/>
                <w:sz w:val="24"/>
                <w:szCs w:val="24"/>
                <w:lang w:val="en-US" w:eastAsia="zh-CN"/>
              </w:rPr>
            </w:pPr>
            <w:r>
              <w:rPr>
                <w:rFonts w:hint="default"/>
                <w:sz w:val="24"/>
                <w:szCs w:val="24"/>
                <w:lang w:val="en-US" w:eastAsia="zh-CN"/>
              </w:rPr>
              <w:t>河北省生态环境保护“十四五”规划（冀政字〔2022〕2号）</w:t>
            </w:r>
          </w:p>
        </w:tc>
        <w:tc>
          <w:tcPr>
            <w:tcW w:w="2222" w:type="pct"/>
            <w:tcBorders>
              <w:tl2br w:val="nil"/>
              <w:tr2bl w:val="nil"/>
            </w:tcBorders>
            <w:noWrap w:val="0"/>
            <w:vAlign w:val="center"/>
          </w:tcPr>
          <w:p w14:paraId="73851687">
            <w:pPr>
              <w:pStyle w:val="55"/>
              <w:bidi w:val="0"/>
              <w:jc w:val="both"/>
              <w:rPr>
                <w:rFonts w:hint="eastAsia"/>
                <w:sz w:val="24"/>
                <w:szCs w:val="24"/>
                <w:lang w:val="en-US" w:eastAsia="zh-CN"/>
              </w:rPr>
            </w:pPr>
            <w:r>
              <w:rPr>
                <w:rFonts w:hint="default"/>
                <w:sz w:val="24"/>
                <w:szCs w:val="24"/>
                <w:lang w:eastAsia="zh-CN"/>
              </w:rPr>
              <w:t>（二）</w:t>
            </w:r>
            <w:r>
              <w:rPr>
                <w:rFonts w:hint="default"/>
                <w:sz w:val="24"/>
                <w:szCs w:val="24"/>
              </w:rPr>
              <w:t>推进工业领域污染减排。</w:t>
            </w:r>
            <w:r>
              <w:rPr>
                <w:rFonts w:hint="default"/>
                <w:sz w:val="24"/>
                <w:szCs w:val="24"/>
                <w:lang w:val="en-US" w:eastAsia="zh-CN"/>
              </w:rPr>
              <w:t>以石化、化工、涂装、医药、包装印刷、油品储运销等行业领域为重点，安全高效推进挥发性有机物（VOCs）综合治理，实施原辅材料和产品源头替代、无组织排放和末端深度治理等提升改造工程。</w:t>
            </w:r>
          </w:p>
        </w:tc>
        <w:tc>
          <w:tcPr>
            <w:tcW w:w="1306" w:type="pct"/>
            <w:vMerge w:val="continue"/>
            <w:tcBorders>
              <w:tl2br w:val="nil"/>
              <w:tr2bl w:val="nil"/>
            </w:tcBorders>
            <w:noWrap w:val="0"/>
            <w:vAlign w:val="center"/>
          </w:tcPr>
          <w:p w14:paraId="7A1CF01B">
            <w:pPr>
              <w:pStyle w:val="55"/>
              <w:bidi w:val="0"/>
              <w:rPr>
                <w:rFonts w:hint="default"/>
                <w:sz w:val="24"/>
                <w:szCs w:val="24"/>
                <w:lang w:val="en-US" w:eastAsia="zh-CN"/>
              </w:rPr>
            </w:pPr>
          </w:p>
        </w:tc>
        <w:tc>
          <w:tcPr>
            <w:tcW w:w="426" w:type="pct"/>
            <w:tcBorders>
              <w:tl2br w:val="nil"/>
              <w:tr2bl w:val="nil"/>
            </w:tcBorders>
            <w:noWrap w:val="0"/>
            <w:vAlign w:val="center"/>
          </w:tcPr>
          <w:p w14:paraId="594C1FA5">
            <w:pPr>
              <w:pStyle w:val="55"/>
              <w:bidi w:val="0"/>
              <w:rPr>
                <w:rFonts w:hint="eastAsia"/>
                <w:sz w:val="24"/>
                <w:szCs w:val="24"/>
                <w:lang w:eastAsia="zh-CN"/>
              </w:rPr>
            </w:pPr>
            <w:r>
              <w:rPr>
                <w:rFonts w:hint="eastAsia"/>
                <w:sz w:val="24"/>
                <w:szCs w:val="24"/>
                <w:lang w:eastAsia="zh-CN"/>
              </w:rPr>
              <w:t>符合</w:t>
            </w:r>
          </w:p>
        </w:tc>
      </w:tr>
      <w:tr w14:paraId="6E2F3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44" w:type="pct"/>
            <w:tcBorders>
              <w:tl2br w:val="nil"/>
              <w:tr2bl w:val="nil"/>
            </w:tcBorders>
            <w:noWrap w:val="0"/>
            <w:vAlign w:val="center"/>
          </w:tcPr>
          <w:p w14:paraId="306418F6">
            <w:pPr>
              <w:pStyle w:val="55"/>
              <w:bidi w:val="0"/>
              <w:rPr>
                <w:rFonts w:hint="default"/>
                <w:sz w:val="24"/>
                <w:szCs w:val="24"/>
                <w:lang w:val="en-US" w:eastAsia="zh-CN"/>
              </w:rPr>
            </w:pPr>
            <w:r>
              <w:rPr>
                <w:rFonts w:hint="eastAsia"/>
                <w:sz w:val="24"/>
                <w:szCs w:val="24"/>
                <w:lang w:eastAsia="zh-CN"/>
              </w:rPr>
              <w:t>保定市生态环境保护“十四五”规划（保环发</w:t>
            </w:r>
            <w:r>
              <w:rPr>
                <w:rFonts w:hint="eastAsia"/>
                <w:sz w:val="24"/>
                <w:szCs w:val="24"/>
                <w:lang w:val="en-US" w:eastAsia="zh-CN"/>
              </w:rPr>
              <w:t>[2022]5号</w:t>
            </w:r>
            <w:r>
              <w:rPr>
                <w:rFonts w:hint="eastAsia"/>
                <w:sz w:val="24"/>
                <w:szCs w:val="24"/>
                <w:lang w:eastAsia="zh-CN"/>
              </w:rPr>
              <w:t>）</w:t>
            </w:r>
          </w:p>
        </w:tc>
        <w:tc>
          <w:tcPr>
            <w:tcW w:w="2222" w:type="pct"/>
            <w:tcBorders>
              <w:tl2br w:val="nil"/>
              <w:tr2bl w:val="nil"/>
            </w:tcBorders>
            <w:noWrap w:val="0"/>
            <w:vAlign w:val="center"/>
          </w:tcPr>
          <w:p w14:paraId="68486430">
            <w:pPr>
              <w:pStyle w:val="55"/>
              <w:bidi w:val="0"/>
              <w:jc w:val="both"/>
              <w:rPr>
                <w:rFonts w:hint="default"/>
                <w:sz w:val="24"/>
                <w:szCs w:val="24"/>
                <w:lang w:val="en-US" w:eastAsia="zh-CN"/>
              </w:rPr>
            </w:pPr>
            <w:r>
              <w:rPr>
                <w:rFonts w:hint="default"/>
                <w:sz w:val="24"/>
                <w:szCs w:val="24"/>
                <w:lang w:val="en-US" w:eastAsia="zh-CN"/>
              </w:rPr>
              <w:t>深化挥发性有机物（VOCs）治理。推进“一行一策”VOCs管理，在印刷、涂装、制药（原料药）等VOCs排放重点行业编制清洁生产审核指南，挑选典型企业开展清洁生产审核示范，促进重点行业VOCs全过程减排。</w:t>
            </w:r>
          </w:p>
        </w:tc>
        <w:tc>
          <w:tcPr>
            <w:tcW w:w="1306" w:type="pct"/>
            <w:vMerge w:val="restart"/>
            <w:tcBorders>
              <w:tl2br w:val="nil"/>
              <w:tr2bl w:val="nil"/>
            </w:tcBorders>
            <w:noWrap w:val="0"/>
            <w:vAlign w:val="center"/>
          </w:tcPr>
          <w:p w14:paraId="00A10296">
            <w:pPr>
              <w:pStyle w:val="55"/>
              <w:bidi w:val="0"/>
              <w:rPr>
                <w:rFonts w:hint="default"/>
                <w:sz w:val="24"/>
                <w:szCs w:val="24"/>
                <w:lang w:val="en-US" w:eastAsia="zh-CN"/>
              </w:rPr>
            </w:pPr>
            <w:r>
              <w:rPr>
                <w:rFonts w:hint="eastAsia"/>
                <w:sz w:val="24"/>
                <w:szCs w:val="24"/>
                <w:lang w:val="en-US" w:eastAsia="zh-CN"/>
              </w:rPr>
              <w:t>项目生产设备及原料均在密闭车间内，生产过程产生的有机废气</w:t>
            </w:r>
            <w:r>
              <w:rPr>
                <w:rFonts w:hint="default"/>
                <w:sz w:val="24"/>
                <w:szCs w:val="24"/>
                <w:lang w:eastAsia="zh-CN"/>
              </w:rPr>
              <w:t>采用</w:t>
            </w:r>
            <w:r>
              <w:rPr>
                <w:rFonts w:hint="eastAsia"/>
                <w:sz w:val="24"/>
                <w:szCs w:val="24"/>
                <w:lang w:eastAsia="zh-CN"/>
              </w:rPr>
              <w:t>“</w:t>
            </w:r>
            <w:r>
              <w:rPr>
                <w:rFonts w:hint="eastAsia"/>
                <w:sz w:val="24"/>
                <w:szCs w:val="24"/>
                <w:lang w:val="en-US" w:eastAsia="zh-CN"/>
              </w:rPr>
              <w:t>布袋除尘器+两级活性炭吸附装置</w:t>
            </w:r>
            <w:r>
              <w:rPr>
                <w:rFonts w:hint="eastAsia"/>
                <w:sz w:val="24"/>
                <w:szCs w:val="24"/>
                <w:lang w:eastAsia="zh-CN"/>
              </w:rPr>
              <w:t>”</w:t>
            </w:r>
            <w:r>
              <w:rPr>
                <w:rFonts w:hint="eastAsia"/>
                <w:sz w:val="24"/>
                <w:szCs w:val="24"/>
                <w:lang w:val="en-US" w:eastAsia="zh-CN"/>
              </w:rPr>
              <w:t>处理</w:t>
            </w:r>
            <w:r>
              <w:rPr>
                <w:rFonts w:hint="eastAsia" w:eastAsia="楷体" w:cs="Times New Roman"/>
                <w:color w:val="000000" w:themeColor="text1"/>
                <w:sz w:val="24"/>
                <w:szCs w:val="24"/>
                <w:highlight w:val="none"/>
                <w:lang w:val="en-US" w:eastAsia="zh-CN"/>
                <w14:textFill>
                  <w14:solidFill>
                    <w14:schemeClr w14:val="tx1"/>
                  </w14:solidFill>
                </w14:textFill>
              </w:rPr>
              <w:t>后达标排放</w:t>
            </w:r>
            <w:r>
              <w:rPr>
                <w:rFonts w:hint="default" w:ascii="Times New Roman" w:hAnsi="Times New Roman" w:eastAsia="楷体" w:cs="Times New Roman"/>
                <w:color w:val="000000" w:themeColor="text1"/>
                <w:sz w:val="24"/>
                <w:szCs w:val="24"/>
                <w:highlight w:val="none"/>
                <w14:textFill>
                  <w14:solidFill>
                    <w14:schemeClr w14:val="tx1"/>
                  </w14:solidFill>
                </w14:textFill>
              </w:rPr>
              <w:t>。</w:t>
            </w:r>
          </w:p>
        </w:tc>
        <w:tc>
          <w:tcPr>
            <w:tcW w:w="426" w:type="pct"/>
            <w:tcBorders>
              <w:tl2br w:val="nil"/>
              <w:tr2bl w:val="nil"/>
            </w:tcBorders>
            <w:noWrap w:val="0"/>
            <w:vAlign w:val="center"/>
          </w:tcPr>
          <w:p w14:paraId="7570B073">
            <w:pPr>
              <w:pStyle w:val="55"/>
              <w:bidi w:val="0"/>
              <w:rPr>
                <w:rFonts w:hint="eastAsia"/>
                <w:sz w:val="24"/>
                <w:szCs w:val="24"/>
                <w:lang w:eastAsia="zh-CN"/>
              </w:rPr>
            </w:pPr>
            <w:r>
              <w:rPr>
                <w:rFonts w:hint="eastAsia"/>
                <w:sz w:val="24"/>
                <w:szCs w:val="24"/>
                <w:lang w:eastAsia="zh-CN"/>
              </w:rPr>
              <w:t>符合</w:t>
            </w:r>
          </w:p>
        </w:tc>
      </w:tr>
      <w:tr w14:paraId="01AE4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44" w:type="pct"/>
            <w:tcBorders>
              <w:tl2br w:val="nil"/>
              <w:tr2bl w:val="nil"/>
            </w:tcBorders>
            <w:noWrap w:val="0"/>
            <w:vAlign w:val="center"/>
          </w:tcPr>
          <w:p w14:paraId="1A97FBF4">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eastAsia"/>
                <w:sz w:val="24"/>
                <w:szCs w:val="24"/>
                <w:lang w:eastAsia="zh-CN"/>
              </w:rPr>
            </w:pPr>
            <w:r>
              <w:rPr>
                <w:rFonts w:hint="default" w:ascii="Times New Roman" w:hAnsi="Times New Roman" w:eastAsia="楷体" w:cs="Times New Roman"/>
                <w:color w:val="000000" w:themeColor="text1"/>
                <w:sz w:val="24"/>
                <w:szCs w:val="24"/>
                <w:highlight w:val="none"/>
                <w14:textFill>
                  <w14:solidFill>
                    <w14:schemeClr w14:val="tx1"/>
                  </w14:solidFill>
                </w14:textFill>
              </w:rPr>
              <w:t>《2023年</w:t>
            </w:r>
            <w:r>
              <w:rPr>
                <w:rFonts w:hint="eastAsia" w:ascii="Times New Roman" w:hAnsi="Times New Roman" w:eastAsia="楷体" w:cs="Times New Roman"/>
                <w:color w:val="000000" w:themeColor="text1"/>
                <w:sz w:val="24"/>
                <w:szCs w:val="24"/>
                <w:highlight w:val="none"/>
                <w14:textFill>
                  <w14:solidFill>
                    <w14:schemeClr w14:val="tx1"/>
                  </w14:solidFill>
                </w14:textFill>
              </w:rPr>
              <w:t>保定市大气污染防治“5+2”工作方案</w:t>
            </w:r>
            <w:r>
              <w:rPr>
                <w:rFonts w:hint="default" w:ascii="Times New Roman" w:hAnsi="Times New Roman" w:eastAsia="楷体" w:cs="Times New Roman"/>
                <w:color w:val="000000" w:themeColor="text1"/>
                <w:sz w:val="24"/>
                <w:szCs w:val="24"/>
                <w:highlight w:val="none"/>
                <w14:textFill>
                  <w14:solidFill>
                    <w14:schemeClr w14:val="tx1"/>
                  </w14:solidFill>
                </w14:textFill>
              </w:rPr>
              <w:t>》</w:t>
            </w:r>
          </w:p>
        </w:tc>
        <w:tc>
          <w:tcPr>
            <w:tcW w:w="2222" w:type="pct"/>
            <w:tcBorders>
              <w:tl2br w:val="nil"/>
              <w:tr2bl w:val="nil"/>
            </w:tcBorders>
            <w:noWrap w:val="0"/>
            <w:vAlign w:val="center"/>
          </w:tcPr>
          <w:p w14:paraId="724F6DBB">
            <w:pPr>
              <w:pStyle w:val="120"/>
              <w:keepNext w:val="0"/>
              <w:keepLines w:val="0"/>
              <w:pageBreakBefore w:val="0"/>
              <w:widowControl/>
              <w:kinsoku/>
              <w:wordWrap/>
              <w:overflowPunct/>
              <w:topLinePunct w:val="0"/>
              <w:autoSpaceDE/>
              <w:autoSpaceDN/>
              <w:bidi w:val="0"/>
              <w:adjustRightInd w:val="0"/>
              <w:snapToGrid w:val="0"/>
              <w:spacing w:line="300" w:lineRule="exact"/>
              <w:jc w:val="both"/>
              <w:textAlignment w:val="auto"/>
              <w:rPr>
                <w:rFonts w:hint="default"/>
                <w:sz w:val="24"/>
                <w:szCs w:val="24"/>
                <w:lang w:val="en-US" w:eastAsia="zh-CN"/>
              </w:rPr>
            </w:pPr>
            <w:r>
              <w:rPr>
                <w:rFonts w:hint="default" w:ascii="Times New Roman" w:hAnsi="Times New Roman" w:eastAsia="楷体" w:cs="Times New Roman"/>
                <w:color w:val="000000" w:themeColor="text1"/>
                <w:sz w:val="24"/>
                <w:szCs w:val="24"/>
                <w:highlight w:val="none"/>
                <w14:textFill>
                  <w14:solidFill>
                    <w14:schemeClr w14:val="tx1"/>
                  </w14:solidFill>
                </w14:textFill>
              </w:rPr>
              <w:t>摸清全市VOCs排放及NOx 排放底数，开展涉VOCs企业低效治理设施和全流程治理能力提升专项行动。落实涉VOCs企业和移动源管控措施，加大重点区域重点时段洒水、雾炮作业力度，对涉VOCs排放的市政工程引导错峰施工，力争将轻度污染转为优良天。</w:t>
            </w:r>
          </w:p>
        </w:tc>
        <w:tc>
          <w:tcPr>
            <w:tcW w:w="1306" w:type="pct"/>
            <w:vMerge w:val="continue"/>
            <w:tcBorders>
              <w:tl2br w:val="nil"/>
              <w:tr2bl w:val="nil"/>
            </w:tcBorders>
            <w:noWrap w:val="0"/>
            <w:vAlign w:val="center"/>
          </w:tcPr>
          <w:p w14:paraId="289BA48B">
            <w:pPr>
              <w:pStyle w:val="55"/>
              <w:bidi w:val="0"/>
              <w:rPr>
                <w:rFonts w:hint="eastAsia"/>
                <w:sz w:val="24"/>
                <w:szCs w:val="24"/>
                <w:lang w:val="en-US" w:eastAsia="zh-CN"/>
              </w:rPr>
            </w:pPr>
          </w:p>
        </w:tc>
        <w:tc>
          <w:tcPr>
            <w:tcW w:w="426" w:type="pct"/>
            <w:tcBorders>
              <w:tl2br w:val="nil"/>
              <w:tr2bl w:val="nil"/>
            </w:tcBorders>
            <w:noWrap w:val="0"/>
            <w:vAlign w:val="center"/>
          </w:tcPr>
          <w:p w14:paraId="75C38F2E">
            <w:pPr>
              <w:pStyle w:val="55"/>
              <w:bidi w:val="0"/>
              <w:rPr>
                <w:rFonts w:hint="eastAsia"/>
                <w:sz w:val="24"/>
                <w:szCs w:val="24"/>
                <w:lang w:eastAsia="zh-CN"/>
              </w:rPr>
            </w:pPr>
            <w:r>
              <w:rPr>
                <w:rFonts w:hint="eastAsia"/>
                <w:sz w:val="24"/>
                <w:szCs w:val="24"/>
                <w:lang w:eastAsia="zh-CN"/>
              </w:rPr>
              <w:t>符合</w:t>
            </w:r>
          </w:p>
        </w:tc>
      </w:tr>
      <w:tr w14:paraId="58DAE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44" w:type="pct"/>
            <w:tcBorders>
              <w:tl2br w:val="nil"/>
              <w:tr2bl w:val="nil"/>
            </w:tcBorders>
            <w:noWrap w:val="0"/>
            <w:vAlign w:val="center"/>
          </w:tcPr>
          <w:p w14:paraId="67C2039B">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eastAsia"/>
                <w:sz w:val="24"/>
                <w:szCs w:val="24"/>
                <w:lang w:eastAsia="zh-CN"/>
              </w:rPr>
            </w:pPr>
            <w:r>
              <w:rPr>
                <w:rFonts w:hint="eastAsia" w:ascii="Times New Roman" w:hAnsi="Times New Roman" w:eastAsia="楷体" w:cs="Times New Roman"/>
                <w:color w:val="000000" w:themeColor="text1"/>
                <w:sz w:val="24"/>
                <w:szCs w:val="24"/>
                <w:highlight w:val="none"/>
                <w14:textFill>
                  <w14:solidFill>
                    <w14:schemeClr w14:val="tx1"/>
                  </w14:solidFill>
                </w14:textFill>
              </w:rPr>
              <w:t>《保定市深入实施大气污染综合治理十五条措施》</w:t>
            </w:r>
          </w:p>
        </w:tc>
        <w:tc>
          <w:tcPr>
            <w:tcW w:w="2222" w:type="pct"/>
            <w:tcBorders>
              <w:tl2br w:val="nil"/>
              <w:tr2bl w:val="nil"/>
            </w:tcBorders>
            <w:noWrap w:val="0"/>
            <w:vAlign w:val="center"/>
          </w:tcPr>
          <w:p w14:paraId="34FB1881">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sz w:val="24"/>
                <w:szCs w:val="24"/>
                <w:lang w:val="en-US" w:eastAsia="zh-CN"/>
              </w:rPr>
            </w:pPr>
            <w:r>
              <w:rPr>
                <w:rFonts w:hint="eastAsia" w:ascii="Times New Roman" w:hAnsi="Times New Roman" w:eastAsia="楷体" w:cs="Times New Roman"/>
                <w:color w:val="000000" w:themeColor="text1"/>
                <w:sz w:val="24"/>
                <w:szCs w:val="24"/>
                <w:highlight w:val="none"/>
                <w14:textFill>
                  <w14:solidFill>
                    <w14:schemeClr w14:val="tx1"/>
                  </w14:solidFill>
                </w14:textFill>
              </w:rPr>
              <w:t>强化涉VOCs企业“一厂一策”精细管控，完善源头、过程和末端的VOCs全过程控制体系。组织开展现有VOCs废气收集、治理设施同步运行率和去除率自查，对标先进高效治理技术实施深度整治；加强工业企业含VOCs物料储存、转移和输送、设备与管线组件泄漏、敞开液面逸散以及工艺过程等无组织排放收集处理，确保达标排放。</w:t>
            </w:r>
          </w:p>
        </w:tc>
        <w:tc>
          <w:tcPr>
            <w:tcW w:w="1306" w:type="pct"/>
            <w:vMerge w:val="continue"/>
            <w:tcBorders>
              <w:tl2br w:val="nil"/>
              <w:tr2bl w:val="nil"/>
            </w:tcBorders>
            <w:noWrap w:val="0"/>
            <w:vAlign w:val="center"/>
          </w:tcPr>
          <w:p w14:paraId="2ACBAEAB">
            <w:pPr>
              <w:pStyle w:val="55"/>
              <w:bidi w:val="0"/>
              <w:rPr>
                <w:rFonts w:hint="eastAsia"/>
                <w:sz w:val="24"/>
                <w:szCs w:val="24"/>
                <w:lang w:val="en-US" w:eastAsia="zh-CN"/>
              </w:rPr>
            </w:pPr>
          </w:p>
        </w:tc>
        <w:tc>
          <w:tcPr>
            <w:tcW w:w="426" w:type="pct"/>
            <w:tcBorders>
              <w:tl2br w:val="nil"/>
              <w:tr2bl w:val="nil"/>
            </w:tcBorders>
            <w:noWrap w:val="0"/>
            <w:vAlign w:val="center"/>
          </w:tcPr>
          <w:p w14:paraId="7A937D89">
            <w:pPr>
              <w:pStyle w:val="55"/>
              <w:bidi w:val="0"/>
              <w:rPr>
                <w:rFonts w:hint="eastAsia"/>
                <w:sz w:val="24"/>
                <w:szCs w:val="24"/>
                <w:lang w:eastAsia="zh-CN"/>
              </w:rPr>
            </w:pPr>
            <w:r>
              <w:rPr>
                <w:rFonts w:hint="eastAsia"/>
                <w:sz w:val="24"/>
                <w:szCs w:val="24"/>
                <w:lang w:eastAsia="zh-CN"/>
              </w:rPr>
              <w:t>符合</w:t>
            </w:r>
          </w:p>
        </w:tc>
      </w:tr>
      <w:tr w14:paraId="7038F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44" w:type="pct"/>
            <w:tcBorders>
              <w:tl2br w:val="nil"/>
              <w:tr2bl w:val="nil"/>
            </w:tcBorders>
            <w:noWrap w:val="0"/>
            <w:vAlign w:val="center"/>
          </w:tcPr>
          <w:p w14:paraId="681BD1DC">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eastAsia" w:ascii="Times New Roman" w:hAnsi="Times New Roman" w:eastAsia="楷体" w:cs="Times New Roman"/>
                <w:color w:val="000000" w:themeColor="text1"/>
                <w:sz w:val="24"/>
                <w:szCs w:val="24"/>
                <w:highlight w:val="none"/>
                <w14:textFill>
                  <w14:solidFill>
                    <w14:schemeClr w14:val="tx1"/>
                  </w14:solidFill>
                </w14:textFill>
              </w:rPr>
            </w:pPr>
            <w:r>
              <w:rPr>
                <w:rFonts w:hint="eastAsia" w:ascii="Times New Roman" w:hAnsi="Times New Roman" w:eastAsia="楷体" w:cs="Times New Roman"/>
                <w:color w:val="000000" w:themeColor="text1"/>
                <w:sz w:val="24"/>
                <w:szCs w:val="24"/>
                <w:highlight w:val="none"/>
                <w14:textFill>
                  <w14:solidFill>
                    <w14:schemeClr w14:val="tx1"/>
                  </w14:solidFill>
                </w14:textFill>
              </w:rPr>
              <w:t>《保定市生态环境局关于进一加强挥发性有机物治理有关工作的通知》</w:t>
            </w:r>
            <w:r>
              <w:rPr>
                <w:rFonts w:hint="eastAsia" w:eastAsia="楷体"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eastAsia="楷体" w:cs="Times New Roman"/>
                <w:color w:val="000000" w:themeColor="text1"/>
                <w:sz w:val="24"/>
                <w:szCs w:val="24"/>
                <w:highlight w:val="none"/>
                <w14:textFill>
                  <w14:solidFill>
                    <w14:schemeClr w14:val="tx1"/>
                  </w14:solidFill>
                </w14:textFill>
              </w:rPr>
              <w:t>〔2024〕-11</w:t>
            </w:r>
            <w:r>
              <w:rPr>
                <w:rFonts w:hint="eastAsia" w:eastAsia="楷体" w:cs="Times New Roman"/>
                <w:color w:val="000000" w:themeColor="text1"/>
                <w:sz w:val="24"/>
                <w:szCs w:val="24"/>
                <w:highlight w:val="none"/>
                <w:lang w:eastAsia="zh-CN"/>
                <w14:textFill>
                  <w14:solidFill>
                    <w14:schemeClr w14:val="tx1"/>
                  </w14:solidFill>
                </w14:textFill>
              </w:rPr>
              <w:t>）</w:t>
            </w:r>
          </w:p>
        </w:tc>
        <w:tc>
          <w:tcPr>
            <w:tcW w:w="2222" w:type="pct"/>
            <w:tcBorders>
              <w:tl2br w:val="nil"/>
              <w:tr2bl w:val="nil"/>
            </w:tcBorders>
            <w:noWrap w:val="0"/>
            <w:vAlign w:val="center"/>
          </w:tcPr>
          <w:p w14:paraId="3A3EFBD1">
            <w:pPr>
              <w:pStyle w:val="120"/>
              <w:keepNext w:val="0"/>
              <w:keepLines w:val="0"/>
              <w:pageBreakBefore w:val="0"/>
              <w:widowControl/>
              <w:numPr>
                <w:ilvl w:val="0"/>
                <w:numId w:val="0"/>
              </w:numPr>
              <w:kinsoku/>
              <w:wordWrap/>
              <w:overflowPunct/>
              <w:topLinePunct w:val="0"/>
              <w:autoSpaceDE/>
              <w:autoSpaceDN/>
              <w:bidi w:val="0"/>
              <w:adjustRightInd w:val="0"/>
              <w:snapToGrid w:val="0"/>
              <w:spacing w:line="300" w:lineRule="exact"/>
              <w:ind w:left="0" w:leftChars="0" w:firstLine="0" w:firstLineChars="0"/>
              <w:jc w:val="both"/>
              <w:textAlignment w:val="auto"/>
              <w:rPr>
                <w:rFonts w:hint="eastAsia" w:ascii="Times New Roman" w:hAnsi="Times New Roman" w:eastAsia="楷体" w:cs="Times New Roman"/>
                <w:color w:val="000000" w:themeColor="text1"/>
                <w:sz w:val="24"/>
                <w:szCs w:val="24"/>
                <w:highlight w:val="none"/>
                <w14:textFill>
                  <w14:solidFill>
                    <w14:schemeClr w14:val="tx1"/>
                  </w14:solidFill>
                </w14:textFill>
              </w:rPr>
            </w:pPr>
            <w:r>
              <w:rPr>
                <w:rFonts w:hint="eastAsia" w:ascii="Times New Roman" w:hAnsi="Times New Roman" w:eastAsia="楷体" w:cs="Times New Roman"/>
                <w:color w:val="000000" w:themeColor="text1"/>
                <w:sz w:val="24"/>
                <w:szCs w:val="24"/>
                <w:highlight w:val="none"/>
                <w14:textFill>
                  <w14:solidFill>
                    <w14:schemeClr w14:val="tx1"/>
                  </w14:solidFill>
                </w14:textFill>
              </w:rPr>
              <w:t>加快对使用简易低效污染治理设施企业</w:t>
            </w:r>
            <w:r>
              <w:rPr>
                <w:rFonts w:hint="eastAsia" w:eastAsia="楷体"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eastAsia="楷体" w:cs="Times New Roman"/>
                <w:color w:val="000000" w:themeColor="text1"/>
                <w:sz w:val="24"/>
                <w:szCs w:val="24"/>
                <w:highlight w:val="none"/>
                <w14:textFill>
                  <w14:solidFill>
                    <w14:schemeClr w14:val="tx1"/>
                  </w14:solidFill>
                </w14:textFill>
              </w:rPr>
              <w:t>整治提升进度</w:t>
            </w:r>
            <w:r>
              <w:rPr>
                <w:rFonts w:hint="eastAsia" w:eastAsia="楷体"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eastAsia="楷体" w:cs="Times New Roman"/>
                <w:color w:val="000000" w:themeColor="text1"/>
                <w:sz w:val="24"/>
                <w:szCs w:val="24"/>
                <w:highlight w:val="none"/>
                <w14:textFill>
                  <w14:solidFill>
                    <w14:schemeClr w14:val="tx1"/>
                  </w14:solidFill>
                </w14:textFill>
              </w:rPr>
              <w:t>对使用低温等离子、光氧化/光催化等低效治理设施的企业</w:t>
            </w:r>
            <w:r>
              <w:rPr>
                <w:rFonts w:hint="eastAsia" w:eastAsia="楷体"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eastAsia="楷体" w:cs="Times New Roman"/>
                <w:color w:val="000000" w:themeColor="text1"/>
                <w:sz w:val="24"/>
                <w:szCs w:val="24"/>
                <w:highlight w:val="none"/>
                <w14:textFill>
                  <w14:solidFill>
                    <w14:schemeClr w14:val="tx1"/>
                  </w14:solidFill>
                </w14:textFill>
              </w:rPr>
              <w:t>按照企业实际情况(有评级需求、恶臭异味治理、除油效果良好、个别管理运行好的除外)</w:t>
            </w:r>
            <w:r>
              <w:rPr>
                <w:rFonts w:hint="eastAsia" w:eastAsia="楷体"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eastAsia="楷体" w:cs="Times New Roman"/>
                <w:color w:val="000000" w:themeColor="text1"/>
                <w:sz w:val="24"/>
                <w:szCs w:val="24"/>
                <w:highlight w:val="none"/>
                <w14:textFill>
                  <w14:solidFill>
                    <w14:schemeClr w14:val="tx1"/>
                  </w14:solidFill>
                </w14:textFill>
              </w:rPr>
              <w:t>鼓励更换为颗粒活性炭吸附等组合工艺(原低温等离子、光氧化/催化+活性炭吸附工艺更改为两级颗粒活性炭吸附)。</w:t>
            </w:r>
          </w:p>
        </w:tc>
        <w:tc>
          <w:tcPr>
            <w:tcW w:w="1306" w:type="pct"/>
            <w:tcBorders>
              <w:tl2br w:val="nil"/>
              <w:tr2bl w:val="nil"/>
            </w:tcBorders>
            <w:noWrap w:val="0"/>
            <w:vAlign w:val="center"/>
          </w:tcPr>
          <w:p w14:paraId="1E7CE328">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eastAsia"/>
                <w:sz w:val="24"/>
                <w:szCs w:val="24"/>
                <w:lang w:val="en-US" w:eastAsia="zh-CN"/>
              </w:rPr>
            </w:pPr>
            <w:r>
              <w:rPr>
                <w:rFonts w:hint="eastAsia" w:eastAsia="楷体" w:cs="Times New Roman"/>
                <w:color w:val="000000" w:themeColor="text1"/>
                <w:sz w:val="24"/>
                <w:szCs w:val="24"/>
                <w:highlight w:val="none"/>
                <w:lang w:val="en-US" w:eastAsia="zh-CN"/>
                <w14:textFill>
                  <w14:solidFill>
                    <w14:schemeClr w14:val="tx1"/>
                  </w14:solidFill>
                </w14:textFill>
              </w:rPr>
              <w:t>项目产生的有机废气</w:t>
            </w:r>
            <w:r>
              <w:rPr>
                <w:rFonts w:hint="default" w:ascii="Times New Roman" w:hAnsi="Times New Roman" w:eastAsia="楷体" w:cs="Times New Roman"/>
                <w:color w:val="000000" w:themeColor="text1"/>
                <w:sz w:val="24"/>
                <w:szCs w:val="24"/>
                <w:highlight w:val="none"/>
                <w14:textFill>
                  <w14:solidFill>
                    <w14:schemeClr w14:val="tx1"/>
                  </w14:solidFill>
                </w14:textFill>
              </w:rPr>
              <w:t>采用集气罩收集后</w:t>
            </w:r>
            <w:r>
              <w:rPr>
                <w:rFonts w:hint="eastAsia" w:ascii="Times New Roman" w:hAnsi="Times New Roman" w:eastAsia="楷体" w:cs="Times New Roman"/>
                <w:color w:val="000000" w:themeColor="text1"/>
                <w:sz w:val="24"/>
                <w:szCs w:val="24"/>
                <w:highlight w:val="none"/>
                <w:lang w:val="en-US" w:eastAsia="zh-CN"/>
                <w14:textFill>
                  <w14:solidFill>
                    <w14:schemeClr w14:val="tx1"/>
                  </w14:solidFill>
                </w14:textFill>
              </w:rPr>
              <w:t>引至“布袋除尘器+两级活性炭吸附装置”</w:t>
            </w:r>
            <w:r>
              <w:rPr>
                <w:rFonts w:hint="default" w:ascii="Times New Roman" w:hAnsi="Times New Roman" w:eastAsia="楷体" w:cs="Times New Roman"/>
                <w:color w:val="000000" w:themeColor="text1"/>
                <w:sz w:val="24"/>
                <w:szCs w:val="24"/>
                <w:highlight w:val="none"/>
                <w14:textFill>
                  <w14:solidFill>
                    <w14:schemeClr w14:val="tx1"/>
                  </w14:solidFill>
                </w14:textFill>
              </w:rPr>
              <w:t>处理</w:t>
            </w:r>
            <w:r>
              <w:rPr>
                <w:rFonts w:hint="eastAsia" w:eastAsia="楷体" w:cs="Times New Roman"/>
                <w:color w:val="000000" w:themeColor="text1"/>
                <w:sz w:val="24"/>
                <w:szCs w:val="24"/>
                <w:highlight w:val="none"/>
                <w:lang w:val="en-US" w:eastAsia="zh-CN"/>
                <w14:textFill>
                  <w14:solidFill>
                    <w14:schemeClr w14:val="tx1"/>
                  </w14:solidFill>
                </w14:textFill>
              </w:rPr>
              <w:t>后达标排放</w:t>
            </w:r>
            <w:r>
              <w:rPr>
                <w:rFonts w:hint="default" w:ascii="Times New Roman" w:hAnsi="Times New Roman" w:eastAsia="楷体" w:cs="Times New Roman"/>
                <w:color w:val="000000" w:themeColor="text1"/>
                <w:sz w:val="24"/>
                <w:szCs w:val="24"/>
                <w:highlight w:val="none"/>
                <w14:textFill>
                  <w14:solidFill>
                    <w14:schemeClr w14:val="tx1"/>
                  </w14:solidFill>
                </w14:textFill>
              </w:rPr>
              <w:t>。</w:t>
            </w:r>
          </w:p>
        </w:tc>
        <w:tc>
          <w:tcPr>
            <w:tcW w:w="426" w:type="pct"/>
            <w:tcBorders>
              <w:tl2br w:val="nil"/>
              <w:tr2bl w:val="nil"/>
            </w:tcBorders>
            <w:noWrap w:val="0"/>
            <w:vAlign w:val="center"/>
          </w:tcPr>
          <w:p w14:paraId="4CEC52EE">
            <w:pPr>
              <w:pStyle w:val="55"/>
              <w:bidi w:val="0"/>
              <w:rPr>
                <w:rFonts w:hint="eastAsia"/>
                <w:sz w:val="24"/>
                <w:szCs w:val="24"/>
                <w:lang w:eastAsia="zh-CN"/>
              </w:rPr>
            </w:pPr>
            <w:r>
              <w:rPr>
                <w:rFonts w:hint="eastAsia"/>
                <w:sz w:val="24"/>
                <w:szCs w:val="24"/>
                <w:lang w:eastAsia="zh-CN"/>
              </w:rPr>
              <w:t>符合</w:t>
            </w:r>
          </w:p>
        </w:tc>
      </w:tr>
      <w:tr w14:paraId="2664F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44" w:type="pct"/>
            <w:tcBorders>
              <w:tl2br w:val="nil"/>
              <w:tr2bl w:val="nil"/>
            </w:tcBorders>
            <w:noWrap w:val="0"/>
            <w:vAlign w:val="center"/>
          </w:tcPr>
          <w:p w14:paraId="5F1AB25B">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eastAsia"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《挥发性有机物无组织排放控制标准》（GB37822-2019）</w:t>
            </w:r>
          </w:p>
        </w:tc>
        <w:tc>
          <w:tcPr>
            <w:tcW w:w="2222" w:type="pct"/>
            <w:tcBorders>
              <w:tl2br w:val="nil"/>
              <w:tr2bl w:val="nil"/>
            </w:tcBorders>
            <w:noWrap w:val="0"/>
            <w:vAlign w:val="center"/>
          </w:tcPr>
          <w:p w14:paraId="415F67C1">
            <w:pPr>
              <w:pStyle w:val="120"/>
              <w:keepNext w:val="0"/>
              <w:keepLines w:val="0"/>
              <w:pageBreakBefore w:val="0"/>
              <w:widowControl/>
              <w:kinsoku/>
              <w:wordWrap/>
              <w:overflowPunct/>
              <w:topLinePunct w:val="0"/>
              <w:autoSpaceDE/>
              <w:autoSpaceDN/>
              <w:bidi w:val="0"/>
              <w:adjustRightInd w:val="0"/>
              <w:snapToGrid w:val="0"/>
              <w:spacing w:line="300" w:lineRule="exact"/>
              <w:jc w:val="both"/>
              <w:textAlignment w:val="auto"/>
              <w:rPr>
                <w:rFonts w:hint="eastAsia" w:ascii="Times New Roman" w:hAnsi="Times New Roman" w:eastAsia="楷体" w:cs="Times New Roman"/>
                <w:color w:val="000000" w:themeColor="text1"/>
                <w:sz w:val="24"/>
                <w:szCs w:val="24"/>
                <w:highlight w:val="none"/>
                <w14:textFill>
                  <w14:solidFill>
                    <w14:schemeClr w14:val="tx1"/>
                  </w14:solidFill>
                </w14:textFill>
              </w:rPr>
            </w:pPr>
            <w:r>
              <w:rPr>
                <w:rFonts w:hint="eastAsia" w:ascii="Times New Roman" w:hAnsi="Times New Roman" w:eastAsia="楷体" w:cs="Times New Roman"/>
                <w:color w:val="000000" w:themeColor="text1"/>
                <w:sz w:val="24"/>
                <w:szCs w:val="24"/>
                <w:highlight w:val="none"/>
                <w14:textFill>
                  <w14:solidFill>
                    <w14:schemeClr w14:val="tx1"/>
                  </w14:solidFill>
                </w14:textFill>
              </w:rPr>
              <w:t>粉状、粒状VOCs物料应采用气力输送方式或采用密闭固体投料器等给料方式密闭投加。无法密闭投加的</w:t>
            </w:r>
            <w:r>
              <w:rPr>
                <w:rFonts w:hint="eastAsia" w:eastAsia="楷体"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eastAsia="楷体" w:cs="Times New Roman"/>
                <w:color w:val="000000" w:themeColor="text1"/>
                <w:sz w:val="24"/>
                <w:szCs w:val="24"/>
                <w:highlight w:val="none"/>
                <w14:textFill>
                  <w14:solidFill>
                    <w14:schemeClr w14:val="tx1"/>
                  </w14:solidFill>
                </w14:textFill>
              </w:rPr>
              <w:t>应在密闭空间内操作</w:t>
            </w:r>
            <w:r>
              <w:rPr>
                <w:rFonts w:hint="eastAsia" w:eastAsia="楷体"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eastAsia="楷体" w:cs="Times New Roman"/>
                <w:color w:val="000000" w:themeColor="text1"/>
                <w:sz w:val="24"/>
                <w:szCs w:val="24"/>
                <w:highlight w:val="none"/>
                <w14:textFill>
                  <w14:solidFill>
                    <w14:schemeClr w14:val="tx1"/>
                  </w14:solidFill>
                </w14:textFill>
              </w:rPr>
              <w:t>或进行局部气体收集</w:t>
            </w:r>
            <w:r>
              <w:rPr>
                <w:rFonts w:hint="eastAsia" w:eastAsia="楷体"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eastAsia="楷体" w:cs="Times New Roman"/>
                <w:color w:val="000000" w:themeColor="text1"/>
                <w:sz w:val="24"/>
                <w:szCs w:val="24"/>
                <w:highlight w:val="none"/>
                <w14:textFill>
                  <w14:solidFill>
                    <w14:schemeClr w14:val="tx1"/>
                  </w14:solidFill>
                </w14:textFill>
              </w:rPr>
              <w:t>废气应排至除尘设施、V0Cs废气收集处理系统。</w:t>
            </w:r>
          </w:p>
          <w:p w14:paraId="42EE1B60">
            <w:pPr>
              <w:pStyle w:val="120"/>
              <w:keepNext w:val="0"/>
              <w:keepLines w:val="0"/>
              <w:pageBreakBefore w:val="0"/>
              <w:widowControl/>
              <w:kinsoku/>
              <w:wordWrap/>
              <w:overflowPunct/>
              <w:topLinePunct w:val="0"/>
              <w:autoSpaceDE/>
              <w:autoSpaceDN/>
              <w:bidi w:val="0"/>
              <w:adjustRightInd w:val="0"/>
              <w:snapToGrid w:val="0"/>
              <w:spacing w:line="300" w:lineRule="exact"/>
              <w:jc w:val="both"/>
              <w:textAlignment w:val="auto"/>
              <w:rPr>
                <w:rFonts w:hint="eastAsia" w:ascii="Times New Roman" w:hAnsi="Times New Roman" w:eastAsia="楷体" w:cs="Times New Roman"/>
                <w:color w:val="000000" w:themeColor="text1"/>
                <w:sz w:val="24"/>
                <w:szCs w:val="24"/>
                <w:highlight w:val="none"/>
                <w14:textFill>
                  <w14:solidFill>
                    <w14:schemeClr w14:val="tx1"/>
                  </w14:solidFill>
                </w14:textFill>
              </w:rPr>
            </w:pPr>
            <w:r>
              <w:rPr>
                <w:rFonts w:hint="eastAsia" w:ascii="Times New Roman" w:hAnsi="Times New Roman" w:eastAsia="楷体" w:cs="Times New Roman"/>
                <w:color w:val="000000" w:themeColor="text1"/>
                <w:sz w:val="24"/>
                <w:szCs w:val="24"/>
                <w:highlight w:val="none"/>
                <w14:textFill>
                  <w14:solidFill>
                    <w14:schemeClr w14:val="tx1"/>
                  </w14:solidFill>
                </w14:textFill>
              </w:rPr>
              <w:t>VOCs物料卸(出、放)料过程应密闭</w:t>
            </w:r>
            <w:r>
              <w:rPr>
                <w:rFonts w:hint="eastAsia" w:eastAsia="楷体"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eastAsia="楷体" w:cs="Times New Roman"/>
                <w:color w:val="000000" w:themeColor="text1"/>
                <w:sz w:val="24"/>
                <w:szCs w:val="24"/>
                <w:highlight w:val="none"/>
                <w14:textFill>
                  <w14:solidFill>
                    <w14:schemeClr w14:val="tx1"/>
                  </w14:solidFill>
                </w14:textFill>
              </w:rPr>
              <w:t>卸料废气应排至VOCs废气收集处理系统</w:t>
            </w:r>
            <w:r>
              <w:rPr>
                <w:rFonts w:hint="eastAsia" w:eastAsia="楷体"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eastAsia="楷体" w:cs="Times New Roman"/>
                <w:color w:val="000000" w:themeColor="text1"/>
                <w:sz w:val="24"/>
                <w:szCs w:val="24"/>
                <w:highlight w:val="none"/>
                <w14:textFill>
                  <w14:solidFill>
                    <w14:schemeClr w14:val="tx1"/>
                  </w14:solidFill>
                </w14:textFill>
              </w:rPr>
              <w:t>无法密闭的</w:t>
            </w:r>
            <w:r>
              <w:rPr>
                <w:rFonts w:hint="eastAsia" w:eastAsia="楷体"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eastAsia="楷体" w:cs="Times New Roman"/>
                <w:color w:val="000000" w:themeColor="text1"/>
                <w:sz w:val="24"/>
                <w:szCs w:val="24"/>
                <w:highlight w:val="none"/>
                <w14:textFill>
                  <w14:solidFill>
                    <w14:schemeClr w14:val="tx1"/>
                  </w14:solidFill>
                </w14:textFill>
              </w:rPr>
              <w:t>应采取局部气体收集措施</w:t>
            </w:r>
            <w:r>
              <w:rPr>
                <w:rFonts w:hint="eastAsia" w:eastAsia="楷体"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eastAsia="楷体" w:cs="Times New Roman"/>
                <w:color w:val="000000" w:themeColor="text1"/>
                <w:sz w:val="24"/>
                <w:szCs w:val="24"/>
                <w:highlight w:val="none"/>
                <w14:textFill>
                  <w14:solidFill>
                    <w14:schemeClr w14:val="tx1"/>
                  </w14:solidFill>
                </w14:textFill>
              </w:rPr>
              <w:t>废气应排至VOCs废气收集处理系统。</w:t>
            </w:r>
          </w:p>
        </w:tc>
        <w:tc>
          <w:tcPr>
            <w:tcW w:w="1306" w:type="pct"/>
            <w:tcBorders>
              <w:tl2br w:val="nil"/>
              <w:tr2bl w:val="nil"/>
            </w:tcBorders>
            <w:noWrap w:val="0"/>
            <w:vAlign w:val="center"/>
          </w:tcPr>
          <w:p w14:paraId="518989FB">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eastAsia"/>
                <w:sz w:val="24"/>
                <w:szCs w:val="24"/>
                <w:lang w:val="en-US" w:eastAsia="zh-CN"/>
              </w:rPr>
            </w:pPr>
            <w:r>
              <w:rPr>
                <w:rFonts w:hint="eastAsia" w:eastAsia="楷体" w:cs="Times New Roman"/>
                <w:color w:val="000000" w:themeColor="text1"/>
                <w:sz w:val="24"/>
                <w:szCs w:val="24"/>
                <w:highlight w:val="none"/>
                <w:lang w:val="en-US" w:eastAsia="zh-CN"/>
                <w14:textFill>
                  <w14:solidFill>
                    <w14:schemeClr w14:val="tx1"/>
                  </w14:solidFill>
                </w14:textFill>
              </w:rPr>
              <w:t>项目原料及生产工序，均位于密闭车间内，有机废气</w:t>
            </w:r>
            <w:r>
              <w:rPr>
                <w:rFonts w:hint="default" w:ascii="Times New Roman" w:hAnsi="Times New Roman" w:eastAsia="楷体" w:cs="Times New Roman"/>
                <w:color w:val="000000" w:themeColor="text1"/>
                <w:sz w:val="24"/>
                <w:szCs w:val="24"/>
                <w:highlight w:val="none"/>
                <w14:textFill>
                  <w14:solidFill>
                    <w14:schemeClr w14:val="tx1"/>
                  </w14:solidFill>
                </w14:textFill>
              </w:rPr>
              <w:t>采用集气罩收集后</w:t>
            </w:r>
            <w:r>
              <w:rPr>
                <w:rFonts w:hint="eastAsia" w:ascii="Times New Roman" w:hAnsi="Times New Roman" w:eastAsia="楷体" w:cs="Times New Roman"/>
                <w:color w:val="000000" w:themeColor="text1"/>
                <w:sz w:val="24"/>
                <w:szCs w:val="24"/>
                <w:highlight w:val="none"/>
                <w:lang w:val="en-US" w:eastAsia="zh-CN"/>
                <w14:textFill>
                  <w14:solidFill>
                    <w14:schemeClr w14:val="tx1"/>
                  </w14:solidFill>
                </w14:textFill>
              </w:rPr>
              <w:t>引至“布袋除尘器+两级活性炭吸附装置”</w:t>
            </w:r>
            <w:r>
              <w:rPr>
                <w:rFonts w:hint="default" w:ascii="Times New Roman" w:hAnsi="Times New Roman" w:eastAsia="楷体" w:cs="Times New Roman"/>
                <w:color w:val="000000" w:themeColor="text1"/>
                <w:sz w:val="24"/>
                <w:szCs w:val="24"/>
                <w:highlight w:val="none"/>
                <w14:textFill>
                  <w14:solidFill>
                    <w14:schemeClr w14:val="tx1"/>
                  </w14:solidFill>
                </w14:textFill>
              </w:rPr>
              <w:t>处理</w:t>
            </w:r>
            <w:r>
              <w:rPr>
                <w:rFonts w:hint="eastAsia" w:eastAsia="楷体" w:cs="Times New Roman"/>
                <w:color w:val="000000" w:themeColor="text1"/>
                <w:sz w:val="24"/>
                <w:szCs w:val="24"/>
                <w:highlight w:val="none"/>
                <w:lang w:val="en-US" w:eastAsia="zh-CN"/>
                <w14:textFill>
                  <w14:solidFill>
                    <w14:schemeClr w14:val="tx1"/>
                  </w14:solidFill>
                </w14:textFill>
              </w:rPr>
              <w:t>后达标排放。</w:t>
            </w:r>
          </w:p>
        </w:tc>
        <w:tc>
          <w:tcPr>
            <w:tcW w:w="426" w:type="pct"/>
            <w:tcBorders>
              <w:tl2br w:val="nil"/>
              <w:tr2bl w:val="nil"/>
            </w:tcBorders>
            <w:noWrap w:val="0"/>
            <w:vAlign w:val="center"/>
          </w:tcPr>
          <w:p w14:paraId="1C504D22">
            <w:pPr>
              <w:pStyle w:val="55"/>
              <w:bidi w:val="0"/>
              <w:rPr>
                <w:rFonts w:hint="eastAsia"/>
                <w:sz w:val="24"/>
                <w:szCs w:val="24"/>
                <w:lang w:eastAsia="zh-CN"/>
              </w:rPr>
            </w:pPr>
            <w:r>
              <w:rPr>
                <w:rFonts w:hint="eastAsia"/>
                <w:sz w:val="24"/>
                <w:szCs w:val="24"/>
                <w:lang w:eastAsia="zh-CN"/>
              </w:rPr>
              <w:t>符合</w:t>
            </w:r>
          </w:p>
        </w:tc>
      </w:tr>
    </w:tbl>
    <w:p w14:paraId="787C50F8">
      <w:pPr>
        <w:pStyle w:val="47"/>
        <w:ind w:firstLine="482"/>
        <w:rPr>
          <w:rFonts w:hint="default" w:ascii="Times New Roman" w:hAnsi="Times New Roman" w:eastAsia="楷体" w:cs="Times New Roman"/>
          <w:color w:val="000000" w:themeColor="text1"/>
          <w:highlight w:val="none"/>
          <w14:textFill>
            <w14:solidFill>
              <w14:schemeClr w14:val="tx1"/>
            </w14:solidFill>
          </w14:textFill>
        </w:rPr>
      </w:pPr>
      <w:r>
        <w:rPr>
          <w:rFonts w:hint="default" w:ascii="Times New Roman" w:hAnsi="Times New Roman" w:eastAsia="楷体" w:cs="Times New Roman"/>
          <w:color w:val="000000" w:themeColor="text1"/>
          <w:highlight w:val="none"/>
          <w14:textFill>
            <w14:solidFill>
              <w14:schemeClr w14:val="tx1"/>
            </w14:solidFill>
          </w14:textFill>
        </w:rPr>
        <w:t>经分析对照，</w:t>
      </w:r>
      <w:r>
        <w:rPr>
          <w:rFonts w:hint="default" w:ascii="Times New Roman" w:hAnsi="Times New Roman" w:eastAsia="楷体" w:cs="Times New Roman"/>
          <w:color w:val="000000" w:themeColor="text1"/>
          <w:highlight w:val="none"/>
          <w:lang w:eastAsia="zh-CN"/>
          <w14:textFill>
            <w14:solidFill>
              <w14:schemeClr w14:val="tx1"/>
            </w14:solidFill>
          </w14:textFill>
        </w:rPr>
        <w:t>项目</w:t>
      </w:r>
      <w:r>
        <w:rPr>
          <w:rFonts w:hint="default" w:ascii="Times New Roman" w:hAnsi="Times New Roman" w:eastAsia="楷体" w:cs="Times New Roman"/>
          <w:color w:val="000000" w:themeColor="text1"/>
          <w:highlight w:val="none"/>
          <w14:textFill>
            <w14:solidFill>
              <w14:schemeClr w14:val="tx1"/>
            </w14:solidFill>
          </w14:textFill>
        </w:rPr>
        <w:t>符合相关环境管理政策的要求。</w:t>
      </w:r>
    </w:p>
    <w:p w14:paraId="056A1F67">
      <w:pPr>
        <w:pStyle w:val="92"/>
        <w:bidi w:val="0"/>
        <w:ind w:left="0" w:leftChars="0" w:firstLine="0" w:firstLineChars="0"/>
        <w:rPr>
          <w:rFonts w:hint="default"/>
          <w:lang w:val="en-US" w:eastAsia="zh-CN"/>
        </w:rPr>
      </w:pPr>
      <w:r>
        <w:rPr>
          <w:rFonts w:hint="default"/>
          <w:lang w:val="en-US" w:eastAsia="zh-CN"/>
        </w:rPr>
        <w:t>行业规范符合性分析</w:t>
      </w:r>
    </w:p>
    <w:p w14:paraId="04CE1397">
      <w:pPr>
        <w:pStyle w:val="47"/>
        <w:bidi w:val="0"/>
        <w:rPr>
          <w:rFonts w:hint="default"/>
          <w:lang w:val="en-US" w:eastAsia="zh-CN"/>
        </w:rPr>
      </w:pPr>
      <w:bookmarkStart w:id="5" w:name="2.6.2.1 《废塑料综合利用行业规范条件》相符性分析"/>
      <w:bookmarkEnd w:id="5"/>
      <w:bookmarkStart w:id="6" w:name="2.6.2.1 《废塑料综合利用行业规范条件》相符性分析"/>
      <w:bookmarkEnd w:id="6"/>
      <w:r>
        <w:rPr>
          <w:rFonts w:hint="eastAsia"/>
          <w:lang w:val="en-US" w:eastAsia="zh-CN"/>
        </w:rPr>
        <w:t>（1）</w:t>
      </w:r>
      <w:r>
        <w:rPr>
          <w:rFonts w:hint="default"/>
          <w:lang w:val="en-US" w:eastAsia="zh-CN"/>
        </w:rPr>
        <w:t>《废塑料综合利用行业规范条件》（工信部2015年第81号公告）</w:t>
      </w:r>
    </w:p>
    <w:p w14:paraId="0B7BEEC3">
      <w:pPr>
        <w:pStyle w:val="47"/>
        <w:bidi w:val="0"/>
        <w:rPr>
          <w:rFonts w:hint="default"/>
          <w:lang w:val="en-US" w:eastAsia="zh-CN"/>
        </w:rPr>
      </w:pPr>
      <w:r>
        <w:rPr>
          <w:rFonts w:hint="default"/>
          <w:lang w:val="en-US" w:eastAsia="zh-CN"/>
        </w:rPr>
        <w:t>项目</w:t>
      </w:r>
      <w:r>
        <w:rPr>
          <w:rFonts w:hint="eastAsia"/>
          <w:lang w:val="en-US" w:eastAsia="zh-CN"/>
        </w:rPr>
        <w:t>与</w:t>
      </w:r>
      <w:r>
        <w:rPr>
          <w:rFonts w:hint="default"/>
          <w:lang w:val="en-US" w:eastAsia="zh-CN"/>
        </w:rPr>
        <w:t>《废塑料综合利用行业规范条件》（工信部2015年第81号公告）</w:t>
      </w:r>
      <w:r>
        <w:rPr>
          <w:rFonts w:hint="eastAsia"/>
          <w:lang w:val="en-US" w:eastAsia="zh-CN"/>
        </w:rPr>
        <w:t>符合</w:t>
      </w:r>
      <w:r>
        <w:rPr>
          <w:rFonts w:hint="default"/>
          <w:lang w:val="en-US" w:eastAsia="zh-CN"/>
        </w:rPr>
        <w:t>性分析详见</w:t>
      </w:r>
      <w:r>
        <w:rPr>
          <w:rFonts w:hint="eastAsia"/>
          <w:lang w:val="en-US" w:eastAsia="zh-CN"/>
        </w:rPr>
        <w:t>下</w:t>
      </w:r>
      <w:r>
        <w:rPr>
          <w:rFonts w:hint="default"/>
          <w:lang w:val="en-US" w:eastAsia="zh-CN"/>
        </w:rPr>
        <w:t>表。</w:t>
      </w:r>
    </w:p>
    <w:p w14:paraId="59408E53">
      <w:pPr>
        <w:pStyle w:val="94"/>
        <w:bidi w:val="0"/>
        <w:ind w:left="0" w:leftChars="0" w:firstLine="0" w:firstLineChars="0"/>
        <w:rPr>
          <w:rFonts w:hint="default"/>
          <w:lang w:val="en-US" w:eastAsia="zh-CN"/>
        </w:rPr>
      </w:pPr>
      <w:r>
        <w:rPr>
          <w:rFonts w:hint="default"/>
          <w:lang w:val="en-US" w:eastAsia="zh-CN"/>
        </w:rPr>
        <w:t>《废塑料综合利用行业规范条件》符合性分析</w:t>
      </w:r>
      <w:r>
        <w:rPr>
          <w:rFonts w:hint="eastAsia"/>
          <w:lang w:val="en-US" w:eastAsia="zh-CN"/>
        </w:rPr>
        <w:t>一览表</w:t>
      </w:r>
    </w:p>
    <w:tbl>
      <w:tblPr>
        <w:tblStyle w:val="32"/>
        <w:tblW w:w="504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2"/>
        <w:gridCol w:w="3508"/>
        <w:gridCol w:w="3962"/>
        <w:gridCol w:w="974"/>
      </w:tblGrid>
      <w:tr w14:paraId="46D5B0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712" w:type="dxa"/>
            <w:tcBorders>
              <w:tl2br w:val="nil"/>
              <w:tr2bl w:val="nil"/>
            </w:tcBorders>
            <w:vAlign w:val="center"/>
          </w:tcPr>
          <w:p w14:paraId="26514F02">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项目</w:t>
            </w:r>
          </w:p>
        </w:tc>
        <w:tc>
          <w:tcPr>
            <w:tcW w:w="3505" w:type="dxa"/>
            <w:tcBorders>
              <w:tl2br w:val="nil"/>
              <w:tr2bl w:val="nil"/>
            </w:tcBorders>
            <w:vAlign w:val="center"/>
          </w:tcPr>
          <w:p w14:paraId="7A3261CD">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文件内容</w:t>
            </w:r>
          </w:p>
        </w:tc>
        <w:tc>
          <w:tcPr>
            <w:tcW w:w="3958" w:type="dxa"/>
            <w:tcBorders>
              <w:tl2br w:val="nil"/>
              <w:tr2bl w:val="nil"/>
            </w:tcBorders>
            <w:vAlign w:val="center"/>
          </w:tcPr>
          <w:p w14:paraId="48061E23">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项目情况</w:t>
            </w:r>
          </w:p>
        </w:tc>
        <w:tc>
          <w:tcPr>
            <w:tcW w:w="973" w:type="dxa"/>
            <w:tcBorders>
              <w:tl2br w:val="nil"/>
              <w:tr2bl w:val="nil"/>
            </w:tcBorders>
            <w:vAlign w:val="center"/>
          </w:tcPr>
          <w:p w14:paraId="75EFE432">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符合性</w:t>
            </w:r>
          </w:p>
        </w:tc>
      </w:tr>
      <w:tr w14:paraId="531A4E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712" w:type="dxa"/>
            <w:vMerge w:val="restart"/>
            <w:tcBorders>
              <w:tl2br w:val="nil"/>
              <w:tr2bl w:val="nil"/>
            </w:tcBorders>
            <w:vAlign w:val="center"/>
          </w:tcPr>
          <w:p w14:paraId="77CA677D">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企业的设立和布局</w:t>
            </w:r>
          </w:p>
        </w:tc>
        <w:tc>
          <w:tcPr>
            <w:tcW w:w="3505" w:type="dxa"/>
            <w:tcBorders>
              <w:tl2br w:val="nil"/>
              <w:tr2bl w:val="nil"/>
            </w:tcBorders>
            <w:vAlign w:val="center"/>
          </w:tcPr>
          <w:p w14:paraId="4B91D3BD">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废塑料综合利用企业所涉及的热塑性废塑料原料，不包括受到危险化学品、农药等污染的废弃塑料包装物、废弃一次性医疗用塑料制品等塑料类危险废物，以及氟塑料等特种工程塑料。</w:t>
            </w:r>
          </w:p>
        </w:tc>
        <w:tc>
          <w:tcPr>
            <w:tcW w:w="3958" w:type="dxa"/>
            <w:tcBorders>
              <w:tl2br w:val="nil"/>
              <w:tr2bl w:val="nil"/>
            </w:tcBorders>
            <w:vAlign w:val="center"/>
          </w:tcPr>
          <w:p w14:paraId="0403AB32">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项目</w:t>
            </w:r>
            <w:r>
              <w:rPr>
                <w:rFonts w:hint="default" w:ascii="Times New Roman" w:hAnsi="Times New Roman" w:eastAsia="楷体" w:cs="Times New Roman"/>
                <w:sz w:val="24"/>
                <w:szCs w:val="24"/>
                <w:lang w:val="en-US" w:eastAsia="zh-CN"/>
              </w:rPr>
              <w:t>原料</w:t>
            </w:r>
            <w:r>
              <w:rPr>
                <w:rFonts w:hint="eastAsia" w:ascii="Times New Roman" w:hAnsi="Times New Roman" w:cs="Times New Roman"/>
                <w:sz w:val="24"/>
                <w:szCs w:val="24"/>
                <w:lang w:val="en-US" w:eastAsia="zh-CN"/>
              </w:rPr>
              <w:t>为</w:t>
            </w:r>
            <w:r>
              <w:rPr>
                <w:rFonts w:hint="default" w:ascii="Times New Roman" w:hAnsi="Times New Roman" w:eastAsia="楷体" w:cs="Times New Roman"/>
                <w:sz w:val="24"/>
                <w:szCs w:val="24"/>
                <w:lang w:val="en-US" w:eastAsia="zh-CN"/>
              </w:rPr>
              <w:t>废旧PVC塑料主要为塑料制品加工过程中产生的热塑性</w:t>
            </w:r>
            <w:r>
              <w:rPr>
                <w:rFonts w:hint="default" w:ascii="Times New Roman" w:hAnsi="Times New Roman" w:eastAsia="楷体" w:cs="Times New Roman"/>
                <w:sz w:val="24"/>
                <w:szCs w:val="24"/>
              </w:rPr>
              <w:t>（主要为淋膜纸）</w:t>
            </w:r>
            <w:r>
              <w:rPr>
                <w:rFonts w:hint="default" w:ascii="Times New Roman" w:hAnsi="Times New Roman" w:eastAsia="楷体" w:cs="Times New Roman"/>
                <w:sz w:val="24"/>
                <w:szCs w:val="24"/>
                <w:lang w:val="en-US" w:eastAsia="zh-CN"/>
              </w:rPr>
              <w:t>边角料、残次品等，</w:t>
            </w:r>
            <w:r>
              <w:rPr>
                <w:rFonts w:hint="default" w:ascii="Times New Roman" w:hAnsi="Times New Roman" w:eastAsia="楷体" w:cs="Times New Roman"/>
                <w:sz w:val="24"/>
                <w:szCs w:val="24"/>
                <w:lang w:val="zh-CN"/>
              </w:rPr>
              <w:t>不包括受到危险化学品、农药等污染的废弃塑料包装物、废弃一次性医疗用塑料制品等塑料类危险废物，以及氟塑料等特种工程塑料。</w:t>
            </w:r>
          </w:p>
        </w:tc>
        <w:tc>
          <w:tcPr>
            <w:tcW w:w="973" w:type="dxa"/>
            <w:tcBorders>
              <w:tl2br w:val="nil"/>
              <w:tr2bl w:val="nil"/>
            </w:tcBorders>
            <w:vAlign w:val="center"/>
          </w:tcPr>
          <w:p w14:paraId="239EE5DA">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符合</w:t>
            </w:r>
          </w:p>
        </w:tc>
      </w:tr>
      <w:tr w14:paraId="325B6D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712" w:type="dxa"/>
            <w:vMerge w:val="continue"/>
            <w:tcBorders>
              <w:tl2br w:val="nil"/>
              <w:tr2bl w:val="nil"/>
            </w:tcBorders>
            <w:vAlign w:val="center"/>
          </w:tcPr>
          <w:p w14:paraId="2B6B090E">
            <w:pPr>
              <w:pStyle w:val="55"/>
              <w:bidi w:val="0"/>
              <w:jc w:val="center"/>
              <w:rPr>
                <w:rFonts w:hint="default" w:ascii="Times New Roman" w:hAnsi="Times New Roman" w:eastAsia="楷体" w:cs="Times New Roman"/>
                <w:sz w:val="24"/>
                <w:szCs w:val="24"/>
                <w:lang w:val="zh-CN"/>
              </w:rPr>
            </w:pPr>
          </w:p>
        </w:tc>
        <w:tc>
          <w:tcPr>
            <w:tcW w:w="3505" w:type="dxa"/>
            <w:tcBorders>
              <w:tl2br w:val="nil"/>
              <w:tr2bl w:val="nil"/>
            </w:tcBorders>
            <w:vAlign w:val="center"/>
          </w:tcPr>
          <w:p w14:paraId="06FF63E2">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新建及改造、扩建废塑料加工企业应符合国家产业政策及所在地区土地利用总体规划、城乡建设规划、环境保护、污染防治规划。企业建设应有规范化设计要求，采用节能环保技术及生产装备。</w:t>
            </w:r>
          </w:p>
        </w:tc>
        <w:tc>
          <w:tcPr>
            <w:tcW w:w="3958" w:type="dxa"/>
            <w:tcBorders>
              <w:tl2br w:val="nil"/>
              <w:tr2bl w:val="nil"/>
            </w:tcBorders>
            <w:vAlign w:val="center"/>
          </w:tcPr>
          <w:p w14:paraId="7461376E">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highlight w:val="none"/>
                <w:lang w:val="en-US" w:eastAsia="zh-CN"/>
              </w:rPr>
              <w:t>项目位于顺平县塑料产业循环经济园区（北区）内</w:t>
            </w:r>
            <w:r>
              <w:rPr>
                <w:rFonts w:hint="default" w:ascii="Times New Roman" w:hAnsi="Times New Roman" w:eastAsia="楷体" w:cs="Times New Roman"/>
                <w:sz w:val="24"/>
                <w:szCs w:val="24"/>
                <w:lang w:val="en-US"/>
              </w:rPr>
              <w:t>，占地性质为工业用地，</w:t>
            </w:r>
            <w:r>
              <w:rPr>
                <w:rFonts w:hint="default" w:ascii="Times New Roman" w:hAnsi="Times New Roman" w:eastAsia="楷体" w:cs="Times New Roman"/>
                <w:sz w:val="24"/>
                <w:szCs w:val="24"/>
                <w:lang w:val="zh-CN"/>
              </w:rPr>
              <w:t>符合国家产业政策及所在地区相关规划要求，</w:t>
            </w:r>
            <w:r>
              <w:rPr>
                <w:rFonts w:hint="default" w:ascii="Times New Roman" w:hAnsi="Times New Roman" w:eastAsia="楷体" w:cs="Times New Roman"/>
                <w:sz w:val="24"/>
                <w:szCs w:val="24"/>
                <w:lang w:val="en-US" w:eastAsia="zh-CN"/>
              </w:rPr>
              <w:t>并</w:t>
            </w:r>
            <w:r>
              <w:rPr>
                <w:rFonts w:hint="default" w:ascii="Times New Roman" w:hAnsi="Times New Roman" w:eastAsia="楷体" w:cs="Times New Roman"/>
                <w:sz w:val="24"/>
                <w:szCs w:val="24"/>
                <w:lang w:val="zh-CN"/>
              </w:rPr>
              <w:t>采用了相应的节能环保技术及生产装备。</w:t>
            </w:r>
          </w:p>
        </w:tc>
        <w:tc>
          <w:tcPr>
            <w:tcW w:w="973" w:type="dxa"/>
            <w:tcBorders>
              <w:tl2br w:val="nil"/>
              <w:tr2bl w:val="nil"/>
            </w:tcBorders>
            <w:vAlign w:val="center"/>
          </w:tcPr>
          <w:p w14:paraId="6D861964">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符合</w:t>
            </w:r>
          </w:p>
        </w:tc>
      </w:tr>
      <w:tr w14:paraId="7049CE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712" w:type="dxa"/>
            <w:vMerge w:val="continue"/>
            <w:tcBorders>
              <w:tl2br w:val="nil"/>
              <w:tr2bl w:val="nil"/>
            </w:tcBorders>
            <w:vAlign w:val="center"/>
          </w:tcPr>
          <w:p w14:paraId="1DAEF861">
            <w:pPr>
              <w:pStyle w:val="55"/>
              <w:bidi w:val="0"/>
              <w:jc w:val="center"/>
              <w:rPr>
                <w:rFonts w:hint="default" w:ascii="Times New Roman" w:hAnsi="Times New Roman" w:eastAsia="楷体" w:cs="Times New Roman"/>
                <w:sz w:val="24"/>
                <w:szCs w:val="24"/>
                <w:lang w:val="zh-CN"/>
              </w:rPr>
            </w:pPr>
          </w:p>
        </w:tc>
        <w:tc>
          <w:tcPr>
            <w:tcW w:w="3505" w:type="dxa"/>
            <w:tcBorders>
              <w:tl2br w:val="nil"/>
              <w:tr2bl w:val="nil"/>
            </w:tcBorders>
            <w:vAlign w:val="center"/>
          </w:tcPr>
          <w:p w14:paraId="3DC659E6">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在国家法律法规、规章和规划确定或县级及以上人民政府规定的自然保护区、风景名胜区、饮用水源保护区、基本农田保护区和其他需要特别保护的区域内，不得新建废塑料综合利用企业。</w:t>
            </w:r>
          </w:p>
        </w:tc>
        <w:tc>
          <w:tcPr>
            <w:tcW w:w="3958" w:type="dxa"/>
            <w:tcBorders>
              <w:tl2br w:val="nil"/>
              <w:tr2bl w:val="nil"/>
            </w:tcBorders>
            <w:vAlign w:val="center"/>
          </w:tcPr>
          <w:p w14:paraId="4904955B">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项目所在地不属于</w:t>
            </w:r>
            <w:r>
              <w:rPr>
                <w:rFonts w:hint="default" w:ascii="Times New Roman" w:hAnsi="Times New Roman" w:eastAsia="楷体" w:cs="Times New Roman"/>
                <w:sz w:val="24"/>
                <w:szCs w:val="24"/>
                <w:lang w:val="en-US"/>
              </w:rPr>
              <w:t>上述</w:t>
            </w:r>
            <w:r>
              <w:rPr>
                <w:rFonts w:hint="default" w:ascii="Times New Roman" w:hAnsi="Times New Roman" w:eastAsia="楷体" w:cs="Times New Roman"/>
                <w:sz w:val="24"/>
                <w:szCs w:val="24"/>
                <w:lang w:val="zh-CN"/>
              </w:rPr>
              <w:t>相关保护区域，选址符合要求。</w:t>
            </w:r>
          </w:p>
        </w:tc>
        <w:tc>
          <w:tcPr>
            <w:tcW w:w="973" w:type="dxa"/>
            <w:tcBorders>
              <w:tl2br w:val="nil"/>
              <w:tr2bl w:val="nil"/>
            </w:tcBorders>
            <w:vAlign w:val="center"/>
          </w:tcPr>
          <w:p w14:paraId="5AED506C">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符合</w:t>
            </w:r>
          </w:p>
        </w:tc>
      </w:tr>
      <w:tr w14:paraId="721D7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712" w:type="dxa"/>
            <w:vMerge w:val="restart"/>
            <w:tcBorders>
              <w:tl2br w:val="nil"/>
              <w:tr2bl w:val="nil"/>
            </w:tcBorders>
            <w:vAlign w:val="center"/>
          </w:tcPr>
          <w:p w14:paraId="6A9459C4">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生产经营规模</w:t>
            </w:r>
          </w:p>
        </w:tc>
        <w:tc>
          <w:tcPr>
            <w:tcW w:w="3505" w:type="dxa"/>
            <w:tcBorders>
              <w:tl2br w:val="nil"/>
              <w:tr2bl w:val="nil"/>
            </w:tcBorders>
            <w:vAlign w:val="center"/>
          </w:tcPr>
          <w:p w14:paraId="7C31637A">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塑料再生造粒类企业：新建企业年废塑料处理能力不低于5000吨；已建企业年废塑料处理能力不低于3000吨。</w:t>
            </w:r>
          </w:p>
        </w:tc>
        <w:tc>
          <w:tcPr>
            <w:tcW w:w="3958" w:type="dxa"/>
            <w:tcBorders>
              <w:tl2br w:val="nil"/>
              <w:tr2bl w:val="nil"/>
            </w:tcBorders>
            <w:vAlign w:val="center"/>
          </w:tcPr>
          <w:p w14:paraId="58C48588">
            <w:pPr>
              <w:pStyle w:val="55"/>
              <w:bidi w:val="0"/>
              <w:jc w:val="center"/>
              <w:rPr>
                <w:rFonts w:hint="default" w:ascii="Times New Roman" w:hAnsi="Times New Roman" w:eastAsia="楷体" w:cs="Times New Roman"/>
                <w:sz w:val="24"/>
                <w:szCs w:val="24"/>
                <w:lang w:val="en-US" w:eastAsia="zh-CN"/>
              </w:rPr>
            </w:pPr>
            <w:r>
              <w:rPr>
                <w:rFonts w:hint="eastAsia" w:ascii="Times New Roman" w:hAnsi="Times New Roman" w:cs="Times New Roman"/>
                <w:sz w:val="24"/>
                <w:szCs w:val="24"/>
                <w:lang w:val="en-US" w:eastAsia="zh-CN"/>
              </w:rPr>
              <w:t>项目为新建，年处理废塑料18333t/a。</w:t>
            </w:r>
          </w:p>
        </w:tc>
        <w:tc>
          <w:tcPr>
            <w:tcW w:w="973" w:type="dxa"/>
            <w:tcBorders>
              <w:tl2br w:val="nil"/>
              <w:tr2bl w:val="nil"/>
            </w:tcBorders>
            <w:vAlign w:val="center"/>
          </w:tcPr>
          <w:p w14:paraId="1918D429">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符合</w:t>
            </w:r>
          </w:p>
        </w:tc>
      </w:tr>
      <w:tr w14:paraId="09D6F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712" w:type="dxa"/>
            <w:vMerge w:val="continue"/>
            <w:tcBorders>
              <w:tl2br w:val="nil"/>
              <w:tr2bl w:val="nil"/>
            </w:tcBorders>
            <w:vAlign w:val="center"/>
          </w:tcPr>
          <w:p w14:paraId="592E0D9A">
            <w:pPr>
              <w:pStyle w:val="55"/>
              <w:bidi w:val="0"/>
              <w:jc w:val="center"/>
              <w:rPr>
                <w:rFonts w:hint="default" w:ascii="Times New Roman" w:hAnsi="Times New Roman" w:eastAsia="楷体" w:cs="Times New Roman"/>
                <w:sz w:val="24"/>
                <w:szCs w:val="24"/>
                <w:lang w:val="zh-CN"/>
              </w:rPr>
            </w:pPr>
          </w:p>
        </w:tc>
        <w:tc>
          <w:tcPr>
            <w:tcW w:w="3505" w:type="dxa"/>
            <w:tcBorders>
              <w:tl2br w:val="nil"/>
              <w:tr2bl w:val="nil"/>
            </w:tcBorders>
            <w:shd w:val="clear" w:color="auto" w:fill="auto"/>
            <w:vAlign w:val="center"/>
          </w:tcPr>
          <w:p w14:paraId="52A97C69">
            <w:pPr>
              <w:pStyle w:val="55"/>
              <w:bidi w:val="0"/>
              <w:jc w:val="center"/>
              <w:rPr>
                <w:rFonts w:hint="default" w:ascii="Times New Roman" w:hAnsi="Times New Roman" w:eastAsia="楷体" w:cs="Times New Roman"/>
                <w:snapToGrid w:val="0"/>
                <w:kern w:val="0"/>
                <w:sz w:val="24"/>
                <w:szCs w:val="24"/>
                <w:lang w:val="zh-CN" w:eastAsia="zh-CN" w:bidi="ar-SA"/>
              </w:rPr>
            </w:pPr>
            <w:r>
              <w:rPr>
                <w:rFonts w:hint="default" w:ascii="Times New Roman" w:hAnsi="Times New Roman" w:eastAsia="楷体" w:cs="Times New Roman"/>
                <w:sz w:val="24"/>
                <w:szCs w:val="24"/>
                <w:lang w:val="zh-CN"/>
              </w:rPr>
              <w:t>企业应具有与生产能力相匹配的厂区作业场地面积。</w:t>
            </w:r>
          </w:p>
        </w:tc>
        <w:tc>
          <w:tcPr>
            <w:tcW w:w="3958" w:type="dxa"/>
            <w:tcBorders>
              <w:tl2br w:val="nil"/>
              <w:tr2bl w:val="nil"/>
            </w:tcBorders>
            <w:shd w:val="clear" w:color="auto" w:fill="auto"/>
            <w:vAlign w:val="center"/>
          </w:tcPr>
          <w:p w14:paraId="5CE2A153">
            <w:pPr>
              <w:pStyle w:val="55"/>
              <w:bidi w:val="0"/>
              <w:jc w:val="center"/>
              <w:rPr>
                <w:rFonts w:hint="default" w:ascii="Times New Roman" w:hAnsi="Times New Roman" w:eastAsia="楷体" w:cs="Times New Roman"/>
                <w:snapToGrid w:val="0"/>
                <w:kern w:val="0"/>
                <w:sz w:val="24"/>
                <w:szCs w:val="24"/>
                <w:lang w:val="zh-CN" w:eastAsia="zh-CN" w:bidi="ar-SA"/>
              </w:rPr>
            </w:pPr>
            <w:r>
              <w:rPr>
                <w:rFonts w:hint="default" w:ascii="Times New Roman" w:hAnsi="Times New Roman" w:eastAsia="楷体" w:cs="Times New Roman"/>
                <w:sz w:val="24"/>
                <w:szCs w:val="24"/>
                <w:lang w:val="zh-CN"/>
              </w:rPr>
              <w:t>项目</w:t>
            </w:r>
            <w:r>
              <w:rPr>
                <w:rFonts w:hint="default" w:ascii="Times New Roman" w:hAnsi="Times New Roman" w:eastAsia="楷体" w:cs="Times New Roman"/>
                <w:sz w:val="24"/>
                <w:szCs w:val="24"/>
                <w:highlight w:val="none"/>
                <w:lang w:val="en-US"/>
              </w:rPr>
              <w:t>建设</w:t>
            </w:r>
            <w:r>
              <w:rPr>
                <w:rFonts w:hint="eastAsia" w:cs="Times New Roman"/>
                <w:sz w:val="24"/>
                <w:szCs w:val="24"/>
                <w:highlight w:val="none"/>
                <w:lang w:val="en-US" w:eastAsia="zh-CN"/>
              </w:rPr>
              <w:t>生产车间及</w:t>
            </w:r>
            <w:r>
              <w:rPr>
                <w:rFonts w:hint="default" w:ascii="Times New Roman" w:hAnsi="Times New Roman" w:eastAsia="楷体" w:cs="Times New Roman"/>
                <w:sz w:val="24"/>
                <w:szCs w:val="24"/>
                <w:highlight w:val="none"/>
                <w:lang w:val="zh-CN"/>
              </w:rPr>
              <w:t>原料</w:t>
            </w:r>
            <w:r>
              <w:rPr>
                <w:rFonts w:hint="default" w:ascii="Times New Roman" w:hAnsi="Times New Roman" w:eastAsia="楷体" w:cs="Times New Roman"/>
                <w:sz w:val="24"/>
                <w:szCs w:val="24"/>
                <w:highlight w:val="none"/>
                <w:lang w:val="en-US"/>
              </w:rPr>
              <w:t>车间</w:t>
            </w:r>
            <w:r>
              <w:rPr>
                <w:rFonts w:hint="eastAsia" w:cs="Times New Roman"/>
                <w:sz w:val="24"/>
                <w:szCs w:val="24"/>
                <w:highlight w:val="none"/>
                <w:lang w:val="en-US" w:eastAsia="zh-CN"/>
              </w:rPr>
              <w:t>，</w:t>
            </w:r>
            <w:r>
              <w:rPr>
                <w:rFonts w:hint="default" w:ascii="Times New Roman" w:hAnsi="Times New Roman" w:eastAsia="楷体" w:cs="Times New Roman"/>
                <w:sz w:val="24"/>
                <w:szCs w:val="24"/>
                <w:highlight w:val="none"/>
                <w:lang w:val="zh-CN"/>
              </w:rPr>
              <w:t>可满足项目生产规模所需场地面积。</w:t>
            </w:r>
          </w:p>
        </w:tc>
        <w:tc>
          <w:tcPr>
            <w:tcW w:w="973" w:type="dxa"/>
            <w:tcBorders>
              <w:tl2br w:val="nil"/>
              <w:tr2bl w:val="nil"/>
            </w:tcBorders>
            <w:shd w:val="clear" w:color="auto" w:fill="auto"/>
            <w:vAlign w:val="center"/>
          </w:tcPr>
          <w:p w14:paraId="70A068DA">
            <w:pPr>
              <w:pStyle w:val="55"/>
              <w:bidi w:val="0"/>
              <w:jc w:val="center"/>
              <w:rPr>
                <w:rFonts w:hint="default" w:ascii="Times New Roman" w:hAnsi="Times New Roman" w:eastAsia="楷体" w:cs="Times New Roman"/>
                <w:snapToGrid w:val="0"/>
                <w:kern w:val="0"/>
                <w:sz w:val="24"/>
                <w:szCs w:val="24"/>
                <w:lang w:val="zh-CN" w:eastAsia="zh-CN" w:bidi="ar-SA"/>
              </w:rPr>
            </w:pPr>
            <w:r>
              <w:rPr>
                <w:rFonts w:hint="default" w:ascii="Times New Roman" w:hAnsi="Times New Roman" w:eastAsia="楷体" w:cs="Times New Roman"/>
                <w:sz w:val="24"/>
                <w:szCs w:val="24"/>
                <w:lang w:val="zh-CN"/>
              </w:rPr>
              <w:t>符合</w:t>
            </w:r>
          </w:p>
        </w:tc>
      </w:tr>
      <w:tr w14:paraId="3A4148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712" w:type="dxa"/>
            <w:vMerge w:val="restart"/>
            <w:tcBorders>
              <w:tl2br w:val="nil"/>
              <w:tr2bl w:val="nil"/>
            </w:tcBorders>
            <w:vAlign w:val="center"/>
          </w:tcPr>
          <w:p w14:paraId="72B88026">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资源综合利用及能耗</w:t>
            </w:r>
          </w:p>
        </w:tc>
        <w:tc>
          <w:tcPr>
            <w:tcW w:w="3505" w:type="dxa"/>
            <w:tcBorders>
              <w:tl2br w:val="nil"/>
              <w:tr2bl w:val="nil"/>
            </w:tcBorders>
            <w:vAlign w:val="center"/>
          </w:tcPr>
          <w:p w14:paraId="3A6C21E6">
            <w:pPr>
              <w:pStyle w:val="55"/>
              <w:bidi w:val="0"/>
              <w:jc w:val="center"/>
              <w:rPr>
                <w:rFonts w:hint="default" w:ascii="Times New Roman" w:hAnsi="Times New Roman" w:eastAsia="楷体" w:cs="Times New Roman"/>
                <w:sz w:val="24"/>
                <w:szCs w:val="24"/>
                <w:highlight w:val="none"/>
                <w:lang w:val="zh-CN"/>
              </w:rPr>
            </w:pPr>
            <w:r>
              <w:rPr>
                <w:rFonts w:hint="default" w:ascii="Times New Roman" w:hAnsi="Times New Roman" w:eastAsia="楷体" w:cs="Times New Roman"/>
                <w:sz w:val="24"/>
                <w:szCs w:val="24"/>
                <w:highlight w:val="none"/>
                <w:lang w:val="zh-CN"/>
              </w:rPr>
              <w:t>塑料再生加工相关生产环节的综合电耗低于500kWh/t废塑料。</w:t>
            </w:r>
          </w:p>
        </w:tc>
        <w:tc>
          <w:tcPr>
            <w:tcW w:w="3958" w:type="dxa"/>
            <w:tcBorders>
              <w:tl2br w:val="nil"/>
              <w:tr2bl w:val="nil"/>
            </w:tcBorders>
            <w:vAlign w:val="center"/>
          </w:tcPr>
          <w:p w14:paraId="0D29E1B6">
            <w:pPr>
              <w:pStyle w:val="55"/>
              <w:bidi w:val="0"/>
              <w:jc w:val="center"/>
              <w:rPr>
                <w:rFonts w:hint="default" w:ascii="Times New Roman" w:hAnsi="Times New Roman" w:eastAsia="楷体" w:cs="Times New Roman"/>
                <w:sz w:val="24"/>
                <w:szCs w:val="24"/>
                <w:highlight w:val="none"/>
                <w:lang w:val="zh-CN"/>
              </w:rPr>
            </w:pPr>
            <w:r>
              <w:rPr>
                <w:rFonts w:hint="default" w:ascii="Times New Roman" w:hAnsi="Times New Roman" w:eastAsia="楷体" w:cs="Times New Roman"/>
                <w:sz w:val="24"/>
                <w:szCs w:val="24"/>
                <w:highlight w:val="none"/>
                <w:lang w:val="zh-CN"/>
              </w:rPr>
              <w:t>项目电耗约为</w:t>
            </w:r>
            <w:r>
              <w:rPr>
                <w:rFonts w:hint="eastAsia" w:ascii="Times New Roman" w:hAnsi="Times New Roman" w:cs="Times New Roman"/>
                <w:sz w:val="24"/>
                <w:szCs w:val="24"/>
                <w:highlight w:val="none"/>
                <w:lang w:val="en-US" w:eastAsia="zh-CN"/>
              </w:rPr>
              <w:t>340</w:t>
            </w:r>
            <w:r>
              <w:rPr>
                <w:rFonts w:hint="default" w:ascii="Times New Roman" w:hAnsi="Times New Roman" w:eastAsia="楷体" w:cs="Times New Roman"/>
                <w:sz w:val="24"/>
                <w:szCs w:val="24"/>
                <w:highlight w:val="none"/>
                <w:lang w:val="zh-CN"/>
              </w:rPr>
              <w:t>kWh/t废塑料。</w:t>
            </w:r>
          </w:p>
        </w:tc>
        <w:tc>
          <w:tcPr>
            <w:tcW w:w="973" w:type="dxa"/>
            <w:tcBorders>
              <w:tl2br w:val="nil"/>
              <w:tr2bl w:val="nil"/>
            </w:tcBorders>
            <w:vAlign w:val="center"/>
          </w:tcPr>
          <w:p w14:paraId="71CB65AB">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符合</w:t>
            </w:r>
          </w:p>
        </w:tc>
      </w:tr>
      <w:tr w14:paraId="5BD955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712" w:type="dxa"/>
            <w:vMerge w:val="continue"/>
            <w:tcBorders>
              <w:tl2br w:val="nil"/>
              <w:tr2bl w:val="nil"/>
            </w:tcBorders>
            <w:vAlign w:val="center"/>
          </w:tcPr>
          <w:p w14:paraId="76950607">
            <w:pPr>
              <w:pStyle w:val="55"/>
              <w:bidi w:val="0"/>
              <w:jc w:val="center"/>
              <w:rPr>
                <w:rFonts w:hint="default" w:ascii="Times New Roman" w:hAnsi="Times New Roman" w:eastAsia="楷体" w:cs="Times New Roman"/>
                <w:sz w:val="24"/>
                <w:szCs w:val="24"/>
                <w:lang w:val="zh-CN"/>
              </w:rPr>
            </w:pPr>
          </w:p>
        </w:tc>
        <w:tc>
          <w:tcPr>
            <w:tcW w:w="3505" w:type="dxa"/>
            <w:tcBorders>
              <w:tl2br w:val="nil"/>
              <w:tr2bl w:val="nil"/>
            </w:tcBorders>
            <w:vAlign w:val="center"/>
          </w:tcPr>
          <w:p w14:paraId="0D2F016D">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废塑料破碎、清洗、分选类企业的综合新水消耗低于1.5吨/吨废塑料。塑料再生造粒类企业的综合新水消耗低于0.2吨/吨废塑料。</w:t>
            </w:r>
          </w:p>
        </w:tc>
        <w:tc>
          <w:tcPr>
            <w:tcW w:w="3958" w:type="dxa"/>
            <w:tcBorders>
              <w:tl2br w:val="nil"/>
              <w:tr2bl w:val="nil"/>
            </w:tcBorders>
            <w:vAlign w:val="center"/>
          </w:tcPr>
          <w:p w14:paraId="5269F704">
            <w:pPr>
              <w:pStyle w:val="55"/>
              <w:bidi w:val="0"/>
              <w:jc w:val="center"/>
              <w:rPr>
                <w:rFonts w:hint="default" w:ascii="Times New Roman" w:hAnsi="Times New Roman" w:eastAsia="楷体" w:cs="Times New Roman"/>
                <w:sz w:val="24"/>
                <w:szCs w:val="24"/>
                <w:highlight w:val="none"/>
                <w:lang w:val="zh-CN"/>
              </w:rPr>
            </w:pPr>
            <w:r>
              <w:rPr>
                <w:rFonts w:hint="default" w:ascii="Times New Roman" w:hAnsi="Times New Roman" w:eastAsia="楷体" w:cs="Times New Roman"/>
                <w:sz w:val="24"/>
                <w:szCs w:val="24"/>
                <w:highlight w:val="none"/>
                <w:lang w:val="zh-CN"/>
              </w:rPr>
              <w:t>项目新鲜水耗为0.</w:t>
            </w:r>
            <w:r>
              <w:rPr>
                <w:rFonts w:hint="default" w:ascii="Times New Roman" w:hAnsi="Times New Roman" w:eastAsia="楷体" w:cs="Times New Roman"/>
                <w:sz w:val="24"/>
                <w:szCs w:val="24"/>
                <w:highlight w:val="none"/>
                <w:lang w:val="en-US"/>
              </w:rPr>
              <w:t>1</w:t>
            </w:r>
            <w:r>
              <w:rPr>
                <w:rFonts w:hint="eastAsia" w:ascii="Times New Roman" w:hAnsi="Times New Roman" w:cs="Times New Roman"/>
                <w:sz w:val="24"/>
                <w:szCs w:val="24"/>
                <w:highlight w:val="none"/>
                <w:lang w:val="en-US" w:eastAsia="zh-CN"/>
              </w:rPr>
              <w:t>8</w:t>
            </w:r>
            <w:r>
              <w:rPr>
                <w:rFonts w:hint="default" w:ascii="Times New Roman" w:hAnsi="Times New Roman" w:eastAsia="楷体" w:cs="Times New Roman"/>
                <w:sz w:val="24"/>
                <w:szCs w:val="24"/>
                <w:highlight w:val="none"/>
                <w:lang w:val="zh-CN"/>
              </w:rPr>
              <w:t>t/t废塑料。</w:t>
            </w:r>
          </w:p>
        </w:tc>
        <w:tc>
          <w:tcPr>
            <w:tcW w:w="973" w:type="dxa"/>
            <w:tcBorders>
              <w:tl2br w:val="nil"/>
              <w:tr2bl w:val="nil"/>
            </w:tcBorders>
            <w:vAlign w:val="center"/>
          </w:tcPr>
          <w:p w14:paraId="1882D2F8">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符合</w:t>
            </w:r>
          </w:p>
        </w:tc>
      </w:tr>
      <w:tr w14:paraId="34B090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712" w:type="dxa"/>
            <w:vMerge w:val="restart"/>
            <w:tcBorders>
              <w:tl2br w:val="nil"/>
              <w:tr2bl w:val="nil"/>
            </w:tcBorders>
            <w:vAlign w:val="center"/>
          </w:tcPr>
          <w:p w14:paraId="758232F2">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工艺与装备</w:t>
            </w:r>
          </w:p>
        </w:tc>
        <w:tc>
          <w:tcPr>
            <w:tcW w:w="3505" w:type="dxa"/>
            <w:tcBorders>
              <w:tl2br w:val="nil"/>
              <w:tr2bl w:val="nil"/>
            </w:tcBorders>
            <w:vAlign w:val="center"/>
          </w:tcPr>
          <w:p w14:paraId="114BACD5">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应采用自动化处理设备和设施。其中，破碎工序应采用具有减振与降噪功能的密闭破碎设备；清洗工序应实现自动控制和清洗液循环利用，降低耗水量与耗药量；应使用低发泡、低残留、易处理的清洗药剂；分选工序鼓励采用自动化分选设备。</w:t>
            </w:r>
          </w:p>
        </w:tc>
        <w:tc>
          <w:tcPr>
            <w:tcW w:w="3958" w:type="dxa"/>
            <w:tcBorders>
              <w:tl2br w:val="nil"/>
              <w:tr2bl w:val="nil"/>
            </w:tcBorders>
            <w:vAlign w:val="center"/>
          </w:tcPr>
          <w:p w14:paraId="49BDF7C1">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项目破碎机设减振基础，破碎工序采用湿法破碎方式；清洗工序采取机械清洗方式，自动化程度高，清洗废水</w:t>
            </w:r>
            <w:r>
              <w:rPr>
                <w:rFonts w:hint="default" w:ascii="Times New Roman" w:hAnsi="Times New Roman" w:eastAsia="楷体" w:cs="Times New Roman"/>
                <w:sz w:val="24"/>
                <w:szCs w:val="24"/>
                <w:lang w:val="en-US"/>
              </w:rPr>
              <w:t>经</w:t>
            </w:r>
            <w:r>
              <w:rPr>
                <w:rFonts w:hint="default" w:ascii="Times New Roman" w:hAnsi="Times New Roman" w:eastAsia="楷体" w:cs="Times New Roman"/>
                <w:sz w:val="24"/>
                <w:szCs w:val="24"/>
                <w:lang w:val="en-US" w:eastAsia="zh-CN"/>
              </w:rPr>
              <w:t>沉淀池</w:t>
            </w:r>
            <w:r>
              <w:rPr>
                <w:rFonts w:hint="default" w:ascii="Times New Roman" w:hAnsi="Times New Roman" w:eastAsia="楷体" w:cs="Times New Roman"/>
                <w:sz w:val="24"/>
                <w:szCs w:val="24"/>
                <w:lang w:val="zh-CN"/>
              </w:rPr>
              <w:t>后循环利用；清洗工序不使用清洗剂。</w:t>
            </w:r>
          </w:p>
        </w:tc>
        <w:tc>
          <w:tcPr>
            <w:tcW w:w="973" w:type="dxa"/>
            <w:tcBorders>
              <w:tl2br w:val="nil"/>
              <w:tr2bl w:val="nil"/>
            </w:tcBorders>
            <w:vAlign w:val="center"/>
          </w:tcPr>
          <w:p w14:paraId="3301465E">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符合</w:t>
            </w:r>
          </w:p>
        </w:tc>
      </w:tr>
      <w:tr w14:paraId="25E8C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712" w:type="dxa"/>
            <w:vMerge w:val="continue"/>
            <w:tcBorders>
              <w:tl2br w:val="nil"/>
              <w:tr2bl w:val="nil"/>
            </w:tcBorders>
            <w:vAlign w:val="center"/>
          </w:tcPr>
          <w:p w14:paraId="0968D568">
            <w:pPr>
              <w:pStyle w:val="55"/>
              <w:bidi w:val="0"/>
              <w:jc w:val="center"/>
              <w:rPr>
                <w:rFonts w:hint="default" w:ascii="Times New Roman" w:hAnsi="Times New Roman" w:eastAsia="楷体" w:cs="Times New Roman"/>
                <w:sz w:val="24"/>
                <w:szCs w:val="24"/>
                <w:lang w:val="zh-CN"/>
              </w:rPr>
            </w:pPr>
          </w:p>
        </w:tc>
        <w:tc>
          <w:tcPr>
            <w:tcW w:w="3505" w:type="dxa"/>
            <w:tcBorders>
              <w:tl2br w:val="nil"/>
              <w:tr2bl w:val="nil"/>
            </w:tcBorders>
            <w:vAlign w:val="center"/>
          </w:tcPr>
          <w:p w14:paraId="0AD5EE08">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应具有与加工利用能力相适应的预处理设备和造粒设备。其中，造粒设备应具有强制排气系统，通过集气装置实现废气的集中处理；过滤装置的废弃过滤网应按照环境保护有关规定处理，禁止露天焚烧。</w:t>
            </w:r>
          </w:p>
        </w:tc>
        <w:tc>
          <w:tcPr>
            <w:tcW w:w="3958" w:type="dxa"/>
            <w:tcBorders>
              <w:tl2br w:val="nil"/>
              <w:tr2bl w:val="nil"/>
            </w:tcBorders>
            <w:vAlign w:val="center"/>
          </w:tcPr>
          <w:p w14:paraId="10EB6F05">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项目具有与加工利用能力相适应的预处理设备和造粒设备。</w:t>
            </w:r>
            <w:r>
              <w:rPr>
                <w:rFonts w:hint="default" w:ascii="Times New Roman" w:hAnsi="Times New Roman" w:eastAsia="楷体" w:cs="Times New Roman"/>
                <w:sz w:val="24"/>
                <w:szCs w:val="24"/>
                <w:lang w:val="en-US" w:eastAsia="zh-CN"/>
              </w:rPr>
              <w:t>挤出工序经“集气罩+布袋除尘器+二级活性炭吸附”处理后</w:t>
            </w:r>
            <w:r>
              <w:rPr>
                <w:rFonts w:hint="eastAsia" w:ascii="Times New Roman" w:hAnsi="Times New Roman" w:cs="Times New Roman"/>
                <w:sz w:val="24"/>
                <w:szCs w:val="24"/>
                <w:lang w:val="en-US" w:eastAsia="zh-CN"/>
              </w:rPr>
              <w:t>，由</w:t>
            </w:r>
            <w:r>
              <w:rPr>
                <w:rFonts w:hint="default" w:ascii="Times New Roman" w:hAnsi="Times New Roman" w:eastAsia="楷体" w:cs="Times New Roman"/>
                <w:sz w:val="24"/>
                <w:szCs w:val="24"/>
                <w:lang w:val="en-US" w:eastAsia="zh-CN"/>
              </w:rPr>
              <w:t>15m高</w:t>
            </w:r>
            <w:r>
              <w:rPr>
                <w:rFonts w:hint="default" w:ascii="Times New Roman" w:hAnsi="Times New Roman" w:eastAsia="楷体" w:cs="Times New Roman"/>
                <w:sz w:val="24"/>
                <w:szCs w:val="24"/>
                <w:lang w:val="zh-CN"/>
              </w:rPr>
              <w:t>排气筒排放；</w:t>
            </w:r>
            <w:r>
              <w:rPr>
                <w:rFonts w:hint="default" w:ascii="Times New Roman" w:hAnsi="Times New Roman" w:eastAsia="楷体" w:cs="Times New Roman"/>
                <w:sz w:val="24"/>
                <w:szCs w:val="24"/>
                <w:lang w:val="en-US"/>
              </w:rPr>
              <w:t>废滤网由厂家回收处置</w:t>
            </w:r>
            <w:r>
              <w:rPr>
                <w:rFonts w:hint="default" w:ascii="Times New Roman" w:hAnsi="Times New Roman" w:eastAsia="楷体" w:cs="Times New Roman"/>
                <w:sz w:val="24"/>
                <w:szCs w:val="24"/>
                <w:lang w:val="zh-CN"/>
              </w:rPr>
              <w:t>。</w:t>
            </w:r>
          </w:p>
        </w:tc>
        <w:tc>
          <w:tcPr>
            <w:tcW w:w="973" w:type="dxa"/>
            <w:tcBorders>
              <w:tl2br w:val="nil"/>
              <w:tr2bl w:val="nil"/>
            </w:tcBorders>
            <w:vAlign w:val="center"/>
          </w:tcPr>
          <w:p w14:paraId="20917DC6">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符合</w:t>
            </w:r>
          </w:p>
        </w:tc>
      </w:tr>
      <w:tr w14:paraId="610147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712" w:type="dxa"/>
            <w:vMerge w:val="restart"/>
            <w:tcBorders>
              <w:tl2br w:val="nil"/>
              <w:tr2bl w:val="nil"/>
            </w:tcBorders>
            <w:vAlign w:val="center"/>
          </w:tcPr>
          <w:p w14:paraId="6C0F4E6E">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环境保护</w:t>
            </w:r>
          </w:p>
        </w:tc>
        <w:tc>
          <w:tcPr>
            <w:tcW w:w="3505" w:type="dxa"/>
            <w:tcBorders>
              <w:tl2br w:val="nil"/>
              <w:tr2bl w:val="nil"/>
            </w:tcBorders>
            <w:vAlign w:val="center"/>
          </w:tcPr>
          <w:p w14:paraId="43A5D3FB">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企业加工存储场地应建有围墙，在园区内的企业可为单独厂房，地面全部硬化且无明显破损现象。</w:t>
            </w:r>
          </w:p>
        </w:tc>
        <w:tc>
          <w:tcPr>
            <w:tcW w:w="3958" w:type="dxa"/>
            <w:tcBorders>
              <w:tl2br w:val="nil"/>
              <w:tr2bl w:val="nil"/>
            </w:tcBorders>
            <w:vAlign w:val="center"/>
          </w:tcPr>
          <w:p w14:paraId="3BE96798">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项目有独立厂房，厂区建有围墙，厂区地面全部硬化。</w:t>
            </w:r>
          </w:p>
        </w:tc>
        <w:tc>
          <w:tcPr>
            <w:tcW w:w="973" w:type="dxa"/>
            <w:tcBorders>
              <w:tl2br w:val="nil"/>
              <w:tr2bl w:val="nil"/>
            </w:tcBorders>
            <w:vAlign w:val="center"/>
          </w:tcPr>
          <w:p w14:paraId="2FFDE149">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符合</w:t>
            </w:r>
          </w:p>
        </w:tc>
      </w:tr>
      <w:tr w14:paraId="2B3C07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712" w:type="dxa"/>
            <w:vMerge w:val="continue"/>
            <w:tcBorders>
              <w:tl2br w:val="nil"/>
              <w:tr2bl w:val="nil"/>
            </w:tcBorders>
            <w:vAlign w:val="center"/>
          </w:tcPr>
          <w:p w14:paraId="73A8DDF7">
            <w:pPr>
              <w:pStyle w:val="55"/>
              <w:bidi w:val="0"/>
              <w:jc w:val="center"/>
              <w:rPr>
                <w:rFonts w:hint="default" w:ascii="Times New Roman" w:hAnsi="Times New Roman" w:eastAsia="楷体" w:cs="Times New Roman"/>
                <w:sz w:val="24"/>
                <w:szCs w:val="24"/>
                <w:lang w:val="zh-CN"/>
              </w:rPr>
            </w:pPr>
          </w:p>
        </w:tc>
        <w:tc>
          <w:tcPr>
            <w:tcW w:w="3505" w:type="dxa"/>
            <w:tcBorders>
              <w:tl2br w:val="nil"/>
              <w:tr2bl w:val="nil"/>
            </w:tcBorders>
            <w:vAlign w:val="center"/>
          </w:tcPr>
          <w:p w14:paraId="60BB2F02">
            <w:pPr>
              <w:pStyle w:val="55"/>
              <w:bidi w:val="0"/>
              <w:jc w:val="center"/>
              <w:rPr>
                <w:rFonts w:hint="default" w:ascii="Times New Roman" w:hAnsi="Times New Roman" w:eastAsia="楷体" w:cs="Times New Roman"/>
                <w:sz w:val="24"/>
                <w:szCs w:val="24"/>
                <w:highlight w:val="none"/>
                <w:lang w:val="zh-CN"/>
              </w:rPr>
            </w:pPr>
            <w:r>
              <w:rPr>
                <w:rFonts w:hint="default" w:ascii="Times New Roman" w:hAnsi="Times New Roman" w:eastAsia="楷体" w:cs="Times New Roman"/>
                <w:sz w:val="24"/>
                <w:szCs w:val="24"/>
                <w:highlight w:val="none"/>
                <w:lang w:val="zh-CN"/>
              </w:rPr>
              <w:t>企业必须配备废塑料分类存放场所。原料应贮存在具有防雨、防风、防渗等功能的厂房或加盖雨棚的专门贮存场地内，无露天堆放现象。</w:t>
            </w:r>
          </w:p>
        </w:tc>
        <w:tc>
          <w:tcPr>
            <w:tcW w:w="3958" w:type="dxa"/>
            <w:tcBorders>
              <w:tl2br w:val="nil"/>
              <w:tr2bl w:val="nil"/>
            </w:tcBorders>
            <w:vAlign w:val="center"/>
          </w:tcPr>
          <w:p w14:paraId="24943DFD">
            <w:pPr>
              <w:pStyle w:val="55"/>
              <w:bidi w:val="0"/>
              <w:jc w:val="center"/>
              <w:rPr>
                <w:rFonts w:hint="default" w:ascii="Times New Roman" w:hAnsi="Times New Roman" w:eastAsia="楷体" w:cs="Times New Roman"/>
                <w:sz w:val="24"/>
                <w:szCs w:val="24"/>
                <w:highlight w:val="none"/>
                <w:lang w:val="zh-CN"/>
              </w:rPr>
            </w:pPr>
            <w:r>
              <w:rPr>
                <w:rFonts w:hint="default" w:ascii="Times New Roman" w:hAnsi="Times New Roman" w:eastAsia="楷体" w:cs="Times New Roman"/>
                <w:sz w:val="24"/>
                <w:szCs w:val="24"/>
                <w:highlight w:val="none"/>
                <w:lang w:val="zh-CN"/>
              </w:rPr>
              <w:t>项目</w:t>
            </w:r>
            <w:r>
              <w:rPr>
                <w:rFonts w:hint="default" w:ascii="Times New Roman" w:hAnsi="Times New Roman" w:eastAsia="楷体" w:cs="Times New Roman"/>
                <w:sz w:val="24"/>
                <w:szCs w:val="24"/>
                <w:highlight w:val="none"/>
                <w:lang w:val="en-US" w:eastAsia="zh-CN"/>
              </w:rPr>
              <w:t>原料</w:t>
            </w:r>
            <w:r>
              <w:rPr>
                <w:rFonts w:hint="eastAsia" w:cs="Times New Roman"/>
                <w:sz w:val="24"/>
                <w:szCs w:val="24"/>
                <w:highlight w:val="none"/>
                <w:lang w:val="en-US" w:eastAsia="zh-CN"/>
              </w:rPr>
              <w:t>车间</w:t>
            </w:r>
            <w:r>
              <w:rPr>
                <w:rFonts w:hint="default" w:ascii="Times New Roman" w:hAnsi="Times New Roman" w:eastAsia="楷体" w:cs="Times New Roman"/>
                <w:sz w:val="24"/>
                <w:szCs w:val="24"/>
                <w:highlight w:val="none"/>
                <w:lang w:val="zh-CN"/>
              </w:rPr>
              <w:t>为封闭型建筑，有防雨、防风、防渗等功能。</w:t>
            </w:r>
          </w:p>
        </w:tc>
        <w:tc>
          <w:tcPr>
            <w:tcW w:w="973" w:type="dxa"/>
            <w:tcBorders>
              <w:tl2br w:val="nil"/>
              <w:tr2bl w:val="nil"/>
            </w:tcBorders>
            <w:vAlign w:val="center"/>
          </w:tcPr>
          <w:p w14:paraId="1AD3C280">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符合</w:t>
            </w:r>
          </w:p>
        </w:tc>
      </w:tr>
      <w:tr w14:paraId="2B8B1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712" w:type="dxa"/>
            <w:vMerge w:val="continue"/>
            <w:tcBorders>
              <w:tl2br w:val="nil"/>
              <w:tr2bl w:val="nil"/>
            </w:tcBorders>
            <w:vAlign w:val="center"/>
          </w:tcPr>
          <w:p w14:paraId="65C79533">
            <w:pPr>
              <w:pStyle w:val="55"/>
              <w:bidi w:val="0"/>
              <w:jc w:val="center"/>
              <w:rPr>
                <w:rFonts w:hint="default" w:ascii="Times New Roman" w:hAnsi="Times New Roman" w:eastAsia="楷体" w:cs="Times New Roman"/>
                <w:sz w:val="24"/>
                <w:szCs w:val="24"/>
                <w:lang w:val="zh-CN"/>
              </w:rPr>
            </w:pPr>
          </w:p>
        </w:tc>
        <w:tc>
          <w:tcPr>
            <w:tcW w:w="3505" w:type="dxa"/>
            <w:tcBorders>
              <w:tl2br w:val="nil"/>
              <w:tr2bl w:val="nil"/>
            </w:tcBorders>
            <w:vAlign w:val="center"/>
          </w:tcPr>
          <w:p w14:paraId="09B78DFB">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企业对收集的废塑料中的金属、橡胶、纤维、渣土、油脂、添加物等杂物，应采取相应的处理措施。</w:t>
            </w:r>
          </w:p>
        </w:tc>
        <w:tc>
          <w:tcPr>
            <w:tcW w:w="3958" w:type="dxa"/>
            <w:tcBorders>
              <w:tl2br w:val="nil"/>
              <w:tr2bl w:val="nil"/>
            </w:tcBorders>
            <w:vAlign w:val="center"/>
          </w:tcPr>
          <w:p w14:paraId="1B46A904">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项目生产过程中产生的分拣废物，</w:t>
            </w:r>
            <w:r>
              <w:rPr>
                <w:rFonts w:hint="eastAsia" w:ascii="Times New Roman" w:hAnsi="Times New Roman" w:cs="Times New Roman"/>
                <w:sz w:val="24"/>
                <w:szCs w:val="24"/>
                <w:lang w:val="en-US" w:eastAsia="zh-CN"/>
              </w:rPr>
              <w:t>收集后</w:t>
            </w:r>
            <w:r>
              <w:rPr>
                <w:rFonts w:hint="default" w:ascii="Times New Roman" w:hAnsi="Times New Roman" w:eastAsia="楷体" w:cs="Times New Roman"/>
                <w:sz w:val="24"/>
                <w:szCs w:val="24"/>
                <w:lang w:val="zh-CN"/>
              </w:rPr>
              <w:t>定期送往环卫部门指定地点处置</w:t>
            </w:r>
          </w:p>
        </w:tc>
        <w:tc>
          <w:tcPr>
            <w:tcW w:w="973" w:type="dxa"/>
            <w:tcBorders>
              <w:tl2br w:val="nil"/>
              <w:tr2bl w:val="nil"/>
            </w:tcBorders>
            <w:vAlign w:val="center"/>
          </w:tcPr>
          <w:p w14:paraId="07DC48FA">
            <w:pPr>
              <w:pStyle w:val="55"/>
              <w:bidi w:val="0"/>
              <w:jc w:val="center"/>
              <w:rPr>
                <w:rFonts w:hint="default" w:ascii="Times New Roman" w:hAnsi="Times New Roman" w:eastAsia="楷体" w:cs="Times New Roman"/>
                <w:sz w:val="24"/>
                <w:szCs w:val="24"/>
                <w:lang w:val="zh-CN"/>
              </w:rPr>
            </w:pPr>
          </w:p>
          <w:p w14:paraId="7E6AB7EC">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符合</w:t>
            </w:r>
          </w:p>
        </w:tc>
      </w:tr>
      <w:tr w14:paraId="187FE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712" w:type="dxa"/>
            <w:vMerge w:val="continue"/>
            <w:tcBorders>
              <w:tl2br w:val="nil"/>
              <w:tr2bl w:val="nil"/>
            </w:tcBorders>
            <w:vAlign w:val="center"/>
          </w:tcPr>
          <w:p w14:paraId="140EF36D">
            <w:pPr>
              <w:pStyle w:val="55"/>
              <w:bidi w:val="0"/>
              <w:jc w:val="center"/>
              <w:rPr>
                <w:rFonts w:hint="default" w:ascii="Times New Roman" w:hAnsi="Times New Roman" w:eastAsia="楷体" w:cs="Times New Roman"/>
                <w:sz w:val="24"/>
                <w:szCs w:val="24"/>
                <w:lang w:val="zh-CN"/>
              </w:rPr>
            </w:pPr>
          </w:p>
        </w:tc>
        <w:tc>
          <w:tcPr>
            <w:tcW w:w="3505" w:type="dxa"/>
            <w:tcBorders>
              <w:tl2br w:val="nil"/>
              <w:tr2bl w:val="nil"/>
            </w:tcBorders>
            <w:vAlign w:val="center"/>
          </w:tcPr>
          <w:p w14:paraId="7EF236A6">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如企业不具备处理条件，应委托其他具有处理能力的企业处理，不得擅自丢弃、倾倒、焚烧与填埋。企业应具有与加工利用能力相适应的废水处理设施，中水回用率必须符合环评文件的有关要求。废水处理后需要外排的废水，必须经处理后达标排放。企业应采用高效节能环保的污泥处理工艺，或交由具有处理资格的废物处理机构，实现污泥无害化处理。除具有获批建设、验收达标的专业盐卤废水处理设施，禁止使用盐卤分选工艺。</w:t>
            </w:r>
          </w:p>
        </w:tc>
        <w:tc>
          <w:tcPr>
            <w:tcW w:w="3958" w:type="dxa"/>
            <w:tcBorders>
              <w:tl2br w:val="nil"/>
              <w:tr2bl w:val="nil"/>
            </w:tcBorders>
            <w:vAlign w:val="center"/>
          </w:tcPr>
          <w:p w14:paraId="607E54B2">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项目生产废水全部循环利用；生活污水</w:t>
            </w:r>
            <w:r>
              <w:rPr>
                <w:rFonts w:hint="default" w:ascii="Times New Roman" w:hAnsi="Times New Roman" w:eastAsia="楷体" w:cs="Times New Roman"/>
                <w:sz w:val="24"/>
                <w:szCs w:val="24"/>
                <w:lang w:val="en-US"/>
              </w:rPr>
              <w:t>经化粪池处理</w:t>
            </w:r>
            <w:r>
              <w:rPr>
                <w:rFonts w:hint="default" w:ascii="Times New Roman" w:hAnsi="Times New Roman" w:eastAsia="楷体" w:cs="Times New Roman"/>
                <w:sz w:val="24"/>
                <w:szCs w:val="24"/>
                <w:lang w:val="en-US" w:eastAsia="zh-CN"/>
              </w:rPr>
              <w:t>后，定期清掏不外排</w:t>
            </w:r>
            <w:r>
              <w:rPr>
                <w:rFonts w:hint="default" w:ascii="Times New Roman" w:hAnsi="Times New Roman" w:eastAsia="楷体" w:cs="Times New Roman"/>
                <w:sz w:val="24"/>
                <w:szCs w:val="24"/>
                <w:lang w:val="zh-CN"/>
              </w:rPr>
              <w:t>。</w:t>
            </w:r>
            <w:r>
              <w:rPr>
                <w:rFonts w:hint="default" w:ascii="Times New Roman" w:hAnsi="Times New Roman" w:eastAsia="楷体" w:cs="Times New Roman"/>
                <w:sz w:val="24"/>
                <w:szCs w:val="24"/>
                <w:lang w:val="en-US" w:eastAsia="zh-CN"/>
              </w:rPr>
              <w:t>沉淀池污泥经清掏自然干化后</w:t>
            </w:r>
            <w:r>
              <w:rPr>
                <w:rFonts w:hint="default" w:ascii="Times New Roman" w:hAnsi="Times New Roman" w:eastAsia="楷体" w:cs="Times New Roman"/>
                <w:sz w:val="24"/>
                <w:szCs w:val="24"/>
                <w:lang w:val="en-US"/>
              </w:rPr>
              <w:t>送往环卫部门指定地点处置。</w:t>
            </w:r>
            <w:r>
              <w:rPr>
                <w:rFonts w:hint="default" w:ascii="Times New Roman" w:hAnsi="Times New Roman" w:eastAsia="楷体" w:cs="Times New Roman"/>
                <w:sz w:val="24"/>
                <w:szCs w:val="24"/>
                <w:lang w:val="zh-CN"/>
              </w:rPr>
              <w:t>项目无盐卤分选工艺。</w:t>
            </w:r>
          </w:p>
        </w:tc>
        <w:tc>
          <w:tcPr>
            <w:tcW w:w="973" w:type="dxa"/>
            <w:tcBorders>
              <w:tl2br w:val="nil"/>
              <w:tr2bl w:val="nil"/>
            </w:tcBorders>
            <w:vAlign w:val="center"/>
          </w:tcPr>
          <w:p w14:paraId="62C48171">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符合</w:t>
            </w:r>
          </w:p>
        </w:tc>
      </w:tr>
      <w:tr w14:paraId="78D8AA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712" w:type="dxa"/>
            <w:vMerge w:val="continue"/>
            <w:tcBorders>
              <w:tl2br w:val="nil"/>
              <w:tr2bl w:val="nil"/>
            </w:tcBorders>
            <w:vAlign w:val="center"/>
          </w:tcPr>
          <w:p w14:paraId="3B93EC24">
            <w:pPr>
              <w:pStyle w:val="55"/>
              <w:bidi w:val="0"/>
              <w:jc w:val="center"/>
              <w:rPr>
                <w:rFonts w:hint="default" w:ascii="Times New Roman" w:hAnsi="Times New Roman" w:eastAsia="楷体" w:cs="Times New Roman"/>
                <w:sz w:val="24"/>
                <w:szCs w:val="24"/>
                <w:lang w:val="zh-CN"/>
              </w:rPr>
            </w:pPr>
          </w:p>
        </w:tc>
        <w:tc>
          <w:tcPr>
            <w:tcW w:w="3505" w:type="dxa"/>
            <w:tcBorders>
              <w:tl2br w:val="nil"/>
              <w:tr2bl w:val="nil"/>
            </w:tcBorders>
            <w:vAlign w:val="center"/>
          </w:tcPr>
          <w:p w14:paraId="6D0B8422">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再生加工过程中产生废气、粉尘的加工车间应设置废气、粉尘收集处理设施，通过净化处理，达标后排放。</w:t>
            </w:r>
          </w:p>
        </w:tc>
        <w:tc>
          <w:tcPr>
            <w:tcW w:w="3958" w:type="dxa"/>
            <w:tcBorders>
              <w:tl2br w:val="nil"/>
              <w:tr2bl w:val="nil"/>
            </w:tcBorders>
            <w:vAlign w:val="center"/>
          </w:tcPr>
          <w:p w14:paraId="41B79659">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项目</w:t>
            </w:r>
            <w:r>
              <w:rPr>
                <w:rFonts w:hint="default" w:ascii="Times New Roman" w:hAnsi="Times New Roman" w:eastAsia="楷体" w:cs="Times New Roman"/>
                <w:sz w:val="24"/>
                <w:szCs w:val="24"/>
                <w:highlight w:val="none"/>
                <w:lang w:val="en-US" w:eastAsia="zh-CN"/>
              </w:rPr>
              <w:t>废气主要为</w:t>
            </w:r>
            <w:r>
              <w:rPr>
                <w:rFonts w:hint="default" w:ascii="Times New Roman" w:hAnsi="Times New Roman" w:eastAsia="楷体" w:cs="Times New Roman"/>
                <w:color w:val="000000" w:themeColor="text1"/>
                <w:sz w:val="24"/>
                <w:szCs w:val="24"/>
                <w:highlight w:val="none"/>
                <w:lang w:val="en-US" w:eastAsia="zh-CN"/>
                <w14:textFill>
                  <w14:solidFill>
                    <w14:schemeClr w14:val="tx1"/>
                  </w14:solidFill>
                </w14:textFill>
              </w:rPr>
              <w:t>颗粒物、非甲烷总烃、HCL、臭气浓度，废气经集气罩收集，引入“布袋除尘器+两级活性炭吸附装置”处理后，由15m高排气筒排放</w:t>
            </w:r>
          </w:p>
        </w:tc>
        <w:tc>
          <w:tcPr>
            <w:tcW w:w="973" w:type="dxa"/>
            <w:tcBorders>
              <w:tl2br w:val="nil"/>
              <w:tr2bl w:val="nil"/>
            </w:tcBorders>
            <w:vAlign w:val="center"/>
          </w:tcPr>
          <w:p w14:paraId="623EAA8F">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符合</w:t>
            </w:r>
          </w:p>
        </w:tc>
      </w:tr>
      <w:tr w14:paraId="7D26B9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712" w:type="dxa"/>
            <w:vMerge w:val="continue"/>
            <w:tcBorders>
              <w:tl2br w:val="nil"/>
              <w:tr2bl w:val="nil"/>
            </w:tcBorders>
            <w:vAlign w:val="center"/>
          </w:tcPr>
          <w:p w14:paraId="0CAB4E14">
            <w:pPr>
              <w:pStyle w:val="55"/>
              <w:bidi w:val="0"/>
              <w:jc w:val="center"/>
              <w:rPr>
                <w:rFonts w:hint="default" w:ascii="Times New Roman" w:hAnsi="Times New Roman" w:eastAsia="楷体" w:cs="Times New Roman"/>
                <w:sz w:val="24"/>
                <w:szCs w:val="24"/>
                <w:lang w:val="zh-CN"/>
              </w:rPr>
            </w:pPr>
          </w:p>
        </w:tc>
        <w:tc>
          <w:tcPr>
            <w:tcW w:w="3505" w:type="dxa"/>
            <w:tcBorders>
              <w:tl2br w:val="nil"/>
              <w:tr2bl w:val="nil"/>
            </w:tcBorders>
            <w:vAlign w:val="center"/>
          </w:tcPr>
          <w:p w14:paraId="7BADD16E">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对于加工过程中噪声污染大的设备，必须采取降噪和隔音措施，企业噪声应达到《工业企业厂界环境噪声排放标准》。</w:t>
            </w:r>
          </w:p>
        </w:tc>
        <w:tc>
          <w:tcPr>
            <w:tcW w:w="3958" w:type="dxa"/>
            <w:tcBorders>
              <w:tl2br w:val="nil"/>
              <w:tr2bl w:val="nil"/>
            </w:tcBorders>
            <w:vAlign w:val="center"/>
          </w:tcPr>
          <w:p w14:paraId="099E96D7">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项目所用设备采取减振、消声、隔声等降噪措施，运营期厂界噪声可满足《工业企业厂界环境噪声排放标准》（GB12348-2008）中的</w:t>
            </w:r>
            <w:r>
              <w:rPr>
                <w:rFonts w:hint="default" w:ascii="Times New Roman" w:hAnsi="Times New Roman" w:eastAsia="楷体" w:cs="Times New Roman"/>
                <w:sz w:val="24"/>
                <w:szCs w:val="24"/>
                <w:lang w:val="en-US" w:eastAsia="zh-CN"/>
              </w:rPr>
              <w:t>2</w:t>
            </w:r>
            <w:r>
              <w:rPr>
                <w:rFonts w:hint="default" w:ascii="Times New Roman" w:hAnsi="Times New Roman" w:eastAsia="楷体" w:cs="Times New Roman"/>
                <w:sz w:val="24"/>
                <w:szCs w:val="24"/>
                <w:lang w:val="zh-CN"/>
              </w:rPr>
              <w:t>类区标准要求。</w:t>
            </w:r>
          </w:p>
        </w:tc>
        <w:tc>
          <w:tcPr>
            <w:tcW w:w="973" w:type="dxa"/>
            <w:tcBorders>
              <w:tl2br w:val="nil"/>
              <w:tr2bl w:val="nil"/>
            </w:tcBorders>
            <w:vAlign w:val="center"/>
          </w:tcPr>
          <w:p w14:paraId="5665D1E4">
            <w:pPr>
              <w:pStyle w:val="55"/>
              <w:bidi w:val="0"/>
              <w:jc w:val="center"/>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符合</w:t>
            </w:r>
          </w:p>
        </w:tc>
      </w:tr>
    </w:tbl>
    <w:p w14:paraId="18E31C58">
      <w:pPr>
        <w:pStyle w:val="47"/>
        <w:bidi w:val="0"/>
        <w:rPr>
          <w:rFonts w:hint="default"/>
          <w:lang w:val="en-US" w:eastAsia="zh-CN"/>
        </w:rPr>
      </w:pPr>
      <w:bookmarkStart w:id="7" w:name="2.6.2.2 《废塑料回收与再生利用污染控制技术规范（试行）》相符性分析"/>
      <w:bookmarkEnd w:id="7"/>
      <w:bookmarkStart w:id="8" w:name="2.6.2.2 《废塑料回收与再生利用污染控制技术规范（试行）》相符性分析"/>
      <w:bookmarkEnd w:id="8"/>
      <w:r>
        <w:rPr>
          <w:rFonts w:hint="eastAsia"/>
          <w:lang w:val="en-US" w:eastAsia="zh-CN"/>
        </w:rPr>
        <w:t>（2）</w:t>
      </w:r>
      <w:r>
        <w:rPr>
          <w:rFonts w:hint="default"/>
          <w:lang w:val="en-US" w:eastAsia="zh-CN"/>
        </w:rPr>
        <w:t>《废塑料再生利用技术规范》（GB/T37821-2019）</w:t>
      </w:r>
    </w:p>
    <w:p w14:paraId="219AE090">
      <w:pPr>
        <w:pStyle w:val="47"/>
        <w:bidi w:val="0"/>
        <w:rPr>
          <w:rFonts w:hint="default"/>
          <w:lang w:val="en-US" w:eastAsia="zh-CN"/>
        </w:rPr>
      </w:pPr>
      <w:r>
        <w:rPr>
          <w:rFonts w:hint="default"/>
          <w:lang w:val="en-US" w:eastAsia="zh-CN"/>
        </w:rPr>
        <w:t>项目与《废塑料再生利用技术规范》（GB/T37821-2019）的符合性分析见下表。</w:t>
      </w:r>
    </w:p>
    <w:p w14:paraId="325127D7">
      <w:pPr>
        <w:pStyle w:val="47"/>
        <w:bidi w:val="0"/>
        <w:rPr>
          <w:rFonts w:hint="default"/>
          <w:lang w:val="en-US" w:eastAsia="zh-CN"/>
        </w:rPr>
      </w:pPr>
    </w:p>
    <w:p w14:paraId="79A3A26E">
      <w:pPr>
        <w:pStyle w:val="94"/>
        <w:bidi w:val="0"/>
        <w:ind w:left="0" w:leftChars="0" w:firstLine="0" w:firstLineChars="0"/>
        <w:rPr>
          <w:rFonts w:hint="default"/>
          <w:lang w:val="en-US" w:eastAsia="zh-CN"/>
        </w:rPr>
      </w:pPr>
      <w:r>
        <w:rPr>
          <w:rFonts w:hint="default"/>
          <w:lang w:val="en-US" w:eastAsia="zh-CN"/>
        </w:rPr>
        <w:t>项目与《废塑料再生利用技术规范》符合性分析一览表</w:t>
      </w:r>
    </w:p>
    <w:tbl>
      <w:tblPr>
        <w:tblStyle w:val="133"/>
        <w:tblW w:w="5013"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6"/>
        <w:gridCol w:w="4192"/>
        <w:gridCol w:w="3300"/>
        <w:gridCol w:w="894"/>
      </w:tblGrid>
      <w:tr w14:paraId="0B17CB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blHeader/>
          <w:jc w:val="center"/>
        </w:trPr>
        <w:tc>
          <w:tcPr>
            <w:tcW w:w="698" w:type="dxa"/>
            <w:vAlign w:val="center"/>
          </w:tcPr>
          <w:p w14:paraId="4DFD6019">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序号</w:t>
            </w:r>
          </w:p>
        </w:tc>
        <w:tc>
          <w:tcPr>
            <w:tcW w:w="4084" w:type="dxa"/>
            <w:vAlign w:val="center"/>
          </w:tcPr>
          <w:p w14:paraId="2BA15372">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文件内容</w:t>
            </w:r>
          </w:p>
        </w:tc>
        <w:tc>
          <w:tcPr>
            <w:tcW w:w="3215" w:type="dxa"/>
            <w:vAlign w:val="center"/>
          </w:tcPr>
          <w:p w14:paraId="3EFD9BA2">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zh-CN"/>
              </w:rPr>
              <w:t>项目</w:t>
            </w:r>
            <w:r>
              <w:rPr>
                <w:rFonts w:hint="default" w:ascii="Times New Roman" w:hAnsi="Times New Roman" w:eastAsia="楷体" w:cs="Times New Roman"/>
                <w:sz w:val="24"/>
                <w:szCs w:val="24"/>
                <w:lang w:val="en-US" w:eastAsia="zh-CN"/>
              </w:rPr>
              <w:t>情况</w:t>
            </w:r>
          </w:p>
        </w:tc>
        <w:tc>
          <w:tcPr>
            <w:tcW w:w="871" w:type="dxa"/>
            <w:vAlign w:val="center"/>
          </w:tcPr>
          <w:p w14:paraId="5155B725">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符合性</w:t>
            </w:r>
          </w:p>
        </w:tc>
      </w:tr>
      <w:tr w14:paraId="29487D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jc w:val="center"/>
        </w:trPr>
        <w:tc>
          <w:tcPr>
            <w:tcW w:w="698" w:type="dxa"/>
            <w:vAlign w:val="center"/>
          </w:tcPr>
          <w:p w14:paraId="13FA6325">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1</w:t>
            </w:r>
          </w:p>
        </w:tc>
        <w:tc>
          <w:tcPr>
            <w:tcW w:w="4084" w:type="dxa"/>
            <w:vAlign w:val="center"/>
          </w:tcPr>
          <w:p w14:paraId="32F186BB">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采用湿法破碎工艺应对废水进行收集、处理后循环使用。宜采用节水清洗工艺，清洗废水应统一收集、分类处理或集中处理，处理后应梯级利用或循环使用。</w:t>
            </w:r>
          </w:p>
        </w:tc>
        <w:tc>
          <w:tcPr>
            <w:tcW w:w="3215" w:type="dxa"/>
            <w:vAlign w:val="center"/>
          </w:tcPr>
          <w:p w14:paraId="76ED72C2">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项目采取湿法破碎，产生的废水和清洗废水一同排入沉淀</w:t>
            </w:r>
            <w:r>
              <w:rPr>
                <w:rFonts w:hint="eastAsia" w:ascii="Times New Roman" w:hAnsi="Times New Roman" w:cs="Times New Roman"/>
                <w:sz w:val="24"/>
                <w:szCs w:val="24"/>
                <w:lang w:val="en-US" w:eastAsia="zh-CN"/>
              </w:rPr>
              <w:t>池</w:t>
            </w:r>
            <w:r>
              <w:rPr>
                <w:rFonts w:hint="eastAsia" w:cs="Times New Roman"/>
                <w:sz w:val="24"/>
                <w:szCs w:val="24"/>
                <w:lang w:val="en-US" w:eastAsia="zh-CN"/>
              </w:rPr>
              <w:t>沉淀后</w:t>
            </w:r>
            <w:r>
              <w:rPr>
                <w:rFonts w:hint="eastAsia" w:ascii="Times New Roman" w:hAnsi="Times New Roman" w:cs="Times New Roman"/>
                <w:sz w:val="24"/>
                <w:szCs w:val="24"/>
                <w:lang w:val="en-US" w:eastAsia="zh-CN"/>
              </w:rPr>
              <w:t>循环利用</w:t>
            </w:r>
            <w:r>
              <w:rPr>
                <w:rFonts w:hint="default" w:ascii="Times New Roman" w:hAnsi="Times New Roman" w:eastAsia="楷体" w:cs="Times New Roman"/>
                <w:sz w:val="24"/>
                <w:szCs w:val="24"/>
                <w:lang w:val="zh-CN"/>
              </w:rPr>
              <w:t>，不外</w:t>
            </w:r>
            <w:r>
              <w:rPr>
                <w:rFonts w:hint="default" w:ascii="Times New Roman" w:hAnsi="Times New Roman" w:eastAsia="楷体" w:cs="Times New Roman"/>
                <w:sz w:val="24"/>
                <w:szCs w:val="24"/>
                <w:lang w:val="en-US"/>
              </w:rPr>
              <w:t>排</w:t>
            </w:r>
            <w:r>
              <w:rPr>
                <w:rFonts w:hint="default" w:ascii="Times New Roman" w:hAnsi="Times New Roman" w:eastAsia="楷体" w:cs="Times New Roman"/>
                <w:sz w:val="24"/>
                <w:szCs w:val="24"/>
                <w:lang w:val="zh-CN"/>
              </w:rPr>
              <mc:AlternateContent>
                <mc:Choice Requires="wps">
                  <w:drawing>
                    <wp:anchor distT="0" distB="0" distL="114300" distR="114300" simplePos="0" relativeHeight="251661312" behindDoc="0" locked="0" layoutInCell="1" allowOverlap="1">
                      <wp:simplePos x="0" y="0"/>
                      <wp:positionH relativeFrom="column">
                        <wp:posOffset>819785</wp:posOffset>
                      </wp:positionH>
                      <wp:positionV relativeFrom="paragraph">
                        <wp:posOffset>1905</wp:posOffset>
                      </wp:positionV>
                      <wp:extent cx="153035" cy="18415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53035" cy="184150"/>
                              </a:xfrm>
                              <a:prstGeom prst="rect">
                                <a:avLst/>
                              </a:prstGeom>
                              <a:noFill/>
                              <a:ln>
                                <a:noFill/>
                              </a:ln>
                            </wps:spPr>
                            <wps:txbx>
                              <w:txbxContent>
                                <w:p w14:paraId="0085C1E3">
                                  <w:pPr>
                                    <w:spacing w:before="19" w:line="231" w:lineRule="auto"/>
                                    <w:ind w:left="20"/>
                                    <w:rPr>
                                      <w:rFonts w:ascii="宋体" w:hAnsi="宋体" w:eastAsia="宋体" w:cs="宋体"/>
                                      <w:sz w:val="20"/>
                                      <w:szCs w:val="20"/>
                                    </w:rPr>
                                  </w:pPr>
                                  <w:r>
                                    <w:rPr>
                                      <w:rFonts w:ascii="宋体" w:hAnsi="宋体" w:eastAsia="宋体" w:cs="宋体"/>
                                      <w:sz w:val="20"/>
                                      <w:szCs w:val="20"/>
                                    </w:rPr>
                                    <w:t>排</w:t>
                                  </w:r>
                                </w:p>
                              </w:txbxContent>
                            </wps:txbx>
                            <wps:bodyPr lIns="0" tIns="0" rIns="0" bIns="0" upright="1"/>
                          </wps:wsp>
                        </a:graphicData>
                      </a:graphic>
                    </wp:anchor>
                  </w:drawing>
                </mc:Choice>
                <mc:Fallback>
                  <w:pict>
                    <v:shape id="_x0000_s1026" o:spid="_x0000_s1026" o:spt="202" type="#_x0000_t202" style="position:absolute;left:0pt;margin-left:64.55pt;margin-top:0.15pt;height:14.5pt;width:12.05pt;z-index:251661312;mso-width-relative:page;mso-height-relative:page;" filled="f" stroked="f" coordsize="21600,21600" o:gfxdata="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A81Zy1QAAAAcBAAAPAAAAAAAAAAEAIAAAACIAAABkcnMvZG93bnJldi54bWxQSwECFAAU&#10;AAAACACHTuJAliTwVbsBAABxAwAADgAAAAAAAAABACAAAAAkAQAAZHJzL2Uyb0RvYy54bWxQSwUG&#10;AAAAAAYABgBZAQAAUQUAAAAA&#10;">
                      <v:fill on="f" focussize="0,0"/>
                      <v:stroke on="f"/>
                      <v:imagedata o:title=""/>
                      <o:lock v:ext="edit" aspectratio="f"/>
                      <v:textbox inset="0mm,0mm,0mm,0mm">
                        <w:txbxContent>
                          <w:p w14:paraId="0085C1E3">
                            <w:pPr>
                              <w:spacing w:before="19" w:line="231" w:lineRule="auto"/>
                              <w:ind w:left="20"/>
                              <w:rPr>
                                <w:rFonts w:ascii="宋体" w:hAnsi="宋体" w:eastAsia="宋体" w:cs="宋体"/>
                                <w:sz w:val="20"/>
                                <w:szCs w:val="20"/>
                              </w:rPr>
                            </w:pPr>
                            <w:r>
                              <w:rPr>
                                <w:rFonts w:ascii="宋体" w:hAnsi="宋体" w:eastAsia="宋体" w:cs="宋体"/>
                                <w:sz w:val="20"/>
                                <w:szCs w:val="20"/>
                              </w:rPr>
                              <w:t>排</w:t>
                            </w:r>
                          </w:p>
                        </w:txbxContent>
                      </v:textbox>
                    </v:shape>
                  </w:pict>
                </mc:Fallback>
              </mc:AlternateContent>
            </w:r>
            <w:r>
              <w:rPr>
                <w:rFonts w:hint="default" w:ascii="Times New Roman" w:hAnsi="Times New Roman" w:eastAsia="楷体" w:cs="Times New Roman"/>
                <w:sz w:val="24"/>
                <w:szCs w:val="24"/>
                <w:lang w:val="zh-CN"/>
              </w:rPr>
              <w:t>。</w:t>
            </w:r>
          </w:p>
        </w:tc>
        <w:tc>
          <w:tcPr>
            <w:tcW w:w="871" w:type="dxa"/>
            <w:vAlign w:val="center"/>
          </w:tcPr>
          <w:p w14:paraId="516D3C10">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符合</w:t>
            </w:r>
          </w:p>
          <w:p w14:paraId="54B963CB">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楷体" w:cs="Times New Roman"/>
                <w:sz w:val="24"/>
                <w:szCs w:val="24"/>
                <w:lang w:val="zh-CN"/>
              </w:rPr>
            </w:pPr>
          </w:p>
        </w:tc>
      </w:tr>
      <w:tr w14:paraId="1C165D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jc w:val="center"/>
        </w:trPr>
        <w:tc>
          <w:tcPr>
            <w:tcW w:w="698" w:type="dxa"/>
            <w:vAlign w:val="center"/>
          </w:tcPr>
          <w:p w14:paraId="67658E58">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eastAsia" w:ascii="Times New Roman" w:hAnsi="Times New Roman" w:eastAsia="楷体" w:cs="Times New Roman"/>
                <w:sz w:val="24"/>
                <w:szCs w:val="24"/>
                <w:lang w:val="zh-CN" w:eastAsia="zh-CN"/>
              </w:rPr>
            </w:pPr>
            <w:r>
              <w:rPr>
                <w:rFonts w:hint="eastAsia" w:ascii="Times New Roman" w:hAnsi="Times New Roman" w:cs="Times New Roman"/>
                <w:sz w:val="24"/>
                <w:szCs w:val="24"/>
                <w:lang w:val="en-US" w:eastAsia="zh-CN"/>
              </w:rPr>
              <w:t>2</w:t>
            </w:r>
          </w:p>
        </w:tc>
        <w:tc>
          <w:tcPr>
            <w:tcW w:w="4084" w:type="dxa"/>
            <w:vAlign w:val="center"/>
          </w:tcPr>
          <w:p w14:paraId="7513EE80">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应使用低残留、环境友好型清洗剂，不得使用有毒有害和国家严令禁止的清洗剂。</w:t>
            </w:r>
          </w:p>
        </w:tc>
        <w:tc>
          <w:tcPr>
            <w:tcW w:w="3215" w:type="dxa"/>
            <w:vAlign w:val="center"/>
          </w:tcPr>
          <w:p w14:paraId="4C341682">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项目不使用清洗剂。</w:t>
            </w:r>
          </w:p>
        </w:tc>
        <w:tc>
          <w:tcPr>
            <w:tcW w:w="871" w:type="dxa"/>
            <w:vAlign w:val="center"/>
          </w:tcPr>
          <w:p w14:paraId="56F11AF0">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符合</w:t>
            </w:r>
          </w:p>
        </w:tc>
      </w:tr>
      <w:tr w14:paraId="5AAF63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jc w:val="center"/>
        </w:trPr>
        <w:tc>
          <w:tcPr>
            <w:tcW w:w="698" w:type="dxa"/>
            <w:vAlign w:val="center"/>
          </w:tcPr>
          <w:p w14:paraId="4F824D57">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eastAsia" w:ascii="Times New Roman" w:hAnsi="Times New Roman" w:eastAsia="楷体" w:cs="Times New Roman"/>
                <w:sz w:val="24"/>
                <w:szCs w:val="24"/>
                <w:lang w:val="zh-CN" w:eastAsia="zh-CN"/>
              </w:rPr>
            </w:pPr>
            <w:r>
              <w:rPr>
                <w:rFonts w:hint="eastAsia" w:ascii="Times New Roman" w:hAnsi="Times New Roman" w:cs="Times New Roman"/>
                <w:sz w:val="24"/>
                <w:szCs w:val="24"/>
                <w:lang w:val="en-US" w:eastAsia="zh-CN"/>
              </w:rPr>
              <w:t>3</w:t>
            </w:r>
          </w:p>
        </w:tc>
        <w:tc>
          <w:tcPr>
            <w:tcW w:w="4084" w:type="dxa"/>
            <w:vAlign w:val="center"/>
          </w:tcPr>
          <w:p w14:paraId="4C8FE08E">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宜采用离心脱水、鼓风干燥、流化床干燥等工艺，应使用低能耗设备。</w:t>
            </w:r>
          </w:p>
        </w:tc>
        <w:tc>
          <w:tcPr>
            <w:tcW w:w="3215" w:type="dxa"/>
            <w:vAlign w:val="center"/>
          </w:tcPr>
          <w:p w14:paraId="17B1FCBD">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项目采用离心脱水工艺进行脱水。</w:t>
            </w:r>
          </w:p>
        </w:tc>
        <w:tc>
          <w:tcPr>
            <w:tcW w:w="871" w:type="dxa"/>
            <w:vAlign w:val="center"/>
          </w:tcPr>
          <w:p w14:paraId="5CFD65B3">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符合</w:t>
            </w:r>
          </w:p>
        </w:tc>
      </w:tr>
      <w:tr w14:paraId="75CBA5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jc w:val="center"/>
        </w:trPr>
        <w:tc>
          <w:tcPr>
            <w:tcW w:w="698" w:type="dxa"/>
            <w:vAlign w:val="center"/>
          </w:tcPr>
          <w:p w14:paraId="67135C4A">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eastAsia" w:ascii="Times New Roman" w:hAnsi="Times New Roman" w:eastAsia="楷体" w:cs="Times New Roman"/>
                <w:sz w:val="24"/>
                <w:szCs w:val="24"/>
                <w:lang w:val="zh-CN" w:eastAsia="zh-CN"/>
              </w:rPr>
            </w:pPr>
            <w:r>
              <w:rPr>
                <w:rFonts w:hint="eastAsia" w:ascii="Times New Roman" w:hAnsi="Times New Roman" w:cs="Times New Roman"/>
                <w:sz w:val="24"/>
                <w:szCs w:val="24"/>
                <w:lang w:val="en-US" w:eastAsia="zh-CN"/>
              </w:rPr>
              <w:t>4</w:t>
            </w:r>
          </w:p>
        </w:tc>
        <w:tc>
          <w:tcPr>
            <w:tcW w:w="4084" w:type="dxa"/>
            <w:vAlign w:val="center"/>
          </w:tcPr>
          <w:p w14:paraId="2177E19A">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造粒废气应集中收集处理。推荐使用真空全密闭废气收集体系收集废气。</w:t>
            </w:r>
          </w:p>
        </w:tc>
        <w:tc>
          <w:tcPr>
            <w:tcW w:w="3215" w:type="dxa"/>
            <w:vAlign w:val="center"/>
          </w:tcPr>
          <w:p w14:paraId="42B4A7A8">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项目</w:t>
            </w:r>
            <w:r>
              <w:rPr>
                <w:rFonts w:hint="eastAsia" w:cs="Times New Roman"/>
                <w:sz w:val="24"/>
                <w:szCs w:val="24"/>
                <w:lang w:val="en-US" w:eastAsia="zh-CN"/>
              </w:rPr>
              <w:t>产生的</w:t>
            </w:r>
            <w:r>
              <w:rPr>
                <w:rFonts w:hint="default" w:ascii="Times New Roman" w:hAnsi="Times New Roman" w:eastAsia="楷体" w:cs="Times New Roman"/>
                <w:sz w:val="24"/>
                <w:szCs w:val="24"/>
                <w:lang w:val="en-US" w:eastAsia="zh-CN"/>
              </w:rPr>
              <w:t>有机废气</w:t>
            </w:r>
            <w:r>
              <w:rPr>
                <w:rFonts w:hint="default" w:ascii="Times New Roman" w:hAnsi="Times New Roman" w:eastAsia="楷体" w:cs="Times New Roman"/>
                <w:color w:val="000000" w:themeColor="text1"/>
                <w:sz w:val="24"/>
                <w:szCs w:val="24"/>
                <w:highlight w:val="none"/>
                <w:lang w:val="en-US" w:eastAsia="zh-CN"/>
                <w14:textFill>
                  <w14:solidFill>
                    <w14:schemeClr w14:val="tx1"/>
                  </w14:solidFill>
                </w14:textFill>
              </w:rPr>
              <w:t>经集气罩收集，引入“布袋除尘器+两级活性炭吸附装置”处理后，由15m高排气筒排放</w:t>
            </w:r>
            <w:r>
              <w:rPr>
                <w:rFonts w:hint="default" w:ascii="Times New Roman" w:hAnsi="Times New Roman" w:eastAsia="楷体" w:cs="Times New Roman"/>
                <w:sz w:val="24"/>
                <w:szCs w:val="24"/>
                <w:lang w:val="zh-CN"/>
              </w:rPr>
              <w:t>。</w:t>
            </w:r>
          </w:p>
        </w:tc>
        <w:tc>
          <w:tcPr>
            <w:tcW w:w="871" w:type="dxa"/>
            <w:vAlign w:val="center"/>
          </w:tcPr>
          <w:p w14:paraId="67320F66">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楷体" w:cs="Times New Roman"/>
                <w:sz w:val="24"/>
                <w:szCs w:val="24"/>
                <w:lang w:val="zh-CN"/>
              </w:rPr>
            </w:pPr>
          </w:p>
          <w:p w14:paraId="49769E54">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符合</w:t>
            </w:r>
          </w:p>
        </w:tc>
      </w:tr>
      <w:tr w14:paraId="38DDC0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jc w:val="center"/>
        </w:trPr>
        <w:tc>
          <w:tcPr>
            <w:tcW w:w="698" w:type="dxa"/>
            <w:vAlign w:val="center"/>
          </w:tcPr>
          <w:p w14:paraId="47127A29">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eastAsia" w:ascii="Times New Roman" w:hAnsi="Times New Roman" w:eastAsia="楷体" w:cs="Times New Roman"/>
                <w:sz w:val="24"/>
                <w:szCs w:val="24"/>
                <w:lang w:val="zh-CN" w:eastAsia="zh-CN"/>
              </w:rPr>
            </w:pPr>
            <w:r>
              <w:rPr>
                <w:rFonts w:hint="eastAsia" w:ascii="Times New Roman" w:hAnsi="Times New Roman" w:cs="Times New Roman"/>
                <w:sz w:val="24"/>
                <w:szCs w:val="24"/>
                <w:lang w:val="en-US" w:eastAsia="zh-CN"/>
              </w:rPr>
              <w:t>5</w:t>
            </w:r>
          </w:p>
        </w:tc>
        <w:tc>
          <w:tcPr>
            <w:tcW w:w="4084" w:type="dxa"/>
            <w:vAlign w:val="center"/>
          </w:tcPr>
          <w:p w14:paraId="60560A6F">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废弃滤网、熔融残渣应收集处理</w:t>
            </w:r>
          </w:p>
        </w:tc>
        <w:tc>
          <w:tcPr>
            <w:tcW w:w="3215" w:type="dxa"/>
            <w:vAlign w:val="center"/>
          </w:tcPr>
          <w:p w14:paraId="44449D83">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项目产生的废滤网</w:t>
            </w:r>
            <w:r>
              <w:rPr>
                <w:rFonts w:hint="default" w:ascii="Times New Roman" w:hAnsi="Times New Roman" w:eastAsia="楷体" w:cs="Times New Roman"/>
                <w:sz w:val="24"/>
                <w:szCs w:val="24"/>
                <w:lang w:val="en-US"/>
              </w:rPr>
              <w:t>交由厂家回收处置</w:t>
            </w:r>
          </w:p>
        </w:tc>
        <w:tc>
          <w:tcPr>
            <w:tcW w:w="871" w:type="dxa"/>
            <w:vAlign w:val="center"/>
          </w:tcPr>
          <w:p w14:paraId="63E50EE5">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符合</w:t>
            </w:r>
          </w:p>
        </w:tc>
      </w:tr>
      <w:tr w14:paraId="518F46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jc w:val="center"/>
        </w:trPr>
        <w:tc>
          <w:tcPr>
            <w:tcW w:w="698" w:type="dxa"/>
            <w:vAlign w:val="center"/>
          </w:tcPr>
          <w:p w14:paraId="4E86D0BB">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eastAsia" w:ascii="Times New Roman" w:hAnsi="Times New Roman" w:eastAsia="楷体" w:cs="Times New Roman"/>
                <w:sz w:val="24"/>
                <w:szCs w:val="24"/>
                <w:lang w:val="zh-CN" w:eastAsia="zh-CN"/>
              </w:rPr>
            </w:pPr>
            <w:r>
              <w:rPr>
                <w:rFonts w:hint="eastAsia" w:ascii="Times New Roman" w:hAnsi="Times New Roman" w:cs="Times New Roman"/>
                <w:sz w:val="24"/>
                <w:szCs w:val="24"/>
                <w:lang w:val="en-US" w:eastAsia="zh-CN"/>
              </w:rPr>
              <w:t>6</w:t>
            </w:r>
          </w:p>
        </w:tc>
        <w:tc>
          <w:tcPr>
            <w:tcW w:w="4084" w:type="dxa"/>
            <w:vAlign w:val="center"/>
          </w:tcPr>
          <w:p w14:paraId="7E3F7E68">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再生利用过程中收集的废气应根据废气的性质，采用催化氧化、低温等离子、喷淋等处理技术。</w:t>
            </w:r>
          </w:p>
        </w:tc>
        <w:tc>
          <w:tcPr>
            <w:tcW w:w="3215" w:type="dxa"/>
            <w:vAlign w:val="center"/>
          </w:tcPr>
          <w:p w14:paraId="4825EA9B">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项目有机废气采用“</w:t>
            </w:r>
            <w:r>
              <w:rPr>
                <w:rFonts w:hint="default" w:ascii="Times New Roman" w:hAnsi="Times New Roman" w:eastAsia="楷体" w:cs="Times New Roman"/>
                <w:color w:val="000000" w:themeColor="text1"/>
                <w:sz w:val="24"/>
                <w:szCs w:val="24"/>
                <w:highlight w:val="none"/>
                <w:lang w:val="en-US" w:eastAsia="zh-CN"/>
                <w14:textFill>
                  <w14:solidFill>
                    <w14:schemeClr w14:val="tx1"/>
                  </w14:solidFill>
                </w14:textFill>
              </w:rPr>
              <w:t>布袋除尘器+两级活性炭吸附装置</w:t>
            </w:r>
            <w:r>
              <w:rPr>
                <w:rFonts w:hint="default" w:ascii="Times New Roman" w:hAnsi="Times New Roman" w:eastAsia="楷体" w:cs="Times New Roman"/>
                <w:sz w:val="24"/>
                <w:szCs w:val="24"/>
                <w:lang w:val="zh-CN"/>
              </w:rPr>
              <w:t>”处理后</w:t>
            </w:r>
            <w:r>
              <w:rPr>
                <w:rFonts w:hint="default" w:ascii="Times New Roman" w:hAnsi="Times New Roman" w:eastAsia="楷体" w:cs="Times New Roman"/>
                <w:color w:val="000000" w:themeColor="text1"/>
                <w:sz w:val="24"/>
                <w:szCs w:val="24"/>
                <w:highlight w:val="none"/>
                <w:lang w:val="en-US" w:eastAsia="zh-CN"/>
                <w14:textFill>
                  <w14:solidFill>
                    <w14:schemeClr w14:val="tx1"/>
                  </w14:solidFill>
                </w14:textFill>
              </w:rPr>
              <w:t>，由15m高排气筒排放</w:t>
            </w:r>
            <w:r>
              <w:rPr>
                <w:rFonts w:hint="default" w:ascii="Times New Roman" w:hAnsi="Times New Roman" w:eastAsia="楷体" w:cs="Times New Roman"/>
                <w:sz w:val="24"/>
                <w:szCs w:val="24"/>
                <w:lang w:val="zh-CN"/>
              </w:rPr>
              <w:t>。</w:t>
            </w:r>
          </w:p>
        </w:tc>
        <w:tc>
          <w:tcPr>
            <w:tcW w:w="871" w:type="dxa"/>
            <w:vAlign w:val="center"/>
          </w:tcPr>
          <w:p w14:paraId="1175A790">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符合</w:t>
            </w:r>
          </w:p>
        </w:tc>
      </w:tr>
      <w:tr w14:paraId="5A1D91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jc w:val="center"/>
        </w:trPr>
        <w:tc>
          <w:tcPr>
            <w:tcW w:w="698" w:type="dxa"/>
            <w:vAlign w:val="center"/>
          </w:tcPr>
          <w:p w14:paraId="3766C4FD">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eastAsia" w:ascii="Times New Roman" w:hAnsi="Times New Roman" w:eastAsia="楷体" w:cs="Times New Roman"/>
                <w:sz w:val="24"/>
                <w:szCs w:val="24"/>
                <w:lang w:val="zh-CN" w:eastAsia="zh-CN"/>
              </w:rPr>
            </w:pPr>
            <w:r>
              <w:rPr>
                <w:rFonts w:hint="eastAsia" w:ascii="Times New Roman" w:hAnsi="Times New Roman" w:cs="Times New Roman"/>
                <w:sz w:val="24"/>
                <w:szCs w:val="24"/>
                <w:lang w:val="en-US" w:eastAsia="zh-CN"/>
              </w:rPr>
              <w:t>7</w:t>
            </w:r>
          </w:p>
        </w:tc>
        <w:tc>
          <w:tcPr>
            <w:tcW w:w="4084" w:type="dxa"/>
            <w:vAlign w:val="center"/>
          </w:tcPr>
          <w:p w14:paraId="359FDC23">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再生利用过程中产生的固体废物，属于一般工业固体废物的应执行</w:t>
            </w:r>
            <w:r>
              <w:rPr>
                <w:rFonts w:hint="default" w:ascii="Times New Roman" w:hAnsi="Times New Roman" w:eastAsia="楷体" w:cs="Times New Roman"/>
                <w:sz w:val="24"/>
                <w:szCs w:val="24"/>
                <w:lang w:val="en-US" w:eastAsia="zh-CN"/>
              </w:rPr>
              <w:t>《</w:t>
            </w:r>
            <w:r>
              <w:rPr>
                <w:rFonts w:hint="default" w:ascii="Times New Roman" w:hAnsi="Times New Roman" w:eastAsia="楷体" w:cs="Times New Roman"/>
                <w:sz w:val="24"/>
                <w:szCs w:val="24"/>
                <w:lang w:val="en-US" w:eastAsia="zh-CN"/>
              </w:rPr>
              <w:fldChar w:fldCharType="begin"/>
            </w:r>
            <w:r>
              <w:rPr>
                <w:rFonts w:hint="default" w:ascii="Times New Roman" w:hAnsi="Times New Roman" w:eastAsia="楷体" w:cs="Times New Roman"/>
                <w:sz w:val="24"/>
                <w:szCs w:val="24"/>
                <w:lang w:val="en-US" w:eastAsia="zh-CN"/>
              </w:rPr>
              <w:instrText xml:space="preserve"> HYPERLINK "https://www.mee.gov.cn/ywgz/fgbz/bz/bzwb/gthw/gtfwwrkzbz/202012/W020201218695845325455.pdf" </w:instrText>
            </w:r>
            <w:r>
              <w:rPr>
                <w:rFonts w:hint="default" w:ascii="Times New Roman" w:hAnsi="Times New Roman" w:eastAsia="楷体" w:cs="Times New Roman"/>
                <w:sz w:val="24"/>
                <w:szCs w:val="24"/>
                <w:lang w:val="en-US" w:eastAsia="zh-CN"/>
              </w:rPr>
              <w:fldChar w:fldCharType="separate"/>
            </w:r>
            <w:r>
              <w:rPr>
                <w:rFonts w:hint="default" w:ascii="Times New Roman" w:hAnsi="Times New Roman" w:eastAsia="楷体" w:cs="Times New Roman"/>
                <w:sz w:val="24"/>
                <w:szCs w:val="24"/>
                <w:lang w:val="en-US" w:eastAsia="zh-CN"/>
              </w:rPr>
              <w:t>一般工业固体废物贮存和填埋污染控制标准》（GB18599-2020）</w:t>
            </w:r>
            <w:r>
              <w:rPr>
                <w:rFonts w:hint="default" w:ascii="Times New Roman" w:hAnsi="Times New Roman" w:eastAsia="楷体" w:cs="Times New Roman"/>
                <w:sz w:val="24"/>
                <w:szCs w:val="24"/>
                <w:lang w:val="en-US" w:eastAsia="zh-CN"/>
              </w:rPr>
              <w:fldChar w:fldCharType="end"/>
            </w:r>
            <w:r>
              <w:rPr>
                <w:rFonts w:hint="default" w:ascii="Times New Roman" w:hAnsi="Times New Roman" w:eastAsia="楷体" w:cs="Times New Roman"/>
                <w:sz w:val="24"/>
                <w:szCs w:val="24"/>
                <w:lang w:val="zh-CN"/>
              </w:rPr>
              <w:t>；属于危险废物的交由有相关危险废物处理资质单位处理。</w:t>
            </w:r>
          </w:p>
        </w:tc>
        <w:tc>
          <w:tcPr>
            <w:tcW w:w="3215" w:type="dxa"/>
            <w:vAlign w:val="center"/>
          </w:tcPr>
          <w:p w14:paraId="4B091E92">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项目产生的一般固废均按照</w:t>
            </w:r>
          </w:p>
          <w:p w14:paraId="1343C682">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en-US" w:eastAsia="zh-CN"/>
              </w:rPr>
              <w:t>《</w:t>
            </w:r>
            <w:r>
              <w:rPr>
                <w:rFonts w:hint="default" w:ascii="Times New Roman" w:hAnsi="Times New Roman" w:eastAsia="楷体" w:cs="Times New Roman"/>
                <w:sz w:val="24"/>
                <w:szCs w:val="24"/>
                <w:lang w:val="en-US" w:eastAsia="zh-CN"/>
              </w:rPr>
              <w:fldChar w:fldCharType="begin"/>
            </w:r>
            <w:r>
              <w:rPr>
                <w:rFonts w:hint="default" w:ascii="Times New Roman" w:hAnsi="Times New Roman" w:eastAsia="楷体" w:cs="Times New Roman"/>
                <w:sz w:val="24"/>
                <w:szCs w:val="24"/>
                <w:lang w:val="en-US" w:eastAsia="zh-CN"/>
              </w:rPr>
              <w:instrText xml:space="preserve"> HYPERLINK "https://www.mee.gov.cn/ywgz/fgbz/bz/bzwb/gthw/gtfwwrkzbz/202012/W020201218695845325455.pdf" </w:instrText>
            </w:r>
            <w:r>
              <w:rPr>
                <w:rFonts w:hint="default" w:ascii="Times New Roman" w:hAnsi="Times New Roman" w:eastAsia="楷体" w:cs="Times New Roman"/>
                <w:sz w:val="24"/>
                <w:szCs w:val="24"/>
                <w:lang w:val="en-US" w:eastAsia="zh-CN"/>
              </w:rPr>
              <w:fldChar w:fldCharType="separate"/>
            </w:r>
            <w:r>
              <w:rPr>
                <w:rFonts w:hint="default" w:ascii="Times New Roman" w:hAnsi="Times New Roman" w:eastAsia="楷体" w:cs="Times New Roman"/>
                <w:sz w:val="24"/>
                <w:szCs w:val="24"/>
                <w:lang w:val="en-US" w:eastAsia="zh-CN"/>
              </w:rPr>
              <w:t>一般工业固体废物贮存和填埋污染控制标准》（GB18599-2020）</w:t>
            </w:r>
            <w:r>
              <w:rPr>
                <w:rFonts w:hint="default" w:ascii="Times New Roman" w:hAnsi="Times New Roman" w:eastAsia="楷体" w:cs="Times New Roman"/>
                <w:sz w:val="24"/>
                <w:szCs w:val="24"/>
                <w:lang w:val="en-US" w:eastAsia="zh-CN"/>
              </w:rPr>
              <w:fldChar w:fldCharType="end"/>
            </w:r>
            <w:r>
              <w:rPr>
                <w:rFonts w:hint="default" w:ascii="Times New Roman" w:hAnsi="Times New Roman" w:eastAsia="楷体" w:cs="Times New Roman"/>
                <w:sz w:val="24"/>
                <w:szCs w:val="24"/>
                <w:lang w:val="zh-CN"/>
              </w:rPr>
              <w:t>要求进行处理，危险废物交有资质单位处理。</w:t>
            </w:r>
          </w:p>
        </w:tc>
        <w:tc>
          <w:tcPr>
            <w:tcW w:w="871" w:type="dxa"/>
            <w:vAlign w:val="center"/>
          </w:tcPr>
          <w:p w14:paraId="053190F0">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符合</w:t>
            </w:r>
          </w:p>
        </w:tc>
      </w:tr>
      <w:tr w14:paraId="3C82C6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jc w:val="center"/>
        </w:trPr>
        <w:tc>
          <w:tcPr>
            <w:tcW w:w="698" w:type="dxa"/>
            <w:vAlign w:val="center"/>
          </w:tcPr>
          <w:p w14:paraId="7F10D58B">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eastAsia" w:ascii="Times New Roman" w:hAnsi="Times New Roman" w:eastAsia="楷体" w:cs="Times New Roman"/>
                <w:sz w:val="24"/>
                <w:szCs w:val="24"/>
                <w:lang w:val="zh-CN" w:eastAsia="zh-CN"/>
              </w:rPr>
            </w:pPr>
            <w:r>
              <w:rPr>
                <w:rFonts w:hint="eastAsia" w:ascii="Times New Roman" w:hAnsi="Times New Roman" w:cs="Times New Roman"/>
                <w:sz w:val="24"/>
                <w:szCs w:val="24"/>
                <w:lang w:val="en-US" w:eastAsia="zh-CN"/>
              </w:rPr>
              <w:t>8</w:t>
            </w:r>
          </w:p>
        </w:tc>
        <w:tc>
          <w:tcPr>
            <w:tcW w:w="4084" w:type="dxa"/>
            <w:vAlign w:val="center"/>
          </w:tcPr>
          <w:p w14:paraId="4586BE67">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废水处理过程产生的污泥，企业可自行处理，或交由污泥处理企业处理，不得随意丢弃。</w:t>
            </w:r>
          </w:p>
        </w:tc>
        <w:tc>
          <w:tcPr>
            <w:tcW w:w="3215" w:type="dxa"/>
            <w:vAlign w:val="center"/>
          </w:tcPr>
          <w:p w14:paraId="10C96FBF">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项目沉淀池污泥经清掏自然干化后交由环卫部门处理处置</w:t>
            </w:r>
            <w:r>
              <w:rPr>
                <w:rFonts w:hint="eastAsia" w:ascii="Times New Roman" w:hAnsi="Times New Roman" w:cs="Times New Roman"/>
                <w:sz w:val="24"/>
                <w:szCs w:val="24"/>
                <w:lang w:val="zh-CN"/>
              </w:rPr>
              <w:t>。</w:t>
            </w:r>
          </w:p>
        </w:tc>
        <w:tc>
          <w:tcPr>
            <w:tcW w:w="871" w:type="dxa"/>
            <w:vAlign w:val="center"/>
          </w:tcPr>
          <w:p w14:paraId="178C98BC">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符合</w:t>
            </w:r>
          </w:p>
        </w:tc>
      </w:tr>
      <w:tr w14:paraId="4AB823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jc w:val="center"/>
        </w:trPr>
        <w:tc>
          <w:tcPr>
            <w:tcW w:w="698" w:type="dxa"/>
            <w:vAlign w:val="center"/>
          </w:tcPr>
          <w:p w14:paraId="06B9F2EF">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eastAsia" w:ascii="Times New Roman" w:hAnsi="Times New Roman" w:eastAsia="楷体" w:cs="Times New Roman"/>
                <w:sz w:val="24"/>
                <w:szCs w:val="24"/>
                <w:lang w:val="zh-CN" w:eastAsia="zh-CN"/>
              </w:rPr>
            </w:pPr>
            <w:r>
              <w:rPr>
                <w:rFonts w:hint="eastAsia" w:ascii="Times New Roman" w:hAnsi="Times New Roman" w:cs="Times New Roman"/>
                <w:sz w:val="24"/>
                <w:szCs w:val="24"/>
                <w:lang w:val="en-US" w:eastAsia="zh-CN"/>
              </w:rPr>
              <w:t>9</w:t>
            </w:r>
          </w:p>
        </w:tc>
        <w:tc>
          <w:tcPr>
            <w:tcW w:w="4084" w:type="dxa"/>
            <w:vAlign w:val="center"/>
          </w:tcPr>
          <w:p w14:paraId="4422E5B0">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应建立完善的污染防治制度，定期维护环境保护设施，建立完整的废水处理、废气治理、固体废物处理处置等环境保护相关记录。</w:t>
            </w:r>
          </w:p>
        </w:tc>
        <w:tc>
          <w:tcPr>
            <w:tcW w:w="3215" w:type="dxa"/>
            <w:vAlign w:val="center"/>
          </w:tcPr>
          <w:p w14:paraId="4D0320D3">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eastAsia"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zh-CN"/>
              </w:rPr>
              <w:t>项目制定环境保护相关记录</w:t>
            </w:r>
            <w:r>
              <w:rPr>
                <w:rFonts w:hint="eastAsia" w:cs="Times New Roman"/>
                <w:sz w:val="24"/>
                <w:szCs w:val="24"/>
                <w:lang w:val="en-US" w:eastAsia="zh-CN"/>
              </w:rPr>
              <w:t>制度</w:t>
            </w:r>
          </w:p>
        </w:tc>
        <w:tc>
          <w:tcPr>
            <w:tcW w:w="871" w:type="dxa"/>
            <w:vAlign w:val="center"/>
          </w:tcPr>
          <w:p w14:paraId="7708778C">
            <w:pPr>
              <w:pStyle w:val="55"/>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楷体" w:cs="Times New Roman"/>
                <w:sz w:val="24"/>
                <w:szCs w:val="24"/>
                <w:lang w:val="zh-CN"/>
              </w:rPr>
            </w:pPr>
            <w:r>
              <w:rPr>
                <w:rFonts w:hint="default" w:ascii="Times New Roman" w:hAnsi="Times New Roman" w:eastAsia="楷体" w:cs="Times New Roman"/>
                <w:sz w:val="24"/>
                <w:szCs w:val="24"/>
                <w:lang w:val="zh-CN"/>
              </w:rPr>
              <w:t>符合</w:t>
            </w:r>
          </w:p>
        </w:tc>
      </w:tr>
    </w:tbl>
    <w:p w14:paraId="6F845E5B">
      <w:pPr>
        <w:pStyle w:val="47"/>
        <w:numPr>
          <w:ilvl w:val="0"/>
          <w:numId w:val="7"/>
        </w:numPr>
        <w:bidi w:val="0"/>
        <w:rPr>
          <w:rFonts w:hint="default"/>
          <w:lang w:val="en-US" w:eastAsia="zh-CN"/>
        </w:rPr>
      </w:pPr>
      <w:r>
        <w:rPr>
          <w:rFonts w:hint="default"/>
          <w:lang w:val="en-US" w:eastAsia="zh-CN"/>
        </w:rPr>
        <w:t>《废塑料污染控制技术规范》（HJ364-2022）</w:t>
      </w:r>
    </w:p>
    <w:p w14:paraId="0578CC98">
      <w:pPr>
        <w:pStyle w:val="47"/>
        <w:numPr>
          <w:ilvl w:val="0"/>
          <w:numId w:val="0"/>
        </w:numPr>
        <w:bidi w:val="0"/>
        <w:ind w:firstLine="560" w:firstLineChars="200"/>
        <w:rPr>
          <w:rFonts w:hint="default"/>
          <w:lang w:val="en-US" w:eastAsia="zh-CN"/>
        </w:rPr>
      </w:pPr>
      <w:r>
        <w:rPr>
          <w:rFonts w:hint="default"/>
          <w:lang w:val="en-US" w:eastAsia="zh-CN"/>
        </w:rPr>
        <w:t>项目</w:t>
      </w:r>
      <w:r>
        <w:rPr>
          <w:rFonts w:hint="eastAsia"/>
          <w:lang w:val="en-US" w:eastAsia="zh-CN"/>
        </w:rPr>
        <w:t>与</w:t>
      </w:r>
      <w:r>
        <w:rPr>
          <w:rFonts w:hint="default"/>
          <w:lang w:val="en-US" w:eastAsia="zh-CN"/>
        </w:rPr>
        <w:t>《废塑料污染控制技术规范》（HJ364-2022</w:t>
      </w:r>
      <w:r>
        <w:rPr>
          <w:rFonts w:hint="eastAsia"/>
          <w:lang w:val="en-US" w:eastAsia="zh-CN"/>
        </w:rPr>
        <w:t>）符合性</w:t>
      </w:r>
      <w:r>
        <w:rPr>
          <w:rFonts w:hint="default"/>
          <w:lang w:val="en-US" w:eastAsia="zh-CN"/>
        </w:rPr>
        <w:t>分析详见</w:t>
      </w:r>
      <w:r>
        <w:rPr>
          <w:rFonts w:hint="eastAsia"/>
          <w:lang w:val="en-US" w:eastAsia="zh-CN"/>
        </w:rPr>
        <w:t>下</w:t>
      </w:r>
      <w:r>
        <w:rPr>
          <w:rFonts w:hint="default"/>
          <w:lang w:val="en-US" w:eastAsia="zh-CN"/>
        </w:rPr>
        <w:t>表。</w:t>
      </w:r>
    </w:p>
    <w:p w14:paraId="31B72830">
      <w:pPr>
        <w:pStyle w:val="94"/>
        <w:bidi w:val="0"/>
        <w:rPr>
          <w:rFonts w:hint="default"/>
          <w:lang w:val="en-US" w:eastAsia="zh-CN"/>
        </w:rPr>
      </w:pPr>
      <w:r>
        <w:rPr>
          <w:rFonts w:hint="default"/>
          <w:lang w:val="en-US" w:eastAsia="zh-CN"/>
        </w:rPr>
        <w:t>《废塑料污染控制技术规范》符合性分析一览表</w:t>
      </w:r>
    </w:p>
    <w:tbl>
      <w:tblPr>
        <w:tblStyle w:val="32"/>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171"/>
        <w:gridCol w:w="4109"/>
        <w:gridCol w:w="2904"/>
        <w:gridCol w:w="22"/>
        <w:gridCol w:w="874"/>
      </w:tblGrid>
      <w:tr w14:paraId="399951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blHeader/>
          <w:jc w:val="center"/>
        </w:trPr>
        <w:tc>
          <w:tcPr>
            <w:tcW w:w="645" w:type="pct"/>
            <w:tcBorders>
              <w:bottom w:val="single" w:color="auto" w:sz="4" w:space="0"/>
              <w:tl2br w:val="nil"/>
              <w:tr2bl w:val="nil"/>
            </w:tcBorders>
            <w:vAlign w:val="center"/>
          </w:tcPr>
          <w:p w14:paraId="1F1A6F52">
            <w:pPr>
              <w:pStyle w:val="55"/>
              <w:bidi w:val="0"/>
              <w:rPr>
                <w:rFonts w:hint="default"/>
                <w:sz w:val="24"/>
                <w:szCs w:val="24"/>
                <w:lang w:val="zh-CN"/>
              </w:rPr>
            </w:pPr>
            <w:r>
              <w:rPr>
                <w:rFonts w:hint="default"/>
                <w:sz w:val="24"/>
                <w:szCs w:val="24"/>
                <w:lang w:val="zh-CN"/>
              </w:rPr>
              <w:t>项目</w:t>
            </w:r>
          </w:p>
        </w:tc>
        <w:tc>
          <w:tcPr>
            <w:tcW w:w="2262" w:type="pct"/>
            <w:tcBorders>
              <w:bottom w:val="single" w:color="auto" w:sz="4" w:space="0"/>
              <w:tl2br w:val="nil"/>
              <w:tr2bl w:val="nil"/>
            </w:tcBorders>
            <w:vAlign w:val="center"/>
          </w:tcPr>
          <w:p w14:paraId="6F374314">
            <w:pPr>
              <w:pStyle w:val="55"/>
              <w:bidi w:val="0"/>
              <w:rPr>
                <w:rFonts w:hint="default"/>
                <w:sz w:val="24"/>
                <w:szCs w:val="24"/>
                <w:lang w:val="zh-CN"/>
              </w:rPr>
            </w:pPr>
            <w:r>
              <w:rPr>
                <w:rFonts w:hint="default"/>
                <w:sz w:val="24"/>
                <w:szCs w:val="24"/>
                <w:lang w:val="zh-CN"/>
              </w:rPr>
              <w:t>规范要求</w:t>
            </w:r>
          </w:p>
        </w:tc>
        <w:tc>
          <w:tcPr>
            <w:tcW w:w="1611" w:type="pct"/>
            <w:gridSpan w:val="2"/>
            <w:tcBorders>
              <w:bottom w:val="single" w:color="auto" w:sz="4" w:space="0"/>
              <w:tl2br w:val="nil"/>
              <w:tr2bl w:val="nil"/>
            </w:tcBorders>
            <w:vAlign w:val="center"/>
          </w:tcPr>
          <w:p w14:paraId="0CADE6E5">
            <w:pPr>
              <w:pStyle w:val="55"/>
              <w:bidi w:val="0"/>
              <w:rPr>
                <w:rFonts w:hint="default"/>
                <w:sz w:val="24"/>
                <w:szCs w:val="24"/>
                <w:lang w:val="zh-CN"/>
              </w:rPr>
            </w:pPr>
            <w:r>
              <w:rPr>
                <w:rFonts w:hint="default"/>
                <w:sz w:val="24"/>
                <w:szCs w:val="24"/>
                <w:lang w:val="zh-CN"/>
              </w:rPr>
              <w:t>项目情况</w:t>
            </w:r>
          </w:p>
        </w:tc>
        <w:tc>
          <w:tcPr>
            <w:tcW w:w="481" w:type="pct"/>
            <w:tcBorders>
              <w:bottom w:val="single" w:color="auto" w:sz="4" w:space="0"/>
              <w:tl2br w:val="nil"/>
              <w:tr2bl w:val="nil"/>
            </w:tcBorders>
            <w:vAlign w:val="center"/>
          </w:tcPr>
          <w:p w14:paraId="66C5F683">
            <w:pPr>
              <w:pStyle w:val="55"/>
              <w:bidi w:val="0"/>
              <w:rPr>
                <w:rFonts w:hint="eastAsia" w:eastAsia="楷体"/>
                <w:sz w:val="24"/>
                <w:szCs w:val="24"/>
                <w:lang w:val="zh-CN" w:eastAsia="zh-CN"/>
              </w:rPr>
            </w:pPr>
            <w:r>
              <w:rPr>
                <w:rFonts w:hint="eastAsia"/>
                <w:sz w:val="24"/>
                <w:szCs w:val="24"/>
                <w:lang w:val="en-US" w:eastAsia="zh-CN"/>
              </w:rPr>
              <w:t>符合性</w:t>
            </w:r>
          </w:p>
        </w:tc>
      </w:tr>
      <w:tr w14:paraId="0F7D96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645" w:type="pct"/>
            <w:tcBorders>
              <w:top w:val="single" w:color="auto" w:sz="4" w:space="0"/>
              <w:right w:val="single" w:color="auto" w:sz="4" w:space="0"/>
              <w:tl2br w:val="nil"/>
              <w:tr2bl w:val="nil"/>
            </w:tcBorders>
            <w:vAlign w:val="center"/>
          </w:tcPr>
          <w:p w14:paraId="5D10F3F6">
            <w:pPr>
              <w:pStyle w:val="55"/>
              <w:bidi w:val="0"/>
              <w:rPr>
                <w:rFonts w:hint="default"/>
                <w:sz w:val="24"/>
                <w:szCs w:val="24"/>
                <w:lang w:val="zh-CN"/>
              </w:rPr>
            </w:pPr>
            <w:r>
              <w:rPr>
                <w:rFonts w:hint="default"/>
                <w:sz w:val="24"/>
                <w:szCs w:val="24"/>
                <w:lang w:val="zh-CN"/>
              </w:rPr>
              <w:t>总体要求</w:t>
            </w:r>
          </w:p>
        </w:tc>
        <w:tc>
          <w:tcPr>
            <w:tcW w:w="2262" w:type="pct"/>
            <w:tcBorders>
              <w:top w:val="single" w:color="auto" w:sz="4" w:space="0"/>
              <w:left w:val="single" w:color="auto" w:sz="4" w:space="0"/>
              <w:right w:val="single" w:color="auto" w:sz="4" w:space="0"/>
              <w:tl2br w:val="nil"/>
              <w:tr2bl w:val="nil"/>
            </w:tcBorders>
            <w:vAlign w:val="center"/>
          </w:tcPr>
          <w:p w14:paraId="56F502ED">
            <w:pPr>
              <w:pStyle w:val="55"/>
              <w:bidi w:val="0"/>
              <w:jc w:val="both"/>
              <w:rPr>
                <w:rFonts w:hint="default"/>
                <w:sz w:val="24"/>
                <w:szCs w:val="24"/>
                <w:lang w:val="zh-CN" w:eastAsia="zh-CN"/>
              </w:rPr>
            </w:pPr>
            <w:r>
              <w:rPr>
                <w:rFonts w:hint="default"/>
                <w:sz w:val="24"/>
                <w:szCs w:val="24"/>
                <w:lang w:val="zh-CN" w:eastAsia="zh-CN"/>
              </w:rPr>
              <w:t>（</w:t>
            </w:r>
            <w:r>
              <w:rPr>
                <w:rFonts w:hint="default"/>
                <w:sz w:val="24"/>
                <w:szCs w:val="24"/>
                <w:lang w:val="en-US" w:eastAsia="zh-CN"/>
              </w:rPr>
              <w:t>1</w:t>
            </w:r>
            <w:r>
              <w:rPr>
                <w:rFonts w:hint="default"/>
                <w:sz w:val="24"/>
                <w:szCs w:val="24"/>
                <w:lang w:val="zh-CN" w:eastAsia="zh-CN"/>
              </w:rPr>
              <w:t>）塑料的产生、收集、贮存、预处理和再生利用企业内应单独划分贮存场地，不同种类的废塑料宜分开贮存，贮存场地应具有防雨、防扬散、防渗漏等措施，并按GB15562.2的要求设置标识。</w:t>
            </w:r>
          </w:p>
          <w:p w14:paraId="4F3A5D9C">
            <w:pPr>
              <w:pStyle w:val="55"/>
              <w:bidi w:val="0"/>
              <w:jc w:val="both"/>
              <w:rPr>
                <w:rFonts w:hint="default"/>
                <w:sz w:val="24"/>
                <w:szCs w:val="24"/>
                <w:lang w:val="zh-CN" w:eastAsia="zh-CN"/>
              </w:rPr>
            </w:pPr>
            <w:r>
              <w:rPr>
                <w:rFonts w:hint="default"/>
                <w:sz w:val="24"/>
                <w:szCs w:val="24"/>
                <w:lang w:val="zh-CN" w:eastAsia="zh-CN"/>
              </w:rPr>
              <w:t>（</w:t>
            </w:r>
            <w:r>
              <w:rPr>
                <w:rFonts w:hint="default"/>
                <w:sz w:val="24"/>
                <w:szCs w:val="24"/>
                <w:lang w:val="en-US" w:eastAsia="zh-CN"/>
              </w:rPr>
              <w:t>2</w:t>
            </w:r>
            <w:r>
              <w:rPr>
                <w:rFonts w:hint="default"/>
                <w:sz w:val="24"/>
                <w:szCs w:val="24"/>
                <w:lang w:val="zh-CN" w:eastAsia="zh-CN"/>
              </w:rPr>
              <w:t>）含卤素废塑料的回收和再生利用应与其他废塑料分开进行。</w:t>
            </w:r>
          </w:p>
          <w:p w14:paraId="6404B8E7">
            <w:pPr>
              <w:pStyle w:val="55"/>
              <w:bidi w:val="0"/>
              <w:jc w:val="both"/>
              <w:rPr>
                <w:rFonts w:hint="default"/>
                <w:sz w:val="24"/>
                <w:szCs w:val="24"/>
                <w:lang w:val="zh-CN" w:eastAsia="zh-CN"/>
              </w:rPr>
            </w:pPr>
            <w:r>
              <w:rPr>
                <w:rFonts w:hint="default"/>
                <w:sz w:val="24"/>
                <w:szCs w:val="24"/>
                <w:lang w:val="zh-CN" w:eastAsia="zh-CN"/>
              </w:rPr>
              <w:t>（</w:t>
            </w:r>
            <w:r>
              <w:rPr>
                <w:rFonts w:hint="default"/>
                <w:sz w:val="24"/>
                <w:szCs w:val="24"/>
                <w:lang w:val="en-US" w:eastAsia="zh-CN"/>
              </w:rPr>
              <w:t>3</w:t>
            </w:r>
            <w:r>
              <w:rPr>
                <w:rFonts w:hint="default"/>
                <w:sz w:val="24"/>
                <w:szCs w:val="24"/>
                <w:lang w:val="zh-CN" w:eastAsia="zh-CN"/>
              </w:rPr>
              <w:t>）废塑料的收集、再生利用和处置企业，应建立废塑料管理台账，内容包括废塑料的来源、种类、数量、去向等，相关台账应保存至少3年。</w:t>
            </w:r>
          </w:p>
        </w:tc>
        <w:tc>
          <w:tcPr>
            <w:tcW w:w="1611" w:type="pct"/>
            <w:gridSpan w:val="2"/>
            <w:tcBorders>
              <w:top w:val="single" w:color="auto" w:sz="4" w:space="0"/>
              <w:left w:val="single" w:color="auto" w:sz="4" w:space="0"/>
              <w:right w:val="single" w:color="auto" w:sz="4" w:space="0"/>
              <w:tl2br w:val="nil"/>
              <w:tr2bl w:val="nil"/>
            </w:tcBorders>
            <w:vAlign w:val="center"/>
          </w:tcPr>
          <w:p w14:paraId="6BFFCC72">
            <w:pPr>
              <w:pStyle w:val="55"/>
              <w:bidi w:val="0"/>
              <w:jc w:val="both"/>
              <w:rPr>
                <w:rFonts w:hint="default"/>
                <w:sz w:val="24"/>
                <w:szCs w:val="24"/>
                <w:lang w:val="zh-CN" w:eastAsia="zh-CN"/>
              </w:rPr>
            </w:pPr>
            <w:r>
              <w:rPr>
                <w:rFonts w:hint="default"/>
                <w:sz w:val="24"/>
                <w:szCs w:val="24"/>
                <w:lang w:val="zh-CN" w:eastAsia="zh-CN"/>
              </w:rPr>
              <w:t>（</w:t>
            </w:r>
            <w:r>
              <w:rPr>
                <w:rFonts w:hint="default"/>
                <w:sz w:val="24"/>
                <w:szCs w:val="24"/>
                <w:lang w:val="en-US" w:eastAsia="zh-CN"/>
              </w:rPr>
              <w:t>1</w:t>
            </w:r>
            <w:r>
              <w:rPr>
                <w:rFonts w:hint="default"/>
                <w:sz w:val="24"/>
                <w:szCs w:val="24"/>
                <w:lang w:val="zh-CN" w:eastAsia="zh-CN"/>
              </w:rPr>
              <w:t>）项目设置</w:t>
            </w:r>
            <w:r>
              <w:rPr>
                <w:rFonts w:hint="eastAsia"/>
                <w:sz w:val="24"/>
                <w:szCs w:val="24"/>
                <w:lang w:val="en-US" w:eastAsia="zh-CN"/>
              </w:rPr>
              <w:t>原料车间</w:t>
            </w:r>
            <w:r>
              <w:rPr>
                <w:rFonts w:hint="default"/>
                <w:sz w:val="24"/>
                <w:szCs w:val="24"/>
                <w:lang w:val="zh-CN" w:eastAsia="zh-CN"/>
              </w:rPr>
              <w:t>，不同种类塑料分开存放，具备防雨、防扬散、防渗漏措施。</w:t>
            </w:r>
          </w:p>
          <w:p w14:paraId="021219A5">
            <w:pPr>
              <w:pStyle w:val="55"/>
              <w:bidi w:val="0"/>
              <w:jc w:val="both"/>
              <w:rPr>
                <w:rFonts w:hint="default"/>
                <w:sz w:val="24"/>
                <w:szCs w:val="24"/>
                <w:lang w:val="zh-CN" w:eastAsia="zh-CN"/>
              </w:rPr>
            </w:pPr>
            <w:r>
              <w:rPr>
                <w:rFonts w:hint="default"/>
                <w:sz w:val="24"/>
                <w:szCs w:val="24"/>
                <w:lang w:val="zh-CN" w:eastAsia="zh-CN"/>
              </w:rPr>
              <w:t>（</w:t>
            </w:r>
            <w:r>
              <w:rPr>
                <w:rFonts w:hint="default"/>
                <w:sz w:val="24"/>
                <w:szCs w:val="24"/>
                <w:lang w:val="en-US" w:eastAsia="zh-CN"/>
              </w:rPr>
              <w:t>2</w:t>
            </w:r>
            <w:r>
              <w:rPr>
                <w:rFonts w:hint="default"/>
                <w:sz w:val="24"/>
                <w:szCs w:val="24"/>
                <w:lang w:val="zh-CN" w:eastAsia="zh-CN"/>
              </w:rPr>
              <w:t>）项目</w:t>
            </w:r>
            <w:r>
              <w:rPr>
                <w:rFonts w:hint="default"/>
                <w:sz w:val="24"/>
                <w:szCs w:val="24"/>
                <w:lang w:val="en-US" w:eastAsia="zh-CN"/>
              </w:rPr>
              <w:t>回收</w:t>
            </w:r>
            <w:r>
              <w:rPr>
                <w:rFonts w:hint="default"/>
                <w:sz w:val="24"/>
                <w:szCs w:val="24"/>
                <w:lang w:val="zh-CN" w:eastAsia="zh-CN"/>
              </w:rPr>
              <w:t>原料为废旧PVC塑料，不涉及医疗废物、危险废物、含卤素的废塑料。</w:t>
            </w:r>
          </w:p>
          <w:p w14:paraId="70C9C510">
            <w:pPr>
              <w:pStyle w:val="55"/>
              <w:bidi w:val="0"/>
              <w:jc w:val="both"/>
              <w:rPr>
                <w:rFonts w:hint="default"/>
                <w:sz w:val="24"/>
                <w:szCs w:val="24"/>
                <w:lang w:val="zh-CN" w:eastAsia="zh-CN"/>
              </w:rPr>
            </w:pPr>
            <w:r>
              <w:rPr>
                <w:rFonts w:hint="default"/>
                <w:sz w:val="24"/>
                <w:szCs w:val="24"/>
                <w:lang w:val="zh-CN" w:eastAsia="zh-CN"/>
              </w:rPr>
              <w:t>（</w:t>
            </w:r>
            <w:r>
              <w:rPr>
                <w:rFonts w:hint="default"/>
                <w:sz w:val="24"/>
                <w:szCs w:val="24"/>
                <w:lang w:val="en-US" w:eastAsia="zh-CN"/>
              </w:rPr>
              <w:t>3</w:t>
            </w:r>
            <w:r>
              <w:rPr>
                <w:rFonts w:hint="default"/>
                <w:sz w:val="24"/>
                <w:szCs w:val="24"/>
                <w:lang w:val="zh-CN" w:eastAsia="zh-CN"/>
              </w:rPr>
              <w:t>）企业建立废塑料管理台账</w:t>
            </w:r>
            <w:r>
              <w:rPr>
                <w:rFonts w:hint="eastAsia"/>
                <w:sz w:val="24"/>
                <w:szCs w:val="24"/>
                <w:lang w:val="zh-CN" w:eastAsia="zh-CN"/>
              </w:rPr>
              <w:t>，</w:t>
            </w:r>
            <w:r>
              <w:rPr>
                <w:rFonts w:hint="default"/>
                <w:sz w:val="24"/>
                <w:szCs w:val="24"/>
                <w:lang w:val="zh-CN" w:eastAsia="zh-CN"/>
              </w:rPr>
              <w:t>台账保存3年</w:t>
            </w:r>
            <w:r>
              <w:rPr>
                <w:rFonts w:hint="eastAsia"/>
                <w:sz w:val="24"/>
                <w:szCs w:val="24"/>
                <w:lang w:val="en-US" w:eastAsia="zh-CN"/>
              </w:rPr>
              <w:t>以上</w:t>
            </w:r>
            <w:r>
              <w:rPr>
                <w:rFonts w:hint="eastAsia"/>
                <w:sz w:val="24"/>
                <w:szCs w:val="24"/>
                <w:lang w:val="zh-CN" w:eastAsia="zh-CN"/>
              </w:rPr>
              <w:t>。</w:t>
            </w:r>
          </w:p>
        </w:tc>
        <w:tc>
          <w:tcPr>
            <w:tcW w:w="481" w:type="pct"/>
            <w:tcBorders>
              <w:top w:val="single" w:color="auto" w:sz="4" w:space="0"/>
              <w:left w:val="single" w:color="auto" w:sz="4" w:space="0"/>
              <w:bottom w:val="single" w:color="auto" w:sz="4" w:space="0"/>
              <w:tl2br w:val="nil"/>
              <w:tr2bl w:val="nil"/>
            </w:tcBorders>
            <w:vAlign w:val="center"/>
          </w:tcPr>
          <w:p w14:paraId="42F67488">
            <w:pPr>
              <w:pStyle w:val="55"/>
              <w:bidi w:val="0"/>
              <w:rPr>
                <w:rFonts w:hint="default"/>
                <w:sz w:val="24"/>
                <w:szCs w:val="24"/>
                <w:lang w:val="zh-CN"/>
              </w:rPr>
            </w:pPr>
            <w:r>
              <w:rPr>
                <w:rFonts w:hint="default"/>
                <w:sz w:val="24"/>
                <w:szCs w:val="24"/>
                <w:lang w:val="en-US"/>
              </w:rPr>
              <w:t>符合</w:t>
            </w:r>
          </w:p>
        </w:tc>
      </w:tr>
      <w:tr w14:paraId="19AACF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645" w:type="pct"/>
            <w:tcBorders>
              <w:top w:val="single" w:color="auto" w:sz="4" w:space="0"/>
              <w:right w:val="single" w:color="auto" w:sz="4" w:space="0"/>
              <w:tl2br w:val="nil"/>
              <w:tr2bl w:val="nil"/>
            </w:tcBorders>
            <w:vAlign w:val="center"/>
          </w:tcPr>
          <w:p w14:paraId="236D9AB2">
            <w:pPr>
              <w:pStyle w:val="55"/>
              <w:bidi w:val="0"/>
              <w:rPr>
                <w:rFonts w:hint="default"/>
                <w:sz w:val="24"/>
                <w:szCs w:val="24"/>
                <w:lang w:val="zh-CN"/>
              </w:rPr>
            </w:pPr>
            <w:r>
              <w:rPr>
                <w:rFonts w:hint="default"/>
                <w:sz w:val="24"/>
                <w:szCs w:val="24"/>
                <w:lang w:val="zh-CN"/>
              </w:rPr>
              <w:t>运输污染控制要求</w:t>
            </w:r>
          </w:p>
        </w:tc>
        <w:tc>
          <w:tcPr>
            <w:tcW w:w="2262" w:type="pct"/>
            <w:tcBorders>
              <w:top w:val="single" w:color="auto" w:sz="4" w:space="0"/>
              <w:left w:val="single" w:color="auto" w:sz="4" w:space="0"/>
              <w:right w:val="single" w:color="auto" w:sz="4" w:space="0"/>
              <w:tl2br w:val="nil"/>
              <w:tr2bl w:val="nil"/>
            </w:tcBorders>
            <w:vAlign w:val="center"/>
          </w:tcPr>
          <w:p w14:paraId="744D6AA5">
            <w:pPr>
              <w:pStyle w:val="55"/>
              <w:bidi w:val="0"/>
              <w:jc w:val="both"/>
              <w:rPr>
                <w:rFonts w:hint="default"/>
                <w:sz w:val="24"/>
                <w:szCs w:val="24"/>
                <w:lang w:val="zh-CN" w:eastAsia="zh-CN"/>
              </w:rPr>
            </w:pPr>
            <w:r>
              <w:rPr>
                <w:rFonts w:hint="default"/>
                <w:sz w:val="24"/>
                <w:szCs w:val="24"/>
                <w:lang w:val="zh-CN" w:eastAsia="zh-CN"/>
              </w:rPr>
              <w:t>废塑料及其预处理产物的装卸及运输过程中，应采取必要的防扬散、防渗漏措施，应保持运输车辆的洁净，避免二次污染。</w:t>
            </w:r>
          </w:p>
        </w:tc>
        <w:tc>
          <w:tcPr>
            <w:tcW w:w="1611" w:type="pct"/>
            <w:gridSpan w:val="2"/>
            <w:tcBorders>
              <w:top w:val="single" w:color="auto" w:sz="4" w:space="0"/>
              <w:left w:val="single" w:color="auto" w:sz="4" w:space="0"/>
              <w:right w:val="single" w:color="auto" w:sz="4" w:space="0"/>
              <w:tl2br w:val="nil"/>
              <w:tr2bl w:val="nil"/>
            </w:tcBorders>
            <w:vAlign w:val="center"/>
          </w:tcPr>
          <w:p w14:paraId="17B2C199">
            <w:pPr>
              <w:pStyle w:val="55"/>
              <w:bidi w:val="0"/>
              <w:jc w:val="both"/>
              <w:rPr>
                <w:rFonts w:hint="default"/>
                <w:sz w:val="24"/>
                <w:szCs w:val="24"/>
                <w:lang w:val="zh-CN" w:eastAsia="zh-CN"/>
              </w:rPr>
            </w:pPr>
            <w:r>
              <w:rPr>
                <w:rFonts w:hint="default"/>
                <w:sz w:val="24"/>
                <w:szCs w:val="24"/>
                <w:lang w:val="zh-CN" w:eastAsia="zh-CN"/>
              </w:rPr>
              <w:t>项目废塑料包装物完整并按要求做好标识，同时达到防扬散、防渗漏的运输规范。</w:t>
            </w:r>
          </w:p>
        </w:tc>
        <w:tc>
          <w:tcPr>
            <w:tcW w:w="481" w:type="pct"/>
            <w:tcBorders>
              <w:top w:val="single" w:color="auto" w:sz="4" w:space="0"/>
              <w:left w:val="single" w:color="auto" w:sz="4" w:space="0"/>
              <w:tl2br w:val="nil"/>
              <w:tr2bl w:val="nil"/>
            </w:tcBorders>
            <w:vAlign w:val="center"/>
          </w:tcPr>
          <w:p w14:paraId="05CD6F33">
            <w:pPr>
              <w:pStyle w:val="55"/>
              <w:bidi w:val="0"/>
              <w:rPr>
                <w:rFonts w:hint="default"/>
                <w:sz w:val="24"/>
                <w:szCs w:val="24"/>
                <w:lang w:val="zh-CN"/>
              </w:rPr>
            </w:pPr>
            <w:r>
              <w:rPr>
                <w:rFonts w:hint="default"/>
                <w:sz w:val="24"/>
                <w:szCs w:val="24"/>
                <w:lang w:val="en-US"/>
              </w:rPr>
              <w:t>符合</w:t>
            </w:r>
          </w:p>
        </w:tc>
      </w:tr>
      <w:tr w14:paraId="1C1C1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645" w:type="pct"/>
            <w:vMerge w:val="restart"/>
            <w:tcBorders>
              <w:right w:val="single" w:color="auto" w:sz="4" w:space="0"/>
              <w:tl2br w:val="nil"/>
              <w:tr2bl w:val="nil"/>
            </w:tcBorders>
            <w:vAlign w:val="center"/>
          </w:tcPr>
          <w:p w14:paraId="4FD6B8AD">
            <w:pPr>
              <w:pStyle w:val="55"/>
              <w:bidi w:val="0"/>
              <w:rPr>
                <w:rFonts w:hint="default"/>
                <w:sz w:val="24"/>
                <w:szCs w:val="24"/>
                <w:lang w:val="zh-CN"/>
              </w:rPr>
            </w:pPr>
            <w:r>
              <w:rPr>
                <w:rFonts w:hint="default"/>
                <w:sz w:val="24"/>
                <w:szCs w:val="24"/>
                <w:lang w:val="zh-CN"/>
              </w:rPr>
              <w:t>预处理污染控制要求</w:t>
            </w:r>
          </w:p>
        </w:tc>
        <w:tc>
          <w:tcPr>
            <w:tcW w:w="2262" w:type="pct"/>
            <w:tcBorders>
              <w:left w:val="single" w:color="auto" w:sz="4" w:space="0"/>
              <w:right w:val="single" w:color="auto" w:sz="4" w:space="0"/>
              <w:tl2br w:val="nil"/>
              <w:tr2bl w:val="nil"/>
            </w:tcBorders>
            <w:shd w:val="clear" w:color="auto" w:fill="auto"/>
            <w:vAlign w:val="center"/>
          </w:tcPr>
          <w:p w14:paraId="35824443">
            <w:pPr>
              <w:pStyle w:val="55"/>
              <w:bidi w:val="0"/>
              <w:jc w:val="both"/>
              <w:rPr>
                <w:rFonts w:hint="default" w:ascii="Times New Roman" w:hAnsi="Times New Roman" w:eastAsia="楷体" w:cstheme="minorBidi"/>
                <w:snapToGrid w:val="0"/>
                <w:kern w:val="0"/>
                <w:sz w:val="24"/>
                <w:szCs w:val="24"/>
                <w:lang w:val="zh-CN" w:eastAsia="zh-CN" w:bidi="ar-SA"/>
              </w:rPr>
            </w:pPr>
            <w:r>
              <w:rPr>
                <w:rFonts w:hint="default"/>
                <w:sz w:val="24"/>
                <w:szCs w:val="24"/>
                <w:lang w:val="zh-CN" w:eastAsia="zh-CN"/>
              </w:rPr>
              <w:t>废塑料的破碎方法可分为干法破碎和湿法破碎。使用干法破碎时，应配备相应的防尘、防噪声设备。使用湿法破碎时，应有配套的污水收集和处理设施。</w:t>
            </w:r>
          </w:p>
        </w:tc>
        <w:tc>
          <w:tcPr>
            <w:tcW w:w="1611" w:type="pct"/>
            <w:gridSpan w:val="2"/>
            <w:tcBorders>
              <w:left w:val="single" w:color="auto" w:sz="4" w:space="0"/>
              <w:right w:val="single" w:color="auto" w:sz="4" w:space="0"/>
              <w:tl2br w:val="nil"/>
              <w:tr2bl w:val="nil"/>
            </w:tcBorders>
            <w:shd w:val="clear" w:color="auto" w:fill="auto"/>
            <w:vAlign w:val="center"/>
          </w:tcPr>
          <w:p w14:paraId="467D7BCC">
            <w:pPr>
              <w:pStyle w:val="55"/>
              <w:bidi w:val="0"/>
              <w:jc w:val="both"/>
              <w:rPr>
                <w:rFonts w:hint="default" w:ascii="Times New Roman" w:hAnsi="Times New Roman" w:eastAsia="楷体" w:cstheme="minorBidi"/>
                <w:snapToGrid w:val="0"/>
                <w:kern w:val="0"/>
                <w:sz w:val="24"/>
                <w:szCs w:val="24"/>
                <w:lang w:val="en-US" w:eastAsia="zh-CN" w:bidi="ar-SA"/>
              </w:rPr>
            </w:pPr>
            <w:r>
              <w:rPr>
                <w:rFonts w:hint="default"/>
                <w:sz w:val="24"/>
                <w:szCs w:val="24"/>
                <w:lang w:val="zh-CN" w:eastAsia="zh-CN"/>
              </w:rPr>
              <w:t>项目采用</w:t>
            </w:r>
            <w:r>
              <w:rPr>
                <w:rFonts w:hint="default"/>
                <w:sz w:val="24"/>
                <w:szCs w:val="24"/>
                <w:lang w:val="en-US" w:eastAsia="zh-CN"/>
              </w:rPr>
              <w:t>湿法</w:t>
            </w:r>
            <w:r>
              <w:rPr>
                <w:rFonts w:hint="default"/>
                <w:sz w:val="24"/>
                <w:szCs w:val="24"/>
                <w:lang w:val="zh-CN" w:eastAsia="zh-CN"/>
              </w:rPr>
              <w:t>破碎工艺，</w:t>
            </w:r>
            <w:r>
              <w:rPr>
                <w:rFonts w:hint="eastAsia"/>
                <w:sz w:val="24"/>
                <w:szCs w:val="24"/>
                <w:lang w:val="en-US" w:eastAsia="zh-CN"/>
              </w:rPr>
              <w:t>废水经沉淀池处理后循环利用。</w:t>
            </w:r>
          </w:p>
        </w:tc>
        <w:tc>
          <w:tcPr>
            <w:tcW w:w="481" w:type="pct"/>
            <w:tcBorders>
              <w:left w:val="single" w:color="auto" w:sz="4" w:space="0"/>
              <w:tl2br w:val="nil"/>
              <w:tr2bl w:val="nil"/>
            </w:tcBorders>
            <w:shd w:val="clear" w:color="auto" w:fill="auto"/>
            <w:vAlign w:val="center"/>
          </w:tcPr>
          <w:p w14:paraId="28A791B3">
            <w:pPr>
              <w:pStyle w:val="55"/>
              <w:bidi w:val="0"/>
              <w:rPr>
                <w:rFonts w:hint="default" w:ascii="Times New Roman" w:hAnsi="Times New Roman" w:eastAsia="楷体" w:cstheme="minorBidi"/>
                <w:snapToGrid w:val="0"/>
                <w:kern w:val="0"/>
                <w:sz w:val="24"/>
                <w:szCs w:val="24"/>
                <w:lang w:val="zh-CN" w:eastAsia="zh-CN" w:bidi="ar-SA"/>
              </w:rPr>
            </w:pPr>
            <w:r>
              <w:rPr>
                <w:rFonts w:hint="default"/>
                <w:sz w:val="24"/>
                <w:szCs w:val="24"/>
                <w:lang w:val="en-US"/>
              </w:rPr>
              <w:t>符合</w:t>
            </w:r>
          </w:p>
        </w:tc>
      </w:tr>
      <w:tr w14:paraId="3CE03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645" w:type="pct"/>
            <w:vMerge w:val="continue"/>
            <w:tcBorders>
              <w:right w:val="single" w:color="auto" w:sz="4" w:space="0"/>
              <w:tl2br w:val="nil"/>
              <w:tr2bl w:val="nil"/>
            </w:tcBorders>
            <w:vAlign w:val="center"/>
          </w:tcPr>
          <w:p w14:paraId="522299A0">
            <w:pPr>
              <w:pStyle w:val="55"/>
              <w:bidi w:val="0"/>
              <w:rPr>
                <w:rFonts w:hint="default"/>
                <w:sz w:val="24"/>
                <w:szCs w:val="24"/>
                <w:lang w:val="zh-CN"/>
              </w:rPr>
            </w:pPr>
          </w:p>
        </w:tc>
        <w:tc>
          <w:tcPr>
            <w:tcW w:w="2262" w:type="pct"/>
            <w:tcBorders>
              <w:tl2br w:val="nil"/>
              <w:tr2bl w:val="nil"/>
            </w:tcBorders>
            <w:shd w:val="clear" w:color="auto" w:fill="auto"/>
            <w:vAlign w:val="center"/>
          </w:tcPr>
          <w:p w14:paraId="258BC4CC">
            <w:pPr>
              <w:pStyle w:val="55"/>
              <w:bidi w:val="0"/>
              <w:jc w:val="both"/>
              <w:rPr>
                <w:rFonts w:hint="default" w:ascii="Times New Roman" w:hAnsi="Times New Roman" w:eastAsia="楷体" w:cstheme="minorBidi"/>
                <w:snapToGrid w:val="0"/>
                <w:kern w:val="0"/>
                <w:sz w:val="24"/>
                <w:szCs w:val="24"/>
                <w:lang w:val="zh-CN" w:eastAsia="zh-CN" w:bidi="ar-SA"/>
              </w:rPr>
            </w:pPr>
            <w:r>
              <w:rPr>
                <w:rFonts w:hint="default"/>
                <w:sz w:val="24"/>
                <w:szCs w:val="24"/>
                <w:lang w:val="zh-CN" w:eastAsia="zh-CN"/>
              </w:rPr>
              <w:t>宜采用节水的自动化清洗技术，宜采用无磷清洗剂或其他绿色清洗剂，不得使用有毒有害的清洗剂。应根据清洗废水中污染物的种类和浓度，配备相应的废水收集和处理设施，清洗废水处理后宜循环使用。</w:t>
            </w:r>
          </w:p>
        </w:tc>
        <w:tc>
          <w:tcPr>
            <w:tcW w:w="1611" w:type="pct"/>
            <w:gridSpan w:val="2"/>
            <w:tcBorders>
              <w:tl2br w:val="nil"/>
              <w:tr2bl w:val="nil"/>
            </w:tcBorders>
            <w:shd w:val="clear" w:color="auto" w:fill="auto"/>
            <w:vAlign w:val="center"/>
          </w:tcPr>
          <w:p w14:paraId="6F5D483D">
            <w:pPr>
              <w:pStyle w:val="55"/>
              <w:bidi w:val="0"/>
              <w:jc w:val="both"/>
              <w:rPr>
                <w:rFonts w:hint="default" w:ascii="Times New Roman" w:hAnsi="Times New Roman" w:eastAsia="楷体" w:cstheme="minorBidi"/>
                <w:snapToGrid w:val="0"/>
                <w:kern w:val="0"/>
                <w:sz w:val="24"/>
                <w:szCs w:val="24"/>
                <w:lang w:val="zh-CN" w:eastAsia="zh-CN" w:bidi="ar-SA"/>
              </w:rPr>
            </w:pPr>
            <w:r>
              <w:rPr>
                <w:rFonts w:hint="default"/>
                <w:sz w:val="24"/>
                <w:szCs w:val="24"/>
                <w:lang w:val="zh-CN" w:eastAsia="zh-CN"/>
              </w:rPr>
              <w:t>项目采取机械清洗方式，自动化程度高，清洗废水</w:t>
            </w:r>
            <w:r>
              <w:rPr>
                <w:rFonts w:hint="default"/>
                <w:sz w:val="24"/>
                <w:szCs w:val="24"/>
                <w:lang w:val="en-US" w:eastAsia="zh-CN"/>
              </w:rPr>
              <w:t>经</w:t>
            </w:r>
            <w:r>
              <w:rPr>
                <w:rFonts w:hint="eastAsia"/>
                <w:sz w:val="24"/>
                <w:szCs w:val="24"/>
                <w:lang w:val="en-US" w:eastAsia="zh-CN"/>
              </w:rPr>
              <w:t>沉淀池</w:t>
            </w:r>
            <w:r>
              <w:rPr>
                <w:rFonts w:hint="default"/>
                <w:sz w:val="24"/>
                <w:szCs w:val="24"/>
                <w:lang w:val="zh-CN" w:eastAsia="zh-CN"/>
              </w:rPr>
              <w:t>处理后循环利用</w:t>
            </w:r>
            <w:r>
              <w:rPr>
                <w:rFonts w:hint="eastAsia"/>
                <w:sz w:val="24"/>
                <w:szCs w:val="24"/>
                <w:lang w:val="zh-CN" w:eastAsia="zh-CN"/>
              </w:rPr>
              <w:t>；</w:t>
            </w:r>
            <w:r>
              <w:rPr>
                <w:rFonts w:hint="default"/>
                <w:sz w:val="24"/>
                <w:szCs w:val="24"/>
                <w:lang w:val="zh-CN" w:eastAsia="zh-CN"/>
              </w:rPr>
              <w:t>清洗工序不使用清洗剂。</w:t>
            </w:r>
          </w:p>
        </w:tc>
        <w:tc>
          <w:tcPr>
            <w:tcW w:w="481" w:type="pct"/>
            <w:tcBorders>
              <w:tl2br w:val="nil"/>
              <w:tr2bl w:val="nil"/>
            </w:tcBorders>
            <w:shd w:val="clear" w:color="auto" w:fill="auto"/>
            <w:vAlign w:val="center"/>
          </w:tcPr>
          <w:p w14:paraId="0E224B1B">
            <w:pPr>
              <w:pStyle w:val="55"/>
              <w:bidi w:val="0"/>
              <w:rPr>
                <w:rFonts w:hint="default"/>
                <w:sz w:val="24"/>
                <w:szCs w:val="24"/>
                <w:lang w:val="zh-CN"/>
              </w:rPr>
            </w:pPr>
          </w:p>
          <w:p w14:paraId="1E3BAD25">
            <w:pPr>
              <w:pStyle w:val="55"/>
              <w:bidi w:val="0"/>
              <w:rPr>
                <w:rFonts w:hint="default" w:ascii="Times New Roman" w:hAnsi="Times New Roman" w:eastAsia="楷体" w:cstheme="minorBidi"/>
                <w:snapToGrid w:val="0"/>
                <w:kern w:val="0"/>
                <w:sz w:val="24"/>
                <w:szCs w:val="24"/>
                <w:lang w:val="zh-CN" w:eastAsia="zh-CN" w:bidi="ar-SA"/>
              </w:rPr>
            </w:pPr>
            <w:r>
              <w:rPr>
                <w:rFonts w:hint="default"/>
                <w:sz w:val="24"/>
                <w:szCs w:val="24"/>
                <w:lang w:val="en-US"/>
              </w:rPr>
              <w:t>符合</w:t>
            </w:r>
          </w:p>
        </w:tc>
      </w:tr>
      <w:tr w14:paraId="03D5E3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645" w:type="pct"/>
            <w:vMerge w:val="restart"/>
            <w:tcBorders>
              <w:right w:val="single" w:color="auto" w:sz="4" w:space="0"/>
              <w:tl2br w:val="nil"/>
              <w:tr2bl w:val="nil"/>
            </w:tcBorders>
            <w:vAlign w:val="center"/>
          </w:tcPr>
          <w:p w14:paraId="106088D6">
            <w:pPr>
              <w:pStyle w:val="55"/>
              <w:bidi w:val="0"/>
              <w:rPr>
                <w:rFonts w:hint="default"/>
                <w:sz w:val="24"/>
                <w:szCs w:val="24"/>
                <w:lang w:val="zh-CN"/>
              </w:rPr>
            </w:pPr>
            <w:r>
              <w:rPr>
                <w:rFonts w:hint="default"/>
                <w:sz w:val="24"/>
                <w:szCs w:val="24"/>
                <w:lang w:val="zh-CN"/>
              </w:rPr>
              <w:t>再生利用和处置污染控制要求</w:t>
            </w:r>
          </w:p>
        </w:tc>
        <w:tc>
          <w:tcPr>
            <w:tcW w:w="2262" w:type="pct"/>
            <w:tcBorders>
              <w:left w:val="single" w:color="auto" w:sz="4" w:space="0"/>
              <w:right w:val="single" w:color="auto" w:sz="4" w:space="0"/>
              <w:tl2br w:val="nil"/>
              <w:tr2bl w:val="nil"/>
            </w:tcBorders>
            <w:vAlign w:val="center"/>
          </w:tcPr>
          <w:p w14:paraId="07FD6648">
            <w:pPr>
              <w:pStyle w:val="55"/>
              <w:bidi w:val="0"/>
              <w:jc w:val="both"/>
              <w:rPr>
                <w:rFonts w:hint="default"/>
                <w:sz w:val="24"/>
                <w:szCs w:val="24"/>
                <w:lang w:val="zh-CN" w:eastAsia="zh-CN"/>
              </w:rPr>
            </w:pPr>
            <w:r>
              <w:rPr>
                <w:rFonts w:hint="default"/>
                <w:sz w:val="24"/>
                <w:szCs w:val="24"/>
                <w:lang w:val="zh-CN" w:eastAsia="zh-CN"/>
              </w:rPr>
              <w:t>（</w:t>
            </w:r>
            <w:r>
              <w:rPr>
                <w:rFonts w:hint="default"/>
                <w:sz w:val="24"/>
                <w:szCs w:val="24"/>
                <w:lang w:val="en-US" w:eastAsia="zh-CN"/>
              </w:rPr>
              <w:t>1</w:t>
            </w:r>
            <w:r>
              <w:rPr>
                <w:rFonts w:hint="default"/>
                <w:sz w:val="24"/>
                <w:szCs w:val="24"/>
                <w:lang w:val="zh-CN" w:eastAsia="zh-CN"/>
              </w:rPr>
              <w:t>）应根据废塑料再生利用过程产生的废水中污染物种类和浓度，配备相应的废水收集和处理设施，处理后的废水宜进行循环使用，排放的废水应根据出水受纳水体功能要求或纳管要求，执行国家和地方相关排放标准，重点控制的污染物指标包括化学需氧量、悬浮物、pH值、色度、石油类、可吸附有机卤化物等。</w:t>
            </w:r>
          </w:p>
          <w:p w14:paraId="7CD25890">
            <w:pPr>
              <w:pStyle w:val="55"/>
              <w:bidi w:val="0"/>
              <w:jc w:val="both"/>
              <w:rPr>
                <w:rFonts w:hint="default"/>
                <w:sz w:val="24"/>
                <w:szCs w:val="24"/>
                <w:lang w:val="zh-CN" w:eastAsia="zh-CN"/>
              </w:rPr>
            </w:pPr>
            <w:r>
              <w:rPr>
                <w:rFonts w:hint="default"/>
                <w:sz w:val="24"/>
                <w:szCs w:val="24"/>
                <w:lang w:val="zh-CN" w:eastAsia="zh-CN"/>
              </w:rPr>
              <w:t>（</w:t>
            </w:r>
            <w:r>
              <w:rPr>
                <w:rFonts w:hint="default"/>
                <w:sz w:val="24"/>
                <w:szCs w:val="24"/>
                <w:lang w:val="en-US" w:eastAsia="zh-CN"/>
              </w:rPr>
              <w:t>2</w:t>
            </w:r>
            <w:r>
              <w:rPr>
                <w:rFonts w:hint="default"/>
                <w:sz w:val="24"/>
                <w:szCs w:val="24"/>
                <w:lang w:val="zh-CN" w:eastAsia="zh-CN"/>
              </w:rPr>
              <w:t>）应收集并处理废塑料再生利用过程中产生的废气，大气污染物排放应符合GB31572或GB16297、GB37822等标准的规定，恶臭污染物排放应符合GB14554的规定。</w:t>
            </w:r>
          </w:p>
          <w:p w14:paraId="62E0EC02">
            <w:pPr>
              <w:pStyle w:val="55"/>
              <w:bidi w:val="0"/>
              <w:jc w:val="both"/>
              <w:rPr>
                <w:rFonts w:hint="default"/>
                <w:sz w:val="24"/>
                <w:szCs w:val="24"/>
                <w:lang w:val="zh-CN" w:eastAsia="zh-CN"/>
              </w:rPr>
            </w:pPr>
            <w:r>
              <w:rPr>
                <w:rFonts w:hint="default"/>
                <w:sz w:val="24"/>
                <w:szCs w:val="24"/>
                <w:lang w:val="zh-CN" w:eastAsia="zh-CN"/>
              </w:rPr>
              <w:t>（</w:t>
            </w:r>
            <w:r>
              <w:rPr>
                <w:rFonts w:hint="default"/>
                <w:sz w:val="24"/>
                <w:szCs w:val="24"/>
                <w:lang w:val="en-US" w:eastAsia="zh-CN"/>
              </w:rPr>
              <w:t>3</w:t>
            </w:r>
            <w:r>
              <w:rPr>
                <w:rFonts w:hint="default"/>
                <w:sz w:val="24"/>
                <w:szCs w:val="24"/>
                <w:lang w:val="zh-CN" w:eastAsia="zh-CN"/>
              </w:rPr>
              <w:t>）废塑料再生利用过程中应控制噪声污染，噪声排放应符合GB12348的规定。</w:t>
            </w:r>
          </w:p>
          <w:p w14:paraId="2B804748">
            <w:pPr>
              <w:pStyle w:val="55"/>
              <w:bidi w:val="0"/>
              <w:jc w:val="both"/>
              <w:rPr>
                <w:rFonts w:hint="default"/>
                <w:sz w:val="24"/>
                <w:szCs w:val="24"/>
                <w:lang w:val="zh-CN"/>
              </w:rPr>
            </w:pPr>
            <w:r>
              <w:rPr>
                <w:rFonts w:hint="default"/>
                <w:sz w:val="24"/>
                <w:szCs w:val="24"/>
                <w:lang w:val="zh-CN" w:eastAsia="zh-CN"/>
              </w:rPr>
              <w:t>（4）再生塑料制品或材料在生产过程中不得使用全氯氟烃作发泡剂；制造人体接触的再生塑料制品或材料时，不得添加有毒有害的化学助剂。</w:t>
            </w:r>
          </w:p>
        </w:tc>
        <w:tc>
          <w:tcPr>
            <w:tcW w:w="1599" w:type="pct"/>
            <w:tcBorders>
              <w:left w:val="single" w:color="auto" w:sz="4" w:space="0"/>
              <w:right w:val="single" w:color="auto" w:sz="4" w:space="0"/>
              <w:tl2br w:val="nil"/>
              <w:tr2bl w:val="nil"/>
            </w:tcBorders>
            <w:shd w:val="clear" w:color="auto" w:fill="auto"/>
            <w:vAlign w:val="center"/>
          </w:tcPr>
          <w:p w14:paraId="75D8FF9B">
            <w:pPr>
              <w:pStyle w:val="55"/>
              <w:bidi w:val="0"/>
              <w:jc w:val="both"/>
              <w:rPr>
                <w:rFonts w:hint="default"/>
                <w:sz w:val="24"/>
                <w:szCs w:val="24"/>
                <w:lang w:val="zh-CN" w:eastAsia="zh-CN"/>
              </w:rPr>
            </w:pPr>
            <w:r>
              <w:rPr>
                <w:rFonts w:hint="default"/>
                <w:sz w:val="24"/>
                <w:szCs w:val="24"/>
                <w:lang w:val="zh-CN" w:eastAsia="zh-CN"/>
              </w:rPr>
              <w:t>（</w:t>
            </w:r>
            <w:r>
              <w:rPr>
                <w:rFonts w:hint="default"/>
                <w:sz w:val="24"/>
                <w:szCs w:val="24"/>
                <w:lang w:val="en-US" w:eastAsia="zh-CN"/>
              </w:rPr>
              <w:t>1</w:t>
            </w:r>
            <w:r>
              <w:rPr>
                <w:rFonts w:hint="default"/>
                <w:sz w:val="24"/>
                <w:szCs w:val="24"/>
                <w:lang w:val="zh-CN" w:eastAsia="zh-CN"/>
              </w:rPr>
              <w:t>）</w:t>
            </w:r>
            <w:r>
              <w:rPr>
                <w:rFonts w:hint="eastAsia"/>
                <w:sz w:val="24"/>
                <w:szCs w:val="24"/>
                <w:lang w:val="en-US" w:eastAsia="zh-CN"/>
              </w:rPr>
              <w:t>项目生产废水经沉淀池处理后循环使用</w:t>
            </w:r>
            <w:r>
              <w:rPr>
                <w:rFonts w:hint="default"/>
                <w:sz w:val="24"/>
                <w:szCs w:val="24"/>
                <w:lang w:val="zh-CN" w:eastAsia="zh-CN"/>
              </w:rPr>
              <w:t>。</w:t>
            </w:r>
          </w:p>
          <w:p w14:paraId="3708DEF9">
            <w:pPr>
              <w:pStyle w:val="55"/>
              <w:bidi w:val="0"/>
              <w:jc w:val="both"/>
              <w:rPr>
                <w:rFonts w:hint="default"/>
                <w:sz w:val="24"/>
                <w:szCs w:val="24"/>
                <w:lang w:val="zh-CN" w:eastAsia="zh-CN"/>
              </w:rPr>
            </w:pPr>
            <w:r>
              <w:rPr>
                <w:rFonts w:hint="default"/>
                <w:sz w:val="24"/>
                <w:szCs w:val="24"/>
                <w:lang w:val="zh-CN" w:eastAsia="zh-CN"/>
              </w:rPr>
              <w:t>（</w:t>
            </w:r>
            <w:r>
              <w:rPr>
                <w:rFonts w:hint="default"/>
                <w:sz w:val="24"/>
                <w:szCs w:val="24"/>
                <w:lang w:val="en-US" w:eastAsia="zh-CN"/>
              </w:rPr>
              <w:t>2</w:t>
            </w:r>
            <w:r>
              <w:rPr>
                <w:rFonts w:hint="default"/>
                <w:sz w:val="24"/>
                <w:szCs w:val="24"/>
                <w:lang w:val="zh-CN" w:eastAsia="zh-CN"/>
              </w:rPr>
              <w:t>）项目废气主要为颗粒物、非甲烷总烃、HCL、臭气浓度，废气经集气罩收集，引入“布袋除尘器+两级活性炭吸附装置”处理后，由15m高排气筒</w:t>
            </w:r>
            <w:r>
              <w:rPr>
                <w:rFonts w:hint="eastAsia"/>
                <w:sz w:val="24"/>
                <w:szCs w:val="24"/>
                <w:lang w:val="en-US" w:eastAsia="zh-CN"/>
              </w:rPr>
              <w:t>达标</w:t>
            </w:r>
            <w:r>
              <w:rPr>
                <w:rFonts w:hint="default"/>
                <w:sz w:val="24"/>
                <w:szCs w:val="24"/>
                <w:lang w:val="zh-CN" w:eastAsia="zh-CN"/>
              </w:rPr>
              <w:t>排放</w:t>
            </w:r>
            <w:r>
              <w:rPr>
                <w:rFonts w:hint="eastAsia"/>
                <w:sz w:val="24"/>
                <w:szCs w:val="24"/>
                <w:lang w:val="zh-CN" w:eastAsia="zh-CN"/>
              </w:rPr>
              <w:t>。</w:t>
            </w:r>
          </w:p>
          <w:p w14:paraId="246BB869">
            <w:pPr>
              <w:pStyle w:val="55"/>
              <w:bidi w:val="0"/>
              <w:jc w:val="both"/>
              <w:rPr>
                <w:rFonts w:hint="default"/>
                <w:sz w:val="24"/>
                <w:szCs w:val="24"/>
                <w:lang w:val="zh-CN" w:eastAsia="zh-CN"/>
              </w:rPr>
            </w:pPr>
            <w:r>
              <w:rPr>
                <w:rFonts w:hint="default"/>
                <w:sz w:val="24"/>
                <w:szCs w:val="24"/>
                <w:lang w:val="zh-CN" w:eastAsia="zh-CN"/>
              </w:rPr>
              <w:t>（</w:t>
            </w:r>
            <w:r>
              <w:rPr>
                <w:rFonts w:hint="default"/>
                <w:sz w:val="24"/>
                <w:szCs w:val="24"/>
                <w:lang w:val="en-US" w:eastAsia="zh-CN"/>
              </w:rPr>
              <w:t>3</w:t>
            </w:r>
            <w:r>
              <w:rPr>
                <w:rFonts w:hint="default"/>
                <w:sz w:val="24"/>
                <w:szCs w:val="24"/>
                <w:lang w:val="zh-CN" w:eastAsia="zh-CN"/>
              </w:rPr>
              <w:t>）项目噪声经减振、隔声、距离衰减后，各厂界噪声均满足《工业企业厂界环境噪声排放标准》（GB12348-2008）</w:t>
            </w:r>
            <w:r>
              <w:rPr>
                <w:rFonts w:hint="eastAsia"/>
                <w:sz w:val="24"/>
                <w:szCs w:val="24"/>
                <w:lang w:val="en-US" w:eastAsia="zh-CN"/>
              </w:rPr>
              <w:t>2</w:t>
            </w:r>
            <w:r>
              <w:rPr>
                <w:rFonts w:hint="default"/>
                <w:sz w:val="24"/>
                <w:szCs w:val="24"/>
                <w:lang w:val="zh-CN" w:eastAsia="zh-CN"/>
              </w:rPr>
              <w:t>类标准。</w:t>
            </w:r>
          </w:p>
          <w:p w14:paraId="20D0FBA7">
            <w:pPr>
              <w:pStyle w:val="55"/>
              <w:bidi w:val="0"/>
              <w:jc w:val="both"/>
              <w:rPr>
                <w:rFonts w:hint="default" w:ascii="Times New Roman" w:hAnsi="Times New Roman" w:eastAsia="楷体" w:cstheme="minorBidi"/>
                <w:snapToGrid w:val="0"/>
                <w:kern w:val="0"/>
                <w:sz w:val="24"/>
                <w:szCs w:val="24"/>
                <w:lang w:val="zh-CN" w:eastAsia="zh-CN" w:bidi="ar-SA"/>
              </w:rPr>
            </w:pPr>
            <w:r>
              <w:rPr>
                <w:rFonts w:hint="default"/>
                <w:sz w:val="24"/>
                <w:szCs w:val="24"/>
                <w:lang w:val="zh-CN" w:eastAsia="zh-CN"/>
              </w:rPr>
              <w:t>（</w:t>
            </w:r>
            <w:r>
              <w:rPr>
                <w:rFonts w:hint="default"/>
                <w:sz w:val="24"/>
                <w:szCs w:val="24"/>
                <w:lang w:val="en-US" w:eastAsia="zh-CN"/>
              </w:rPr>
              <w:t>4</w:t>
            </w:r>
            <w:r>
              <w:rPr>
                <w:rFonts w:hint="default"/>
                <w:sz w:val="24"/>
                <w:szCs w:val="24"/>
                <w:lang w:val="zh-CN" w:eastAsia="zh-CN"/>
              </w:rPr>
              <w:t>）项目回收原料为废旧PVC塑料，不添加有毒有害的化学助剂。</w:t>
            </w:r>
          </w:p>
        </w:tc>
        <w:tc>
          <w:tcPr>
            <w:tcW w:w="493" w:type="pct"/>
            <w:gridSpan w:val="2"/>
            <w:tcBorders>
              <w:left w:val="single" w:color="auto" w:sz="4" w:space="0"/>
              <w:tl2br w:val="nil"/>
              <w:tr2bl w:val="nil"/>
            </w:tcBorders>
            <w:shd w:val="clear" w:color="auto" w:fill="auto"/>
            <w:vAlign w:val="center"/>
          </w:tcPr>
          <w:p w14:paraId="34C8FCA4">
            <w:pPr>
              <w:pStyle w:val="55"/>
              <w:bidi w:val="0"/>
              <w:rPr>
                <w:rFonts w:hint="default" w:ascii="Times New Roman" w:hAnsi="Times New Roman" w:eastAsia="楷体" w:cstheme="minorBidi"/>
                <w:snapToGrid w:val="0"/>
                <w:kern w:val="0"/>
                <w:sz w:val="24"/>
                <w:szCs w:val="24"/>
                <w:lang w:val="zh-CN" w:eastAsia="zh-CN" w:bidi="ar-SA"/>
              </w:rPr>
            </w:pPr>
            <w:r>
              <w:rPr>
                <w:rFonts w:hint="default"/>
                <w:sz w:val="24"/>
                <w:szCs w:val="24"/>
                <w:lang w:val="en-US"/>
              </w:rPr>
              <w:t>符合</w:t>
            </w:r>
          </w:p>
        </w:tc>
      </w:tr>
      <w:tr w14:paraId="7A4C67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645" w:type="pct"/>
            <w:vMerge w:val="continue"/>
            <w:tcBorders>
              <w:right w:val="single" w:color="auto" w:sz="4" w:space="0"/>
              <w:tl2br w:val="nil"/>
              <w:tr2bl w:val="nil"/>
            </w:tcBorders>
            <w:vAlign w:val="center"/>
          </w:tcPr>
          <w:p w14:paraId="6129B3C9">
            <w:pPr>
              <w:pStyle w:val="55"/>
              <w:bidi w:val="0"/>
              <w:rPr>
                <w:rFonts w:hint="default"/>
                <w:sz w:val="24"/>
                <w:szCs w:val="24"/>
                <w:lang w:val="zh-CN"/>
              </w:rPr>
            </w:pPr>
          </w:p>
        </w:tc>
        <w:tc>
          <w:tcPr>
            <w:tcW w:w="2262" w:type="pct"/>
            <w:tcBorders>
              <w:tl2br w:val="nil"/>
              <w:tr2bl w:val="nil"/>
            </w:tcBorders>
            <w:shd w:val="clear" w:color="auto" w:fill="auto"/>
            <w:vAlign w:val="center"/>
          </w:tcPr>
          <w:p w14:paraId="072DECE4">
            <w:pPr>
              <w:pStyle w:val="55"/>
              <w:bidi w:val="0"/>
              <w:jc w:val="both"/>
              <w:rPr>
                <w:rFonts w:hint="default"/>
                <w:sz w:val="24"/>
                <w:szCs w:val="24"/>
                <w:lang w:val="zh-CN" w:eastAsia="zh-CN"/>
              </w:rPr>
            </w:pPr>
            <w:r>
              <w:rPr>
                <w:rFonts w:hint="default"/>
                <w:sz w:val="24"/>
                <w:szCs w:val="24"/>
                <w:lang w:val="zh-CN" w:eastAsia="zh-CN"/>
              </w:rPr>
              <w:t>（</w:t>
            </w:r>
            <w:r>
              <w:rPr>
                <w:rFonts w:hint="default"/>
                <w:sz w:val="24"/>
                <w:szCs w:val="24"/>
                <w:lang w:val="en-US" w:eastAsia="zh-CN"/>
              </w:rPr>
              <w:t>1</w:t>
            </w:r>
            <w:r>
              <w:rPr>
                <w:rFonts w:hint="default"/>
                <w:sz w:val="24"/>
                <w:szCs w:val="24"/>
                <w:lang w:val="zh-CN" w:eastAsia="zh-CN"/>
              </w:rPr>
              <w:t>）废塑料的物理再生工艺中，熔融造粒车间应安装废气收集及处理装置，挤出工艺的冷却废水宜循环使用。</w:t>
            </w:r>
          </w:p>
          <w:p w14:paraId="2453A018">
            <w:pPr>
              <w:pStyle w:val="55"/>
              <w:bidi w:val="0"/>
              <w:jc w:val="both"/>
              <w:rPr>
                <w:rFonts w:hint="default"/>
                <w:sz w:val="24"/>
                <w:szCs w:val="24"/>
                <w:lang w:val="zh-CN" w:eastAsia="zh-CN"/>
              </w:rPr>
            </w:pPr>
            <w:r>
              <w:rPr>
                <w:rFonts w:hint="default"/>
                <w:sz w:val="24"/>
                <w:szCs w:val="24"/>
                <w:lang w:val="zh-CN" w:eastAsia="zh-CN"/>
              </w:rPr>
              <w:t>（</w:t>
            </w:r>
            <w:r>
              <w:rPr>
                <w:rFonts w:hint="default"/>
                <w:sz w:val="24"/>
                <w:szCs w:val="24"/>
                <w:lang w:val="en-US" w:eastAsia="zh-CN"/>
              </w:rPr>
              <w:t>2</w:t>
            </w:r>
            <w:r>
              <w:rPr>
                <w:rFonts w:hint="default"/>
                <w:sz w:val="24"/>
                <w:szCs w:val="24"/>
                <w:lang w:val="zh-CN" w:eastAsia="zh-CN"/>
              </w:rPr>
              <w:t>）宜采用节能熔融造粒技术，含卤素废塑料宜采用低温熔融造粒工艺。</w:t>
            </w:r>
          </w:p>
          <w:p w14:paraId="7A9FEA68">
            <w:pPr>
              <w:pStyle w:val="55"/>
              <w:bidi w:val="0"/>
              <w:jc w:val="both"/>
              <w:rPr>
                <w:rFonts w:hint="default" w:ascii="Times New Roman" w:hAnsi="Times New Roman" w:eastAsia="楷体" w:cstheme="minorBidi"/>
                <w:snapToGrid w:val="0"/>
                <w:kern w:val="0"/>
                <w:sz w:val="24"/>
                <w:szCs w:val="24"/>
                <w:lang w:val="zh-CN" w:eastAsia="zh-CN" w:bidi="ar-SA"/>
              </w:rPr>
            </w:pPr>
            <w:r>
              <w:rPr>
                <w:rFonts w:hint="default"/>
                <w:sz w:val="24"/>
                <w:szCs w:val="24"/>
                <w:lang w:val="zh-CN" w:eastAsia="zh-CN"/>
              </w:rPr>
              <w:t>（</w:t>
            </w:r>
            <w:r>
              <w:rPr>
                <w:rFonts w:hint="default"/>
                <w:sz w:val="24"/>
                <w:szCs w:val="24"/>
                <w:lang w:val="en-US" w:eastAsia="zh-CN"/>
              </w:rPr>
              <w:t>3</w:t>
            </w:r>
            <w:r>
              <w:rPr>
                <w:rFonts w:hint="default"/>
                <w:sz w:val="24"/>
                <w:szCs w:val="24"/>
                <w:lang w:val="zh-CN" w:eastAsia="zh-CN"/>
              </w:rPr>
              <w:t>）宜使用无丝网过滤器造粒机，减少废滤网产生。采用焚烧方式处理塑料挤出机过滤网片时，应配备烟气净化装置。</w:t>
            </w:r>
          </w:p>
        </w:tc>
        <w:tc>
          <w:tcPr>
            <w:tcW w:w="1611" w:type="pct"/>
            <w:gridSpan w:val="2"/>
            <w:tcBorders>
              <w:tl2br w:val="nil"/>
              <w:tr2bl w:val="nil"/>
            </w:tcBorders>
            <w:shd w:val="clear" w:color="auto" w:fill="auto"/>
            <w:vAlign w:val="center"/>
          </w:tcPr>
          <w:p w14:paraId="13C018D8">
            <w:pPr>
              <w:pStyle w:val="55"/>
              <w:bidi w:val="0"/>
              <w:jc w:val="both"/>
              <w:rPr>
                <w:rFonts w:hint="default"/>
                <w:sz w:val="24"/>
                <w:szCs w:val="24"/>
                <w:lang w:val="zh-CN" w:eastAsia="zh-CN"/>
              </w:rPr>
            </w:pPr>
            <w:r>
              <w:rPr>
                <w:rFonts w:hint="default"/>
                <w:sz w:val="24"/>
                <w:szCs w:val="24"/>
                <w:lang w:val="zh-CN" w:eastAsia="zh-CN"/>
              </w:rPr>
              <w:t>（</w:t>
            </w:r>
            <w:r>
              <w:rPr>
                <w:rFonts w:hint="default"/>
                <w:sz w:val="24"/>
                <w:szCs w:val="24"/>
                <w:lang w:val="en-US" w:eastAsia="zh-CN"/>
              </w:rPr>
              <w:t>1</w:t>
            </w:r>
            <w:r>
              <w:rPr>
                <w:rFonts w:hint="default"/>
                <w:sz w:val="24"/>
                <w:szCs w:val="24"/>
                <w:lang w:val="zh-CN" w:eastAsia="zh-CN"/>
              </w:rPr>
              <w:t>）项目</w:t>
            </w:r>
            <w:r>
              <w:rPr>
                <w:rFonts w:hint="eastAsia"/>
                <w:sz w:val="24"/>
                <w:szCs w:val="24"/>
                <w:lang w:val="en-US" w:eastAsia="zh-CN"/>
              </w:rPr>
              <w:t>挤出</w:t>
            </w:r>
            <w:r>
              <w:rPr>
                <w:rFonts w:hint="default"/>
                <w:sz w:val="24"/>
                <w:szCs w:val="24"/>
                <w:lang w:val="zh-CN" w:eastAsia="zh-CN"/>
              </w:rPr>
              <w:t>工序有机废气采用“布袋除尘器+两级活性炭吸附装置”处理后，由15m高排气筒排放；冷却用水</w:t>
            </w:r>
            <w:r>
              <w:rPr>
                <w:rFonts w:hint="eastAsia"/>
                <w:sz w:val="24"/>
                <w:szCs w:val="24"/>
                <w:lang w:val="en-US" w:eastAsia="zh-CN"/>
              </w:rPr>
              <w:t>回用于生产不外排</w:t>
            </w:r>
            <w:r>
              <w:rPr>
                <w:rFonts w:hint="default"/>
                <w:sz w:val="24"/>
                <w:szCs w:val="24"/>
                <w:lang w:val="zh-CN" w:eastAsia="zh-CN"/>
              </w:rPr>
              <w:t>。</w:t>
            </w:r>
          </w:p>
          <w:p w14:paraId="5865455D">
            <w:pPr>
              <w:pStyle w:val="55"/>
              <w:bidi w:val="0"/>
              <w:jc w:val="both"/>
              <w:rPr>
                <w:rFonts w:hint="default"/>
                <w:sz w:val="24"/>
                <w:szCs w:val="24"/>
                <w:lang w:val="zh-CN" w:eastAsia="zh-CN"/>
              </w:rPr>
            </w:pPr>
            <w:r>
              <w:rPr>
                <w:rFonts w:hint="default"/>
                <w:sz w:val="24"/>
                <w:szCs w:val="24"/>
                <w:lang w:val="zh-CN" w:eastAsia="zh-CN"/>
              </w:rPr>
              <w:t>（</w:t>
            </w:r>
            <w:r>
              <w:rPr>
                <w:rFonts w:hint="default"/>
                <w:sz w:val="24"/>
                <w:szCs w:val="24"/>
                <w:lang w:val="en-US" w:eastAsia="zh-CN"/>
              </w:rPr>
              <w:t>2</w:t>
            </w:r>
            <w:r>
              <w:rPr>
                <w:rFonts w:hint="default"/>
                <w:sz w:val="24"/>
                <w:szCs w:val="24"/>
                <w:lang w:val="zh-CN" w:eastAsia="zh-CN"/>
              </w:rPr>
              <w:t>）项目</w:t>
            </w:r>
            <w:r>
              <w:rPr>
                <w:rFonts w:hint="default"/>
                <w:sz w:val="24"/>
                <w:szCs w:val="24"/>
                <w:lang w:val="en-US" w:eastAsia="zh-CN"/>
              </w:rPr>
              <w:t>再生</w:t>
            </w:r>
            <w:r>
              <w:rPr>
                <w:rFonts w:hint="default"/>
                <w:sz w:val="24"/>
                <w:szCs w:val="24"/>
                <w:lang w:val="zh-CN" w:eastAsia="zh-CN"/>
              </w:rPr>
              <w:t>原料为废旧PVC塑料，不涉及含卤素的废塑料。</w:t>
            </w:r>
          </w:p>
          <w:p w14:paraId="10478192">
            <w:pPr>
              <w:pStyle w:val="55"/>
              <w:bidi w:val="0"/>
              <w:jc w:val="both"/>
              <w:rPr>
                <w:rFonts w:hint="default" w:ascii="Times New Roman" w:hAnsi="Times New Roman" w:eastAsia="楷体" w:cstheme="minorBidi"/>
                <w:snapToGrid w:val="0"/>
                <w:kern w:val="0"/>
                <w:sz w:val="24"/>
                <w:szCs w:val="24"/>
                <w:lang w:val="zh-CN" w:eastAsia="zh-CN" w:bidi="ar-SA"/>
              </w:rPr>
            </w:pPr>
            <w:r>
              <w:rPr>
                <w:rFonts w:hint="default"/>
                <w:sz w:val="24"/>
                <w:szCs w:val="24"/>
                <w:lang w:val="zh-CN" w:eastAsia="zh-CN"/>
              </w:rPr>
              <w:t>（</w:t>
            </w:r>
            <w:r>
              <w:rPr>
                <w:rFonts w:hint="default"/>
                <w:sz w:val="24"/>
                <w:szCs w:val="24"/>
                <w:lang w:val="en-US" w:eastAsia="zh-CN"/>
              </w:rPr>
              <w:t>3</w:t>
            </w:r>
            <w:r>
              <w:rPr>
                <w:rFonts w:hint="default"/>
                <w:sz w:val="24"/>
                <w:szCs w:val="24"/>
                <w:lang w:val="zh-CN" w:eastAsia="zh-CN"/>
              </w:rPr>
              <w:t>）废滤网交由厂家回收处置。</w:t>
            </w:r>
          </w:p>
        </w:tc>
        <w:tc>
          <w:tcPr>
            <w:tcW w:w="481" w:type="pct"/>
            <w:tcBorders>
              <w:tl2br w:val="nil"/>
              <w:tr2bl w:val="nil"/>
            </w:tcBorders>
            <w:shd w:val="clear" w:color="auto" w:fill="auto"/>
            <w:vAlign w:val="center"/>
          </w:tcPr>
          <w:p w14:paraId="798D088F">
            <w:pPr>
              <w:pStyle w:val="55"/>
              <w:bidi w:val="0"/>
              <w:rPr>
                <w:rFonts w:hint="default" w:ascii="Times New Roman" w:hAnsi="Times New Roman" w:eastAsia="楷体" w:cstheme="minorBidi"/>
                <w:snapToGrid w:val="0"/>
                <w:kern w:val="0"/>
                <w:sz w:val="24"/>
                <w:szCs w:val="24"/>
                <w:lang w:val="zh-CN" w:eastAsia="zh-CN" w:bidi="ar-SA"/>
              </w:rPr>
            </w:pPr>
            <w:r>
              <w:rPr>
                <w:rFonts w:hint="default"/>
                <w:sz w:val="24"/>
                <w:szCs w:val="24"/>
                <w:lang w:val="en-US"/>
              </w:rPr>
              <w:t>符合</w:t>
            </w:r>
          </w:p>
        </w:tc>
      </w:tr>
      <w:tr w14:paraId="776FEB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645" w:type="pct"/>
            <w:vMerge w:val="restart"/>
            <w:tcBorders>
              <w:right w:val="single" w:color="auto" w:sz="4" w:space="0"/>
              <w:tl2br w:val="nil"/>
              <w:tr2bl w:val="nil"/>
            </w:tcBorders>
            <w:vAlign w:val="center"/>
          </w:tcPr>
          <w:p w14:paraId="444FAF3A">
            <w:pPr>
              <w:pStyle w:val="55"/>
              <w:bidi w:val="0"/>
              <w:rPr>
                <w:rFonts w:hint="default"/>
                <w:sz w:val="24"/>
                <w:szCs w:val="24"/>
                <w:lang w:val="en-US"/>
              </w:rPr>
            </w:pPr>
            <w:r>
              <w:rPr>
                <w:rFonts w:hint="default"/>
                <w:sz w:val="24"/>
                <w:szCs w:val="24"/>
                <w:lang w:val="en-US"/>
              </w:rPr>
              <w:t>运行管理</w:t>
            </w:r>
            <w:r>
              <w:rPr>
                <w:rFonts w:hint="default"/>
                <w:sz w:val="24"/>
                <w:szCs w:val="24"/>
                <w:lang w:val="zh-CN"/>
              </w:rPr>
              <w:t>要求</w:t>
            </w:r>
          </w:p>
          <w:p w14:paraId="5E51A68F">
            <w:pPr>
              <w:pStyle w:val="55"/>
              <w:bidi w:val="0"/>
              <w:rPr>
                <w:rFonts w:hint="default"/>
                <w:sz w:val="24"/>
                <w:szCs w:val="24"/>
                <w:lang w:val="en-US"/>
              </w:rPr>
            </w:pPr>
          </w:p>
        </w:tc>
        <w:tc>
          <w:tcPr>
            <w:tcW w:w="2262" w:type="pct"/>
            <w:tcBorders>
              <w:left w:val="single" w:color="auto" w:sz="4" w:space="0"/>
              <w:right w:val="single" w:color="auto" w:sz="4" w:space="0"/>
              <w:tl2br w:val="nil"/>
              <w:tr2bl w:val="nil"/>
            </w:tcBorders>
            <w:shd w:val="clear" w:color="auto" w:fill="auto"/>
            <w:vAlign w:val="center"/>
          </w:tcPr>
          <w:p w14:paraId="7ADD21AE">
            <w:pPr>
              <w:pStyle w:val="55"/>
              <w:bidi w:val="0"/>
              <w:jc w:val="both"/>
              <w:rPr>
                <w:rFonts w:hint="default"/>
                <w:sz w:val="24"/>
                <w:szCs w:val="24"/>
                <w:lang w:val="zh-CN" w:eastAsia="zh-CN"/>
              </w:rPr>
            </w:pPr>
            <w:r>
              <w:rPr>
                <w:rFonts w:hint="default"/>
                <w:sz w:val="24"/>
                <w:szCs w:val="24"/>
                <w:lang w:val="en-US" w:eastAsia="zh-CN"/>
              </w:rPr>
              <w:t>（1）废塑料的产生、收集、运输、贮存和再生利用企业，应按照GB/T19001、GB/T24001、GB/T45001等标准建立管理体系，设置专门的部门或者专（兼）职人员，负责废塑料收集和再生利用过程中的相关环境管理工作。</w:t>
            </w:r>
          </w:p>
          <w:p w14:paraId="1BDD4EB8">
            <w:pPr>
              <w:pStyle w:val="55"/>
              <w:bidi w:val="0"/>
              <w:jc w:val="both"/>
              <w:rPr>
                <w:rFonts w:hint="default"/>
                <w:sz w:val="24"/>
                <w:szCs w:val="24"/>
                <w:lang w:val="zh-CN" w:eastAsia="zh-CN"/>
              </w:rPr>
            </w:pPr>
            <w:r>
              <w:rPr>
                <w:rFonts w:hint="default"/>
                <w:sz w:val="24"/>
                <w:szCs w:val="24"/>
                <w:lang w:val="en-US" w:eastAsia="zh-CN"/>
              </w:rPr>
              <w:t>（2）废塑料的产生和再生利用企业，应按照排污许可证规定严格控制污染物排放。</w:t>
            </w:r>
          </w:p>
          <w:p w14:paraId="0EAF7987">
            <w:pPr>
              <w:pStyle w:val="55"/>
              <w:bidi w:val="0"/>
              <w:jc w:val="both"/>
              <w:rPr>
                <w:rFonts w:hint="default" w:ascii="Times New Roman" w:hAnsi="Times New Roman" w:eastAsia="楷体" w:cstheme="minorBidi"/>
                <w:snapToGrid w:val="0"/>
                <w:kern w:val="0"/>
                <w:sz w:val="24"/>
                <w:szCs w:val="24"/>
                <w:lang w:val="en-US" w:eastAsia="zh-CN" w:bidi="ar-SA"/>
              </w:rPr>
            </w:pPr>
            <w:r>
              <w:rPr>
                <w:rFonts w:hint="default"/>
                <w:sz w:val="24"/>
                <w:szCs w:val="24"/>
                <w:lang w:val="en-US" w:eastAsia="zh-CN"/>
              </w:rPr>
              <w:t>（3）废塑料的产生、收集、运输、贮存和再生利用企业，应对从业人员进行环境保护培训。</w:t>
            </w:r>
          </w:p>
        </w:tc>
        <w:tc>
          <w:tcPr>
            <w:tcW w:w="1611" w:type="pct"/>
            <w:gridSpan w:val="2"/>
            <w:tcBorders>
              <w:left w:val="single" w:color="auto" w:sz="4" w:space="0"/>
              <w:right w:val="single" w:color="auto" w:sz="4" w:space="0"/>
              <w:tl2br w:val="nil"/>
              <w:tr2bl w:val="nil"/>
            </w:tcBorders>
            <w:shd w:val="clear" w:color="auto" w:fill="auto"/>
            <w:vAlign w:val="center"/>
          </w:tcPr>
          <w:p w14:paraId="29A3D795">
            <w:pPr>
              <w:pStyle w:val="55"/>
              <w:bidi w:val="0"/>
              <w:jc w:val="both"/>
              <w:rPr>
                <w:rFonts w:hint="default"/>
                <w:sz w:val="24"/>
                <w:szCs w:val="24"/>
                <w:lang w:val="zh-CN" w:eastAsia="zh-CN"/>
              </w:rPr>
            </w:pPr>
            <w:r>
              <w:rPr>
                <w:rFonts w:hint="default"/>
                <w:sz w:val="24"/>
                <w:szCs w:val="24"/>
                <w:lang w:val="en-US" w:eastAsia="zh-CN"/>
              </w:rPr>
              <w:t>（1）项目建立管理体系，设置专职人员，负责废塑料收集和再生利用过程中的相关环境管理工作。</w:t>
            </w:r>
          </w:p>
          <w:p w14:paraId="0D1A0B60">
            <w:pPr>
              <w:pStyle w:val="55"/>
              <w:bidi w:val="0"/>
              <w:jc w:val="both"/>
              <w:rPr>
                <w:rFonts w:hint="default"/>
                <w:sz w:val="24"/>
                <w:szCs w:val="24"/>
                <w:lang w:val="zh-CN" w:eastAsia="zh-CN"/>
              </w:rPr>
            </w:pPr>
            <w:r>
              <w:rPr>
                <w:rFonts w:hint="default"/>
                <w:sz w:val="24"/>
                <w:szCs w:val="24"/>
                <w:lang w:val="en-US" w:eastAsia="zh-CN"/>
              </w:rPr>
              <w:t>（2）项目按照排污许可证规定严格控制污染物排放。</w:t>
            </w:r>
          </w:p>
          <w:p w14:paraId="47C79399">
            <w:pPr>
              <w:pStyle w:val="55"/>
              <w:bidi w:val="0"/>
              <w:jc w:val="both"/>
              <w:rPr>
                <w:rFonts w:hint="default" w:ascii="Times New Roman" w:hAnsi="Times New Roman" w:eastAsia="楷体" w:cstheme="minorBidi"/>
                <w:snapToGrid w:val="0"/>
                <w:kern w:val="0"/>
                <w:sz w:val="24"/>
                <w:szCs w:val="24"/>
                <w:lang w:val="en-US" w:eastAsia="zh-CN" w:bidi="ar-SA"/>
              </w:rPr>
            </w:pPr>
            <w:r>
              <w:rPr>
                <w:rFonts w:hint="default"/>
                <w:sz w:val="24"/>
                <w:szCs w:val="24"/>
                <w:lang w:val="en-US" w:eastAsia="zh-CN"/>
              </w:rPr>
              <w:t>（3）项目对从业人员进行环境保护培训。</w:t>
            </w:r>
          </w:p>
        </w:tc>
        <w:tc>
          <w:tcPr>
            <w:tcW w:w="481" w:type="pct"/>
            <w:tcBorders>
              <w:left w:val="single" w:color="auto" w:sz="4" w:space="0"/>
              <w:tl2br w:val="nil"/>
              <w:tr2bl w:val="nil"/>
            </w:tcBorders>
            <w:shd w:val="clear" w:color="auto" w:fill="auto"/>
            <w:vAlign w:val="center"/>
          </w:tcPr>
          <w:p w14:paraId="77308DE6">
            <w:pPr>
              <w:pStyle w:val="55"/>
              <w:bidi w:val="0"/>
              <w:rPr>
                <w:rFonts w:hint="default" w:ascii="Times New Roman" w:hAnsi="Times New Roman" w:eastAsia="楷体" w:cstheme="minorBidi"/>
                <w:snapToGrid w:val="0"/>
                <w:kern w:val="0"/>
                <w:sz w:val="24"/>
                <w:szCs w:val="24"/>
                <w:lang w:val="en-US" w:eastAsia="zh-CN" w:bidi="ar-SA"/>
              </w:rPr>
            </w:pPr>
            <w:r>
              <w:rPr>
                <w:rFonts w:hint="default"/>
                <w:sz w:val="24"/>
                <w:szCs w:val="24"/>
                <w:lang w:val="en-US"/>
              </w:rPr>
              <w:t>符合</w:t>
            </w:r>
          </w:p>
        </w:tc>
      </w:tr>
      <w:tr w14:paraId="73082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645" w:type="pct"/>
            <w:vMerge w:val="continue"/>
            <w:tcBorders>
              <w:right w:val="single" w:color="auto" w:sz="4" w:space="0"/>
              <w:tl2br w:val="nil"/>
              <w:tr2bl w:val="nil"/>
            </w:tcBorders>
            <w:vAlign w:val="center"/>
          </w:tcPr>
          <w:p w14:paraId="03981620">
            <w:pPr>
              <w:pStyle w:val="55"/>
              <w:bidi w:val="0"/>
              <w:rPr>
                <w:rFonts w:hint="default"/>
                <w:sz w:val="24"/>
                <w:szCs w:val="24"/>
                <w:lang w:val="en-US"/>
              </w:rPr>
            </w:pPr>
          </w:p>
        </w:tc>
        <w:tc>
          <w:tcPr>
            <w:tcW w:w="2262" w:type="pct"/>
            <w:tcBorders>
              <w:tl2br w:val="nil"/>
              <w:tr2bl w:val="nil"/>
            </w:tcBorders>
            <w:shd w:val="clear" w:color="auto" w:fill="auto"/>
            <w:vAlign w:val="center"/>
          </w:tcPr>
          <w:p w14:paraId="59744D18">
            <w:pPr>
              <w:pStyle w:val="55"/>
              <w:bidi w:val="0"/>
              <w:jc w:val="both"/>
              <w:rPr>
                <w:rFonts w:hint="default"/>
                <w:sz w:val="24"/>
                <w:szCs w:val="24"/>
                <w:lang w:val="zh-CN" w:eastAsia="zh-CN"/>
              </w:rPr>
            </w:pPr>
            <w:r>
              <w:rPr>
                <w:rFonts w:hint="default"/>
                <w:sz w:val="24"/>
                <w:szCs w:val="24"/>
                <w:lang w:val="en-US" w:eastAsia="zh-CN"/>
              </w:rPr>
              <w:t>（1）废塑料的再生利用项目应严格执行环境影响评价和“三同时”制度。</w:t>
            </w:r>
          </w:p>
          <w:p w14:paraId="71BFED2C">
            <w:pPr>
              <w:pStyle w:val="55"/>
              <w:bidi w:val="0"/>
              <w:jc w:val="both"/>
              <w:rPr>
                <w:rFonts w:hint="default" w:ascii="Times New Roman" w:hAnsi="Times New Roman" w:eastAsia="楷体" w:cstheme="minorBidi"/>
                <w:snapToGrid w:val="0"/>
                <w:kern w:val="0"/>
                <w:sz w:val="24"/>
                <w:szCs w:val="24"/>
                <w:lang w:val="zh-CN" w:eastAsia="zh-CN" w:bidi="ar-SA"/>
              </w:rPr>
            </w:pPr>
            <w:r>
              <w:rPr>
                <w:rFonts w:hint="default"/>
                <w:sz w:val="24"/>
                <w:szCs w:val="24"/>
                <w:lang w:val="en-US" w:eastAsia="zh-CN"/>
              </w:rPr>
              <w:t>（2）新建和改扩建废塑料再生利用项目的选址应符合当地城市总体发展规划、用地规划、生态环境分区管控方案、规划环评及其他环境保护要求。</w:t>
            </w:r>
          </w:p>
        </w:tc>
        <w:tc>
          <w:tcPr>
            <w:tcW w:w="1611" w:type="pct"/>
            <w:gridSpan w:val="2"/>
            <w:tcBorders>
              <w:tl2br w:val="nil"/>
              <w:tr2bl w:val="nil"/>
            </w:tcBorders>
            <w:shd w:val="clear" w:color="auto" w:fill="auto"/>
            <w:vAlign w:val="center"/>
          </w:tcPr>
          <w:p w14:paraId="7739F484">
            <w:pPr>
              <w:pStyle w:val="55"/>
              <w:bidi w:val="0"/>
              <w:jc w:val="both"/>
              <w:rPr>
                <w:rFonts w:hint="default"/>
                <w:sz w:val="24"/>
                <w:szCs w:val="24"/>
                <w:lang w:val="zh-CN" w:eastAsia="zh-CN"/>
              </w:rPr>
            </w:pPr>
            <w:r>
              <w:rPr>
                <w:rFonts w:hint="default"/>
                <w:sz w:val="24"/>
                <w:szCs w:val="24"/>
                <w:lang w:val="en-US" w:eastAsia="zh-CN"/>
              </w:rPr>
              <w:t>（1）项目严格执行环境影响评价和“三同时”制度。</w:t>
            </w:r>
          </w:p>
          <w:p w14:paraId="16A0C839">
            <w:pPr>
              <w:pStyle w:val="55"/>
              <w:bidi w:val="0"/>
              <w:jc w:val="both"/>
              <w:rPr>
                <w:rFonts w:hint="default" w:ascii="Times New Roman" w:hAnsi="Times New Roman" w:eastAsia="楷体" w:cstheme="minorBidi"/>
                <w:snapToGrid w:val="0"/>
                <w:kern w:val="0"/>
                <w:sz w:val="24"/>
                <w:szCs w:val="24"/>
                <w:lang w:val="zh-CN" w:eastAsia="zh-CN" w:bidi="ar-SA"/>
              </w:rPr>
            </w:pPr>
            <w:r>
              <w:rPr>
                <w:rFonts w:hint="default"/>
                <w:sz w:val="24"/>
                <w:szCs w:val="24"/>
                <w:lang w:val="en-US" w:eastAsia="zh-CN"/>
              </w:rPr>
              <w:t>（2）项目选址符合当地城市总体发展规划、用地规划、生态环境分区管控方案及其他环境保护要求。</w:t>
            </w:r>
          </w:p>
        </w:tc>
        <w:tc>
          <w:tcPr>
            <w:tcW w:w="481" w:type="pct"/>
            <w:tcBorders>
              <w:tl2br w:val="nil"/>
              <w:tr2bl w:val="nil"/>
            </w:tcBorders>
            <w:shd w:val="clear" w:color="auto" w:fill="auto"/>
            <w:vAlign w:val="center"/>
          </w:tcPr>
          <w:p w14:paraId="5C3AB462">
            <w:pPr>
              <w:pStyle w:val="55"/>
              <w:bidi w:val="0"/>
              <w:rPr>
                <w:rFonts w:hint="default" w:ascii="Times New Roman" w:hAnsi="Times New Roman" w:eastAsia="楷体" w:cstheme="minorBidi"/>
                <w:snapToGrid w:val="0"/>
                <w:kern w:val="0"/>
                <w:sz w:val="24"/>
                <w:szCs w:val="24"/>
                <w:lang w:val="zh-CN" w:eastAsia="zh-CN" w:bidi="ar-SA"/>
              </w:rPr>
            </w:pPr>
            <w:r>
              <w:rPr>
                <w:rFonts w:hint="default"/>
                <w:sz w:val="24"/>
                <w:szCs w:val="24"/>
                <w:lang w:val="en-US"/>
              </w:rPr>
              <w:t>符合</w:t>
            </w:r>
          </w:p>
        </w:tc>
      </w:tr>
      <w:tr w14:paraId="331CE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645" w:type="pct"/>
            <w:vMerge w:val="continue"/>
            <w:tcBorders>
              <w:right w:val="single" w:color="auto" w:sz="4" w:space="0"/>
              <w:tl2br w:val="nil"/>
              <w:tr2bl w:val="nil"/>
            </w:tcBorders>
            <w:vAlign w:val="center"/>
          </w:tcPr>
          <w:p w14:paraId="65D520B4">
            <w:pPr>
              <w:pStyle w:val="55"/>
              <w:bidi w:val="0"/>
              <w:rPr>
                <w:rFonts w:hint="default"/>
                <w:sz w:val="24"/>
                <w:szCs w:val="24"/>
                <w:lang w:val="en-US"/>
              </w:rPr>
            </w:pPr>
          </w:p>
        </w:tc>
        <w:tc>
          <w:tcPr>
            <w:tcW w:w="2262" w:type="pct"/>
            <w:tcBorders>
              <w:tl2br w:val="nil"/>
              <w:tr2bl w:val="nil"/>
            </w:tcBorders>
            <w:vAlign w:val="center"/>
          </w:tcPr>
          <w:p w14:paraId="73813FDC">
            <w:pPr>
              <w:pStyle w:val="55"/>
              <w:bidi w:val="0"/>
              <w:jc w:val="both"/>
              <w:rPr>
                <w:rFonts w:hint="default"/>
                <w:sz w:val="24"/>
                <w:szCs w:val="24"/>
                <w:lang w:val="zh-CN"/>
              </w:rPr>
            </w:pPr>
            <w:r>
              <w:rPr>
                <w:rFonts w:hint="default"/>
                <w:sz w:val="24"/>
                <w:szCs w:val="24"/>
                <w:lang w:val="en-US" w:eastAsia="zh-CN"/>
              </w:rPr>
              <w:t>（1）新建和改扩建的废塑料再生利用企业，应严格按照国家清洁生产相关规定等确定的生产工艺及设备指标、资源和能源消耗指标、资源综合利用指标、产品特征指标、污染物产生指标（末端处理前）、清洁生产管理指标等进行建设和生产。</w:t>
            </w:r>
          </w:p>
          <w:p w14:paraId="7A9C96E9">
            <w:pPr>
              <w:pStyle w:val="55"/>
              <w:bidi w:val="0"/>
              <w:jc w:val="both"/>
              <w:rPr>
                <w:rFonts w:hint="default"/>
                <w:sz w:val="24"/>
                <w:szCs w:val="24"/>
                <w:lang w:val="zh-CN"/>
              </w:rPr>
            </w:pPr>
            <w:r>
              <w:rPr>
                <w:rFonts w:hint="default"/>
                <w:sz w:val="24"/>
                <w:szCs w:val="24"/>
                <w:lang w:val="en-US" w:eastAsia="zh-CN"/>
              </w:rPr>
              <w:t>（2）实施强制性清洁生产审核的废塑料再生利用企业，应按照《清洁生产审核办法》的要求开展清洁生产审核，逐步淘汰技术落后、能耗高、资源综合利用率低和环境污染严重的工艺和设备。</w:t>
            </w:r>
          </w:p>
          <w:p w14:paraId="0B775A26">
            <w:pPr>
              <w:pStyle w:val="55"/>
              <w:bidi w:val="0"/>
              <w:jc w:val="both"/>
              <w:rPr>
                <w:rFonts w:hint="default"/>
                <w:sz w:val="24"/>
                <w:szCs w:val="24"/>
                <w:lang w:val="zh-CN"/>
              </w:rPr>
            </w:pPr>
            <w:r>
              <w:rPr>
                <w:rFonts w:hint="default"/>
                <w:sz w:val="24"/>
                <w:szCs w:val="24"/>
                <w:lang w:val="en-US" w:eastAsia="zh-CN"/>
              </w:rPr>
              <w:t>（3）废塑料的再生利用企业，应积极推进工艺、技术和设备提升改造，积极应用先进的清洁生产技术。</w:t>
            </w:r>
          </w:p>
          <w:p w14:paraId="36A3C150">
            <w:pPr>
              <w:pStyle w:val="55"/>
              <w:bidi w:val="0"/>
              <w:rPr>
                <w:rFonts w:hint="default"/>
                <w:sz w:val="24"/>
                <w:szCs w:val="24"/>
                <w:lang w:val="zh-CN"/>
              </w:rPr>
            </w:pPr>
          </w:p>
        </w:tc>
        <w:tc>
          <w:tcPr>
            <w:tcW w:w="1611" w:type="pct"/>
            <w:gridSpan w:val="2"/>
            <w:tcBorders>
              <w:tl2br w:val="nil"/>
              <w:tr2bl w:val="nil"/>
            </w:tcBorders>
            <w:vAlign w:val="center"/>
          </w:tcPr>
          <w:p w14:paraId="06B70677">
            <w:pPr>
              <w:pStyle w:val="55"/>
              <w:bidi w:val="0"/>
              <w:jc w:val="both"/>
              <w:rPr>
                <w:rFonts w:hint="default"/>
                <w:sz w:val="24"/>
                <w:szCs w:val="24"/>
                <w:lang w:val="zh-CN"/>
              </w:rPr>
            </w:pPr>
            <w:r>
              <w:rPr>
                <w:rFonts w:hint="default"/>
                <w:sz w:val="24"/>
                <w:szCs w:val="24"/>
                <w:lang w:val="en-US" w:eastAsia="zh-CN"/>
              </w:rPr>
              <w:t>（1）项目严格按照国家清洁生产相关规定等确定的生产工艺及设备指标、资源和能源消耗指标、资源综合利用指标、产品特征指标、污染物产生指标（末端处理前）、清洁生产管理指标等进行建设和生产。</w:t>
            </w:r>
          </w:p>
          <w:p w14:paraId="219CEB0F">
            <w:pPr>
              <w:pStyle w:val="55"/>
              <w:bidi w:val="0"/>
              <w:jc w:val="both"/>
              <w:rPr>
                <w:rFonts w:hint="default"/>
                <w:sz w:val="24"/>
                <w:szCs w:val="24"/>
                <w:lang w:val="zh-CN"/>
              </w:rPr>
            </w:pPr>
            <w:r>
              <w:rPr>
                <w:rFonts w:hint="default"/>
                <w:sz w:val="24"/>
                <w:szCs w:val="24"/>
                <w:lang w:val="en-US" w:eastAsia="zh-CN"/>
              </w:rPr>
              <w:t>（2）项目生产运营后将按照《清洁生产审核办法》的要求开展清洁生产审核，逐步淘汰技术落后、能耗高、资源综合利用率低和环境污染严重的工艺和设备。</w:t>
            </w:r>
          </w:p>
          <w:p w14:paraId="1C834EBE">
            <w:pPr>
              <w:pStyle w:val="55"/>
              <w:bidi w:val="0"/>
              <w:jc w:val="both"/>
              <w:rPr>
                <w:rFonts w:hint="default"/>
                <w:sz w:val="24"/>
                <w:szCs w:val="24"/>
                <w:lang w:val="zh-CN" w:eastAsia="zh-CN"/>
              </w:rPr>
            </w:pPr>
            <w:r>
              <w:rPr>
                <w:rFonts w:hint="default"/>
                <w:sz w:val="24"/>
                <w:szCs w:val="24"/>
                <w:lang w:val="en-US" w:eastAsia="zh-CN"/>
              </w:rPr>
              <w:t>（3）项目积极推进工艺、技术和设备提升改造，积极应用先进的清洁生产技术。</w:t>
            </w:r>
          </w:p>
        </w:tc>
        <w:tc>
          <w:tcPr>
            <w:tcW w:w="481" w:type="pct"/>
            <w:tcBorders>
              <w:tl2br w:val="nil"/>
              <w:tr2bl w:val="nil"/>
            </w:tcBorders>
            <w:vAlign w:val="center"/>
          </w:tcPr>
          <w:p w14:paraId="0533B5E2">
            <w:pPr>
              <w:pStyle w:val="55"/>
              <w:bidi w:val="0"/>
              <w:rPr>
                <w:rFonts w:hint="default"/>
                <w:sz w:val="24"/>
                <w:szCs w:val="24"/>
                <w:lang w:val="zh-CN"/>
              </w:rPr>
            </w:pPr>
            <w:r>
              <w:rPr>
                <w:rFonts w:hint="default"/>
                <w:sz w:val="24"/>
                <w:szCs w:val="24"/>
                <w:lang w:val="en-US"/>
              </w:rPr>
              <w:t>符合</w:t>
            </w:r>
          </w:p>
        </w:tc>
      </w:tr>
      <w:tr w14:paraId="6137CB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645" w:type="pct"/>
            <w:vMerge w:val="continue"/>
            <w:tcBorders>
              <w:right w:val="single" w:color="auto" w:sz="4" w:space="0"/>
              <w:tl2br w:val="nil"/>
              <w:tr2bl w:val="nil"/>
            </w:tcBorders>
            <w:vAlign w:val="center"/>
          </w:tcPr>
          <w:p w14:paraId="01D391E6">
            <w:pPr>
              <w:pStyle w:val="55"/>
              <w:bidi w:val="0"/>
              <w:rPr>
                <w:rFonts w:hint="default"/>
                <w:sz w:val="24"/>
                <w:szCs w:val="24"/>
                <w:lang w:val="en-US"/>
              </w:rPr>
            </w:pPr>
          </w:p>
        </w:tc>
        <w:tc>
          <w:tcPr>
            <w:tcW w:w="2262" w:type="pct"/>
            <w:tcBorders>
              <w:tl2br w:val="nil"/>
              <w:tr2bl w:val="nil"/>
            </w:tcBorders>
            <w:vAlign w:val="center"/>
          </w:tcPr>
          <w:p w14:paraId="4DB895CF">
            <w:pPr>
              <w:pStyle w:val="55"/>
              <w:bidi w:val="0"/>
              <w:jc w:val="both"/>
              <w:rPr>
                <w:rFonts w:hint="default"/>
                <w:sz w:val="24"/>
                <w:szCs w:val="24"/>
                <w:lang w:val="zh-CN" w:eastAsia="zh-CN"/>
              </w:rPr>
            </w:pPr>
            <w:r>
              <w:rPr>
                <w:rFonts w:hint="default"/>
                <w:sz w:val="24"/>
                <w:szCs w:val="24"/>
                <w:lang w:val="en-US" w:eastAsia="zh-CN"/>
              </w:rPr>
              <w:t>（1）废塑料的再生利用和处置企业，应按照排污许可证、HJ819以及本标准的要求，制定自行监测方案，对废塑料的利用处置过程污染物排放状况及周边环境质量的影响开展自行监测，保存原始监测记录，并依规进行信息公开。</w:t>
            </w:r>
          </w:p>
          <w:p w14:paraId="2FC648C7">
            <w:pPr>
              <w:pStyle w:val="55"/>
              <w:bidi w:val="0"/>
              <w:jc w:val="both"/>
              <w:rPr>
                <w:rFonts w:hint="default"/>
                <w:sz w:val="24"/>
                <w:szCs w:val="24"/>
                <w:lang w:val="zh-CN" w:eastAsia="zh-CN"/>
              </w:rPr>
            </w:pPr>
            <w:r>
              <w:rPr>
                <w:rFonts w:hint="default"/>
                <w:sz w:val="24"/>
                <w:szCs w:val="24"/>
                <w:lang w:val="en-US" w:eastAsia="zh-CN"/>
              </w:rPr>
              <w:t>（2）不同污染物的采样监测方法和频次执行相关国家和行业标准，保留监测记录以及特殊情况记录。</w:t>
            </w:r>
          </w:p>
          <w:p w14:paraId="0030D77B">
            <w:pPr>
              <w:pStyle w:val="55"/>
              <w:bidi w:val="0"/>
              <w:rPr>
                <w:rFonts w:hint="default"/>
                <w:sz w:val="24"/>
                <w:szCs w:val="24"/>
                <w:lang w:val="zh-CN" w:eastAsia="zh-CN"/>
              </w:rPr>
            </w:pPr>
          </w:p>
        </w:tc>
        <w:tc>
          <w:tcPr>
            <w:tcW w:w="1611" w:type="pct"/>
            <w:gridSpan w:val="2"/>
            <w:tcBorders>
              <w:tl2br w:val="nil"/>
              <w:tr2bl w:val="nil"/>
            </w:tcBorders>
            <w:vAlign w:val="center"/>
          </w:tcPr>
          <w:p w14:paraId="64477499">
            <w:pPr>
              <w:pStyle w:val="55"/>
              <w:bidi w:val="0"/>
              <w:jc w:val="both"/>
              <w:rPr>
                <w:rFonts w:hint="default"/>
                <w:sz w:val="24"/>
                <w:szCs w:val="24"/>
                <w:highlight w:val="none"/>
                <w:lang w:val="zh-CN" w:eastAsia="zh-CN"/>
              </w:rPr>
            </w:pPr>
            <w:r>
              <w:rPr>
                <w:rFonts w:hint="default"/>
                <w:sz w:val="24"/>
                <w:szCs w:val="24"/>
                <w:highlight w:val="none"/>
                <w:lang w:val="en-US" w:eastAsia="zh-CN"/>
              </w:rPr>
              <w:t>（1）项目按照排污许可、HJ819</w:t>
            </w:r>
            <w:r>
              <w:rPr>
                <w:rFonts w:hint="eastAsia"/>
                <w:sz w:val="24"/>
                <w:szCs w:val="24"/>
                <w:highlight w:val="none"/>
                <w:lang w:val="en-US" w:eastAsia="zh-CN"/>
              </w:rPr>
              <w:t>等</w:t>
            </w:r>
            <w:r>
              <w:rPr>
                <w:rFonts w:hint="default"/>
                <w:sz w:val="24"/>
                <w:szCs w:val="24"/>
                <w:highlight w:val="none"/>
                <w:lang w:val="en-US" w:eastAsia="zh-CN"/>
              </w:rPr>
              <w:t>要求，制定自行监测方案，对废塑料的利用处置过程污染物排放状况及周边环境质量的影响开展自行监测，保存原始监测记录，并依规进行信息公开。</w:t>
            </w:r>
          </w:p>
          <w:p w14:paraId="09FD0629">
            <w:pPr>
              <w:pStyle w:val="55"/>
              <w:bidi w:val="0"/>
              <w:jc w:val="both"/>
              <w:rPr>
                <w:rFonts w:hint="default"/>
                <w:sz w:val="24"/>
                <w:szCs w:val="24"/>
                <w:highlight w:val="none"/>
                <w:lang w:val="zh-CN" w:eastAsia="zh-CN"/>
              </w:rPr>
            </w:pPr>
            <w:r>
              <w:rPr>
                <w:rFonts w:hint="default"/>
                <w:sz w:val="24"/>
                <w:szCs w:val="24"/>
                <w:highlight w:val="none"/>
                <w:lang w:val="en-US" w:eastAsia="zh-CN"/>
              </w:rPr>
              <w:t>（2）项目不同污染物的采样监测方法和频次执行相关国家和行业标准，保留监测记录以及特殊情况记录。</w:t>
            </w:r>
          </w:p>
        </w:tc>
        <w:tc>
          <w:tcPr>
            <w:tcW w:w="481" w:type="pct"/>
            <w:tcBorders>
              <w:tl2br w:val="nil"/>
              <w:tr2bl w:val="nil"/>
            </w:tcBorders>
            <w:vAlign w:val="center"/>
          </w:tcPr>
          <w:p w14:paraId="16390A0B">
            <w:pPr>
              <w:pStyle w:val="55"/>
              <w:bidi w:val="0"/>
              <w:rPr>
                <w:rFonts w:hint="default"/>
                <w:sz w:val="24"/>
                <w:szCs w:val="24"/>
                <w:lang w:val="zh-CN"/>
              </w:rPr>
            </w:pPr>
            <w:r>
              <w:rPr>
                <w:rFonts w:hint="default"/>
                <w:sz w:val="24"/>
                <w:szCs w:val="24"/>
                <w:lang w:val="en-US"/>
              </w:rPr>
              <w:t>符合</w:t>
            </w:r>
          </w:p>
        </w:tc>
      </w:tr>
    </w:tbl>
    <w:p w14:paraId="4841F2E1">
      <w:pPr>
        <w:pStyle w:val="47"/>
        <w:bidi w:val="0"/>
        <w:rPr>
          <w:rFonts w:hint="default"/>
          <w:lang w:val="en-US" w:eastAsia="zh-CN"/>
        </w:rPr>
      </w:pPr>
      <w:r>
        <w:rPr>
          <w:rFonts w:hint="eastAsia"/>
          <w:lang w:val="en-US" w:eastAsia="zh-CN"/>
        </w:rPr>
        <w:t>（4）</w:t>
      </w:r>
      <w:r>
        <w:rPr>
          <w:rFonts w:hint="default"/>
          <w:lang w:val="en-US" w:eastAsia="zh-CN"/>
        </w:rPr>
        <w:t>《废塑料回收技术规范》（GB/T39171-2020）</w:t>
      </w:r>
    </w:p>
    <w:p w14:paraId="0FA2D341">
      <w:pPr>
        <w:pStyle w:val="47"/>
        <w:bidi w:val="0"/>
        <w:rPr>
          <w:rFonts w:hint="default"/>
          <w:lang w:val="en-US" w:eastAsia="zh-CN"/>
        </w:rPr>
      </w:pPr>
      <w:r>
        <w:rPr>
          <w:rFonts w:hint="default"/>
          <w:lang w:val="en-US" w:eastAsia="zh-CN"/>
        </w:rPr>
        <w:t>项目</w:t>
      </w:r>
      <w:r>
        <w:rPr>
          <w:rFonts w:hint="eastAsia"/>
          <w:lang w:val="en-US" w:eastAsia="zh-CN"/>
        </w:rPr>
        <w:t>与</w:t>
      </w:r>
      <w:r>
        <w:rPr>
          <w:rFonts w:hint="default"/>
          <w:lang w:val="en-US" w:eastAsia="zh-CN"/>
        </w:rPr>
        <w:t>《废塑料回收技术规范》（GB/T39171-2020）</w:t>
      </w:r>
      <w:r>
        <w:rPr>
          <w:rFonts w:hint="eastAsia"/>
          <w:lang w:val="en-US" w:eastAsia="zh-CN"/>
        </w:rPr>
        <w:t>符合</w:t>
      </w:r>
      <w:r>
        <w:rPr>
          <w:rFonts w:hint="default"/>
          <w:lang w:val="en-US" w:eastAsia="zh-CN"/>
        </w:rPr>
        <w:t>性分析详见</w:t>
      </w:r>
      <w:r>
        <w:rPr>
          <w:rFonts w:hint="eastAsia"/>
          <w:lang w:val="en-US" w:eastAsia="zh-CN"/>
        </w:rPr>
        <w:t>下</w:t>
      </w:r>
      <w:r>
        <w:rPr>
          <w:rFonts w:hint="default"/>
          <w:lang w:val="en-US" w:eastAsia="zh-CN"/>
        </w:rPr>
        <w:t>表。</w:t>
      </w:r>
    </w:p>
    <w:p w14:paraId="7821255F">
      <w:pPr>
        <w:pStyle w:val="94"/>
        <w:bidi w:val="0"/>
        <w:rPr>
          <w:rFonts w:hint="default"/>
          <w:lang w:val="en-US" w:eastAsia="zh-CN"/>
        </w:rPr>
      </w:pPr>
      <w:r>
        <w:rPr>
          <w:rFonts w:hint="default"/>
          <w:lang w:val="en-US" w:eastAsia="zh-CN"/>
        </w:rPr>
        <w:t>《废塑料回收技术规范》符合性分析一览表</w:t>
      </w:r>
    </w:p>
    <w:tbl>
      <w:tblPr>
        <w:tblStyle w:val="32"/>
        <w:tblW w:w="520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30"/>
        <w:gridCol w:w="4688"/>
        <w:gridCol w:w="2843"/>
        <w:gridCol w:w="899"/>
      </w:tblGrid>
      <w:tr w14:paraId="7FC96B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03" w:type="dxa"/>
            <w:tcBorders>
              <w:bottom w:val="single" w:color="auto" w:sz="4" w:space="0"/>
              <w:tl2br w:val="nil"/>
              <w:tr2bl w:val="nil"/>
            </w:tcBorders>
            <w:vAlign w:val="center"/>
          </w:tcPr>
          <w:p w14:paraId="499A1EDA">
            <w:pPr>
              <w:pStyle w:val="55"/>
              <w:bidi w:val="0"/>
              <w:jc w:val="center"/>
              <w:rPr>
                <w:rFonts w:hint="default"/>
                <w:sz w:val="24"/>
                <w:szCs w:val="24"/>
                <w:lang w:val="zh-CN"/>
              </w:rPr>
            </w:pPr>
            <w:r>
              <w:rPr>
                <w:rFonts w:hint="default"/>
                <w:sz w:val="24"/>
                <w:szCs w:val="24"/>
                <w:lang w:val="zh-CN"/>
              </w:rPr>
              <w:t>项目</w:t>
            </w:r>
          </w:p>
        </w:tc>
        <w:tc>
          <w:tcPr>
            <w:tcW w:w="4565" w:type="dxa"/>
            <w:tcBorders>
              <w:bottom w:val="single" w:color="auto" w:sz="4" w:space="0"/>
              <w:tl2br w:val="nil"/>
              <w:tr2bl w:val="nil"/>
            </w:tcBorders>
            <w:vAlign w:val="center"/>
          </w:tcPr>
          <w:p w14:paraId="50EDFFB2">
            <w:pPr>
              <w:pStyle w:val="55"/>
              <w:bidi w:val="0"/>
              <w:jc w:val="center"/>
              <w:rPr>
                <w:rFonts w:hint="default"/>
                <w:sz w:val="24"/>
                <w:szCs w:val="24"/>
                <w:lang w:val="zh-CN"/>
              </w:rPr>
            </w:pPr>
            <w:r>
              <w:rPr>
                <w:rFonts w:hint="default"/>
                <w:sz w:val="24"/>
                <w:szCs w:val="24"/>
                <w:lang w:val="zh-CN"/>
              </w:rPr>
              <w:t>规范要求</w:t>
            </w:r>
          </w:p>
        </w:tc>
        <w:tc>
          <w:tcPr>
            <w:tcW w:w="2768" w:type="dxa"/>
            <w:tcBorders>
              <w:bottom w:val="single" w:color="auto" w:sz="4" w:space="0"/>
              <w:tl2br w:val="nil"/>
              <w:tr2bl w:val="nil"/>
            </w:tcBorders>
            <w:vAlign w:val="center"/>
          </w:tcPr>
          <w:p w14:paraId="3C619C56">
            <w:pPr>
              <w:pStyle w:val="55"/>
              <w:bidi w:val="0"/>
              <w:jc w:val="center"/>
              <w:rPr>
                <w:rFonts w:hint="default"/>
                <w:sz w:val="24"/>
                <w:szCs w:val="24"/>
                <w:lang w:val="zh-CN"/>
              </w:rPr>
            </w:pPr>
            <w:r>
              <w:rPr>
                <w:rFonts w:hint="default"/>
                <w:sz w:val="24"/>
                <w:szCs w:val="24"/>
                <w:lang w:val="zh-CN"/>
              </w:rPr>
              <w:t>项目情况</w:t>
            </w:r>
          </w:p>
        </w:tc>
        <w:tc>
          <w:tcPr>
            <w:tcW w:w="876" w:type="dxa"/>
            <w:tcBorders>
              <w:bottom w:val="single" w:color="auto" w:sz="4" w:space="0"/>
              <w:tl2br w:val="nil"/>
              <w:tr2bl w:val="nil"/>
            </w:tcBorders>
            <w:vAlign w:val="center"/>
          </w:tcPr>
          <w:p w14:paraId="2042849F">
            <w:pPr>
              <w:pStyle w:val="55"/>
              <w:bidi w:val="0"/>
              <w:jc w:val="center"/>
              <w:rPr>
                <w:rFonts w:hint="eastAsia" w:eastAsia="楷体"/>
                <w:sz w:val="24"/>
                <w:szCs w:val="24"/>
                <w:lang w:val="zh-CN" w:eastAsia="zh-CN"/>
              </w:rPr>
            </w:pPr>
            <w:r>
              <w:rPr>
                <w:rFonts w:hint="eastAsia"/>
                <w:sz w:val="24"/>
                <w:szCs w:val="24"/>
                <w:lang w:val="en-US" w:eastAsia="zh-CN"/>
              </w:rPr>
              <w:t>符合性</w:t>
            </w:r>
          </w:p>
        </w:tc>
      </w:tr>
      <w:tr w14:paraId="637BEC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03" w:type="dxa"/>
            <w:tcBorders>
              <w:top w:val="single" w:color="auto" w:sz="4" w:space="0"/>
              <w:right w:val="single" w:color="auto" w:sz="4" w:space="0"/>
              <w:tl2br w:val="nil"/>
              <w:tr2bl w:val="nil"/>
            </w:tcBorders>
            <w:vAlign w:val="center"/>
          </w:tcPr>
          <w:p w14:paraId="232AA809">
            <w:pPr>
              <w:pStyle w:val="55"/>
              <w:bidi w:val="0"/>
              <w:jc w:val="center"/>
              <w:rPr>
                <w:rFonts w:hint="default"/>
                <w:sz w:val="24"/>
                <w:szCs w:val="24"/>
                <w:lang w:val="zh-CN"/>
              </w:rPr>
            </w:pPr>
            <w:r>
              <w:rPr>
                <w:rFonts w:hint="default"/>
                <w:sz w:val="24"/>
                <w:szCs w:val="24"/>
                <w:lang w:val="zh-CN"/>
              </w:rPr>
              <w:t>总体要求</w:t>
            </w:r>
          </w:p>
        </w:tc>
        <w:tc>
          <w:tcPr>
            <w:tcW w:w="4565" w:type="dxa"/>
            <w:tcBorders>
              <w:top w:val="single" w:color="auto" w:sz="4" w:space="0"/>
              <w:left w:val="single" w:color="auto" w:sz="4" w:space="0"/>
              <w:right w:val="single" w:color="auto" w:sz="4" w:space="0"/>
              <w:tl2br w:val="nil"/>
              <w:tr2bl w:val="nil"/>
            </w:tcBorders>
            <w:vAlign w:val="center"/>
          </w:tcPr>
          <w:p w14:paraId="6CF0AF87">
            <w:pPr>
              <w:pStyle w:val="55"/>
              <w:bidi w:val="0"/>
              <w:jc w:val="both"/>
              <w:rPr>
                <w:rFonts w:hint="default"/>
                <w:sz w:val="24"/>
                <w:szCs w:val="24"/>
                <w:lang w:val="zh-CN"/>
              </w:rPr>
            </w:pPr>
            <w:r>
              <w:rPr>
                <w:rFonts w:hint="default"/>
                <w:sz w:val="24"/>
                <w:szCs w:val="24"/>
                <w:lang w:val="en-US" w:eastAsia="zh-CN"/>
              </w:rPr>
              <w:t>（1）废塑料回收过程中产生或夹杂的危险废物，或根据国家规定的危险废物鉴别标准和鉴别方法认定为危险废物的，应交由有相关处理资质的单位进行处理。</w:t>
            </w:r>
          </w:p>
        </w:tc>
        <w:tc>
          <w:tcPr>
            <w:tcW w:w="2768" w:type="dxa"/>
            <w:tcBorders>
              <w:top w:val="single" w:color="auto" w:sz="4" w:space="0"/>
              <w:left w:val="single" w:color="auto" w:sz="4" w:space="0"/>
              <w:right w:val="single" w:color="auto" w:sz="4" w:space="0"/>
              <w:tl2br w:val="nil"/>
              <w:tr2bl w:val="nil"/>
            </w:tcBorders>
            <w:vAlign w:val="center"/>
          </w:tcPr>
          <w:p w14:paraId="04E30CC4">
            <w:pPr>
              <w:pStyle w:val="55"/>
              <w:bidi w:val="0"/>
              <w:jc w:val="both"/>
              <w:rPr>
                <w:rFonts w:hint="default"/>
                <w:sz w:val="24"/>
                <w:szCs w:val="24"/>
                <w:lang w:val="zh-CN"/>
              </w:rPr>
            </w:pPr>
            <w:r>
              <w:rPr>
                <w:rFonts w:hint="default"/>
                <w:sz w:val="24"/>
                <w:szCs w:val="24"/>
                <w:lang w:val="en-US" w:eastAsia="zh-CN"/>
              </w:rPr>
              <w:t>项目回收废塑料不涉及医疗废物、危险废物含卤素废塑料。</w:t>
            </w:r>
          </w:p>
        </w:tc>
        <w:tc>
          <w:tcPr>
            <w:tcW w:w="876" w:type="dxa"/>
            <w:tcBorders>
              <w:top w:val="single" w:color="auto" w:sz="4" w:space="0"/>
              <w:left w:val="single" w:color="auto" w:sz="4" w:space="0"/>
              <w:tl2br w:val="nil"/>
              <w:tr2bl w:val="nil"/>
            </w:tcBorders>
            <w:vAlign w:val="center"/>
          </w:tcPr>
          <w:p w14:paraId="6A2BDA7E">
            <w:pPr>
              <w:pStyle w:val="55"/>
              <w:bidi w:val="0"/>
              <w:jc w:val="center"/>
              <w:rPr>
                <w:rFonts w:hint="eastAsia" w:eastAsia="楷体"/>
                <w:sz w:val="24"/>
                <w:szCs w:val="24"/>
                <w:lang w:val="en-US" w:eastAsia="zh-CN"/>
              </w:rPr>
            </w:pPr>
            <w:r>
              <w:rPr>
                <w:rFonts w:hint="eastAsia"/>
                <w:sz w:val="24"/>
                <w:szCs w:val="24"/>
                <w:lang w:val="en-US" w:eastAsia="zh-CN"/>
              </w:rPr>
              <w:t>符合</w:t>
            </w:r>
          </w:p>
        </w:tc>
      </w:tr>
      <w:tr w14:paraId="088357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03" w:type="dxa"/>
            <w:tcBorders>
              <w:top w:val="single" w:color="auto" w:sz="4" w:space="0"/>
              <w:bottom w:val="single" w:color="auto" w:sz="4" w:space="0"/>
              <w:right w:val="single" w:color="auto" w:sz="4" w:space="0"/>
              <w:tl2br w:val="nil"/>
              <w:tr2bl w:val="nil"/>
            </w:tcBorders>
            <w:vAlign w:val="center"/>
          </w:tcPr>
          <w:p w14:paraId="189183D8">
            <w:pPr>
              <w:pStyle w:val="55"/>
              <w:bidi w:val="0"/>
              <w:jc w:val="center"/>
              <w:rPr>
                <w:rFonts w:hint="default"/>
                <w:sz w:val="24"/>
                <w:szCs w:val="24"/>
                <w:lang w:val="zh-CN" w:eastAsia="zh-CN"/>
              </w:rPr>
            </w:pPr>
            <w:r>
              <w:rPr>
                <w:rFonts w:hint="default"/>
                <w:sz w:val="24"/>
                <w:szCs w:val="24"/>
                <w:lang w:val="en-US" w:eastAsia="zh-CN"/>
              </w:rPr>
              <w:t>分拣</w:t>
            </w:r>
          </w:p>
        </w:tc>
        <w:tc>
          <w:tcPr>
            <w:tcW w:w="4565" w:type="dxa"/>
            <w:tcBorders>
              <w:top w:val="single" w:color="auto" w:sz="4" w:space="0"/>
              <w:left w:val="single" w:color="auto" w:sz="4" w:space="0"/>
              <w:bottom w:val="single" w:color="auto" w:sz="4" w:space="0"/>
              <w:tl2br w:val="nil"/>
              <w:tr2bl w:val="nil"/>
            </w:tcBorders>
            <w:vAlign w:val="center"/>
          </w:tcPr>
          <w:p w14:paraId="305034D0">
            <w:pPr>
              <w:pStyle w:val="55"/>
              <w:bidi w:val="0"/>
              <w:jc w:val="center"/>
              <w:rPr>
                <w:rFonts w:hint="default"/>
                <w:sz w:val="24"/>
                <w:szCs w:val="24"/>
                <w:lang w:val="en-US" w:eastAsia="zh-CN"/>
              </w:rPr>
            </w:pPr>
            <w:r>
              <w:rPr>
                <w:rFonts w:hint="default"/>
                <w:sz w:val="24"/>
                <w:szCs w:val="24"/>
                <w:lang w:val="en-US" w:eastAsia="zh-CN"/>
              </w:rPr>
              <w:t>。</w:t>
            </w:r>
          </w:p>
          <w:p w14:paraId="27B14810">
            <w:pPr>
              <w:pStyle w:val="55"/>
              <w:bidi w:val="0"/>
              <w:jc w:val="both"/>
              <w:rPr>
                <w:rFonts w:hint="default"/>
                <w:sz w:val="24"/>
                <w:szCs w:val="24"/>
                <w:lang w:val="en-US" w:eastAsia="zh-CN"/>
              </w:rPr>
            </w:pPr>
            <w:r>
              <w:rPr>
                <w:rFonts w:hint="default"/>
                <w:sz w:val="24"/>
                <w:szCs w:val="24"/>
                <w:lang w:val="en-US" w:eastAsia="zh-CN"/>
              </w:rPr>
              <w:t>（</w:t>
            </w:r>
            <w:r>
              <w:rPr>
                <w:rFonts w:hint="eastAsia"/>
                <w:sz w:val="24"/>
                <w:szCs w:val="24"/>
                <w:lang w:val="en-US" w:eastAsia="zh-CN"/>
              </w:rPr>
              <w:t>1</w:t>
            </w:r>
            <w:r>
              <w:rPr>
                <w:rFonts w:hint="default"/>
                <w:sz w:val="24"/>
                <w:szCs w:val="24"/>
                <w:lang w:val="en-US" w:eastAsia="zh-CN"/>
              </w:rPr>
              <w:t>）废塑料分拣过程中如使用强酸脱除废塑料表面涂层或镀层，应配套酸碱中和工艺和污水处理设施。</w:t>
            </w:r>
          </w:p>
          <w:p w14:paraId="3EC12995">
            <w:pPr>
              <w:pStyle w:val="55"/>
              <w:bidi w:val="0"/>
              <w:jc w:val="both"/>
              <w:rPr>
                <w:rFonts w:hint="default"/>
                <w:sz w:val="24"/>
                <w:szCs w:val="24"/>
                <w:lang w:val="en-US" w:eastAsia="zh-CN"/>
              </w:rPr>
            </w:pPr>
            <w:r>
              <w:rPr>
                <w:rFonts w:hint="default"/>
                <w:sz w:val="24"/>
                <w:szCs w:val="24"/>
                <w:lang w:val="en-US" w:eastAsia="zh-CN"/>
              </w:rPr>
              <w:t>（</w:t>
            </w:r>
            <w:r>
              <w:rPr>
                <w:rFonts w:hint="eastAsia"/>
                <w:sz w:val="24"/>
                <w:szCs w:val="24"/>
                <w:lang w:val="en-US" w:eastAsia="zh-CN"/>
              </w:rPr>
              <w:t>2</w:t>
            </w:r>
            <w:r>
              <w:rPr>
                <w:rFonts w:hint="default"/>
                <w:sz w:val="24"/>
                <w:szCs w:val="24"/>
                <w:lang w:val="en-US" w:eastAsia="zh-CN"/>
              </w:rPr>
              <w:t>）破碎废塑料应采用干法破碎技术，并采取相应的防尘、防噪声措施，产生的噪声应符合《工业企业厂界环境噪声排放标准》GB12348的有关规定，处理后的粉尘应符合《大气污染物综合排放标准》GB16297的有关规定；湿法破碎应配套污水收集处理设施。</w:t>
            </w:r>
          </w:p>
          <w:p w14:paraId="070D5408">
            <w:pPr>
              <w:pStyle w:val="55"/>
              <w:bidi w:val="0"/>
              <w:jc w:val="both"/>
              <w:rPr>
                <w:rFonts w:hint="default"/>
                <w:sz w:val="24"/>
                <w:szCs w:val="24"/>
                <w:lang w:val="en-US" w:eastAsia="zh-CN"/>
              </w:rPr>
            </w:pPr>
            <w:r>
              <w:rPr>
                <w:rFonts w:hint="default"/>
                <w:sz w:val="24"/>
                <w:szCs w:val="24"/>
                <w:lang w:val="en-US" w:eastAsia="zh-CN"/>
              </w:rPr>
              <w:t>（6）废塑料的清洗场地应做防水、防渗漏处理，有特殊要求的地面应做防腐蚀处理。</w:t>
            </w:r>
          </w:p>
          <w:p w14:paraId="2AD795BC">
            <w:pPr>
              <w:pStyle w:val="55"/>
              <w:bidi w:val="0"/>
              <w:jc w:val="both"/>
              <w:rPr>
                <w:rFonts w:hint="default"/>
                <w:sz w:val="24"/>
                <w:szCs w:val="24"/>
                <w:lang w:val="en-US" w:eastAsia="zh-CN"/>
              </w:rPr>
            </w:pPr>
            <w:r>
              <w:rPr>
                <w:rFonts w:hint="default"/>
                <w:sz w:val="24"/>
                <w:szCs w:val="24"/>
                <w:lang w:val="en-US" w:eastAsia="zh-CN"/>
              </w:rPr>
              <w:t>（7）废塑料的清洗方法可分为物理清洗和化学清洗，应根据废塑料来源和污染情况选择清洗工艺；宜采用高效节水的机械清洗技术和无磷清洗剂，不得使用有毒有害的化学清洗剂。</w:t>
            </w:r>
          </w:p>
        </w:tc>
        <w:tc>
          <w:tcPr>
            <w:tcW w:w="2768" w:type="dxa"/>
            <w:tcBorders>
              <w:bottom w:val="single" w:color="auto" w:sz="4" w:space="0"/>
              <w:tl2br w:val="nil"/>
              <w:tr2bl w:val="nil"/>
            </w:tcBorders>
            <w:vAlign w:val="center"/>
          </w:tcPr>
          <w:p w14:paraId="12BAF8E3">
            <w:pPr>
              <w:pStyle w:val="55"/>
              <w:bidi w:val="0"/>
              <w:jc w:val="both"/>
              <w:rPr>
                <w:rFonts w:hint="default"/>
                <w:sz w:val="24"/>
                <w:szCs w:val="24"/>
                <w:lang w:val="en-US" w:eastAsia="zh-CN"/>
              </w:rPr>
            </w:pPr>
            <w:r>
              <w:rPr>
                <w:rFonts w:hint="default"/>
                <w:sz w:val="24"/>
                <w:szCs w:val="24"/>
                <w:lang w:val="en-US" w:eastAsia="zh-CN"/>
              </w:rPr>
              <w:t>（1）项目分拣过程中不使用强酸。</w:t>
            </w:r>
          </w:p>
          <w:p w14:paraId="1EFE48AE">
            <w:pPr>
              <w:pStyle w:val="55"/>
              <w:bidi w:val="0"/>
              <w:jc w:val="both"/>
              <w:rPr>
                <w:rFonts w:hint="default"/>
                <w:sz w:val="24"/>
                <w:szCs w:val="24"/>
                <w:lang w:val="en-US" w:eastAsia="zh-CN"/>
              </w:rPr>
            </w:pPr>
            <w:r>
              <w:rPr>
                <w:rFonts w:hint="default"/>
                <w:sz w:val="24"/>
                <w:szCs w:val="24"/>
                <w:lang w:val="en-US" w:eastAsia="zh-CN"/>
              </w:rPr>
              <w:t>（</w:t>
            </w:r>
            <w:r>
              <w:rPr>
                <w:rFonts w:hint="eastAsia"/>
                <w:sz w:val="24"/>
                <w:szCs w:val="24"/>
                <w:lang w:val="en-US" w:eastAsia="zh-CN"/>
              </w:rPr>
              <w:t>2</w:t>
            </w:r>
            <w:r>
              <w:rPr>
                <w:rFonts w:hint="default"/>
                <w:sz w:val="24"/>
                <w:szCs w:val="24"/>
                <w:lang w:val="en-US" w:eastAsia="zh-CN"/>
              </w:rPr>
              <w:t>）项目采用湿法破碎，</w:t>
            </w:r>
            <w:r>
              <w:rPr>
                <w:rFonts w:hint="eastAsia"/>
                <w:sz w:val="24"/>
                <w:szCs w:val="24"/>
                <w:lang w:val="en-US" w:eastAsia="zh-CN"/>
              </w:rPr>
              <w:t>废水经沉淀池处理后循环利用</w:t>
            </w:r>
            <w:r>
              <w:rPr>
                <w:rFonts w:hint="default"/>
                <w:sz w:val="24"/>
                <w:szCs w:val="24"/>
                <w:lang w:val="en-US" w:eastAsia="zh-CN"/>
              </w:rPr>
              <w:t>。</w:t>
            </w:r>
          </w:p>
          <w:p w14:paraId="3D897F8A">
            <w:pPr>
              <w:pStyle w:val="55"/>
              <w:bidi w:val="0"/>
              <w:jc w:val="both"/>
              <w:rPr>
                <w:rFonts w:hint="default"/>
                <w:sz w:val="24"/>
                <w:szCs w:val="24"/>
                <w:lang w:val="en-US" w:eastAsia="zh-CN"/>
              </w:rPr>
            </w:pPr>
            <w:r>
              <w:rPr>
                <w:rFonts w:hint="default"/>
                <w:sz w:val="24"/>
                <w:szCs w:val="24"/>
                <w:lang w:val="en-US" w:eastAsia="zh-CN"/>
              </w:rPr>
              <w:t>（</w:t>
            </w:r>
            <w:r>
              <w:rPr>
                <w:rFonts w:hint="eastAsia"/>
                <w:sz w:val="24"/>
                <w:szCs w:val="24"/>
                <w:lang w:val="en-US" w:eastAsia="zh-CN"/>
              </w:rPr>
              <w:t>3</w:t>
            </w:r>
            <w:r>
              <w:rPr>
                <w:rFonts w:hint="default"/>
                <w:sz w:val="24"/>
                <w:szCs w:val="24"/>
                <w:lang w:val="en-US" w:eastAsia="zh-CN"/>
              </w:rPr>
              <w:t>）项目废塑料的清洗场地做防水、防渗漏处理。</w:t>
            </w:r>
          </w:p>
          <w:p w14:paraId="7F6DF789">
            <w:pPr>
              <w:pStyle w:val="55"/>
              <w:bidi w:val="0"/>
              <w:jc w:val="both"/>
              <w:rPr>
                <w:rFonts w:hint="default"/>
                <w:sz w:val="24"/>
                <w:szCs w:val="24"/>
                <w:lang w:val="en-US" w:eastAsia="zh-CN"/>
              </w:rPr>
            </w:pPr>
            <w:r>
              <w:rPr>
                <w:rFonts w:hint="default"/>
                <w:sz w:val="24"/>
                <w:szCs w:val="24"/>
                <w:lang w:val="en-US" w:eastAsia="zh-CN"/>
              </w:rPr>
              <w:t>（</w:t>
            </w:r>
            <w:r>
              <w:rPr>
                <w:rFonts w:hint="eastAsia"/>
                <w:sz w:val="24"/>
                <w:szCs w:val="24"/>
                <w:lang w:val="en-US" w:eastAsia="zh-CN"/>
              </w:rPr>
              <w:t>4</w:t>
            </w:r>
            <w:r>
              <w:rPr>
                <w:rFonts w:hint="default"/>
                <w:sz w:val="24"/>
                <w:szCs w:val="24"/>
                <w:lang w:val="en-US" w:eastAsia="zh-CN"/>
              </w:rPr>
              <w:t>）项目废塑料的清洗采用高效节水的机械清洗技术，不使用清洗剂。</w:t>
            </w:r>
          </w:p>
          <w:p w14:paraId="3F7104DB">
            <w:pPr>
              <w:pStyle w:val="55"/>
              <w:bidi w:val="0"/>
              <w:jc w:val="center"/>
              <w:rPr>
                <w:rFonts w:hint="default"/>
                <w:sz w:val="24"/>
                <w:szCs w:val="24"/>
                <w:lang w:val="zh-CN" w:eastAsia="zh-CN"/>
              </w:rPr>
            </w:pPr>
          </w:p>
        </w:tc>
        <w:tc>
          <w:tcPr>
            <w:tcW w:w="876" w:type="dxa"/>
            <w:tcBorders>
              <w:bottom w:val="single" w:color="auto" w:sz="4" w:space="0"/>
              <w:tl2br w:val="nil"/>
              <w:tr2bl w:val="nil"/>
            </w:tcBorders>
            <w:vAlign w:val="center"/>
          </w:tcPr>
          <w:p w14:paraId="5EAE4DDA">
            <w:pPr>
              <w:pStyle w:val="55"/>
              <w:bidi w:val="0"/>
              <w:jc w:val="center"/>
              <w:rPr>
                <w:rFonts w:hint="default"/>
                <w:sz w:val="24"/>
                <w:szCs w:val="24"/>
                <w:lang w:val="zh-CN"/>
              </w:rPr>
            </w:pPr>
            <w:r>
              <w:rPr>
                <w:rFonts w:hint="eastAsia"/>
                <w:sz w:val="24"/>
                <w:szCs w:val="24"/>
                <w:lang w:val="en-US" w:eastAsia="zh-CN"/>
              </w:rPr>
              <w:t>符合</w:t>
            </w:r>
          </w:p>
        </w:tc>
      </w:tr>
      <w:tr w14:paraId="07CBCF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03" w:type="dxa"/>
            <w:tcBorders>
              <w:top w:val="single" w:color="auto" w:sz="4" w:space="0"/>
              <w:bottom w:val="single" w:color="auto" w:sz="4" w:space="0"/>
              <w:right w:val="single" w:color="auto" w:sz="4" w:space="0"/>
              <w:tl2br w:val="nil"/>
              <w:tr2bl w:val="nil"/>
            </w:tcBorders>
            <w:vAlign w:val="center"/>
          </w:tcPr>
          <w:p w14:paraId="1A38A866">
            <w:pPr>
              <w:pStyle w:val="55"/>
              <w:bidi w:val="0"/>
              <w:jc w:val="center"/>
              <w:rPr>
                <w:rFonts w:hint="default"/>
                <w:sz w:val="24"/>
                <w:szCs w:val="24"/>
                <w:lang w:val="zh-CN" w:eastAsia="zh-CN"/>
              </w:rPr>
            </w:pPr>
            <w:r>
              <w:rPr>
                <w:rFonts w:hint="default"/>
                <w:sz w:val="24"/>
                <w:szCs w:val="24"/>
                <w:lang w:val="en-US" w:eastAsia="zh-CN"/>
              </w:rPr>
              <w:t>贮存</w:t>
            </w:r>
          </w:p>
        </w:tc>
        <w:tc>
          <w:tcPr>
            <w:tcW w:w="4565" w:type="dxa"/>
            <w:tcBorders>
              <w:top w:val="single" w:color="auto" w:sz="4" w:space="0"/>
              <w:left w:val="single" w:color="auto" w:sz="4" w:space="0"/>
              <w:bottom w:val="single" w:color="auto" w:sz="4" w:space="0"/>
              <w:right w:val="single" w:color="auto" w:sz="4" w:space="0"/>
              <w:tl2br w:val="nil"/>
              <w:tr2bl w:val="nil"/>
            </w:tcBorders>
            <w:vAlign w:val="center"/>
          </w:tcPr>
          <w:p w14:paraId="6ADD1280">
            <w:pPr>
              <w:pStyle w:val="55"/>
              <w:bidi w:val="0"/>
              <w:jc w:val="both"/>
              <w:rPr>
                <w:rFonts w:hint="default"/>
                <w:sz w:val="24"/>
                <w:szCs w:val="24"/>
                <w:lang w:val="en-US" w:eastAsia="zh-CN"/>
              </w:rPr>
            </w:pPr>
            <w:r>
              <w:rPr>
                <w:rFonts w:hint="default"/>
                <w:sz w:val="24"/>
                <w:szCs w:val="24"/>
                <w:lang w:val="en-US" w:eastAsia="zh-CN"/>
              </w:rPr>
              <w:t>（1）废塑料贮存场地应符合《一般工业固体废物贮存和填埋污染控制标准》GB18599的有关规定。</w:t>
            </w:r>
          </w:p>
          <w:p w14:paraId="3A07DD28">
            <w:pPr>
              <w:pStyle w:val="55"/>
              <w:bidi w:val="0"/>
              <w:jc w:val="both"/>
              <w:rPr>
                <w:rFonts w:hint="default"/>
                <w:sz w:val="24"/>
                <w:szCs w:val="24"/>
                <w:lang w:val="en-US" w:eastAsia="zh-CN"/>
              </w:rPr>
            </w:pPr>
            <w:r>
              <w:rPr>
                <w:rFonts w:hint="default"/>
                <w:sz w:val="24"/>
                <w:szCs w:val="24"/>
                <w:lang w:val="en-US" w:eastAsia="zh-CN"/>
              </w:rPr>
              <w:t>（2）不同种类的废塑料应分开存放，并在显著位置设有标识。</w:t>
            </w:r>
          </w:p>
          <w:p w14:paraId="2E76B86F">
            <w:pPr>
              <w:pStyle w:val="55"/>
              <w:bidi w:val="0"/>
              <w:jc w:val="both"/>
              <w:rPr>
                <w:rFonts w:hint="default"/>
                <w:sz w:val="24"/>
                <w:szCs w:val="24"/>
                <w:lang w:val="en-US" w:eastAsia="zh-CN"/>
              </w:rPr>
            </w:pPr>
            <w:r>
              <w:rPr>
                <w:rFonts w:hint="default"/>
                <w:sz w:val="24"/>
                <w:szCs w:val="24"/>
                <w:lang w:val="en-US" w:eastAsia="zh-CN"/>
              </w:rPr>
              <w:t>（3）废塑料应存放在封闭或半封闭的环境中，并设有防火、防雨、防晒、防渗、防扬散措施，避免露天堆放。</w:t>
            </w:r>
          </w:p>
          <w:p w14:paraId="3DB3B87D">
            <w:pPr>
              <w:pStyle w:val="55"/>
              <w:bidi w:val="0"/>
              <w:jc w:val="both"/>
              <w:rPr>
                <w:rFonts w:hint="default"/>
                <w:sz w:val="24"/>
                <w:szCs w:val="24"/>
                <w:lang w:val="en-US" w:eastAsia="zh-CN"/>
              </w:rPr>
            </w:pPr>
            <w:r>
              <w:rPr>
                <w:rFonts w:hint="default"/>
                <w:sz w:val="24"/>
                <w:szCs w:val="24"/>
                <w:lang w:val="en-US" w:eastAsia="zh-CN"/>
              </w:rPr>
              <w:t>（4）废塑料贮存场所应符合《建筑设计防火规范》GB50016的有关规定。</w:t>
            </w:r>
          </w:p>
          <w:p w14:paraId="58F09B9A">
            <w:pPr>
              <w:pStyle w:val="55"/>
              <w:bidi w:val="0"/>
              <w:jc w:val="both"/>
              <w:rPr>
                <w:rFonts w:hint="default"/>
                <w:sz w:val="24"/>
                <w:szCs w:val="24"/>
                <w:lang w:val="zh-CN" w:eastAsia="zh-CN"/>
              </w:rPr>
            </w:pPr>
            <w:r>
              <w:rPr>
                <w:rFonts w:hint="default"/>
                <w:sz w:val="24"/>
                <w:szCs w:val="24"/>
                <w:lang w:val="en-US" w:eastAsia="zh-CN"/>
              </w:rPr>
              <w:t>（5）废塑料贮存场所应配备消防设施，消防器材配备应按</w:t>
            </w:r>
            <w:r>
              <w:rPr>
                <w:rFonts w:hint="default"/>
                <w:sz w:val="24"/>
                <w:szCs w:val="24"/>
                <w:lang w:val="en-US" w:eastAsia="zh-CN"/>
              </w:rPr>
              <w:fldChar w:fldCharType="begin"/>
            </w:r>
            <w:r>
              <w:rPr>
                <w:rFonts w:hint="default"/>
                <w:sz w:val="24"/>
                <w:szCs w:val="24"/>
                <w:lang w:val="en-US" w:eastAsia="zh-CN"/>
              </w:rPr>
              <w:instrText xml:space="preserve"> HYPERLINK "http://www.baidu.com/link?url=7SazQV4I0k9tvn_4xFMCwLk8fuCTxNjo4IaUZO89aNTBsB4trjGOXpz7nu_Ofpc-eKFD_bvmtG6yA1puuHC62u8Q7HCBmZ74cY6ZTvrBm7YJ86TR7xm9f4P-6zs80V8Ik0nv2sUbisnT8TXSiwRZOq" \t "https://www.baidu.com/_blank" </w:instrText>
            </w:r>
            <w:r>
              <w:rPr>
                <w:rFonts w:hint="default"/>
                <w:sz w:val="24"/>
                <w:szCs w:val="24"/>
                <w:lang w:val="en-US" w:eastAsia="zh-CN"/>
              </w:rPr>
              <w:fldChar w:fldCharType="separate"/>
            </w:r>
            <w:r>
              <w:rPr>
                <w:rFonts w:hint="default"/>
                <w:sz w:val="24"/>
                <w:szCs w:val="24"/>
                <w:lang w:val="en-US" w:eastAsia="zh-CN"/>
              </w:rPr>
              <w:t>《建筑灭火器配置设计规范》GB50140</w:t>
            </w:r>
            <w:r>
              <w:rPr>
                <w:rFonts w:hint="default"/>
                <w:sz w:val="24"/>
                <w:szCs w:val="24"/>
                <w:lang w:val="en-US" w:eastAsia="zh-CN"/>
              </w:rPr>
              <w:fldChar w:fldCharType="end"/>
            </w:r>
            <w:r>
              <w:rPr>
                <w:rFonts w:hint="default"/>
                <w:sz w:val="24"/>
                <w:szCs w:val="24"/>
                <w:lang w:val="en-US" w:eastAsia="zh-CN"/>
              </w:rPr>
              <w:t>的有关规定执行，消防供水网和消防栓应采取防冻措施</w:t>
            </w:r>
          </w:p>
        </w:tc>
        <w:tc>
          <w:tcPr>
            <w:tcW w:w="2768" w:type="dxa"/>
            <w:tcBorders>
              <w:top w:val="single" w:color="auto" w:sz="4" w:space="0"/>
              <w:left w:val="single" w:color="auto" w:sz="4" w:space="0"/>
              <w:bottom w:val="single" w:color="auto" w:sz="4" w:space="0"/>
              <w:right w:val="single" w:color="auto" w:sz="4" w:space="0"/>
              <w:tl2br w:val="nil"/>
              <w:tr2bl w:val="nil"/>
            </w:tcBorders>
            <w:vAlign w:val="center"/>
          </w:tcPr>
          <w:p w14:paraId="2D5D9A0F">
            <w:pPr>
              <w:pStyle w:val="55"/>
              <w:bidi w:val="0"/>
              <w:jc w:val="both"/>
              <w:rPr>
                <w:rFonts w:hint="default"/>
                <w:sz w:val="24"/>
                <w:szCs w:val="24"/>
                <w:lang w:val="en-US" w:eastAsia="zh-CN"/>
              </w:rPr>
            </w:pPr>
            <w:r>
              <w:rPr>
                <w:rFonts w:hint="default"/>
                <w:sz w:val="24"/>
                <w:szCs w:val="24"/>
                <w:lang w:val="en-US" w:eastAsia="zh-CN"/>
              </w:rPr>
              <w:t>（1）项目废塑料贮存场地符合《一般工业固体废物贮存和填埋污染控制标准》（GB18599-2020）的有关规定。</w:t>
            </w:r>
          </w:p>
          <w:p w14:paraId="56CB0AE8">
            <w:pPr>
              <w:pStyle w:val="55"/>
              <w:bidi w:val="0"/>
              <w:jc w:val="both"/>
              <w:rPr>
                <w:rFonts w:hint="default"/>
                <w:sz w:val="24"/>
                <w:szCs w:val="24"/>
                <w:lang w:val="en-US" w:eastAsia="zh-CN"/>
              </w:rPr>
            </w:pPr>
            <w:r>
              <w:rPr>
                <w:rFonts w:hint="default"/>
                <w:sz w:val="24"/>
                <w:szCs w:val="24"/>
                <w:lang w:val="en-US" w:eastAsia="zh-CN"/>
              </w:rPr>
              <w:t>（2）项目不同种类的废塑料分开存放，并在显著位置设有标识。</w:t>
            </w:r>
          </w:p>
          <w:p w14:paraId="67F7EB50">
            <w:pPr>
              <w:pStyle w:val="55"/>
              <w:bidi w:val="0"/>
              <w:jc w:val="both"/>
              <w:rPr>
                <w:rFonts w:hint="default"/>
                <w:sz w:val="24"/>
                <w:szCs w:val="24"/>
                <w:lang w:val="en-US" w:eastAsia="zh-CN"/>
              </w:rPr>
            </w:pPr>
            <w:r>
              <w:rPr>
                <w:rFonts w:hint="default"/>
                <w:sz w:val="24"/>
                <w:szCs w:val="24"/>
                <w:lang w:val="en-US" w:eastAsia="zh-CN"/>
              </w:rPr>
              <w:t>（3）项目废塑料存放在封闭环境中，并设有防火、防雨、防晒、防渗、防扬散措施。</w:t>
            </w:r>
          </w:p>
          <w:p w14:paraId="51C99EBF">
            <w:pPr>
              <w:pStyle w:val="55"/>
              <w:bidi w:val="0"/>
              <w:jc w:val="both"/>
              <w:rPr>
                <w:rFonts w:hint="default"/>
                <w:sz w:val="24"/>
                <w:szCs w:val="24"/>
                <w:lang w:val="en-US" w:eastAsia="zh-CN"/>
              </w:rPr>
            </w:pPr>
            <w:r>
              <w:rPr>
                <w:rFonts w:hint="default"/>
                <w:sz w:val="24"/>
                <w:szCs w:val="24"/>
                <w:lang w:val="en-US" w:eastAsia="zh-CN"/>
              </w:rPr>
              <w:t>（4）项目废塑料贮存场所符合《建筑设计防火规范》</w:t>
            </w:r>
          </w:p>
          <w:p w14:paraId="0AF70758">
            <w:pPr>
              <w:pStyle w:val="55"/>
              <w:bidi w:val="0"/>
              <w:jc w:val="both"/>
              <w:rPr>
                <w:rFonts w:hint="default"/>
                <w:sz w:val="24"/>
                <w:szCs w:val="24"/>
                <w:lang w:val="en-US" w:eastAsia="zh-CN"/>
              </w:rPr>
            </w:pPr>
            <w:r>
              <w:rPr>
                <w:rFonts w:hint="default"/>
                <w:sz w:val="24"/>
                <w:szCs w:val="24"/>
                <w:lang w:val="en-US" w:eastAsia="zh-CN"/>
              </w:rPr>
              <w:t>（GB5001-2014）的有关规定。</w:t>
            </w:r>
          </w:p>
          <w:p w14:paraId="0E3213F4">
            <w:pPr>
              <w:pStyle w:val="55"/>
              <w:bidi w:val="0"/>
              <w:jc w:val="both"/>
              <w:rPr>
                <w:rFonts w:hint="default"/>
                <w:sz w:val="24"/>
                <w:szCs w:val="24"/>
                <w:lang w:val="zh-CN" w:eastAsia="zh-CN"/>
              </w:rPr>
            </w:pPr>
            <w:r>
              <w:rPr>
                <w:rFonts w:hint="default"/>
                <w:sz w:val="24"/>
                <w:szCs w:val="24"/>
                <w:lang w:val="en-US" w:eastAsia="zh-CN"/>
              </w:rPr>
              <w:t>（5）项目废塑料贮存场所配备消防设施，消防器材配备应按</w:t>
            </w:r>
            <w:r>
              <w:rPr>
                <w:rFonts w:hint="default"/>
                <w:sz w:val="24"/>
                <w:szCs w:val="24"/>
                <w:lang w:val="en-US" w:eastAsia="zh-CN"/>
              </w:rPr>
              <w:fldChar w:fldCharType="begin"/>
            </w:r>
            <w:r>
              <w:rPr>
                <w:rFonts w:hint="default"/>
                <w:sz w:val="24"/>
                <w:szCs w:val="24"/>
                <w:lang w:val="en-US" w:eastAsia="zh-CN"/>
              </w:rPr>
              <w:instrText xml:space="preserve"> HYPERLINK "http://www.baidu.com/link?url=7SazQV4I0k9tvn_4xFMCwLk8fuCTxNjo4IaUZO89aNTBsB4trjGOXpz7nu_Ofpc-eKFD_bvmtG6yA1puuHC62u8Q7HCBmZ74cY6ZTvrBm7YJ86TR7xm9f4P-6zs80V8Ik0nv2sUbisnT8TXSiwRZOq" \t "https://www.baidu.com/_blank" </w:instrText>
            </w:r>
            <w:r>
              <w:rPr>
                <w:rFonts w:hint="default"/>
                <w:sz w:val="24"/>
                <w:szCs w:val="24"/>
                <w:lang w:val="en-US" w:eastAsia="zh-CN"/>
              </w:rPr>
              <w:fldChar w:fldCharType="separate"/>
            </w:r>
            <w:r>
              <w:rPr>
                <w:rFonts w:hint="default"/>
                <w:sz w:val="24"/>
                <w:szCs w:val="24"/>
                <w:lang w:val="en-US" w:eastAsia="zh-CN"/>
              </w:rPr>
              <w:t>《建筑灭火器配置设计规范》（GB50140-2005）</w:t>
            </w:r>
            <w:r>
              <w:rPr>
                <w:rFonts w:hint="default"/>
                <w:sz w:val="24"/>
                <w:szCs w:val="24"/>
                <w:lang w:val="en-US" w:eastAsia="zh-CN"/>
              </w:rPr>
              <w:fldChar w:fldCharType="end"/>
            </w:r>
            <w:r>
              <w:rPr>
                <w:rFonts w:hint="default"/>
                <w:sz w:val="24"/>
                <w:szCs w:val="24"/>
                <w:lang w:val="en-US" w:eastAsia="zh-CN"/>
              </w:rPr>
              <w:t>的有关规定执行。</w:t>
            </w:r>
          </w:p>
        </w:tc>
        <w:tc>
          <w:tcPr>
            <w:tcW w:w="876" w:type="dxa"/>
            <w:tcBorders>
              <w:top w:val="single" w:color="auto" w:sz="4" w:space="0"/>
              <w:left w:val="single" w:color="auto" w:sz="4" w:space="0"/>
              <w:bottom w:val="single" w:color="auto" w:sz="4" w:space="0"/>
              <w:tl2br w:val="nil"/>
              <w:tr2bl w:val="nil"/>
            </w:tcBorders>
            <w:vAlign w:val="center"/>
          </w:tcPr>
          <w:p w14:paraId="68B8353F">
            <w:pPr>
              <w:pStyle w:val="55"/>
              <w:bidi w:val="0"/>
              <w:jc w:val="center"/>
              <w:rPr>
                <w:rFonts w:hint="default"/>
                <w:sz w:val="24"/>
                <w:szCs w:val="24"/>
                <w:lang w:val="zh-CN" w:eastAsia="zh-CN"/>
              </w:rPr>
            </w:pPr>
            <w:r>
              <w:rPr>
                <w:rFonts w:hint="eastAsia"/>
                <w:sz w:val="24"/>
                <w:szCs w:val="24"/>
                <w:lang w:val="en-US" w:eastAsia="zh-CN"/>
              </w:rPr>
              <w:t>符合</w:t>
            </w:r>
          </w:p>
        </w:tc>
      </w:tr>
      <w:tr w14:paraId="65956E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03" w:type="dxa"/>
            <w:tcBorders>
              <w:top w:val="single" w:color="auto" w:sz="4" w:space="0"/>
              <w:right w:val="single" w:color="auto" w:sz="4" w:space="0"/>
              <w:tl2br w:val="nil"/>
              <w:tr2bl w:val="nil"/>
            </w:tcBorders>
            <w:vAlign w:val="center"/>
          </w:tcPr>
          <w:p w14:paraId="44F94629">
            <w:pPr>
              <w:pStyle w:val="55"/>
              <w:bidi w:val="0"/>
              <w:jc w:val="center"/>
              <w:rPr>
                <w:rFonts w:hint="default"/>
                <w:sz w:val="24"/>
                <w:szCs w:val="24"/>
                <w:lang w:val="zh-CN" w:eastAsia="zh-CN"/>
              </w:rPr>
            </w:pPr>
            <w:r>
              <w:rPr>
                <w:rFonts w:hint="default"/>
                <w:sz w:val="24"/>
                <w:szCs w:val="24"/>
                <w:lang w:val="en-US" w:eastAsia="zh-CN"/>
              </w:rPr>
              <w:t>运输</w:t>
            </w:r>
          </w:p>
        </w:tc>
        <w:tc>
          <w:tcPr>
            <w:tcW w:w="4565" w:type="dxa"/>
            <w:tcBorders>
              <w:top w:val="single" w:color="auto" w:sz="4" w:space="0"/>
              <w:left w:val="single" w:color="auto" w:sz="4" w:space="0"/>
              <w:tl2br w:val="nil"/>
              <w:tr2bl w:val="nil"/>
            </w:tcBorders>
            <w:vAlign w:val="center"/>
          </w:tcPr>
          <w:p w14:paraId="25203DA9">
            <w:pPr>
              <w:pStyle w:val="55"/>
              <w:bidi w:val="0"/>
              <w:jc w:val="both"/>
              <w:rPr>
                <w:rFonts w:hint="default"/>
                <w:sz w:val="24"/>
                <w:szCs w:val="24"/>
                <w:lang w:val="en-US" w:eastAsia="zh-CN"/>
              </w:rPr>
            </w:pPr>
            <w:r>
              <w:rPr>
                <w:rFonts w:hint="default"/>
                <w:sz w:val="24"/>
                <w:szCs w:val="24"/>
                <w:lang w:val="en-US" w:eastAsia="zh-CN"/>
              </w:rPr>
              <w:t>（1）废塑料运输过程中应打包完整或采用封闭的运输工具，防止遗撒。</w:t>
            </w:r>
          </w:p>
          <w:p w14:paraId="324C7A4B">
            <w:pPr>
              <w:pStyle w:val="55"/>
              <w:bidi w:val="0"/>
              <w:jc w:val="both"/>
              <w:rPr>
                <w:rFonts w:hint="default"/>
                <w:sz w:val="24"/>
                <w:szCs w:val="24"/>
                <w:lang w:val="en-US" w:eastAsia="zh-CN"/>
              </w:rPr>
            </w:pPr>
            <w:r>
              <w:rPr>
                <w:rFonts w:hint="default"/>
                <w:sz w:val="24"/>
                <w:szCs w:val="24"/>
                <w:lang w:val="en-US" w:eastAsia="zh-CN"/>
              </w:rPr>
              <w:t>（2）废塑料包装物应防晒、防火、防高温，并在装卸、运输过程中应确保包装完好，无遗撒。</w:t>
            </w:r>
          </w:p>
          <w:p w14:paraId="6C21F031">
            <w:pPr>
              <w:pStyle w:val="55"/>
              <w:bidi w:val="0"/>
              <w:jc w:val="both"/>
              <w:rPr>
                <w:rFonts w:hint="default"/>
                <w:sz w:val="24"/>
                <w:szCs w:val="24"/>
                <w:lang w:val="en-US" w:eastAsia="zh-CN"/>
              </w:rPr>
            </w:pPr>
            <w:r>
              <w:rPr>
                <w:rFonts w:hint="default"/>
                <w:sz w:val="24"/>
                <w:szCs w:val="24"/>
                <w:lang w:val="en-US" w:eastAsia="zh-CN"/>
              </w:rPr>
              <w:t>（3）废塑料包装物表面应有标明种类、来源、原用途和去向等信息的标识，标识应清晰、易于识别、不易擦掉。</w:t>
            </w:r>
          </w:p>
          <w:p w14:paraId="2697888B">
            <w:pPr>
              <w:pStyle w:val="55"/>
              <w:bidi w:val="0"/>
              <w:jc w:val="both"/>
              <w:rPr>
                <w:rFonts w:hint="default"/>
                <w:sz w:val="24"/>
                <w:szCs w:val="24"/>
                <w:lang w:val="zh-CN" w:eastAsia="zh-CN"/>
              </w:rPr>
            </w:pPr>
            <w:r>
              <w:rPr>
                <w:rFonts w:hint="default"/>
                <w:sz w:val="24"/>
                <w:szCs w:val="24"/>
                <w:lang w:val="en-US" w:eastAsia="zh-CN"/>
              </w:rPr>
              <w:t>（4）废塑料运输工具在运输途中不得超高、超宽、超载。</w:t>
            </w:r>
          </w:p>
        </w:tc>
        <w:tc>
          <w:tcPr>
            <w:tcW w:w="2768" w:type="dxa"/>
            <w:tcBorders>
              <w:tl2br w:val="nil"/>
              <w:tr2bl w:val="nil"/>
            </w:tcBorders>
            <w:vAlign w:val="center"/>
          </w:tcPr>
          <w:p w14:paraId="37BA2D48">
            <w:pPr>
              <w:pStyle w:val="55"/>
              <w:bidi w:val="0"/>
              <w:jc w:val="both"/>
              <w:rPr>
                <w:rFonts w:hint="default"/>
                <w:sz w:val="24"/>
                <w:szCs w:val="24"/>
                <w:lang w:val="zh-CN" w:eastAsia="zh-CN"/>
              </w:rPr>
            </w:pPr>
            <w:r>
              <w:rPr>
                <w:rFonts w:hint="default"/>
                <w:sz w:val="24"/>
                <w:szCs w:val="24"/>
                <w:lang w:val="en-US" w:eastAsia="zh-CN"/>
              </w:rPr>
              <w:t>项目废塑料运输过程中打包完整，防止遗洒。项目废塑料包装物防晒、防火、防高温，并在装卸、运输过程中确保包装完好。</w:t>
            </w:r>
          </w:p>
        </w:tc>
        <w:tc>
          <w:tcPr>
            <w:tcW w:w="876" w:type="dxa"/>
            <w:tcBorders>
              <w:tl2br w:val="nil"/>
              <w:tr2bl w:val="nil"/>
            </w:tcBorders>
            <w:vAlign w:val="center"/>
          </w:tcPr>
          <w:p w14:paraId="47F5FB16">
            <w:pPr>
              <w:pStyle w:val="55"/>
              <w:bidi w:val="0"/>
              <w:jc w:val="center"/>
              <w:rPr>
                <w:rFonts w:hint="default"/>
                <w:sz w:val="24"/>
                <w:szCs w:val="24"/>
                <w:lang w:val="zh-CN"/>
              </w:rPr>
            </w:pPr>
            <w:r>
              <w:rPr>
                <w:rFonts w:hint="default"/>
                <w:sz w:val="24"/>
                <w:szCs w:val="24"/>
                <w:lang w:val="en-US"/>
              </w:rPr>
              <w:t>符合</w:t>
            </w:r>
          </w:p>
        </w:tc>
      </w:tr>
    </w:tbl>
    <w:p w14:paraId="49CAF8EA">
      <w:pPr>
        <w:pStyle w:val="47"/>
        <w:keepNext w:val="0"/>
        <w:keepLines w:val="0"/>
        <w:pageBreakBefore w:val="0"/>
        <w:widowControl w:val="0"/>
        <w:numPr>
          <w:ilvl w:val="0"/>
          <w:numId w:val="0"/>
        </w:numPr>
        <w:kinsoku/>
        <w:wordWrap/>
        <w:overflowPunct/>
        <w:topLinePunct w:val="0"/>
        <w:autoSpaceDE/>
        <w:autoSpaceDN/>
        <w:bidi w:val="0"/>
        <w:adjustRightInd w:val="0"/>
        <w:snapToGrid w:val="0"/>
        <w:ind w:firstLine="560" w:firstLineChars="200"/>
        <w:textAlignment w:val="auto"/>
        <w:rPr>
          <w:rFonts w:hint="default"/>
          <w:lang w:val="en-US" w:eastAsia="zh-CN"/>
        </w:rPr>
      </w:pPr>
      <w:r>
        <w:rPr>
          <w:rFonts w:hint="eastAsia"/>
          <w:lang w:val="en-US" w:eastAsia="zh-CN"/>
        </w:rPr>
        <w:t>（5）</w:t>
      </w:r>
      <w:r>
        <w:rPr>
          <w:rFonts w:hint="default"/>
          <w:lang w:val="en-US" w:eastAsia="zh-CN"/>
        </w:rPr>
        <w:t>《关于促进全区废旧塑料再生利用行业有序发展的指导意见》新环环评发〔2020〕5号）</w:t>
      </w:r>
    </w:p>
    <w:p w14:paraId="28B06C79">
      <w:pPr>
        <w:pStyle w:val="47"/>
        <w:keepNext w:val="0"/>
        <w:keepLines w:val="0"/>
        <w:pageBreakBefore w:val="0"/>
        <w:widowControl w:val="0"/>
        <w:numPr>
          <w:ilvl w:val="0"/>
          <w:numId w:val="0"/>
        </w:numPr>
        <w:kinsoku/>
        <w:wordWrap/>
        <w:overflowPunct/>
        <w:topLinePunct w:val="0"/>
        <w:autoSpaceDE/>
        <w:autoSpaceDN/>
        <w:bidi w:val="0"/>
        <w:adjustRightInd w:val="0"/>
        <w:snapToGrid w:val="0"/>
        <w:ind w:firstLine="560" w:firstLineChars="200"/>
        <w:textAlignment w:val="auto"/>
        <w:rPr>
          <w:rFonts w:hint="default"/>
          <w:lang w:val="en-US" w:eastAsia="zh-CN"/>
        </w:rPr>
      </w:pPr>
      <w:r>
        <w:rPr>
          <w:rFonts w:hint="default"/>
          <w:lang w:val="en-US" w:eastAsia="zh-CN"/>
        </w:rPr>
        <w:t>项目与《关于促进全区废旧塑料再生利用行业有序发展的指导意见》（新环环评发〔2020〕5号）符合性分析详见</w:t>
      </w:r>
      <w:r>
        <w:rPr>
          <w:rFonts w:hint="eastAsia"/>
          <w:lang w:val="en-US" w:eastAsia="zh-CN"/>
        </w:rPr>
        <w:t>下</w:t>
      </w:r>
      <w:r>
        <w:rPr>
          <w:rFonts w:hint="default"/>
          <w:lang w:val="en-US" w:eastAsia="zh-CN"/>
        </w:rPr>
        <w:t>表。</w:t>
      </w:r>
    </w:p>
    <w:p w14:paraId="3D1BB521">
      <w:pPr>
        <w:pStyle w:val="94"/>
        <w:bidi w:val="0"/>
        <w:ind w:left="0" w:leftChars="0" w:firstLine="0" w:firstLineChars="0"/>
        <w:rPr>
          <w:rFonts w:hint="default"/>
          <w:lang w:val="en-US" w:eastAsia="zh-CN"/>
        </w:rPr>
      </w:pPr>
      <w:r>
        <w:rPr>
          <w:rFonts w:hint="default"/>
          <w:lang w:val="en-US" w:eastAsia="zh-CN"/>
        </w:rPr>
        <w:t>《关于促进全区废旧塑料再生利用行业有序发展的指导意见》符合性分析</w:t>
      </w:r>
    </w:p>
    <w:tbl>
      <w:tblPr>
        <w:tblStyle w:val="32"/>
        <w:tblW w:w="508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1"/>
        <w:gridCol w:w="4654"/>
        <w:gridCol w:w="2711"/>
        <w:gridCol w:w="1097"/>
      </w:tblGrid>
      <w:tr w14:paraId="385986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750" w:type="dxa"/>
            <w:tcBorders>
              <w:tl2br w:val="nil"/>
              <w:tr2bl w:val="nil"/>
            </w:tcBorders>
            <w:vAlign w:val="center"/>
          </w:tcPr>
          <w:p w14:paraId="1E16180D">
            <w:pPr>
              <w:pStyle w:val="55"/>
              <w:bidi w:val="0"/>
              <w:rPr>
                <w:rFonts w:hint="default"/>
                <w:sz w:val="24"/>
                <w:szCs w:val="24"/>
                <w:lang w:val="zh-CN"/>
              </w:rPr>
            </w:pPr>
            <w:r>
              <w:rPr>
                <w:rFonts w:hint="default"/>
                <w:sz w:val="24"/>
                <w:szCs w:val="24"/>
                <w:lang w:val="zh-CN"/>
              </w:rPr>
              <w:t>项目</w:t>
            </w:r>
          </w:p>
        </w:tc>
        <w:tc>
          <w:tcPr>
            <w:tcW w:w="4534" w:type="dxa"/>
            <w:tcBorders>
              <w:tl2br w:val="nil"/>
              <w:tr2bl w:val="nil"/>
            </w:tcBorders>
            <w:vAlign w:val="center"/>
          </w:tcPr>
          <w:p w14:paraId="562F57CD">
            <w:pPr>
              <w:pStyle w:val="55"/>
              <w:bidi w:val="0"/>
              <w:rPr>
                <w:rFonts w:hint="default"/>
                <w:sz w:val="24"/>
                <w:szCs w:val="24"/>
                <w:lang w:val="zh-CN"/>
              </w:rPr>
            </w:pPr>
            <w:r>
              <w:rPr>
                <w:rFonts w:hint="default"/>
                <w:sz w:val="24"/>
                <w:szCs w:val="24"/>
                <w:lang w:val="zh-CN"/>
              </w:rPr>
              <w:t>指导意见</w:t>
            </w:r>
          </w:p>
        </w:tc>
        <w:tc>
          <w:tcPr>
            <w:tcW w:w="2640" w:type="dxa"/>
            <w:tcBorders>
              <w:tl2br w:val="nil"/>
              <w:tr2bl w:val="nil"/>
            </w:tcBorders>
            <w:vAlign w:val="center"/>
          </w:tcPr>
          <w:p w14:paraId="674D8042">
            <w:pPr>
              <w:pStyle w:val="55"/>
              <w:bidi w:val="0"/>
              <w:rPr>
                <w:rFonts w:hint="default"/>
                <w:sz w:val="24"/>
                <w:szCs w:val="24"/>
                <w:lang w:val="zh-CN"/>
              </w:rPr>
            </w:pPr>
            <w:r>
              <w:rPr>
                <w:rFonts w:hint="default"/>
                <w:sz w:val="24"/>
                <w:szCs w:val="24"/>
                <w:lang w:val="zh-CN"/>
              </w:rPr>
              <w:t>项目情况</w:t>
            </w:r>
          </w:p>
        </w:tc>
        <w:tc>
          <w:tcPr>
            <w:tcW w:w="1068" w:type="dxa"/>
            <w:tcBorders>
              <w:tl2br w:val="nil"/>
              <w:tr2bl w:val="nil"/>
            </w:tcBorders>
            <w:vAlign w:val="center"/>
          </w:tcPr>
          <w:p w14:paraId="63929452">
            <w:pPr>
              <w:pStyle w:val="55"/>
              <w:bidi w:val="0"/>
              <w:rPr>
                <w:rFonts w:hint="default"/>
                <w:sz w:val="24"/>
                <w:szCs w:val="24"/>
                <w:lang w:val="zh-CN"/>
              </w:rPr>
            </w:pPr>
            <w:r>
              <w:rPr>
                <w:rFonts w:hint="default"/>
                <w:sz w:val="24"/>
                <w:szCs w:val="24"/>
                <w:lang w:val="zh-CN"/>
              </w:rPr>
              <w:t>符合性</w:t>
            </w:r>
          </w:p>
        </w:tc>
      </w:tr>
      <w:tr w14:paraId="28D41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750" w:type="dxa"/>
            <w:tcBorders>
              <w:tl2br w:val="nil"/>
              <w:tr2bl w:val="nil"/>
            </w:tcBorders>
            <w:vAlign w:val="center"/>
          </w:tcPr>
          <w:p w14:paraId="71CB0869">
            <w:pPr>
              <w:pStyle w:val="55"/>
              <w:bidi w:val="0"/>
              <w:rPr>
                <w:rFonts w:hint="default"/>
                <w:sz w:val="24"/>
                <w:szCs w:val="24"/>
                <w:lang w:val="zh-CN"/>
              </w:rPr>
            </w:pPr>
            <w:r>
              <w:rPr>
                <w:rFonts w:hint="default"/>
                <w:sz w:val="24"/>
                <w:szCs w:val="24"/>
                <w:lang w:val="zh-CN"/>
              </w:rPr>
              <w:t>产业</w:t>
            </w:r>
          </w:p>
          <w:p w14:paraId="79683303">
            <w:pPr>
              <w:pStyle w:val="55"/>
              <w:bidi w:val="0"/>
              <w:rPr>
                <w:rFonts w:hint="default"/>
                <w:sz w:val="24"/>
                <w:szCs w:val="24"/>
                <w:lang w:val="zh-CN"/>
              </w:rPr>
            </w:pPr>
            <w:r>
              <w:rPr>
                <w:rFonts w:hint="default"/>
                <w:sz w:val="24"/>
                <w:szCs w:val="24"/>
                <w:lang w:val="zh-CN"/>
              </w:rPr>
              <w:t>政策</w:t>
            </w:r>
          </w:p>
        </w:tc>
        <w:tc>
          <w:tcPr>
            <w:tcW w:w="4534" w:type="dxa"/>
            <w:tcBorders>
              <w:tl2br w:val="nil"/>
              <w:tr2bl w:val="nil"/>
            </w:tcBorders>
            <w:vAlign w:val="center"/>
          </w:tcPr>
          <w:p w14:paraId="1E6BC797">
            <w:pPr>
              <w:pStyle w:val="55"/>
              <w:bidi w:val="0"/>
              <w:rPr>
                <w:rFonts w:hint="default"/>
                <w:sz w:val="24"/>
                <w:szCs w:val="24"/>
                <w:lang w:val="zh-CN"/>
              </w:rPr>
            </w:pPr>
            <w:r>
              <w:rPr>
                <w:rFonts w:hint="default"/>
                <w:sz w:val="24"/>
                <w:szCs w:val="24"/>
                <w:lang w:val="zh-CN"/>
              </w:rPr>
              <w:t>必须符合《废塑料综合利用行业规范条件》</w:t>
            </w:r>
          </w:p>
        </w:tc>
        <w:tc>
          <w:tcPr>
            <w:tcW w:w="2640" w:type="dxa"/>
            <w:tcBorders>
              <w:tl2br w:val="nil"/>
              <w:tr2bl w:val="nil"/>
            </w:tcBorders>
            <w:vAlign w:val="center"/>
          </w:tcPr>
          <w:p w14:paraId="43E3A721">
            <w:pPr>
              <w:pStyle w:val="55"/>
              <w:bidi w:val="0"/>
              <w:rPr>
                <w:rFonts w:hint="default"/>
                <w:sz w:val="24"/>
                <w:szCs w:val="24"/>
                <w:lang w:val="zh-CN"/>
              </w:rPr>
            </w:pPr>
            <w:r>
              <w:rPr>
                <w:rFonts w:hint="default"/>
                <w:sz w:val="24"/>
                <w:szCs w:val="24"/>
                <w:lang w:val="zh-CN"/>
              </w:rPr>
              <w:t>详见表</w:t>
            </w:r>
            <w:r>
              <w:rPr>
                <w:rFonts w:hint="eastAsia"/>
                <w:sz w:val="24"/>
                <w:szCs w:val="24"/>
                <w:lang w:val="en-US" w:eastAsia="zh-CN"/>
              </w:rPr>
              <w:t>1.4-4</w:t>
            </w:r>
            <w:r>
              <w:rPr>
                <w:rFonts w:hint="default"/>
                <w:sz w:val="24"/>
                <w:szCs w:val="24"/>
                <w:lang w:val="zh-CN"/>
              </w:rPr>
              <w:t>分析</w:t>
            </w:r>
          </w:p>
        </w:tc>
        <w:tc>
          <w:tcPr>
            <w:tcW w:w="1068" w:type="dxa"/>
            <w:tcBorders>
              <w:tl2br w:val="nil"/>
              <w:tr2bl w:val="nil"/>
            </w:tcBorders>
            <w:vAlign w:val="center"/>
          </w:tcPr>
          <w:p w14:paraId="5C0397FF">
            <w:pPr>
              <w:pStyle w:val="55"/>
              <w:bidi w:val="0"/>
              <w:rPr>
                <w:rFonts w:hint="default"/>
                <w:sz w:val="24"/>
                <w:szCs w:val="24"/>
                <w:lang w:val="zh-CN"/>
              </w:rPr>
            </w:pPr>
            <w:r>
              <w:rPr>
                <w:rFonts w:hint="default"/>
                <w:sz w:val="24"/>
                <w:szCs w:val="24"/>
                <w:lang w:val="zh-CN"/>
              </w:rPr>
              <w:t>符合</w:t>
            </w:r>
          </w:p>
        </w:tc>
      </w:tr>
      <w:tr w14:paraId="774FD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750" w:type="dxa"/>
            <w:vMerge w:val="restart"/>
            <w:tcBorders>
              <w:tl2br w:val="nil"/>
              <w:tr2bl w:val="nil"/>
            </w:tcBorders>
            <w:vAlign w:val="center"/>
          </w:tcPr>
          <w:p w14:paraId="7D262B2F">
            <w:pPr>
              <w:pStyle w:val="55"/>
              <w:bidi w:val="0"/>
              <w:rPr>
                <w:rFonts w:hint="default"/>
                <w:sz w:val="24"/>
                <w:szCs w:val="24"/>
                <w:lang w:val="zh-CN"/>
              </w:rPr>
            </w:pPr>
            <w:r>
              <w:rPr>
                <w:rFonts w:hint="default"/>
                <w:sz w:val="24"/>
                <w:szCs w:val="24"/>
                <w:lang w:val="zh-CN"/>
              </w:rPr>
              <w:t>选址要求</w:t>
            </w:r>
          </w:p>
        </w:tc>
        <w:tc>
          <w:tcPr>
            <w:tcW w:w="4534" w:type="dxa"/>
            <w:tcBorders>
              <w:tl2br w:val="nil"/>
              <w:tr2bl w:val="nil"/>
            </w:tcBorders>
            <w:vAlign w:val="center"/>
          </w:tcPr>
          <w:p w14:paraId="432CF411">
            <w:pPr>
              <w:pStyle w:val="55"/>
              <w:bidi w:val="0"/>
              <w:jc w:val="both"/>
              <w:rPr>
                <w:rFonts w:hint="default"/>
                <w:sz w:val="24"/>
                <w:szCs w:val="24"/>
                <w:lang w:val="zh-CN"/>
              </w:rPr>
            </w:pPr>
            <w:r>
              <w:rPr>
                <w:rFonts w:hint="default"/>
                <w:sz w:val="24"/>
                <w:szCs w:val="24"/>
                <w:lang w:val="zh-CN"/>
              </w:rPr>
              <w:t>新建和改扩建废塑料再生利用项目必须严格执行生态环境保护法律法规和环境影响评价制度，未经有审批权生态环境行政主管部门审批，不得建设和组织生产</w:t>
            </w:r>
            <w:r>
              <w:rPr>
                <w:rFonts w:hint="eastAsia"/>
                <w:sz w:val="24"/>
                <w:szCs w:val="24"/>
                <w:lang w:val="zh-CN"/>
              </w:rPr>
              <w:t>。</w:t>
            </w:r>
          </w:p>
        </w:tc>
        <w:tc>
          <w:tcPr>
            <w:tcW w:w="2640" w:type="dxa"/>
            <w:tcBorders>
              <w:tl2br w:val="nil"/>
              <w:tr2bl w:val="nil"/>
            </w:tcBorders>
            <w:vAlign w:val="center"/>
          </w:tcPr>
          <w:p w14:paraId="54BA3A20">
            <w:pPr>
              <w:pStyle w:val="55"/>
              <w:bidi w:val="0"/>
              <w:jc w:val="center"/>
              <w:rPr>
                <w:rFonts w:hint="default"/>
                <w:sz w:val="24"/>
                <w:szCs w:val="24"/>
                <w:lang w:val="zh-CN"/>
              </w:rPr>
            </w:pPr>
            <w:r>
              <w:rPr>
                <w:rFonts w:hint="default"/>
                <w:sz w:val="24"/>
                <w:szCs w:val="24"/>
                <w:lang w:val="zh-CN"/>
              </w:rPr>
              <w:t>项目严格执行环评审批制度</w:t>
            </w:r>
          </w:p>
        </w:tc>
        <w:tc>
          <w:tcPr>
            <w:tcW w:w="1068" w:type="dxa"/>
            <w:tcBorders>
              <w:tl2br w:val="nil"/>
              <w:tr2bl w:val="nil"/>
            </w:tcBorders>
            <w:vAlign w:val="center"/>
          </w:tcPr>
          <w:p w14:paraId="18AA3109">
            <w:pPr>
              <w:pStyle w:val="55"/>
              <w:bidi w:val="0"/>
              <w:rPr>
                <w:rFonts w:hint="default"/>
                <w:sz w:val="24"/>
                <w:szCs w:val="24"/>
                <w:lang w:val="zh-CN"/>
              </w:rPr>
            </w:pPr>
          </w:p>
          <w:p w14:paraId="43E98812">
            <w:pPr>
              <w:pStyle w:val="55"/>
              <w:bidi w:val="0"/>
              <w:rPr>
                <w:rFonts w:hint="default"/>
                <w:sz w:val="24"/>
                <w:szCs w:val="24"/>
                <w:lang w:val="zh-CN"/>
              </w:rPr>
            </w:pPr>
            <w:r>
              <w:rPr>
                <w:rFonts w:hint="default"/>
                <w:sz w:val="24"/>
                <w:szCs w:val="24"/>
                <w:lang w:val="zh-CN"/>
              </w:rPr>
              <w:t>符合</w:t>
            </w:r>
          </w:p>
        </w:tc>
      </w:tr>
      <w:tr w14:paraId="66210F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750" w:type="dxa"/>
            <w:vMerge w:val="continue"/>
            <w:tcBorders>
              <w:tl2br w:val="nil"/>
              <w:tr2bl w:val="nil"/>
            </w:tcBorders>
            <w:vAlign w:val="center"/>
          </w:tcPr>
          <w:p w14:paraId="0633826F">
            <w:pPr>
              <w:pStyle w:val="55"/>
              <w:bidi w:val="0"/>
              <w:rPr>
                <w:rFonts w:hint="default"/>
                <w:sz w:val="24"/>
                <w:szCs w:val="24"/>
                <w:lang w:val="zh-CN"/>
              </w:rPr>
            </w:pPr>
          </w:p>
        </w:tc>
        <w:tc>
          <w:tcPr>
            <w:tcW w:w="4534" w:type="dxa"/>
            <w:tcBorders>
              <w:tl2br w:val="nil"/>
              <w:tr2bl w:val="nil"/>
            </w:tcBorders>
            <w:vAlign w:val="center"/>
          </w:tcPr>
          <w:p w14:paraId="3A354FD2">
            <w:pPr>
              <w:pStyle w:val="55"/>
              <w:bidi w:val="0"/>
              <w:rPr>
                <w:rFonts w:hint="default"/>
                <w:sz w:val="24"/>
                <w:szCs w:val="24"/>
                <w:lang w:val="zh-CN"/>
              </w:rPr>
            </w:pPr>
            <w:r>
              <w:rPr>
                <w:rFonts w:hint="default"/>
                <w:sz w:val="24"/>
                <w:szCs w:val="24"/>
                <w:lang w:val="zh-CN"/>
              </w:rPr>
              <w:t>在各级人民政府依法设立的工业区以外进行项目建设的，不得占用农用地，且不得在城乡规划区边界外5公里以内，区控重点河流两岸、高速公路、铁路干线及重要地下管网及其他需严防污染的食品、药品等企业周边1000米以内建设；禁止在生态保护红线内新建废塑料再生利用企业。已在上述区域内开工建设、投产运营的废塑料再生利用项目和企业，要通过搬迁、转产等方式逐步退出。</w:t>
            </w:r>
          </w:p>
        </w:tc>
        <w:tc>
          <w:tcPr>
            <w:tcW w:w="2640" w:type="dxa"/>
            <w:tcBorders>
              <w:tl2br w:val="nil"/>
              <w:tr2bl w:val="nil"/>
            </w:tcBorders>
            <w:vAlign w:val="center"/>
          </w:tcPr>
          <w:p w14:paraId="4A4F4787">
            <w:pPr>
              <w:pStyle w:val="55"/>
              <w:bidi w:val="0"/>
              <w:rPr>
                <w:rFonts w:hint="eastAsia" w:eastAsia="楷体"/>
                <w:sz w:val="24"/>
                <w:szCs w:val="24"/>
                <w:lang w:val="zh-CN" w:eastAsia="zh-CN"/>
              </w:rPr>
            </w:pPr>
            <w:r>
              <w:rPr>
                <w:rFonts w:hint="eastAsia"/>
                <w:sz w:val="24"/>
                <w:szCs w:val="24"/>
                <w:highlight w:val="none"/>
                <w:lang w:val="en-US" w:eastAsia="zh-CN"/>
              </w:rPr>
              <w:t>项目位于顺平县塑料产业循环经济园区（北区）内</w:t>
            </w:r>
            <w:r>
              <w:rPr>
                <w:rFonts w:hint="default"/>
                <w:sz w:val="24"/>
                <w:szCs w:val="24"/>
                <w:lang w:val="en-US"/>
              </w:rPr>
              <w:t>，占地性质为工业用地</w:t>
            </w:r>
            <w:r>
              <w:rPr>
                <w:rFonts w:hint="eastAsia"/>
                <w:sz w:val="24"/>
                <w:szCs w:val="24"/>
                <w:lang w:val="en-US" w:eastAsia="zh-CN"/>
              </w:rPr>
              <w:t>。</w:t>
            </w:r>
          </w:p>
        </w:tc>
        <w:tc>
          <w:tcPr>
            <w:tcW w:w="1068" w:type="dxa"/>
            <w:tcBorders>
              <w:tl2br w:val="nil"/>
              <w:tr2bl w:val="nil"/>
            </w:tcBorders>
            <w:vAlign w:val="center"/>
          </w:tcPr>
          <w:p w14:paraId="2647F57D">
            <w:pPr>
              <w:pStyle w:val="55"/>
              <w:bidi w:val="0"/>
              <w:rPr>
                <w:rFonts w:hint="default"/>
                <w:sz w:val="24"/>
                <w:szCs w:val="24"/>
                <w:lang w:val="zh-CN"/>
              </w:rPr>
            </w:pPr>
            <w:r>
              <w:rPr>
                <w:rFonts w:hint="default"/>
                <w:sz w:val="24"/>
                <w:szCs w:val="24"/>
                <w:lang w:val="zh-CN"/>
              </w:rPr>
              <w:t>符合</w:t>
            </w:r>
          </w:p>
        </w:tc>
      </w:tr>
      <w:tr w14:paraId="2651C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750" w:type="dxa"/>
            <w:tcBorders>
              <w:tl2br w:val="nil"/>
              <w:tr2bl w:val="nil"/>
            </w:tcBorders>
            <w:vAlign w:val="center"/>
          </w:tcPr>
          <w:p w14:paraId="532EDE7C">
            <w:pPr>
              <w:pStyle w:val="55"/>
              <w:bidi w:val="0"/>
              <w:rPr>
                <w:rFonts w:hint="default"/>
                <w:sz w:val="24"/>
                <w:szCs w:val="24"/>
                <w:lang w:val="zh-CN"/>
              </w:rPr>
            </w:pPr>
            <w:r>
              <w:rPr>
                <w:rFonts w:hint="default"/>
                <w:sz w:val="24"/>
                <w:szCs w:val="24"/>
                <w:lang w:val="zh-CN"/>
              </w:rPr>
              <w:t>污染防治要求</w:t>
            </w:r>
          </w:p>
        </w:tc>
        <w:tc>
          <w:tcPr>
            <w:tcW w:w="4534" w:type="dxa"/>
            <w:tcBorders>
              <w:tl2br w:val="nil"/>
              <w:tr2bl w:val="nil"/>
            </w:tcBorders>
            <w:vAlign w:val="center"/>
          </w:tcPr>
          <w:p w14:paraId="622513B0">
            <w:pPr>
              <w:pStyle w:val="55"/>
              <w:bidi w:val="0"/>
              <w:jc w:val="both"/>
              <w:rPr>
                <w:rFonts w:hint="default"/>
                <w:sz w:val="24"/>
                <w:szCs w:val="24"/>
                <w:lang w:val="zh-CN"/>
              </w:rPr>
            </w:pPr>
            <w:r>
              <w:rPr>
                <w:rFonts w:hint="default"/>
                <w:sz w:val="24"/>
                <w:szCs w:val="24"/>
                <w:lang w:val="zh-CN"/>
              </w:rPr>
              <w:t>废塑料再生利用项目和生产企业必须建有围墙并按功能划分厂区，包括管理区、原料贮存区、生产区、产品贮存区、污染控制区（包括不可利用的废物的贮存和处理区）。所有功能区必须有封闭或半封闭设施，必须设置防风、防雨、防渗、防火措施，并符合消防安全要求。</w:t>
            </w:r>
          </w:p>
        </w:tc>
        <w:tc>
          <w:tcPr>
            <w:tcW w:w="2640" w:type="dxa"/>
            <w:tcBorders>
              <w:tl2br w:val="nil"/>
              <w:tr2bl w:val="nil"/>
            </w:tcBorders>
            <w:vAlign w:val="center"/>
          </w:tcPr>
          <w:p w14:paraId="192F9450">
            <w:pPr>
              <w:pStyle w:val="55"/>
              <w:bidi w:val="0"/>
              <w:jc w:val="both"/>
              <w:rPr>
                <w:rFonts w:hint="default"/>
                <w:sz w:val="24"/>
                <w:szCs w:val="24"/>
                <w:lang w:val="zh-CN"/>
              </w:rPr>
            </w:pPr>
            <w:r>
              <w:rPr>
                <w:rFonts w:hint="default"/>
                <w:sz w:val="24"/>
                <w:szCs w:val="24"/>
                <w:lang w:val="zh-CN"/>
              </w:rPr>
              <w:t>项目厂区建设围墙，厂区按功能划分为</w:t>
            </w:r>
            <w:r>
              <w:rPr>
                <w:rFonts w:hint="eastAsia"/>
                <w:sz w:val="24"/>
                <w:szCs w:val="24"/>
                <w:lang w:val="en-US" w:eastAsia="zh-CN"/>
              </w:rPr>
              <w:t>办公</w:t>
            </w:r>
            <w:r>
              <w:rPr>
                <w:rFonts w:hint="default"/>
                <w:sz w:val="24"/>
                <w:szCs w:val="24"/>
                <w:lang w:val="zh-CN"/>
              </w:rPr>
              <w:t>区、生产区、</w:t>
            </w:r>
            <w:r>
              <w:rPr>
                <w:rFonts w:hint="eastAsia"/>
                <w:sz w:val="24"/>
                <w:szCs w:val="24"/>
                <w:lang w:val="en-US" w:eastAsia="zh-CN"/>
              </w:rPr>
              <w:t>原料</w:t>
            </w:r>
            <w:r>
              <w:rPr>
                <w:rFonts w:hint="default"/>
                <w:sz w:val="24"/>
                <w:szCs w:val="24"/>
                <w:lang w:val="zh-CN"/>
              </w:rPr>
              <w:t>区，均为全封闭的厂房，原料</w:t>
            </w:r>
            <w:r>
              <w:rPr>
                <w:rFonts w:hint="eastAsia"/>
                <w:sz w:val="24"/>
                <w:szCs w:val="24"/>
                <w:lang w:val="en-US" w:eastAsia="zh-CN"/>
              </w:rPr>
              <w:t>车间</w:t>
            </w:r>
            <w:r>
              <w:rPr>
                <w:rFonts w:hint="default"/>
                <w:sz w:val="24"/>
                <w:szCs w:val="24"/>
                <w:lang w:val="zh-CN"/>
              </w:rPr>
              <w:t>地面硬化，原料采用篷布遮盖，设置有防风、防雨、防渗、防火措施，符合消防安全要求。</w:t>
            </w:r>
          </w:p>
        </w:tc>
        <w:tc>
          <w:tcPr>
            <w:tcW w:w="1068" w:type="dxa"/>
            <w:tcBorders>
              <w:tl2br w:val="nil"/>
              <w:tr2bl w:val="nil"/>
            </w:tcBorders>
            <w:vAlign w:val="center"/>
          </w:tcPr>
          <w:p w14:paraId="016917F0">
            <w:pPr>
              <w:pStyle w:val="55"/>
              <w:bidi w:val="0"/>
              <w:rPr>
                <w:rFonts w:hint="default"/>
                <w:sz w:val="24"/>
                <w:szCs w:val="24"/>
                <w:lang w:val="zh-CN"/>
              </w:rPr>
            </w:pPr>
            <w:r>
              <w:rPr>
                <w:rFonts w:hint="default"/>
                <w:sz w:val="24"/>
                <w:szCs w:val="24"/>
                <w:lang w:val="zh-CN"/>
              </w:rPr>
              <w:t>符合</w:t>
            </w:r>
          </w:p>
        </w:tc>
      </w:tr>
    </w:tbl>
    <w:p w14:paraId="5DA4CFAB">
      <w:pPr>
        <w:pStyle w:val="47"/>
        <w:bidi w:val="0"/>
        <w:rPr>
          <w:rFonts w:hint="default"/>
          <w:lang w:val="en-US" w:eastAsia="zh-CN"/>
        </w:rPr>
      </w:pPr>
      <w:bookmarkStart w:id="9" w:name="2.6.2.4 与《国务院关于加快发展循环经济的若干意见》符合性"/>
      <w:bookmarkEnd w:id="9"/>
      <w:bookmarkStart w:id="10" w:name="2.6.2.4 与《国务院关于加快发展循环经济的若干意见》符合性"/>
      <w:bookmarkEnd w:id="10"/>
      <w:r>
        <w:rPr>
          <w:rFonts w:hint="eastAsia"/>
          <w:lang w:val="en-US" w:eastAsia="zh-CN"/>
        </w:rPr>
        <w:t>（6）</w:t>
      </w:r>
      <w:r>
        <w:rPr>
          <w:rFonts w:hint="default"/>
          <w:lang w:val="en-US" w:eastAsia="zh-CN"/>
        </w:rPr>
        <w:t>《国家发展改革委生态环境部关于印发“十四五”塑料污染治理行动方案的通知》（发改环资〔2021〕1298号）</w:t>
      </w:r>
    </w:p>
    <w:p w14:paraId="6C6A4C71">
      <w:pPr>
        <w:pStyle w:val="47"/>
        <w:bidi w:val="0"/>
        <w:rPr>
          <w:rFonts w:hint="default"/>
          <w:lang w:val="en-US" w:eastAsia="zh-CN"/>
        </w:rPr>
      </w:pPr>
      <w:r>
        <w:rPr>
          <w:rFonts w:hint="default"/>
          <w:lang w:val="en-US" w:eastAsia="zh-CN"/>
        </w:rPr>
        <w:t>项目与《国家发展改革委生态环境部关于印发“十四五”塑料污染治理行动方案的通知》（发改环资〔2021〕1298号）符合性分析见下表。</w:t>
      </w:r>
    </w:p>
    <w:p w14:paraId="42F13D38">
      <w:pPr>
        <w:pStyle w:val="94"/>
        <w:bidi w:val="0"/>
        <w:ind w:left="0" w:leftChars="0" w:firstLine="0" w:firstLineChars="0"/>
        <w:rPr>
          <w:rFonts w:hint="default"/>
          <w:lang w:val="en-US" w:eastAsia="zh-CN"/>
        </w:rPr>
      </w:pPr>
      <w:r>
        <w:rPr>
          <w:rFonts w:hint="default"/>
          <w:lang w:val="en-US" w:eastAsia="zh-CN"/>
        </w:rPr>
        <w:t>与《关于印发“十四五”塑料污染治理行动方案》符合性分析</w:t>
      </w:r>
      <w:r>
        <w:rPr>
          <w:rFonts w:hint="eastAsia"/>
          <w:lang w:val="en-US" w:eastAsia="zh-CN"/>
        </w:rPr>
        <w:t>一览表</w:t>
      </w:r>
    </w:p>
    <w:tbl>
      <w:tblPr>
        <w:tblStyle w:val="133"/>
        <w:tblW w:w="5015" w:type="pct"/>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48"/>
        <w:gridCol w:w="1083"/>
        <w:gridCol w:w="3664"/>
        <w:gridCol w:w="2918"/>
        <w:gridCol w:w="891"/>
      </w:tblGrid>
      <w:tr w14:paraId="44B7ED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tblHeader/>
        </w:trPr>
        <w:tc>
          <w:tcPr>
            <w:tcW w:w="548" w:type="dxa"/>
            <w:vAlign w:val="center"/>
          </w:tcPr>
          <w:p w14:paraId="6C727864">
            <w:pPr>
              <w:pStyle w:val="55"/>
              <w:bidi w:val="0"/>
              <w:rPr>
                <w:rFonts w:hint="default"/>
                <w:sz w:val="24"/>
                <w:szCs w:val="24"/>
                <w:lang w:val="zh-CN"/>
              </w:rPr>
            </w:pPr>
            <w:r>
              <w:rPr>
                <w:rFonts w:hint="default"/>
                <w:sz w:val="24"/>
                <w:szCs w:val="24"/>
                <w:lang w:val="zh-CN"/>
              </w:rPr>
              <w:t>序号</w:t>
            </w:r>
          </w:p>
        </w:tc>
        <w:tc>
          <w:tcPr>
            <w:tcW w:w="1083" w:type="dxa"/>
            <w:vAlign w:val="center"/>
          </w:tcPr>
          <w:p w14:paraId="144C79AC">
            <w:pPr>
              <w:pStyle w:val="55"/>
              <w:bidi w:val="0"/>
              <w:rPr>
                <w:rFonts w:hint="default"/>
                <w:sz w:val="24"/>
                <w:szCs w:val="24"/>
                <w:lang w:val="zh-CN"/>
              </w:rPr>
            </w:pPr>
            <w:r>
              <w:rPr>
                <w:rFonts w:hint="default"/>
                <w:sz w:val="24"/>
                <w:szCs w:val="24"/>
                <w:lang w:val="zh-CN"/>
              </w:rPr>
              <w:t>要求</w:t>
            </w:r>
          </w:p>
        </w:tc>
        <w:tc>
          <w:tcPr>
            <w:tcW w:w="3662" w:type="dxa"/>
            <w:vAlign w:val="center"/>
          </w:tcPr>
          <w:p w14:paraId="7875453D">
            <w:pPr>
              <w:pStyle w:val="55"/>
              <w:bidi w:val="0"/>
              <w:rPr>
                <w:rFonts w:hint="default"/>
                <w:sz w:val="24"/>
                <w:szCs w:val="24"/>
                <w:lang w:val="zh-CN"/>
              </w:rPr>
            </w:pPr>
            <w:r>
              <w:rPr>
                <w:rFonts w:hint="default"/>
                <w:sz w:val="24"/>
                <w:szCs w:val="24"/>
                <w:lang w:val="zh-CN"/>
              </w:rPr>
              <w:t>内容</w:t>
            </w:r>
          </w:p>
        </w:tc>
        <w:tc>
          <w:tcPr>
            <w:tcW w:w="2917" w:type="dxa"/>
            <w:vAlign w:val="center"/>
          </w:tcPr>
          <w:p w14:paraId="7021CEB6">
            <w:pPr>
              <w:pStyle w:val="55"/>
              <w:bidi w:val="0"/>
              <w:rPr>
                <w:rFonts w:hint="eastAsia" w:eastAsia="楷体"/>
                <w:sz w:val="24"/>
                <w:szCs w:val="24"/>
                <w:lang w:val="zh-CN" w:eastAsia="zh-CN"/>
              </w:rPr>
            </w:pPr>
            <w:r>
              <w:rPr>
                <w:rFonts w:hint="default"/>
                <w:sz w:val="24"/>
                <w:szCs w:val="24"/>
                <w:lang w:val="zh-CN"/>
              </w:rPr>
              <w:t>项目</w:t>
            </w:r>
            <w:r>
              <w:rPr>
                <w:rFonts w:hint="eastAsia"/>
                <w:sz w:val="24"/>
                <w:szCs w:val="24"/>
                <w:lang w:val="en-US" w:eastAsia="zh-CN"/>
              </w:rPr>
              <w:t>情况</w:t>
            </w:r>
          </w:p>
        </w:tc>
        <w:tc>
          <w:tcPr>
            <w:tcW w:w="891" w:type="dxa"/>
            <w:vAlign w:val="center"/>
          </w:tcPr>
          <w:p w14:paraId="0C08126C">
            <w:pPr>
              <w:pStyle w:val="55"/>
              <w:bidi w:val="0"/>
              <w:rPr>
                <w:rFonts w:hint="default"/>
                <w:sz w:val="24"/>
                <w:szCs w:val="24"/>
                <w:lang w:val="zh-CN"/>
              </w:rPr>
            </w:pPr>
            <w:r>
              <w:rPr>
                <w:rFonts w:hint="default"/>
                <w:sz w:val="24"/>
                <w:szCs w:val="24"/>
                <w:lang w:val="zh-CN"/>
              </w:rPr>
              <w:t>符合性</w:t>
            </w:r>
          </w:p>
        </w:tc>
      </w:tr>
      <w:tr w14:paraId="536549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80" w:hRule="atLeast"/>
        </w:trPr>
        <w:tc>
          <w:tcPr>
            <w:tcW w:w="548" w:type="dxa"/>
            <w:vAlign w:val="center"/>
          </w:tcPr>
          <w:p w14:paraId="288263CF">
            <w:pPr>
              <w:pStyle w:val="55"/>
              <w:bidi w:val="0"/>
              <w:rPr>
                <w:rFonts w:hint="default"/>
                <w:sz w:val="24"/>
                <w:szCs w:val="24"/>
                <w:lang w:val="zh-CN"/>
              </w:rPr>
            </w:pPr>
          </w:p>
          <w:p w14:paraId="53F3532B">
            <w:pPr>
              <w:pStyle w:val="55"/>
              <w:bidi w:val="0"/>
              <w:rPr>
                <w:rFonts w:hint="default"/>
                <w:sz w:val="24"/>
                <w:szCs w:val="24"/>
                <w:lang w:val="zh-CN"/>
              </w:rPr>
            </w:pPr>
            <w:r>
              <w:rPr>
                <w:rFonts w:hint="default"/>
                <w:sz w:val="24"/>
                <w:szCs w:val="24"/>
                <w:lang w:val="zh-CN"/>
              </w:rPr>
              <w:t>1</w:t>
            </w:r>
          </w:p>
        </w:tc>
        <w:tc>
          <w:tcPr>
            <w:tcW w:w="1083" w:type="dxa"/>
            <w:vAlign w:val="center"/>
          </w:tcPr>
          <w:p w14:paraId="33D81109">
            <w:pPr>
              <w:pStyle w:val="55"/>
              <w:bidi w:val="0"/>
              <w:rPr>
                <w:rFonts w:hint="default"/>
                <w:sz w:val="24"/>
                <w:szCs w:val="24"/>
                <w:lang w:val="zh-CN"/>
              </w:rPr>
            </w:pPr>
            <w:r>
              <w:rPr>
                <w:rFonts w:hint="default"/>
                <w:sz w:val="24"/>
                <w:szCs w:val="24"/>
                <w:lang w:val="zh-CN"/>
              </w:rPr>
              <w:t>积极推动塑料生产和使用源头减量</w:t>
            </w:r>
          </w:p>
        </w:tc>
        <w:tc>
          <w:tcPr>
            <w:tcW w:w="3662" w:type="dxa"/>
            <w:vAlign w:val="center"/>
          </w:tcPr>
          <w:p w14:paraId="16B6B081">
            <w:pPr>
              <w:pStyle w:val="55"/>
              <w:bidi w:val="0"/>
              <w:rPr>
                <w:rFonts w:hint="default"/>
                <w:sz w:val="24"/>
                <w:szCs w:val="24"/>
                <w:lang w:val="zh-CN"/>
              </w:rPr>
            </w:pPr>
            <w:r>
              <w:rPr>
                <w:rFonts w:hint="default"/>
                <w:sz w:val="24"/>
                <w:szCs w:val="24"/>
                <w:lang w:val="zh-CN"/>
              </w:rPr>
              <w:t>积极推进塑料制品绿色设计。以一次性塑料制品为重点，制定绿色设计相关标准，优化产品结构设计，减少产品材料设计复杂度，增强塑料制品易回收利用性。禁止生产厚度小于0.025毫米的超薄塑料购物袋、厚度小于0.01毫米的聚乙烯农用地膜、含塑料微珠日化产品等部分危害环境和人体健康的产品。</w:t>
            </w:r>
          </w:p>
        </w:tc>
        <w:tc>
          <w:tcPr>
            <w:tcW w:w="2917" w:type="dxa"/>
            <w:vMerge w:val="restart"/>
            <w:vAlign w:val="center"/>
          </w:tcPr>
          <w:p w14:paraId="57F6F772">
            <w:pPr>
              <w:pStyle w:val="55"/>
              <w:bidi w:val="0"/>
              <w:jc w:val="both"/>
              <w:rPr>
                <w:rFonts w:hint="default"/>
                <w:sz w:val="24"/>
                <w:szCs w:val="24"/>
                <w:lang w:val="zh-CN"/>
              </w:rPr>
            </w:pPr>
            <w:r>
              <w:rPr>
                <w:rFonts w:hint="default"/>
                <w:sz w:val="24"/>
                <w:szCs w:val="24"/>
                <w:lang w:val="zh-CN"/>
              </w:rPr>
              <w:t>项目</w:t>
            </w:r>
            <w:r>
              <w:rPr>
                <w:rFonts w:hint="eastAsia"/>
                <w:sz w:val="24"/>
                <w:szCs w:val="24"/>
                <w:lang w:val="en-US" w:eastAsia="zh-CN"/>
              </w:rPr>
              <w:t>产品为</w:t>
            </w:r>
            <w:r>
              <w:rPr>
                <w:rFonts w:hint="default"/>
                <w:sz w:val="24"/>
                <w:szCs w:val="24"/>
                <w:lang w:val="en-US" w:eastAsia="zh-CN"/>
              </w:rPr>
              <w:t>PVC电缆颗粒</w:t>
            </w:r>
            <w:r>
              <w:rPr>
                <w:rFonts w:hint="eastAsia"/>
                <w:sz w:val="24"/>
                <w:szCs w:val="24"/>
                <w:lang w:val="en-US" w:eastAsia="zh-CN"/>
              </w:rPr>
              <w:t>，</w:t>
            </w:r>
            <w:r>
              <w:rPr>
                <w:rFonts w:hint="default"/>
                <w:sz w:val="24"/>
                <w:szCs w:val="24"/>
                <w:lang w:val="zh-CN"/>
              </w:rPr>
              <w:t>原料主要是废旧PVC塑料</w:t>
            </w:r>
            <w:r>
              <w:rPr>
                <w:rFonts w:hint="eastAsia"/>
                <w:sz w:val="24"/>
                <w:szCs w:val="24"/>
                <w:lang w:val="zh-CN"/>
              </w:rPr>
              <w:t>（</w:t>
            </w:r>
            <w:r>
              <w:rPr>
                <w:rFonts w:hint="eastAsia"/>
                <w:sz w:val="24"/>
                <w:szCs w:val="24"/>
                <w:lang w:val="en-US" w:eastAsia="zh-CN"/>
              </w:rPr>
              <w:t>主要为各种淋膜纸</w:t>
            </w:r>
            <w:r>
              <w:rPr>
                <w:rFonts w:hint="eastAsia"/>
                <w:sz w:val="24"/>
                <w:szCs w:val="24"/>
                <w:lang w:val="zh-CN"/>
              </w:rPr>
              <w:t>）</w:t>
            </w:r>
            <w:r>
              <w:rPr>
                <w:rFonts w:hint="eastAsia"/>
                <w:sz w:val="24"/>
                <w:szCs w:val="24"/>
                <w:lang w:val="en-US" w:eastAsia="zh-CN"/>
              </w:rPr>
              <w:t>边角料、残次品等</w:t>
            </w:r>
            <w:r>
              <w:rPr>
                <w:rFonts w:hint="eastAsia"/>
                <w:sz w:val="24"/>
                <w:szCs w:val="24"/>
                <w:lang w:val="zh-CN"/>
              </w:rPr>
              <w:t>、</w:t>
            </w:r>
            <w:r>
              <w:rPr>
                <w:rFonts w:hint="default"/>
                <w:sz w:val="24"/>
                <w:szCs w:val="24"/>
                <w:lang w:val="zh-CN"/>
              </w:rPr>
              <w:t>PVC颗粒</w:t>
            </w:r>
            <w:r>
              <w:rPr>
                <w:rFonts w:hint="eastAsia"/>
                <w:sz w:val="24"/>
                <w:szCs w:val="24"/>
                <w:lang w:val="zh-CN"/>
              </w:rPr>
              <w:t>、</w:t>
            </w:r>
            <w:r>
              <w:rPr>
                <w:rFonts w:hint="default"/>
                <w:sz w:val="24"/>
                <w:szCs w:val="24"/>
                <w:lang w:val="zh-CN"/>
              </w:rPr>
              <w:t>增塑剂</w:t>
            </w:r>
            <w:r>
              <w:rPr>
                <w:rFonts w:hint="eastAsia"/>
                <w:sz w:val="24"/>
                <w:szCs w:val="24"/>
                <w:lang w:val="zh-CN"/>
              </w:rPr>
              <w:t>、</w:t>
            </w:r>
            <w:r>
              <w:rPr>
                <w:rFonts w:hint="default"/>
                <w:sz w:val="24"/>
                <w:szCs w:val="24"/>
                <w:lang w:val="zh-CN"/>
              </w:rPr>
              <w:t>石蜡</w:t>
            </w:r>
            <w:r>
              <w:rPr>
                <w:rFonts w:hint="eastAsia"/>
                <w:sz w:val="24"/>
                <w:szCs w:val="24"/>
                <w:lang w:val="zh-CN"/>
              </w:rPr>
              <w:t>、</w:t>
            </w:r>
            <w:r>
              <w:rPr>
                <w:rFonts w:hint="default"/>
                <w:sz w:val="24"/>
                <w:szCs w:val="24"/>
                <w:lang w:val="zh-CN"/>
              </w:rPr>
              <w:t>色母</w:t>
            </w:r>
            <w:r>
              <w:rPr>
                <w:rFonts w:hint="eastAsia"/>
                <w:sz w:val="24"/>
                <w:szCs w:val="24"/>
                <w:lang w:val="en-US"/>
              </w:rPr>
              <w:t>等，</w:t>
            </w:r>
            <w:r>
              <w:rPr>
                <w:rFonts w:hint="default"/>
                <w:sz w:val="24"/>
                <w:szCs w:val="24"/>
                <w:lang w:val="zh-CN"/>
              </w:rPr>
              <w:t>生产过程中不添加危害环境和人体健康的添加剂等成分</w:t>
            </w:r>
            <w:r>
              <w:rPr>
                <w:rFonts w:hint="eastAsia"/>
                <w:sz w:val="24"/>
                <w:szCs w:val="24"/>
                <w:lang w:val="zh-CN"/>
              </w:rPr>
              <w:t>。</w:t>
            </w:r>
          </w:p>
        </w:tc>
        <w:tc>
          <w:tcPr>
            <w:tcW w:w="891" w:type="dxa"/>
            <w:vAlign w:val="center"/>
          </w:tcPr>
          <w:p w14:paraId="7432C2FE">
            <w:pPr>
              <w:pStyle w:val="55"/>
              <w:bidi w:val="0"/>
              <w:rPr>
                <w:rFonts w:hint="default"/>
                <w:sz w:val="24"/>
                <w:szCs w:val="24"/>
                <w:lang w:val="zh-CN"/>
              </w:rPr>
            </w:pPr>
            <w:r>
              <w:rPr>
                <w:rFonts w:hint="default"/>
                <w:sz w:val="24"/>
                <w:szCs w:val="24"/>
                <w:lang w:val="zh-CN"/>
              </w:rPr>
              <w:t>符合</w:t>
            </w:r>
          </w:p>
        </w:tc>
      </w:tr>
      <w:tr w14:paraId="0D4978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22" w:hRule="atLeast"/>
        </w:trPr>
        <w:tc>
          <w:tcPr>
            <w:tcW w:w="548" w:type="dxa"/>
            <w:vMerge w:val="restart"/>
            <w:vAlign w:val="center"/>
          </w:tcPr>
          <w:p w14:paraId="707EE1BC">
            <w:pPr>
              <w:pStyle w:val="55"/>
              <w:bidi w:val="0"/>
              <w:rPr>
                <w:rFonts w:hint="default"/>
                <w:sz w:val="24"/>
                <w:szCs w:val="24"/>
                <w:lang w:val="zh-CN"/>
              </w:rPr>
            </w:pPr>
            <w:r>
              <w:rPr>
                <w:rFonts w:hint="default"/>
                <w:sz w:val="24"/>
                <w:szCs w:val="24"/>
                <w:lang w:val="en-US"/>
              </w:rPr>
              <w:t>2</w:t>
            </w:r>
          </w:p>
        </w:tc>
        <w:tc>
          <w:tcPr>
            <w:tcW w:w="1083" w:type="dxa"/>
            <w:vMerge w:val="restart"/>
            <w:vAlign w:val="center"/>
          </w:tcPr>
          <w:p w14:paraId="4DDE9296">
            <w:pPr>
              <w:pStyle w:val="55"/>
              <w:bidi w:val="0"/>
              <w:rPr>
                <w:rFonts w:hint="default"/>
                <w:sz w:val="24"/>
                <w:szCs w:val="24"/>
                <w:lang w:val="zh-CN"/>
              </w:rPr>
            </w:pPr>
          </w:p>
          <w:p w14:paraId="1996CE2B">
            <w:pPr>
              <w:pStyle w:val="55"/>
              <w:bidi w:val="0"/>
              <w:rPr>
                <w:rFonts w:hint="default"/>
                <w:sz w:val="24"/>
                <w:szCs w:val="24"/>
                <w:lang w:val="zh-CN"/>
              </w:rPr>
            </w:pPr>
            <w:r>
              <w:rPr>
                <w:rFonts w:hint="default"/>
                <w:sz w:val="24"/>
                <w:szCs w:val="24"/>
                <w:lang w:val="zh-CN"/>
              </w:rPr>
              <w:t>加快推进塑料废弃物规范回收利用</w:t>
            </w:r>
          </w:p>
          <w:p w14:paraId="199C5394">
            <w:pPr>
              <w:pStyle w:val="55"/>
              <w:bidi w:val="0"/>
              <w:rPr>
                <w:rFonts w:hint="default"/>
                <w:sz w:val="24"/>
                <w:szCs w:val="24"/>
                <w:lang w:val="zh-CN"/>
              </w:rPr>
            </w:pPr>
            <w:r>
              <w:rPr>
                <w:rFonts w:hint="default"/>
                <w:sz w:val="24"/>
                <w:szCs w:val="24"/>
                <w:lang w:val="zh-CN"/>
              </w:rPr>
              <w:t>和处置</w:t>
            </w:r>
          </w:p>
        </w:tc>
        <w:tc>
          <w:tcPr>
            <w:tcW w:w="3662" w:type="dxa"/>
            <w:vAlign w:val="center"/>
          </w:tcPr>
          <w:p w14:paraId="11109CE9">
            <w:pPr>
              <w:pStyle w:val="55"/>
              <w:bidi w:val="0"/>
              <w:rPr>
                <w:rFonts w:hint="default"/>
                <w:sz w:val="24"/>
                <w:szCs w:val="24"/>
                <w:lang w:val="zh-CN"/>
              </w:rPr>
            </w:pPr>
            <w:r>
              <w:rPr>
                <w:rFonts w:hint="default"/>
                <w:sz w:val="24"/>
                <w:szCs w:val="24"/>
                <w:lang w:val="zh-CN"/>
              </w:rPr>
              <w:t>建立完善农村塑料废弃物收运处置体系。完善农村生活垃圾分类收集、转运和处置体系，构建稳定运行的长效机制，加强日常监督，不断提高运行管理水平……深入实施农膜回收行动，继续开展农膜回收示范县建设，推广标准地膜应用，推动机械化捡拾、专业化回收和资源化利用。开展农药包装物回收行动。支持和指导种养殖大户、农业生产服务组织、再生资源回收企业等相关责任主体积极开展灌溉器具、渔网渔具、秧盘等废旧农渔物资回收利用。</w:t>
            </w:r>
          </w:p>
        </w:tc>
        <w:tc>
          <w:tcPr>
            <w:tcW w:w="2917" w:type="dxa"/>
            <w:vMerge w:val="continue"/>
            <w:vAlign w:val="center"/>
          </w:tcPr>
          <w:p w14:paraId="0CB11619">
            <w:pPr>
              <w:pStyle w:val="55"/>
              <w:bidi w:val="0"/>
              <w:rPr>
                <w:rFonts w:hint="default"/>
                <w:sz w:val="24"/>
                <w:szCs w:val="24"/>
                <w:lang w:val="zh-CN"/>
              </w:rPr>
            </w:pPr>
          </w:p>
        </w:tc>
        <w:tc>
          <w:tcPr>
            <w:tcW w:w="891" w:type="dxa"/>
            <w:vAlign w:val="center"/>
          </w:tcPr>
          <w:p w14:paraId="20EE6ECE">
            <w:pPr>
              <w:pStyle w:val="55"/>
              <w:bidi w:val="0"/>
              <w:rPr>
                <w:rFonts w:hint="default"/>
                <w:sz w:val="24"/>
                <w:szCs w:val="24"/>
                <w:lang w:val="zh-CN"/>
              </w:rPr>
            </w:pPr>
            <w:r>
              <w:rPr>
                <w:rFonts w:hint="default"/>
                <w:sz w:val="24"/>
                <w:szCs w:val="24"/>
                <w:lang w:val="zh-CN"/>
              </w:rPr>
              <w:t>符合</w:t>
            </w:r>
          </w:p>
        </w:tc>
      </w:tr>
      <w:tr w14:paraId="39E95E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23" w:hRule="atLeast"/>
        </w:trPr>
        <w:tc>
          <w:tcPr>
            <w:tcW w:w="548" w:type="dxa"/>
            <w:vMerge w:val="continue"/>
            <w:vAlign w:val="center"/>
          </w:tcPr>
          <w:p w14:paraId="4B39A80F">
            <w:pPr>
              <w:pStyle w:val="55"/>
              <w:bidi w:val="0"/>
              <w:rPr>
                <w:rFonts w:hint="default"/>
                <w:sz w:val="24"/>
                <w:szCs w:val="24"/>
                <w:lang w:val="zh-CN"/>
              </w:rPr>
            </w:pPr>
          </w:p>
        </w:tc>
        <w:tc>
          <w:tcPr>
            <w:tcW w:w="1083" w:type="dxa"/>
            <w:vMerge w:val="continue"/>
            <w:vAlign w:val="center"/>
          </w:tcPr>
          <w:p w14:paraId="457857A7">
            <w:pPr>
              <w:pStyle w:val="55"/>
              <w:bidi w:val="0"/>
              <w:rPr>
                <w:rFonts w:hint="default"/>
                <w:sz w:val="24"/>
                <w:szCs w:val="24"/>
                <w:lang w:val="zh-CN"/>
              </w:rPr>
            </w:pPr>
          </w:p>
        </w:tc>
        <w:tc>
          <w:tcPr>
            <w:tcW w:w="3662" w:type="dxa"/>
            <w:vAlign w:val="center"/>
          </w:tcPr>
          <w:p w14:paraId="58D444D3">
            <w:pPr>
              <w:pStyle w:val="55"/>
              <w:bidi w:val="0"/>
              <w:rPr>
                <w:rFonts w:hint="default"/>
                <w:sz w:val="24"/>
                <w:szCs w:val="24"/>
                <w:lang w:val="zh-CN"/>
              </w:rPr>
            </w:pPr>
            <w:r>
              <w:rPr>
                <w:rFonts w:hint="default"/>
                <w:sz w:val="24"/>
                <w:szCs w:val="24"/>
                <w:lang w:val="zh-CN"/>
              </w:rPr>
              <w:t>加大物料废弃物再生利用。支持塑料废弃物再生利用项目建设，发布废塑料综合利用规范企业名单，引导相关项目向资源循环利用基地、工业资源综合利用基地等园区集聚，推动塑料废弃物再生利用产业规模化、规范化、清洁化发展。加强塑料废弃物再生利用企业的环境监管，加大对小散乱企业和违法违规行为的整治力度，防止二次污染。完善再生塑料有关标准，加快推广应用废塑料再生利用先进适用技术装备，鼓励塑料废弃物同级化、高附加值利用。</w:t>
            </w:r>
          </w:p>
        </w:tc>
        <w:tc>
          <w:tcPr>
            <w:tcW w:w="2917" w:type="dxa"/>
            <w:vAlign w:val="center"/>
          </w:tcPr>
          <w:p w14:paraId="54174E7D">
            <w:pPr>
              <w:pStyle w:val="55"/>
              <w:bidi w:val="0"/>
              <w:jc w:val="both"/>
              <w:rPr>
                <w:rFonts w:hint="default" w:eastAsia="楷体"/>
                <w:sz w:val="24"/>
                <w:szCs w:val="24"/>
                <w:lang w:val="en-US" w:eastAsia="zh-CN"/>
              </w:rPr>
            </w:pPr>
            <w:r>
              <w:rPr>
                <w:rFonts w:hint="default"/>
                <w:sz w:val="24"/>
                <w:szCs w:val="24"/>
                <w:lang w:val="zh-CN"/>
              </w:rPr>
              <w:t>项目属于塑料废弃物再生利用项目</w:t>
            </w:r>
            <w:r>
              <w:rPr>
                <w:rFonts w:hint="eastAsia"/>
                <w:sz w:val="24"/>
                <w:szCs w:val="24"/>
                <w:lang w:val="zh-CN"/>
              </w:rPr>
              <w:t>，</w:t>
            </w:r>
            <w:r>
              <w:rPr>
                <w:rFonts w:hint="default"/>
                <w:sz w:val="24"/>
                <w:szCs w:val="24"/>
                <w:lang w:val="zh-CN"/>
              </w:rPr>
              <w:t>生产</w:t>
            </w:r>
            <w:r>
              <w:rPr>
                <w:rFonts w:hint="eastAsia"/>
                <w:sz w:val="24"/>
                <w:szCs w:val="24"/>
                <w:lang w:val="en-US" w:eastAsia="zh-CN"/>
              </w:rPr>
              <w:t>废气经治理措施后</w:t>
            </w:r>
            <w:r>
              <w:rPr>
                <w:rFonts w:hint="default"/>
                <w:sz w:val="24"/>
                <w:szCs w:val="24"/>
                <w:lang w:val="zh-CN"/>
              </w:rPr>
              <w:t>可达标排放</w:t>
            </w:r>
            <w:r>
              <w:rPr>
                <w:rFonts w:hint="eastAsia"/>
                <w:sz w:val="24"/>
                <w:szCs w:val="24"/>
                <w:lang w:val="zh-CN"/>
              </w:rPr>
              <w:t>，生产塑料制品均符合相关标准要求。</w:t>
            </w:r>
          </w:p>
          <w:p w14:paraId="40C1D624">
            <w:pPr>
              <w:pStyle w:val="55"/>
              <w:bidi w:val="0"/>
              <w:jc w:val="both"/>
              <w:rPr>
                <w:rFonts w:hint="default"/>
                <w:sz w:val="24"/>
                <w:szCs w:val="24"/>
                <w:lang w:val="zh-CN"/>
              </w:rPr>
            </w:pPr>
          </w:p>
        </w:tc>
        <w:tc>
          <w:tcPr>
            <w:tcW w:w="891" w:type="dxa"/>
            <w:vAlign w:val="center"/>
          </w:tcPr>
          <w:p w14:paraId="61951C30">
            <w:pPr>
              <w:pStyle w:val="55"/>
              <w:bidi w:val="0"/>
              <w:rPr>
                <w:rFonts w:hint="default"/>
                <w:sz w:val="24"/>
                <w:szCs w:val="24"/>
                <w:lang w:val="zh-CN"/>
              </w:rPr>
            </w:pPr>
            <w:r>
              <w:rPr>
                <w:rFonts w:hint="default"/>
                <w:sz w:val="24"/>
                <w:szCs w:val="24"/>
                <w:lang w:val="zh-CN"/>
              </w:rPr>
              <w:t>符合</w:t>
            </w:r>
          </w:p>
        </w:tc>
      </w:tr>
    </w:tbl>
    <w:p w14:paraId="48915AB1">
      <w:pPr>
        <w:pStyle w:val="47"/>
        <w:bidi w:val="0"/>
        <w:rPr>
          <w:rFonts w:hint="default"/>
          <w:lang w:val="en-US" w:eastAsia="zh-CN"/>
        </w:rPr>
      </w:pPr>
      <w:r>
        <w:rPr>
          <w:rFonts w:hint="eastAsia"/>
          <w:lang w:val="en-US" w:eastAsia="zh-CN"/>
        </w:rPr>
        <w:t>（7）</w:t>
      </w:r>
      <w:r>
        <w:rPr>
          <w:rFonts w:hint="default"/>
          <w:lang w:val="en-US" w:eastAsia="zh-CN"/>
        </w:rPr>
        <w:t>《“十四五”循环经济发展规划》</w:t>
      </w:r>
    </w:p>
    <w:p w14:paraId="4197A695">
      <w:pPr>
        <w:pStyle w:val="47"/>
        <w:bidi w:val="0"/>
        <w:rPr>
          <w:rFonts w:hint="default"/>
          <w:lang w:val="en-US" w:eastAsia="zh-CN"/>
        </w:rPr>
      </w:pPr>
      <w:r>
        <w:rPr>
          <w:rFonts w:hint="default"/>
          <w:lang w:val="en-US" w:eastAsia="zh-CN"/>
        </w:rPr>
        <w:t>项目与《“十四五”循环经济发展规划》符合性分析见下表。</w:t>
      </w:r>
    </w:p>
    <w:p w14:paraId="3DDD2F3F">
      <w:pPr>
        <w:pStyle w:val="94"/>
        <w:bidi w:val="0"/>
        <w:ind w:left="0" w:leftChars="0" w:firstLine="0" w:firstLineChars="0"/>
        <w:rPr>
          <w:rFonts w:hint="default"/>
          <w:lang w:val="en-US" w:eastAsia="zh-CN"/>
        </w:rPr>
      </w:pPr>
      <w:r>
        <w:rPr>
          <w:rFonts w:hint="default"/>
          <w:lang w:val="en-US" w:eastAsia="zh-CN"/>
        </w:rPr>
        <w:t>《“十四五”循环经济发展规划》符合性分析</w:t>
      </w:r>
      <w:r>
        <w:rPr>
          <w:rFonts w:hint="eastAsia"/>
          <w:lang w:val="en-US" w:eastAsia="zh-CN"/>
        </w:rPr>
        <w:t>一览表</w:t>
      </w:r>
    </w:p>
    <w:tbl>
      <w:tblPr>
        <w:tblStyle w:val="133"/>
        <w:tblW w:w="5036" w:type="pct"/>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6"/>
        <w:gridCol w:w="4764"/>
        <w:gridCol w:w="2766"/>
        <w:gridCol w:w="897"/>
      </w:tblGrid>
      <w:tr w14:paraId="44D5DF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40" w:hRule="atLeast"/>
        </w:trPr>
        <w:tc>
          <w:tcPr>
            <w:tcW w:w="716" w:type="dxa"/>
            <w:vAlign w:val="center"/>
          </w:tcPr>
          <w:p w14:paraId="4A26D7CB">
            <w:pPr>
              <w:pStyle w:val="132"/>
              <w:jc w:val="center"/>
              <w:rPr>
                <w:rFonts w:hint="default" w:ascii="Times New Roman" w:hAnsi="Times New Roman" w:eastAsia="楷体" w:cs="Times New Roman"/>
                <w:color w:val="auto"/>
                <w:sz w:val="24"/>
                <w:szCs w:val="24"/>
                <w:highlight w:val="none"/>
                <w:lang w:val="zh-CN" w:bidi="zh-CN"/>
              </w:rPr>
            </w:pPr>
            <w:r>
              <w:rPr>
                <w:rFonts w:hint="default" w:ascii="Times New Roman" w:hAnsi="Times New Roman" w:eastAsia="楷体" w:cs="Times New Roman"/>
                <w:color w:val="auto"/>
                <w:sz w:val="24"/>
                <w:szCs w:val="24"/>
                <w:highlight w:val="none"/>
                <w:lang w:val="zh-CN" w:bidi="zh-CN"/>
              </w:rPr>
              <w:t>序号</w:t>
            </w:r>
          </w:p>
        </w:tc>
        <w:tc>
          <w:tcPr>
            <w:tcW w:w="4761" w:type="dxa"/>
            <w:vAlign w:val="center"/>
          </w:tcPr>
          <w:p w14:paraId="4F02C1B7">
            <w:pPr>
              <w:pStyle w:val="132"/>
              <w:jc w:val="center"/>
              <w:rPr>
                <w:rFonts w:hint="default" w:ascii="Times New Roman" w:hAnsi="Times New Roman" w:eastAsia="楷体" w:cs="Times New Roman"/>
                <w:color w:val="auto"/>
                <w:sz w:val="24"/>
                <w:szCs w:val="24"/>
                <w:highlight w:val="none"/>
                <w:lang w:val="zh-CN" w:bidi="zh-CN"/>
              </w:rPr>
            </w:pPr>
            <w:r>
              <w:rPr>
                <w:rFonts w:hint="default" w:ascii="Times New Roman" w:hAnsi="Times New Roman" w:eastAsia="楷体" w:cs="Times New Roman"/>
                <w:color w:val="auto"/>
                <w:sz w:val="24"/>
                <w:szCs w:val="24"/>
                <w:highlight w:val="none"/>
                <w:lang w:val="zh-CN" w:bidi="zh-CN"/>
              </w:rPr>
              <w:t>文件内容</w:t>
            </w:r>
          </w:p>
        </w:tc>
        <w:tc>
          <w:tcPr>
            <w:tcW w:w="2764" w:type="dxa"/>
            <w:vAlign w:val="center"/>
          </w:tcPr>
          <w:p w14:paraId="2643AF35">
            <w:pPr>
              <w:pStyle w:val="132"/>
              <w:jc w:val="center"/>
              <w:rPr>
                <w:rFonts w:hint="default" w:ascii="Times New Roman" w:hAnsi="Times New Roman" w:eastAsia="楷体" w:cs="Times New Roman"/>
                <w:color w:val="auto"/>
                <w:sz w:val="24"/>
                <w:szCs w:val="24"/>
                <w:highlight w:val="none"/>
                <w:lang w:val="zh-CN" w:bidi="zh-CN"/>
              </w:rPr>
            </w:pPr>
            <w:r>
              <w:rPr>
                <w:rFonts w:hint="default" w:ascii="Times New Roman" w:hAnsi="Times New Roman" w:eastAsia="楷体" w:cs="Times New Roman"/>
                <w:color w:val="auto"/>
                <w:sz w:val="24"/>
                <w:szCs w:val="24"/>
                <w:highlight w:val="none"/>
                <w:lang w:val="zh-CN" w:bidi="zh-CN"/>
              </w:rPr>
              <w:t>本项目</w:t>
            </w:r>
          </w:p>
        </w:tc>
        <w:tc>
          <w:tcPr>
            <w:tcW w:w="897" w:type="dxa"/>
            <w:vAlign w:val="center"/>
          </w:tcPr>
          <w:p w14:paraId="5BE95D28">
            <w:pPr>
              <w:pStyle w:val="132"/>
              <w:jc w:val="center"/>
              <w:rPr>
                <w:rFonts w:hint="default" w:ascii="Times New Roman" w:hAnsi="Times New Roman" w:eastAsia="楷体" w:cs="Times New Roman"/>
                <w:color w:val="auto"/>
                <w:sz w:val="24"/>
                <w:szCs w:val="24"/>
                <w:highlight w:val="none"/>
                <w:lang w:val="zh-CN" w:bidi="zh-CN"/>
              </w:rPr>
            </w:pPr>
            <w:r>
              <w:rPr>
                <w:rFonts w:hint="default" w:ascii="Times New Roman" w:hAnsi="Times New Roman" w:eastAsia="楷体" w:cs="Times New Roman"/>
                <w:color w:val="auto"/>
                <w:sz w:val="24"/>
                <w:szCs w:val="24"/>
                <w:highlight w:val="none"/>
                <w:lang w:val="zh-CN" w:bidi="zh-CN"/>
              </w:rPr>
              <w:t>符合性</w:t>
            </w:r>
          </w:p>
        </w:tc>
      </w:tr>
      <w:tr w14:paraId="35A171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16" w:type="dxa"/>
            <w:vMerge w:val="restart"/>
            <w:vAlign w:val="center"/>
          </w:tcPr>
          <w:p w14:paraId="5BC739E6">
            <w:pPr>
              <w:pStyle w:val="132"/>
              <w:jc w:val="center"/>
              <w:rPr>
                <w:rFonts w:hint="default" w:ascii="Times New Roman" w:hAnsi="Times New Roman" w:eastAsia="楷体" w:cs="Times New Roman"/>
                <w:color w:val="auto"/>
                <w:sz w:val="24"/>
                <w:szCs w:val="24"/>
                <w:highlight w:val="none"/>
                <w:lang w:val="zh-CN" w:bidi="zh-CN"/>
              </w:rPr>
            </w:pPr>
          </w:p>
          <w:p w14:paraId="436D6E6F">
            <w:pPr>
              <w:pStyle w:val="132"/>
              <w:jc w:val="center"/>
              <w:rPr>
                <w:rFonts w:hint="default" w:ascii="Times New Roman" w:hAnsi="Times New Roman" w:eastAsia="楷体" w:cs="Times New Roman"/>
                <w:color w:val="auto"/>
                <w:sz w:val="24"/>
                <w:szCs w:val="24"/>
                <w:highlight w:val="none"/>
                <w:lang w:val="zh-CN" w:bidi="zh-CN"/>
              </w:rPr>
            </w:pPr>
            <w:r>
              <w:rPr>
                <w:rFonts w:hint="default" w:ascii="Times New Roman" w:hAnsi="Times New Roman" w:eastAsia="楷体" w:cs="Times New Roman"/>
                <w:color w:val="auto"/>
                <w:sz w:val="24"/>
                <w:szCs w:val="24"/>
                <w:highlight w:val="none"/>
                <w:lang w:val="zh-CN" w:bidi="zh-CN"/>
              </w:rPr>
              <w:t>构建废旧物资循环利用体系，建设资源循环型社会。</w:t>
            </w:r>
          </w:p>
        </w:tc>
        <w:tc>
          <w:tcPr>
            <w:tcW w:w="4761" w:type="dxa"/>
            <w:vAlign w:val="center"/>
          </w:tcPr>
          <w:p w14:paraId="76C2BFDC">
            <w:pPr>
              <w:pStyle w:val="132"/>
              <w:jc w:val="center"/>
              <w:rPr>
                <w:rFonts w:hint="default" w:ascii="Times New Roman" w:hAnsi="Times New Roman" w:eastAsia="楷体" w:cs="Times New Roman"/>
                <w:color w:val="auto"/>
                <w:sz w:val="24"/>
                <w:szCs w:val="24"/>
                <w:highlight w:val="none"/>
                <w:lang w:val="zh-CN" w:bidi="zh-CN"/>
              </w:rPr>
            </w:pPr>
            <w:r>
              <w:rPr>
                <w:rFonts w:hint="default" w:ascii="Times New Roman" w:hAnsi="Times New Roman" w:eastAsia="楷体" w:cs="Times New Roman"/>
                <w:color w:val="auto"/>
                <w:sz w:val="24"/>
                <w:szCs w:val="24"/>
                <w:highlight w:val="none"/>
                <w:lang w:val="zh-CN" w:bidi="zh-CN"/>
              </w:rPr>
              <w:t>完善废旧物资回收网络。将废旧物资回收相关设施纳入国土空间总体规划，保障用地需求，合理布局、规范建设回收网络体系，统筹推进废旧物资回收网点与生活垃圾分类网点“两网融合”。放宽废旧物资回收车辆进城、进小区限制并规范管理，保障合理路权。积极推行“互联网+回收”模式，实现线上线下协同，提高规范化回收企业对个体经营者的整合能力，进一步提高居民交投废旧物资便利化水平。规范废旧物资回收行业经营秩序，提升行业整体形象与经营管理水平。因地制宜完善乡村回收网络，推动城乡废旧物资回收处理体系一体化发展。支持供销合作社系统依托销售服务网络，开展废旧物资回收。</w:t>
            </w:r>
          </w:p>
        </w:tc>
        <w:tc>
          <w:tcPr>
            <w:tcW w:w="2764" w:type="dxa"/>
            <w:vAlign w:val="center"/>
          </w:tcPr>
          <w:p w14:paraId="001F90D9">
            <w:pPr>
              <w:pStyle w:val="132"/>
              <w:jc w:val="center"/>
              <w:rPr>
                <w:rFonts w:hint="default" w:ascii="Times New Roman" w:hAnsi="Times New Roman" w:eastAsia="楷体" w:cs="Times New Roman"/>
                <w:color w:val="auto"/>
                <w:sz w:val="24"/>
                <w:szCs w:val="24"/>
                <w:highlight w:val="none"/>
                <w:lang w:val="en-US" w:bidi="zh-CN"/>
              </w:rPr>
            </w:pPr>
            <w:r>
              <w:rPr>
                <w:rFonts w:hint="default" w:ascii="Times New Roman" w:hAnsi="Times New Roman" w:eastAsia="楷体" w:cs="Times New Roman"/>
                <w:color w:val="auto"/>
                <w:sz w:val="24"/>
                <w:szCs w:val="24"/>
                <w:highlight w:val="none"/>
                <w:lang w:val="zh-CN" w:bidi="zh-CN"/>
              </w:rPr>
              <w:t>项目主要对塑料制品加工过程中产生的热塑性（主要为淋膜纸）边角料、残次品等进行回收再利用，</w:t>
            </w:r>
            <w:r>
              <w:rPr>
                <w:rFonts w:hint="default" w:ascii="Times New Roman" w:hAnsi="Times New Roman" w:eastAsia="楷体" w:cs="Times New Roman"/>
                <w:color w:val="auto"/>
                <w:sz w:val="24"/>
                <w:szCs w:val="24"/>
                <w:highlight w:val="none"/>
                <w:lang w:val="en-US" w:bidi="zh-CN"/>
              </w:rPr>
              <w:t>有利于</w:t>
            </w:r>
            <w:r>
              <w:rPr>
                <w:rFonts w:hint="default" w:ascii="Times New Roman" w:hAnsi="Times New Roman" w:eastAsia="楷体" w:cs="Times New Roman"/>
                <w:color w:val="auto"/>
                <w:sz w:val="24"/>
                <w:szCs w:val="24"/>
                <w:highlight w:val="none"/>
                <w:lang w:val="zh-CN" w:bidi="zh-CN"/>
              </w:rPr>
              <w:t>推动城乡废旧物资回收处理体系一体化发展。</w:t>
            </w:r>
          </w:p>
        </w:tc>
        <w:tc>
          <w:tcPr>
            <w:tcW w:w="897" w:type="dxa"/>
            <w:vAlign w:val="center"/>
          </w:tcPr>
          <w:p w14:paraId="590E49CD">
            <w:pPr>
              <w:pStyle w:val="132"/>
              <w:jc w:val="center"/>
              <w:rPr>
                <w:rFonts w:hint="default" w:ascii="Times New Roman" w:hAnsi="Times New Roman" w:eastAsia="楷体" w:cs="Times New Roman"/>
                <w:color w:val="auto"/>
                <w:sz w:val="24"/>
                <w:szCs w:val="24"/>
                <w:highlight w:val="none"/>
                <w:lang w:val="zh-CN" w:bidi="zh-CN"/>
              </w:rPr>
            </w:pPr>
            <w:r>
              <w:rPr>
                <w:rFonts w:hint="default" w:ascii="Times New Roman" w:hAnsi="Times New Roman" w:eastAsia="楷体" w:cs="Times New Roman"/>
                <w:color w:val="auto"/>
                <w:sz w:val="24"/>
                <w:szCs w:val="24"/>
                <w:highlight w:val="none"/>
                <w:lang w:val="zh-CN" w:bidi="zh-CN"/>
              </w:rPr>
              <w:t>符合</w:t>
            </w:r>
          </w:p>
        </w:tc>
      </w:tr>
      <w:tr w14:paraId="2B186F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16" w:type="dxa"/>
            <w:vMerge w:val="continue"/>
            <w:vAlign w:val="center"/>
          </w:tcPr>
          <w:p w14:paraId="68DD8261">
            <w:pPr>
              <w:pStyle w:val="132"/>
              <w:jc w:val="center"/>
              <w:rPr>
                <w:rFonts w:hint="default" w:ascii="Times New Roman" w:hAnsi="Times New Roman" w:eastAsia="楷体" w:cs="Times New Roman"/>
                <w:color w:val="auto"/>
                <w:sz w:val="24"/>
                <w:szCs w:val="24"/>
                <w:highlight w:val="none"/>
                <w:lang w:val="zh-CN" w:bidi="zh-CN"/>
              </w:rPr>
            </w:pPr>
          </w:p>
        </w:tc>
        <w:tc>
          <w:tcPr>
            <w:tcW w:w="4761" w:type="dxa"/>
            <w:vAlign w:val="center"/>
          </w:tcPr>
          <w:p w14:paraId="418D1B4D">
            <w:pPr>
              <w:pStyle w:val="132"/>
              <w:jc w:val="center"/>
              <w:rPr>
                <w:rFonts w:hint="default" w:ascii="Times New Roman" w:hAnsi="Times New Roman" w:eastAsia="楷体" w:cs="Times New Roman"/>
                <w:color w:val="auto"/>
                <w:sz w:val="24"/>
                <w:szCs w:val="24"/>
                <w:highlight w:val="none"/>
                <w:lang w:val="zh-CN" w:bidi="zh-CN"/>
              </w:rPr>
            </w:pPr>
            <w:r>
              <w:rPr>
                <w:rFonts w:hint="default" w:ascii="Times New Roman" w:hAnsi="Times New Roman" w:eastAsia="楷体" w:cs="Times New Roman"/>
                <w:color w:val="auto"/>
                <w:sz w:val="24"/>
                <w:szCs w:val="24"/>
                <w:highlight w:val="none"/>
                <w:lang w:val="zh-CN" w:bidi="zh-CN"/>
              </w:rPr>
              <w:t>提升再生资源加工利用水平。推动再生资源规模化、规范化、清洁化利用，促进再生资源产业集聚发展，高水平建设现代化“城市矿产”基地。实施废钢铁、废有色金属、废塑料、废纸、废旧轮胎、废旧手机、废旧动力电池等再生资源回收利用行业规范管理，提升行业规范化水平，促进资源向优势企业集聚。加强废弃电器电子产品、报废机动车、报废船舶、废铅蓄电池等拆解利用企业规范管理和环境监管，加大对违法违规企业整治力度，营造公平的市场竞争环境。加快建立再生原材料推广使用制度，拓展再生原材料市场应用渠道，强化再生资源对战略性矿产资源供给保障能力。</w:t>
            </w:r>
          </w:p>
        </w:tc>
        <w:tc>
          <w:tcPr>
            <w:tcW w:w="2764" w:type="dxa"/>
            <w:vAlign w:val="center"/>
          </w:tcPr>
          <w:p w14:paraId="51C1BB06">
            <w:pPr>
              <w:pStyle w:val="132"/>
              <w:jc w:val="center"/>
              <w:rPr>
                <w:rFonts w:hint="default" w:ascii="Times New Roman" w:hAnsi="Times New Roman" w:eastAsia="楷体" w:cs="Times New Roman"/>
                <w:color w:val="auto"/>
                <w:sz w:val="24"/>
                <w:szCs w:val="24"/>
                <w:highlight w:val="none"/>
                <w:lang w:val="zh-CN" w:bidi="zh-CN"/>
              </w:rPr>
            </w:pPr>
            <w:r>
              <w:rPr>
                <w:rFonts w:hint="default" w:ascii="Times New Roman" w:hAnsi="Times New Roman" w:eastAsia="楷体" w:cs="Times New Roman"/>
                <w:color w:val="auto"/>
                <w:sz w:val="24"/>
                <w:szCs w:val="24"/>
                <w:highlight w:val="none"/>
                <w:lang w:val="zh-CN" w:bidi="zh-CN"/>
              </w:rPr>
              <w:t>项目主要对塑料制品加工过程中产生的热塑性（主要为淋膜纸）边角料、残次品等进行回收再利用，</w:t>
            </w:r>
            <w:r>
              <w:rPr>
                <w:rFonts w:hint="default" w:ascii="Times New Roman" w:hAnsi="Times New Roman" w:eastAsia="楷体" w:cs="Times New Roman"/>
                <w:color w:val="auto"/>
                <w:sz w:val="24"/>
                <w:szCs w:val="24"/>
                <w:highlight w:val="none"/>
                <w:lang w:val="en-US" w:bidi="zh-CN"/>
              </w:rPr>
              <w:t>有利于</w:t>
            </w:r>
            <w:r>
              <w:rPr>
                <w:rFonts w:hint="default" w:ascii="Times New Roman" w:hAnsi="Times New Roman" w:eastAsia="楷体" w:cs="Times New Roman"/>
                <w:color w:val="auto"/>
                <w:sz w:val="24"/>
                <w:szCs w:val="24"/>
                <w:highlight w:val="none"/>
                <w:lang w:val="zh-CN" w:bidi="zh-CN"/>
              </w:rPr>
              <w:t>推动再生资源规模化、规范化、清洁化利用。</w:t>
            </w:r>
          </w:p>
        </w:tc>
        <w:tc>
          <w:tcPr>
            <w:tcW w:w="897" w:type="dxa"/>
            <w:vAlign w:val="center"/>
          </w:tcPr>
          <w:p w14:paraId="641CF180">
            <w:pPr>
              <w:pStyle w:val="132"/>
              <w:jc w:val="center"/>
              <w:rPr>
                <w:rFonts w:hint="default" w:ascii="Times New Roman" w:hAnsi="Times New Roman" w:eastAsia="楷体" w:cs="Times New Roman"/>
                <w:color w:val="auto"/>
                <w:sz w:val="24"/>
                <w:szCs w:val="24"/>
                <w:highlight w:val="none"/>
                <w:lang w:val="zh-CN" w:bidi="zh-CN"/>
              </w:rPr>
            </w:pPr>
            <w:r>
              <w:rPr>
                <w:rFonts w:hint="default" w:ascii="Times New Roman" w:hAnsi="Times New Roman" w:eastAsia="楷体" w:cs="Times New Roman"/>
                <w:color w:val="auto"/>
                <w:sz w:val="24"/>
                <w:szCs w:val="24"/>
                <w:highlight w:val="none"/>
                <w:lang w:val="zh-CN" w:bidi="zh-CN"/>
              </w:rPr>
              <w:t>符合</w:t>
            </w:r>
          </w:p>
        </w:tc>
      </w:tr>
      <w:tr w14:paraId="4FC46B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16" w:type="dxa"/>
            <w:vAlign w:val="center"/>
          </w:tcPr>
          <w:p w14:paraId="3DD36AF1">
            <w:pPr>
              <w:pStyle w:val="132"/>
              <w:jc w:val="center"/>
              <w:rPr>
                <w:rFonts w:hint="default" w:ascii="Times New Roman" w:hAnsi="Times New Roman" w:eastAsia="楷体" w:cs="Times New Roman"/>
                <w:color w:val="auto"/>
                <w:sz w:val="24"/>
                <w:szCs w:val="24"/>
                <w:highlight w:val="none"/>
                <w:lang w:val="zh-CN" w:bidi="zh-CN"/>
              </w:rPr>
            </w:pPr>
            <w:r>
              <w:rPr>
                <w:rFonts w:hint="default" w:ascii="Times New Roman" w:hAnsi="Times New Roman" w:eastAsia="楷体" w:cs="Times New Roman"/>
                <w:color w:val="auto"/>
                <w:sz w:val="24"/>
                <w:szCs w:val="24"/>
                <w:highlight w:val="none"/>
                <w:lang w:val="zh-CN" w:bidi="zh-CN"/>
              </w:rPr>
              <w:t>深化农业循环经济发展，建立循环型农业生产方式</w:t>
            </w:r>
          </w:p>
          <w:p w14:paraId="3CB8AD0E">
            <w:pPr>
              <w:pStyle w:val="132"/>
              <w:jc w:val="center"/>
              <w:rPr>
                <w:rFonts w:hint="default" w:ascii="Times New Roman" w:hAnsi="Times New Roman" w:eastAsia="楷体" w:cs="Times New Roman"/>
                <w:color w:val="auto"/>
                <w:sz w:val="24"/>
                <w:szCs w:val="24"/>
                <w:highlight w:val="none"/>
                <w:lang w:val="zh-CN" w:bidi="zh-CN"/>
              </w:rPr>
            </w:pPr>
          </w:p>
        </w:tc>
        <w:tc>
          <w:tcPr>
            <w:tcW w:w="4761" w:type="dxa"/>
            <w:vAlign w:val="center"/>
          </w:tcPr>
          <w:p w14:paraId="50E46371">
            <w:pPr>
              <w:pStyle w:val="132"/>
              <w:jc w:val="center"/>
              <w:rPr>
                <w:rFonts w:hint="default" w:ascii="Times New Roman" w:hAnsi="Times New Roman" w:eastAsia="楷体" w:cs="Times New Roman"/>
                <w:color w:val="auto"/>
                <w:sz w:val="24"/>
                <w:szCs w:val="24"/>
                <w:highlight w:val="none"/>
                <w:lang w:val="zh-CN" w:bidi="zh-CN"/>
              </w:rPr>
            </w:pPr>
            <w:r>
              <w:rPr>
                <w:rFonts w:hint="default" w:ascii="Times New Roman" w:hAnsi="Times New Roman" w:eastAsia="楷体" w:cs="Times New Roman"/>
                <w:color w:val="auto"/>
                <w:sz w:val="24"/>
                <w:szCs w:val="24"/>
                <w:highlight w:val="none"/>
                <w:lang w:val="zh-CN" w:bidi="zh-CN"/>
              </w:rPr>
              <w:t>加强废旧农用物资回收利用。引导种植大户、农民合作社、家庭农场、农用物资企业、废旧物资回收企业等相关责任主体主动参与回收。支持乡镇集中开展回收设施建设，健全农膜、化肥与农药包装、灌溉器材、农机具、渔网等废旧农用物资回收体系。建设区域性废旧农用物资集中处置利用设施，提高规模化、资源化利用水平。</w:t>
            </w:r>
          </w:p>
        </w:tc>
        <w:tc>
          <w:tcPr>
            <w:tcW w:w="2764" w:type="dxa"/>
            <w:vAlign w:val="center"/>
          </w:tcPr>
          <w:p w14:paraId="2595CB0B">
            <w:pPr>
              <w:pStyle w:val="132"/>
              <w:jc w:val="center"/>
              <w:rPr>
                <w:rFonts w:hint="default" w:ascii="Times New Roman" w:hAnsi="Times New Roman" w:eastAsia="楷体" w:cs="Times New Roman"/>
                <w:color w:val="auto"/>
                <w:sz w:val="24"/>
                <w:szCs w:val="24"/>
                <w:highlight w:val="none"/>
                <w:lang w:val="zh-CN" w:bidi="zh-CN"/>
              </w:rPr>
            </w:pPr>
            <w:r>
              <w:rPr>
                <w:rFonts w:hint="default" w:ascii="Times New Roman" w:hAnsi="Times New Roman" w:eastAsia="楷体" w:cs="Times New Roman"/>
                <w:color w:val="auto"/>
                <w:sz w:val="24"/>
                <w:szCs w:val="24"/>
                <w:highlight w:val="none"/>
                <w:lang w:val="zh-CN" w:bidi="zh-CN"/>
              </w:rPr>
              <w:t>项目主要对塑料制品加工过程中产生的热塑性（主要为淋膜纸）边角料、残次品等进行回收再利用，</w:t>
            </w:r>
            <w:r>
              <w:rPr>
                <w:rFonts w:hint="default" w:ascii="Times New Roman" w:hAnsi="Times New Roman" w:eastAsia="楷体" w:cs="Times New Roman"/>
                <w:color w:val="auto"/>
                <w:sz w:val="24"/>
                <w:szCs w:val="24"/>
                <w:highlight w:val="none"/>
                <w:lang w:val="en-US" w:bidi="zh-CN"/>
              </w:rPr>
              <w:t>有利于</w:t>
            </w:r>
            <w:r>
              <w:rPr>
                <w:rFonts w:hint="default" w:ascii="Times New Roman" w:hAnsi="Times New Roman" w:eastAsia="楷体" w:cs="Times New Roman"/>
                <w:color w:val="auto"/>
                <w:sz w:val="24"/>
                <w:szCs w:val="24"/>
                <w:highlight w:val="none"/>
                <w:lang w:val="zh-CN" w:bidi="zh-CN"/>
              </w:rPr>
              <w:t>提高</w:t>
            </w:r>
            <w:r>
              <w:rPr>
                <w:rFonts w:hint="default" w:ascii="Times New Roman" w:hAnsi="Times New Roman" w:eastAsia="楷体" w:cs="Times New Roman"/>
                <w:color w:val="auto"/>
                <w:sz w:val="24"/>
                <w:szCs w:val="24"/>
                <w:highlight w:val="none"/>
                <w:lang w:val="en-US" w:bidi="zh-CN"/>
              </w:rPr>
              <w:t>废旧废料</w:t>
            </w:r>
            <w:r>
              <w:rPr>
                <w:rFonts w:hint="default" w:ascii="Times New Roman" w:hAnsi="Times New Roman" w:eastAsia="楷体" w:cs="Times New Roman"/>
                <w:color w:val="auto"/>
                <w:sz w:val="24"/>
                <w:szCs w:val="24"/>
                <w:highlight w:val="none"/>
                <w:lang w:val="zh-CN" w:bidi="zh-CN"/>
              </w:rPr>
              <w:t>规模化、资源化利用水平</w:t>
            </w:r>
            <w:r>
              <w:rPr>
                <w:rFonts w:hint="eastAsia" w:ascii="Times New Roman" w:hAnsi="Times New Roman" w:eastAsia="楷体" w:cs="Times New Roman"/>
                <w:color w:val="auto"/>
                <w:sz w:val="24"/>
                <w:szCs w:val="24"/>
                <w:highlight w:val="none"/>
                <w:lang w:val="zh-CN" w:bidi="zh-CN"/>
              </w:rPr>
              <w:t>。</w:t>
            </w:r>
          </w:p>
        </w:tc>
        <w:tc>
          <w:tcPr>
            <w:tcW w:w="897" w:type="dxa"/>
            <w:vAlign w:val="center"/>
          </w:tcPr>
          <w:p w14:paraId="18B36780">
            <w:pPr>
              <w:pStyle w:val="132"/>
              <w:jc w:val="center"/>
              <w:rPr>
                <w:rFonts w:hint="default" w:ascii="Times New Roman" w:hAnsi="Times New Roman" w:eastAsia="楷体" w:cs="Times New Roman"/>
                <w:color w:val="auto"/>
                <w:sz w:val="24"/>
                <w:szCs w:val="24"/>
                <w:highlight w:val="none"/>
                <w:lang w:val="zh-CN" w:bidi="zh-CN"/>
              </w:rPr>
            </w:pPr>
            <w:r>
              <w:rPr>
                <w:rFonts w:hint="default" w:ascii="Times New Roman" w:hAnsi="Times New Roman" w:eastAsia="楷体" w:cs="Times New Roman"/>
                <w:color w:val="auto"/>
                <w:sz w:val="24"/>
                <w:szCs w:val="24"/>
                <w:highlight w:val="none"/>
                <w:lang w:val="zh-CN" w:bidi="zh-CN"/>
              </w:rPr>
              <w:t>符合</w:t>
            </w:r>
          </w:p>
        </w:tc>
      </w:tr>
      <w:tr w14:paraId="24B3B0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16" w:type="dxa"/>
            <w:vAlign w:val="center"/>
          </w:tcPr>
          <w:p w14:paraId="120003B2">
            <w:pPr>
              <w:pStyle w:val="132"/>
              <w:jc w:val="center"/>
              <w:rPr>
                <w:rFonts w:hint="default" w:ascii="Times New Roman" w:hAnsi="Times New Roman" w:eastAsia="楷体" w:cs="Times New Roman"/>
                <w:color w:val="auto"/>
                <w:sz w:val="24"/>
                <w:szCs w:val="24"/>
                <w:highlight w:val="none"/>
                <w:lang w:val="en-US" w:bidi="zh-CN"/>
              </w:rPr>
            </w:pPr>
            <w:r>
              <w:rPr>
                <w:rFonts w:hint="default" w:ascii="Times New Roman" w:hAnsi="Times New Roman" w:eastAsia="楷体" w:cs="Times New Roman"/>
                <w:color w:val="auto"/>
                <w:sz w:val="24"/>
                <w:szCs w:val="24"/>
                <w:highlight w:val="none"/>
                <w:lang w:val="zh-CN" w:bidi="zh-CN"/>
              </w:rPr>
              <w:t>重点工程与行动</w:t>
            </w:r>
          </w:p>
        </w:tc>
        <w:tc>
          <w:tcPr>
            <w:tcW w:w="4761" w:type="dxa"/>
            <w:vAlign w:val="center"/>
          </w:tcPr>
          <w:p w14:paraId="3291CB33">
            <w:pPr>
              <w:pStyle w:val="132"/>
              <w:jc w:val="center"/>
              <w:rPr>
                <w:rFonts w:hint="default" w:ascii="Times New Roman" w:hAnsi="Times New Roman" w:eastAsia="楷体" w:cs="Times New Roman"/>
                <w:color w:val="auto"/>
                <w:sz w:val="24"/>
                <w:szCs w:val="24"/>
                <w:highlight w:val="none"/>
                <w:lang w:val="zh-CN" w:bidi="zh-CN"/>
              </w:rPr>
            </w:pPr>
            <w:r>
              <w:rPr>
                <w:rFonts w:hint="default" w:ascii="Times New Roman" w:hAnsi="Times New Roman" w:eastAsia="楷体" w:cs="Times New Roman"/>
                <w:color w:val="auto"/>
                <w:sz w:val="24"/>
                <w:szCs w:val="24"/>
                <w:highlight w:val="none"/>
                <w:lang w:val="zh-CN" w:bidi="zh-CN"/>
              </w:rPr>
              <w:t>城市废旧物资循环利用体系建设工程。以直辖市、省会城市、计划单列市及人口较多的城市为重点，选择约60个城市开展废旧物资循环利用体系建设。统筹布局城市废旧物资回收交投点、中转站、分拣中心建设。在社区、商超、学校、办公场所等设置回收交投点，推广智能回收终端。合理布局中转站，建设功能健全、设施完备、符合安全环保要求的综合型和专业型分拣中心。统筹规划建设再生资源加工利用基地，推进废钢铁、废有色金属、报废机动车、退役光伏组件和风电机组叶片、废旧家电、废旧电池、废旧轮胎、废旧木制品、废旧纺织品、废塑料、废纸、废玻璃、厨余垃圾等城市废弃物分类利用和集中处置，引导再生资源加工利用项目集聚发展。鼓励京津冀、长三角、珠三角、成渝等重点城市群建设区域性再生资源加工利用基地。</w:t>
            </w:r>
          </w:p>
        </w:tc>
        <w:tc>
          <w:tcPr>
            <w:tcW w:w="2764" w:type="dxa"/>
            <w:vAlign w:val="center"/>
          </w:tcPr>
          <w:p w14:paraId="17A0162E">
            <w:pPr>
              <w:pStyle w:val="132"/>
              <w:jc w:val="both"/>
              <w:rPr>
                <w:rFonts w:hint="default" w:ascii="Times New Roman" w:hAnsi="Times New Roman" w:eastAsia="楷体" w:cs="Times New Roman"/>
                <w:color w:val="auto"/>
                <w:sz w:val="24"/>
                <w:szCs w:val="24"/>
                <w:highlight w:val="none"/>
                <w:lang w:val="zh-CN" w:bidi="zh-CN"/>
              </w:rPr>
            </w:pPr>
            <w:r>
              <w:rPr>
                <w:rFonts w:hint="default" w:ascii="Times New Roman" w:hAnsi="Times New Roman" w:eastAsia="楷体" w:cs="Times New Roman"/>
                <w:color w:val="auto"/>
                <w:sz w:val="24"/>
                <w:szCs w:val="24"/>
                <w:highlight w:val="none"/>
                <w:lang w:val="zh-CN" w:bidi="zh-CN"/>
              </w:rPr>
              <w:t>项目主要对塑料制品加工过程中产生的热塑性（主要为淋膜纸）边角料、残次品等进行回收再利用，</w:t>
            </w:r>
            <w:r>
              <w:rPr>
                <w:rFonts w:hint="default" w:ascii="Times New Roman" w:hAnsi="Times New Roman" w:eastAsia="楷体" w:cs="Times New Roman"/>
                <w:color w:val="auto"/>
                <w:sz w:val="24"/>
                <w:szCs w:val="24"/>
                <w:highlight w:val="none"/>
                <w:lang w:val="en-US" w:bidi="zh-CN"/>
              </w:rPr>
              <w:t>有利于</w:t>
            </w:r>
            <w:r>
              <w:rPr>
                <w:rFonts w:hint="default" w:ascii="Times New Roman" w:hAnsi="Times New Roman" w:eastAsia="楷体" w:cs="Times New Roman"/>
                <w:color w:val="auto"/>
                <w:sz w:val="24"/>
                <w:szCs w:val="24"/>
                <w:highlight w:val="none"/>
                <w:lang w:val="zh-CN" w:bidi="zh-CN"/>
              </w:rPr>
              <w:t>再生资源加工利用项目集聚发展。</w:t>
            </w:r>
          </w:p>
        </w:tc>
        <w:tc>
          <w:tcPr>
            <w:tcW w:w="897" w:type="dxa"/>
            <w:vAlign w:val="center"/>
          </w:tcPr>
          <w:p w14:paraId="4B6A28E1">
            <w:pPr>
              <w:pStyle w:val="132"/>
              <w:jc w:val="center"/>
              <w:rPr>
                <w:rFonts w:hint="default" w:ascii="Times New Roman" w:hAnsi="Times New Roman" w:eastAsia="楷体" w:cs="Times New Roman"/>
                <w:color w:val="auto"/>
                <w:sz w:val="24"/>
                <w:szCs w:val="24"/>
                <w:highlight w:val="none"/>
                <w:lang w:val="zh-CN" w:bidi="zh-CN"/>
              </w:rPr>
            </w:pPr>
            <w:r>
              <w:rPr>
                <w:rFonts w:hint="default" w:ascii="Times New Roman" w:hAnsi="Times New Roman" w:eastAsia="楷体" w:cs="Times New Roman"/>
                <w:color w:val="auto"/>
                <w:sz w:val="24"/>
                <w:szCs w:val="24"/>
                <w:highlight w:val="none"/>
                <w:lang w:val="zh-CN" w:bidi="zh-CN"/>
              </w:rPr>
              <w:t>符合</w:t>
            </w:r>
          </w:p>
        </w:tc>
      </w:tr>
    </w:tbl>
    <w:p w14:paraId="16EF530F">
      <w:pPr>
        <w:pStyle w:val="47"/>
        <w:ind w:firstLine="482"/>
        <w:rPr>
          <w:rFonts w:hint="default" w:ascii="Times New Roman" w:hAnsi="Times New Roman" w:eastAsia="楷体" w:cs="Times New Roman"/>
          <w:color w:val="000000" w:themeColor="text1"/>
          <w:highlight w:val="none"/>
          <w:lang w:val="en-US" w:eastAsia="zh-CN"/>
          <w14:textFill>
            <w14:solidFill>
              <w14:schemeClr w14:val="tx1"/>
            </w14:solidFill>
          </w14:textFill>
        </w:rPr>
      </w:pPr>
      <w:bookmarkStart w:id="11" w:name="2.6.2.5与《关于进一步加强塑料污染治理的意见》（发改环资[2020]80号"/>
      <w:bookmarkEnd w:id="11"/>
      <w:bookmarkStart w:id="12" w:name="2.6.2.5与《关于进一步加强塑料污染治理的意见》（发改环资[2020]80号"/>
      <w:bookmarkEnd w:id="12"/>
      <w:r>
        <w:rPr>
          <w:rFonts w:hint="eastAsia" w:cs="Times New Roman"/>
          <w:color w:val="000000" w:themeColor="text1"/>
          <w:highlight w:val="none"/>
          <w:lang w:val="en-US" w:eastAsia="zh-CN"/>
          <w14:textFill>
            <w14:solidFill>
              <w14:schemeClr w14:val="tx1"/>
            </w14:solidFill>
          </w14:textFill>
        </w:rPr>
        <w:t>综上，项目符合行业类法规政策。</w:t>
      </w:r>
    </w:p>
    <w:p w14:paraId="1272467F">
      <w:pPr>
        <w:pStyle w:val="90"/>
        <w:bidi w:val="0"/>
        <w:ind w:left="0" w:leftChars="0" w:firstLine="0" w:firstLineChars="0"/>
      </w:pPr>
      <w:bookmarkStart w:id="13" w:name="_Toc23609"/>
      <w:r>
        <w:rPr>
          <w:rFonts w:hint="eastAsia"/>
        </w:rPr>
        <w:t>关注</w:t>
      </w:r>
      <w:r>
        <w:t>的</w:t>
      </w:r>
      <w:r>
        <w:rPr>
          <w:rFonts w:hint="eastAsia"/>
        </w:rPr>
        <w:t>主要环境问题</w:t>
      </w:r>
      <w:r>
        <w:t>及环境影响</w:t>
      </w:r>
      <w:bookmarkEnd w:id="13"/>
    </w:p>
    <w:p w14:paraId="0D3665AA">
      <w:pPr>
        <w:pStyle w:val="47"/>
        <w:ind w:firstLine="482"/>
      </w:pPr>
      <w:r>
        <w:t>结合项目的工程特点和项目周边的环境特点，需关注的主要环境问题如下：</w:t>
      </w:r>
    </w:p>
    <w:p w14:paraId="6FD5D197">
      <w:pPr>
        <w:pStyle w:val="47"/>
        <w:ind w:firstLine="482"/>
        <w:rPr>
          <w:rFonts w:hint="eastAsia"/>
        </w:rPr>
      </w:pPr>
      <w:r>
        <w:rPr>
          <w:rFonts w:hint="eastAsia"/>
        </w:rPr>
        <w:t>（1）项目污染物的排放量核算，以及对环境空气造成的影响程度及范围。</w:t>
      </w:r>
    </w:p>
    <w:p w14:paraId="2C1E4ED0">
      <w:pPr>
        <w:pStyle w:val="47"/>
        <w:ind w:firstLine="482"/>
        <w:rPr>
          <w:rFonts w:hint="eastAsia"/>
        </w:rPr>
      </w:pPr>
      <w:r>
        <w:rPr>
          <w:rFonts w:hint="eastAsia"/>
        </w:rPr>
        <w:t>（2）各种设备运行时产生的噪声对周围声环境的影响；</w:t>
      </w:r>
    </w:p>
    <w:p w14:paraId="63CBA102">
      <w:pPr>
        <w:pStyle w:val="47"/>
        <w:ind w:firstLine="482"/>
        <w:rPr>
          <w:rFonts w:hint="eastAsia"/>
        </w:rPr>
      </w:pPr>
      <w:r>
        <w:rPr>
          <w:rFonts w:hint="eastAsia"/>
        </w:rPr>
        <w:t>（3）项目产生的一般工业固废和危险废物等对周围环境的影响；</w:t>
      </w:r>
    </w:p>
    <w:p w14:paraId="7E3570AE">
      <w:pPr>
        <w:pStyle w:val="47"/>
        <w:ind w:firstLine="482"/>
      </w:pPr>
      <w:r>
        <w:rPr>
          <w:rFonts w:hint="eastAsia"/>
        </w:rPr>
        <w:t>（4）项目拟采取的污染防治措施和风险防范措施的可行性和可靠性。</w:t>
      </w:r>
    </w:p>
    <w:p w14:paraId="6E6B3E02">
      <w:pPr>
        <w:pStyle w:val="90"/>
        <w:bidi w:val="0"/>
        <w:ind w:left="0" w:leftChars="0" w:firstLine="0" w:firstLineChars="0"/>
      </w:pPr>
      <w:bookmarkStart w:id="14" w:name="_Toc2836"/>
      <w:r>
        <w:rPr>
          <w:rFonts w:hint="eastAsia"/>
        </w:rPr>
        <w:t>环境影响</w:t>
      </w:r>
      <w:r>
        <w:t>评价</w:t>
      </w:r>
      <w:r>
        <w:rPr>
          <w:rFonts w:hint="eastAsia"/>
        </w:rPr>
        <w:t>主要结论</w:t>
      </w:r>
      <w:bookmarkEnd w:id="14"/>
    </w:p>
    <w:p w14:paraId="457D5C4A">
      <w:pPr>
        <w:pStyle w:val="47"/>
        <w:ind w:firstLine="482"/>
        <w:rPr>
          <w:color w:val="000000" w:themeColor="text1"/>
          <w14:textFill>
            <w14:solidFill>
              <w14:schemeClr w14:val="tx1"/>
            </w14:solidFill>
          </w14:textFill>
        </w:rPr>
      </w:pPr>
      <w:r>
        <w:rPr>
          <w:rFonts w:hint="eastAsia"/>
          <w:color w:val="000000" w:themeColor="text1"/>
          <w:u w:val="none"/>
          <w14:textFill>
            <w14:solidFill>
              <w14:schemeClr w14:val="tx1"/>
            </w14:solidFill>
          </w14:textFill>
        </w:rPr>
        <w:t>项目建设符合国家和</w:t>
      </w:r>
      <w:r>
        <w:rPr>
          <w:rFonts w:hint="eastAsia"/>
          <w:color w:val="000000" w:themeColor="text1"/>
          <w:u w:val="none"/>
          <w:lang w:val="en-US" w:eastAsia="zh-CN"/>
          <w14:textFill>
            <w14:solidFill>
              <w14:schemeClr w14:val="tx1"/>
            </w14:solidFill>
          </w14:textFill>
        </w:rPr>
        <w:t>地方</w:t>
      </w:r>
      <w:r>
        <w:rPr>
          <w:rFonts w:hint="eastAsia"/>
          <w:color w:val="000000" w:themeColor="text1"/>
          <w:u w:val="none"/>
          <w14:textFill>
            <w14:solidFill>
              <w14:schemeClr w14:val="tx1"/>
            </w14:solidFill>
          </w14:textFill>
        </w:rPr>
        <w:t>产业政策要求，建设用地为工业用地。项目实施后</w:t>
      </w:r>
      <w:r>
        <w:rPr>
          <w:rFonts w:hint="eastAsia"/>
          <w:color w:val="000000" w:themeColor="text1"/>
          <w:u w:val="none"/>
          <w:lang w:val="en-US" w:eastAsia="zh-CN"/>
          <w14:textFill>
            <w14:solidFill>
              <w14:schemeClr w14:val="tx1"/>
            </w14:solidFill>
          </w14:textFill>
        </w:rPr>
        <w:t>无废水排放，</w:t>
      </w:r>
      <w:r>
        <w:rPr>
          <w:color w:val="000000" w:themeColor="text1"/>
          <w:u w:val="none"/>
          <w14:textFill>
            <w14:solidFill>
              <w14:schemeClr w14:val="tx1"/>
            </w14:solidFill>
          </w14:textFill>
        </w:rPr>
        <w:t>产</w:t>
      </w:r>
      <w:r>
        <w:rPr>
          <w:color w:val="000000" w:themeColor="text1"/>
          <w:highlight w:val="none"/>
          <w:u w:val="none"/>
          <w14:textFill>
            <w14:solidFill>
              <w14:schemeClr w14:val="tx1"/>
            </w14:solidFill>
          </w14:textFill>
        </w:rPr>
        <w:t>生</w:t>
      </w:r>
      <w:r>
        <w:rPr>
          <w:rFonts w:hint="eastAsia"/>
          <w:color w:val="000000" w:themeColor="text1"/>
          <w:highlight w:val="none"/>
          <w:u w:val="none"/>
          <w14:textFill>
            <w14:solidFill>
              <w14:schemeClr w14:val="tx1"/>
            </w14:solidFill>
          </w14:textFill>
        </w:rPr>
        <w:t>的废气污染物</w:t>
      </w:r>
      <w:r>
        <w:rPr>
          <w:color w:val="000000" w:themeColor="text1"/>
          <w:highlight w:val="none"/>
          <w:u w:val="none"/>
          <w14:textFill>
            <w14:solidFill>
              <w14:schemeClr w14:val="tx1"/>
            </w14:solidFill>
          </w14:textFill>
        </w:rPr>
        <w:t>经环保措施治理后均</w:t>
      </w:r>
      <w:r>
        <w:rPr>
          <w:rFonts w:hint="eastAsia"/>
          <w:color w:val="000000" w:themeColor="text1"/>
          <w:highlight w:val="none"/>
          <w:u w:val="none"/>
          <w14:textFill>
            <w14:solidFill>
              <w14:schemeClr w14:val="tx1"/>
            </w14:solidFill>
          </w14:textFill>
        </w:rPr>
        <w:t>可达标排放</w:t>
      </w:r>
      <w:r>
        <w:rPr>
          <w:color w:val="000000" w:themeColor="text1"/>
          <w:highlight w:val="none"/>
          <w:u w:val="none"/>
          <w14:textFill>
            <w14:solidFill>
              <w14:schemeClr w14:val="tx1"/>
            </w14:solidFill>
          </w14:textFill>
        </w:rPr>
        <w:t>，</w:t>
      </w:r>
      <w:r>
        <w:rPr>
          <w:rFonts w:hint="eastAsia"/>
          <w:color w:val="000000" w:themeColor="text1"/>
          <w:highlight w:val="none"/>
          <w:u w:val="none"/>
          <w14:textFill>
            <w14:solidFill>
              <w14:schemeClr w14:val="tx1"/>
            </w14:solidFill>
          </w14:textFill>
        </w:rPr>
        <w:t>厂界</w:t>
      </w:r>
      <w:r>
        <w:rPr>
          <w:color w:val="000000" w:themeColor="text1"/>
          <w:highlight w:val="none"/>
          <w:u w:val="none"/>
          <w14:textFill>
            <w14:solidFill>
              <w14:schemeClr w14:val="tx1"/>
            </w14:solidFill>
          </w14:textFill>
        </w:rPr>
        <w:t>噪声</w:t>
      </w:r>
      <w:r>
        <w:rPr>
          <w:rFonts w:hint="eastAsia"/>
          <w:color w:val="000000" w:themeColor="text1"/>
          <w:highlight w:val="none"/>
          <w:u w:val="none"/>
          <w14:textFill>
            <w14:solidFill>
              <w14:schemeClr w14:val="tx1"/>
            </w14:solidFill>
          </w14:textFill>
        </w:rPr>
        <w:t>采用减振、降噪等措施</w:t>
      </w:r>
      <w:r>
        <w:rPr>
          <w:rFonts w:hint="eastAsia"/>
          <w:color w:val="000000" w:themeColor="text1"/>
          <w:highlight w:val="none"/>
          <w:u w:val="none"/>
          <w:lang w:val="en-US" w:eastAsia="zh-CN"/>
          <w14:textFill>
            <w14:solidFill>
              <w14:schemeClr w14:val="tx1"/>
            </w14:solidFill>
          </w14:textFill>
        </w:rPr>
        <w:t>后</w:t>
      </w:r>
      <w:r>
        <w:rPr>
          <w:color w:val="000000" w:themeColor="text1"/>
          <w:highlight w:val="none"/>
          <w:u w:val="none"/>
          <w14:textFill>
            <w14:solidFill>
              <w14:schemeClr w14:val="tx1"/>
            </w14:solidFill>
          </w14:textFill>
        </w:rPr>
        <w:t>达标排放，固体废物处置去向合理</w:t>
      </w:r>
      <w:r>
        <w:rPr>
          <w:rFonts w:hint="eastAsia"/>
          <w:color w:val="000000" w:themeColor="text1"/>
          <w:highlight w:val="none"/>
          <w:u w:val="none"/>
          <w14:textFill>
            <w14:solidFill>
              <w14:schemeClr w14:val="tx1"/>
            </w14:solidFill>
          </w14:textFill>
        </w:rPr>
        <w:t>，</w:t>
      </w:r>
      <w:r>
        <w:rPr>
          <w:rFonts w:hint="eastAsia"/>
          <w:color w:val="000000" w:themeColor="text1"/>
          <w:highlight w:val="none"/>
          <w14:textFill>
            <w14:solidFill>
              <w14:schemeClr w14:val="tx1"/>
            </w14:solidFill>
          </w14:textFill>
        </w:rPr>
        <w:t>地下水防渗分区布局及污染防治措施合理可行，针对可能的环境风险采取必要的事故防范措施和应急措施，对环境产生影响</w:t>
      </w:r>
      <w:r>
        <w:rPr>
          <w:rFonts w:hint="eastAsia"/>
          <w:color w:val="000000" w:themeColor="text1"/>
          <w:highlight w:val="none"/>
          <w:lang w:val="en-US" w:eastAsia="zh-CN"/>
          <w14:textFill>
            <w14:solidFill>
              <w14:schemeClr w14:val="tx1"/>
            </w14:solidFill>
          </w14:textFill>
        </w:rPr>
        <w:t>较小</w:t>
      </w:r>
      <w:r>
        <w:rPr>
          <w:rFonts w:hint="eastAsia"/>
          <w:color w:val="000000" w:themeColor="text1"/>
          <w:highlight w:val="none"/>
          <w14:textFill>
            <w14:solidFill>
              <w14:schemeClr w14:val="tx1"/>
            </w14:solidFill>
          </w14:textFill>
        </w:rPr>
        <w:t>。项目公示期间，未收到反对项目建设的公众意见。在落实本报告</w:t>
      </w:r>
      <w:r>
        <w:rPr>
          <w:rFonts w:hint="eastAsia"/>
          <w:color w:val="000000" w:themeColor="text1"/>
          <w14:textFill>
            <w14:solidFill>
              <w14:schemeClr w14:val="tx1"/>
            </w14:solidFill>
          </w14:textFill>
        </w:rPr>
        <w:t>提出的各项环保措施的情况下，项目的建设具备环境可行性。</w:t>
      </w:r>
    </w:p>
    <w:p w14:paraId="7FE2E468">
      <w:pPr>
        <w:pStyle w:val="47"/>
        <w:ind w:firstLine="482"/>
        <w:rPr>
          <w:color w:val="000000" w:themeColor="text1"/>
          <w14:textFill>
            <w14:solidFill>
              <w14:schemeClr w14:val="tx1"/>
            </w14:solidFill>
          </w14:textFill>
        </w:rPr>
        <w:sectPr>
          <w:footerReference r:id="rId13" w:type="default"/>
          <w:pgSz w:w="11906" w:h="16838"/>
          <w:pgMar w:top="1417" w:right="1417" w:bottom="1417" w:left="1417" w:header="964" w:footer="964" w:gutter="0"/>
          <w:pgBorders>
            <w:top w:val="none" w:sz="0" w:space="0"/>
            <w:left w:val="none" w:sz="0" w:space="0"/>
            <w:bottom w:val="none" w:sz="0" w:space="0"/>
            <w:right w:val="none" w:sz="0" w:space="0"/>
          </w:pgBorders>
          <w:pgNumType w:fmt="decimal" w:start="1"/>
          <w:cols w:space="425" w:num="1"/>
          <w:docGrid w:type="linesAndChars" w:linePitch="326" w:charSpace="190"/>
        </w:sectPr>
      </w:pPr>
    </w:p>
    <w:p w14:paraId="6D68A9D8">
      <w:pPr>
        <w:pStyle w:val="88"/>
        <w:bidi w:val="0"/>
        <w:ind w:left="0" w:leftChars="0" w:hanging="102" w:firstLineChars="0"/>
      </w:pPr>
      <w:bookmarkStart w:id="15" w:name="_Toc531765935"/>
      <w:bookmarkStart w:id="16" w:name="_Toc498589357"/>
      <w:bookmarkStart w:id="17" w:name="_Toc6487343"/>
      <w:bookmarkStart w:id="18" w:name="_Toc3693"/>
      <w:r>
        <w:t>总</w:t>
      </w:r>
      <w:bookmarkEnd w:id="15"/>
      <w:bookmarkEnd w:id="16"/>
      <w:bookmarkEnd w:id="17"/>
      <w:r>
        <w:rPr>
          <w:rFonts w:hint="eastAsia"/>
        </w:rPr>
        <w:t>则</w:t>
      </w:r>
      <w:bookmarkEnd w:id="18"/>
    </w:p>
    <w:p w14:paraId="063D4D1F">
      <w:pPr>
        <w:pStyle w:val="90"/>
        <w:bidi w:val="0"/>
        <w:ind w:left="0" w:leftChars="0" w:firstLine="0" w:firstLineChars="0"/>
      </w:pPr>
      <w:bookmarkStart w:id="19" w:name="_Toc32593"/>
      <w:bookmarkStart w:id="20" w:name="_Toc6487344"/>
      <w:bookmarkStart w:id="21" w:name="_Toc352179951"/>
      <w:bookmarkStart w:id="22" w:name="_Toc531765936"/>
      <w:bookmarkStart w:id="23" w:name="_Toc318356143"/>
      <w:bookmarkStart w:id="24" w:name="_Toc498589358"/>
      <w:r>
        <w:t>编制依据</w:t>
      </w:r>
      <w:bookmarkEnd w:id="19"/>
      <w:bookmarkEnd w:id="20"/>
      <w:bookmarkEnd w:id="21"/>
      <w:bookmarkEnd w:id="22"/>
      <w:bookmarkEnd w:id="23"/>
      <w:bookmarkEnd w:id="24"/>
    </w:p>
    <w:p w14:paraId="6E4AC728">
      <w:pPr>
        <w:pStyle w:val="92"/>
        <w:bidi w:val="0"/>
        <w:ind w:left="0" w:leftChars="0" w:firstLine="0" w:firstLineChars="0"/>
      </w:pPr>
      <w:r>
        <w:rPr>
          <w:rFonts w:hint="eastAsia"/>
        </w:rPr>
        <w:t>环境保护法律</w:t>
      </w:r>
    </w:p>
    <w:p w14:paraId="74613B8A">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（1）《中华人民共和国环境保护法》（2015年1月1日施行）；</w:t>
      </w:r>
    </w:p>
    <w:p w14:paraId="7678563D">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（2）《中华人民共和国环境影响评价法》（2018年12月29日施行）；</w:t>
      </w:r>
    </w:p>
    <w:p w14:paraId="7CD83166">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（3）《中华人民共和国大气污染防治法》（2018年10月26日施行）；</w:t>
      </w:r>
    </w:p>
    <w:p w14:paraId="45598ACC">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（4）《中华人民共和国水污染防治法》（2018年1月1日施行）；</w:t>
      </w:r>
    </w:p>
    <w:p w14:paraId="27C450B5">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（5）《中华人民共和国噪声污染防治法》（2022年6月5日施行）；</w:t>
      </w:r>
    </w:p>
    <w:p w14:paraId="46ADA908">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（6）《中华人民共和国固体废物污染环境防治法》（2020年9月1日施行）；</w:t>
      </w:r>
    </w:p>
    <w:p w14:paraId="1498003E">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（7）《中华人民共和国土壤污染防治法》（2019年1月1日施行）；</w:t>
      </w:r>
    </w:p>
    <w:p w14:paraId="7A47E7D2">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（8）《中华人民共和国清洁生产促进法》（2012年7月1日施行）；</w:t>
      </w:r>
    </w:p>
    <w:p w14:paraId="07A28283">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（9）《中华人民共和国循环经济促进法》（2018年10月26日施行）；</w:t>
      </w:r>
    </w:p>
    <w:p w14:paraId="2B13F767">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（10）《中华人民共和国节约能源法》（2018年10月26日施行）；</w:t>
      </w:r>
    </w:p>
    <w:p w14:paraId="4381D16D">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（11）《中华人民共和国水土保持法》（2011年3月1日修订施行）；</w:t>
      </w:r>
    </w:p>
    <w:p w14:paraId="0467406F">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（12）《大气污染防治行动计划》（国发［2013］37号）（2013年9月10日）施行；</w:t>
      </w:r>
    </w:p>
    <w:p w14:paraId="4AACD045">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（13）《水污染防治行动计划》（国发［2015］17号）（2015年4月2日施行）；</w:t>
      </w:r>
    </w:p>
    <w:p w14:paraId="21089109">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（14）《土壤污染防治行动计划》（国发［2016］31号）；</w:t>
      </w:r>
    </w:p>
    <w:p w14:paraId="57A6A2BE">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（15）《“十四五”噪声污染防治行动计划》（环大气［2023］1号）（2023年1月5日施行）；</w:t>
      </w:r>
    </w:p>
    <w:p w14:paraId="5146BD05">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（16）《建设项目环境保护管理条例》（国务院682号令）（2017年10月1日施行）；</w:t>
      </w:r>
    </w:p>
    <w:p w14:paraId="6A7BEA6D">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（17）《国务院关于落实科学发展观加强环境保护的决定》（国发〔2005〕39号）（2005年12月3日施行）；</w:t>
      </w:r>
    </w:p>
    <w:p w14:paraId="58D68F6F">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（18）《国务院关于加强环境保护重点工作的意见》（国发〔2011〕35号文）（2011年10月17日施行）；</w:t>
      </w:r>
    </w:p>
    <w:p w14:paraId="5346A532">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（19）《关于印发＜建设项目环境影响评价信息公开机制方案&gt;的通知》（环境保护部文件环发［2015］162号）（2015年12月10日施行）；</w:t>
      </w:r>
    </w:p>
    <w:p w14:paraId="5792909F">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（20）《关于进一步加强环境影响评价管理防范环境风险的通知》（环发［2012］77号）（2012年7月3日施行）；</w:t>
      </w:r>
    </w:p>
    <w:p w14:paraId="285B9595">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（21）《关于切实加强风险防范严格环境影响评价管理的通知》（环发［2012］98号）（2012年8月7日施行）；</w:t>
      </w:r>
    </w:p>
    <w:p w14:paraId="0C45941E">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（22）《环境影响评价公众参与办法》（生态环境部令部令第4号）（2019年1月1日施行）；</w:t>
      </w:r>
    </w:p>
    <w:p w14:paraId="1D3B0DFD">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（23）《排污许可管理条例》（国务院令 第736号）（2021年3月1日实施）；</w:t>
      </w:r>
    </w:p>
    <w:p w14:paraId="12D749E7">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（24）《产业结构调整指导目录（2021 年修订本）》（国家发展和改革委员会第49号令）（2021年12月30日施行）；</w:t>
      </w:r>
    </w:p>
    <w:p w14:paraId="06D289E1">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（25）《建设项目环境影响评价分类管理名录》（生态环境部部令第16号）（2021版）（2021年1月1日施行）；</w:t>
      </w:r>
    </w:p>
    <w:p w14:paraId="4B0DCCB7">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（26）《关于印发“十四五”土壤、地下水和农村生态环境保护规划的通知》（环土壤〔2021〕120号，2021年12月29日施行）；</w:t>
      </w:r>
    </w:p>
    <w:p w14:paraId="63F3D768">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（27）《国家发展改革委生态环境部关于印发 “十四五”塑料污染治理行动方案的通知》（发改环资〔2021〕1298号，2021年9月15日施行）；</w:t>
      </w:r>
    </w:p>
    <w:p w14:paraId="5246557A">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（28）《关于印发&lt;重点行业挥发性有机物综合治理方案&gt;的通知》（环大气〔2019〕53号，2019年6月26日施行）；</w:t>
      </w:r>
    </w:p>
    <w:p w14:paraId="0748EA31">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（29）《关于印发&lt;2020年挥发性有机物治理攻坚方案&gt;的通知》（环大气〔2020〕33号，2020年6月23日实施）；</w:t>
      </w:r>
    </w:p>
    <w:p w14:paraId="12801ED9">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（30）《中共中央国务院关于深入打好污染防治攻坚战的意见》（中发〔2021〕40号，2021年11月8日施行）；</w:t>
      </w:r>
    </w:p>
    <w:p w14:paraId="3DFCAB22">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（31）《废塑料加工利用污染防治管理规定》（环境保护部、发展改革委、商务部公告2012年第55号）（2012年10月1日施行）。</w:t>
      </w:r>
    </w:p>
    <w:p w14:paraId="03E9AF29">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（32）《废塑料综合利用行业规范条件》（中华人民共和国工业和信息化部公告2015年第81号）（2015年12月4日施行）；</w:t>
      </w:r>
    </w:p>
    <w:p w14:paraId="5E5E1A7C">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（33）《再生资源回收管理办法》（2019年11月30日施行）；</w:t>
      </w:r>
    </w:p>
    <w:p w14:paraId="0AD61CD6">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（34）《关于扎实推进塑料污染治理工作的通知》（发改环资〔2020〕1146号）（2020年7月10日施行）；</w:t>
      </w:r>
    </w:p>
    <w:p w14:paraId="75E3358E">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（35）《工业和信息化部 商务部 科技部关于加快推进再生资源产业发展的指导意见》（工信部联节〔2016〕440 号）；</w:t>
      </w:r>
    </w:p>
    <w:p w14:paraId="3110287F">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（36）《国务院关于印发“十四五”节能减排综合工作方案的通知》（国发〔2021〕33号）；</w:t>
      </w:r>
    </w:p>
    <w:p w14:paraId="509B2C98">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（37）《国家危险废物名录》（2021年版），生态环境部令 第15号，（2021年1月1日施行）；</w:t>
      </w:r>
    </w:p>
    <w:p w14:paraId="29DC2B2C">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（38）《危险废物转移管理办法》（部令 第23号，2022年1月1日施行）；</w:t>
      </w:r>
    </w:p>
    <w:p w14:paraId="148EF1D0">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（39）《关于联合开展电子废物、废轮胎、废塑料、废旧衣服、废家电拆解等再生利用行业清理整顿的通知》（环办土壤函〔2017〕1240号，2017年8月2日）；</w:t>
      </w:r>
    </w:p>
    <w:p w14:paraId="3E831142">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（40）《国家发展改革委生态环境部&lt;关于进一步加强塑料污染治理的意见&gt;》（发改环资〔2020〕80 号）（2020年1月16日施行）；</w:t>
      </w:r>
    </w:p>
    <w:p w14:paraId="502771F4">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（41）《关于加快解决当前挥发性有机物治理突出问题的通知》（环大气[2021]65号）（2021年8月5日施行）；</w:t>
      </w:r>
    </w:p>
    <w:p w14:paraId="1EE93E41">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color w:val="FF0000"/>
        </w:rPr>
      </w:pPr>
      <w:r>
        <w:rPr>
          <w:rFonts w:hint="eastAsia"/>
        </w:rPr>
        <w:t>（42）《国务院关于印发“十四五”节能减排综合工作方案的通知》。</w:t>
      </w:r>
    </w:p>
    <w:p w14:paraId="10002DC3">
      <w:pPr>
        <w:pStyle w:val="92"/>
        <w:bidi w:val="0"/>
        <w:ind w:left="0" w:leftChars="0" w:firstLine="0" w:firstLineChars="0"/>
      </w:pPr>
      <w:r>
        <w:t>地方环境保护法规</w:t>
      </w:r>
      <w:r>
        <w:rPr>
          <w:rFonts w:hint="eastAsia"/>
        </w:rPr>
        <w:t>与条例</w:t>
      </w:r>
    </w:p>
    <w:p w14:paraId="1AC986DB">
      <w:pPr>
        <w:pStyle w:val="47"/>
        <w:ind w:firstLine="482"/>
        <w:rPr>
          <w:rFonts w:hint="default" w:ascii="Times New Roman" w:hAnsi="Times New Roman" w:eastAsia="楷体" w:cs="Times New Roman"/>
          <w:color w:val="000000" w:themeColor="text1"/>
          <w:highlight w:val="none"/>
          <w:lang w:val="en-US"/>
          <w14:textFill>
            <w14:solidFill>
              <w14:schemeClr w14:val="tx1"/>
            </w14:solidFill>
          </w14:textFill>
        </w:rPr>
      </w:pPr>
      <w:r>
        <w:rPr>
          <w:rFonts w:hint="default" w:ascii="Times New Roman" w:hAnsi="Times New Roman" w:eastAsia="楷体" w:cs="Times New Roman"/>
          <w:color w:val="000000" w:themeColor="text1"/>
          <w:highlight w:val="none"/>
          <w:lang w:val="en-US"/>
          <w14:textFill>
            <w14:solidFill>
              <w14:schemeClr w14:val="tx1"/>
            </w14:solidFill>
          </w14:textFill>
        </w:rPr>
        <w:t>（1）《河北省生态环境保护条例》，2020年7月1日；</w:t>
      </w:r>
    </w:p>
    <w:p w14:paraId="7FCB316E">
      <w:pPr>
        <w:pStyle w:val="47"/>
        <w:ind w:firstLine="482"/>
        <w:rPr>
          <w:rFonts w:hint="default" w:ascii="Times New Roman" w:hAnsi="Times New Roman" w:eastAsia="楷体" w:cs="Times New Roman"/>
          <w:color w:val="000000" w:themeColor="text1"/>
          <w:highlight w:val="none"/>
          <w:lang w:val="en-US"/>
          <w14:textFill>
            <w14:solidFill>
              <w14:schemeClr w14:val="tx1"/>
            </w14:solidFill>
          </w14:textFill>
        </w:rPr>
      </w:pPr>
      <w:r>
        <w:rPr>
          <w:rFonts w:hint="default" w:ascii="Times New Roman" w:hAnsi="Times New Roman" w:eastAsia="楷体" w:cs="Times New Roman"/>
          <w:color w:val="000000" w:themeColor="text1"/>
          <w:highlight w:val="none"/>
          <w:lang w:val="en-US"/>
          <w14:textFill>
            <w14:solidFill>
              <w14:schemeClr w14:val="tx1"/>
            </w14:solidFill>
          </w14:textFill>
        </w:rPr>
        <w:t>（</w:t>
      </w:r>
      <w:r>
        <w:rPr>
          <w:rFonts w:hint="default" w:ascii="Times New Roman" w:hAnsi="Times New Roman" w:eastAsia="楷体" w:cs="Times New Roman"/>
          <w:color w:val="000000" w:themeColor="text1"/>
          <w:highlight w:val="none"/>
          <w:lang w:val="en-US" w:eastAsia="zh-CN"/>
          <w14:textFill>
            <w14:solidFill>
              <w14:schemeClr w14:val="tx1"/>
            </w14:solidFill>
          </w14:textFill>
        </w:rPr>
        <w:t>2</w:t>
      </w:r>
      <w:r>
        <w:rPr>
          <w:rFonts w:hint="default" w:ascii="Times New Roman" w:hAnsi="Times New Roman" w:eastAsia="楷体" w:cs="Times New Roman"/>
          <w:color w:val="000000" w:themeColor="text1"/>
          <w:highlight w:val="none"/>
          <w:lang w:val="en-US"/>
          <w14:textFill>
            <w14:solidFill>
              <w14:schemeClr w14:val="tx1"/>
            </w14:solidFill>
          </w14:textFill>
        </w:rPr>
        <w:t>）《河北省城乡规划条例》河北省第十二届人民代表大会常务委员会2016年5月25 日修订；</w:t>
      </w:r>
    </w:p>
    <w:p w14:paraId="572D8398">
      <w:pPr>
        <w:pStyle w:val="47"/>
        <w:ind w:firstLine="482"/>
        <w:rPr>
          <w:rFonts w:hint="default" w:ascii="Times New Roman" w:hAnsi="Times New Roman" w:eastAsia="楷体" w:cs="Times New Roman"/>
          <w:color w:val="000000" w:themeColor="text1"/>
          <w:highlight w:val="none"/>
          <w:lang w:val="en-US"/>
          <w14:textFill>
            <w14:solidFill>
              <w14:schemeClr w14:val="tx1"/>
            </w14:solidFill>
          </w14:textFill>
        </w:rPr>
      </w:pPr>
      <w:r>
        <w:rPr>
          <w:rFonts w:hint="default" w:ascii="Times New Roman" w:hAnsi="Times New Roman" w:eastAsia="楷体" w:cs="Times New Roman"/>
          <w:color w:val="000000" w:themeColor="text1"/>
          <w:highlight w:val="none"/>
          <w:lang w:val="en-US"/>
          <w14:textFill>
            <w14:solidFill>
              <w14:schemeClr w14:val="tx1"/>
            </w14:solidFill>
          </w14:textFill>
        </w:rPr>
        <w:t>（</w:t>
      </w:r>
      <w:r>
        <w:rPr>
          <w:rFonts w:hint="default" w:ascii="Times New Roman" w:hAnsi="Times New Roman" w:eastAsia="楷体" w:cs="Times New Roman"/>
          <w:color w:val="000000" w:themeColor="text1"/>
          <w:highlight w:val="none"/>
          <w:lang w:val="en-US" w:eastAsia="zh-CN"/>
          <w14:textFill>
            <w14:solidFill>
              <w14:schemeClr w14:val="tx1"/>
            </w14:solidFill>
          </w14:textFill>
        </w:rPr>
        <w:t>3</w:t>
      </w:r>
      <w:r>
        <w:rPr>
          <w:rFonts w:hint="default" w:ascii="Times New Roman" w:hAnsi="Times New Roman" w:eastAsia="楷体" w:cs="Times New Roman"/>
          <w:color w:val="000000" w:themeColor="text1"/>
          <w:highlight w:val="none"/>
          <w:lang w:val="en-US"/>
          <w14:textFill>
            <w14:solidFill>
              <w14:schemeClr w14:val="tx1"/>
            </w14:solidFill>
          </w14:textFill>
        </w:rPr>
        <w:t>）《河北省水污染防治条例》河北省第十三届人民代表大会常务委员会2018年5月31日修订通过，2018年9月1日起施行；</w:t>
      </w:r>
    </w:p>
    <w:p w14:paraId="4BDAC0A5">
      <w:pPr>
        <w:pStyle w:val="47"/>
        <w:ind w:firstLine="482"/>
        <w:rPr>
          <w:rFonts w:hint="default" w:ascii="Times New Roman" w:hAnsi="Times New Roman" w:eastAsia="楷体" w:cs="Times New Roman"/>
          <w:color w:val="000000" w:themeColor="text1"/>
          <w:highlight w:val="none"/>
          <w:lang w:val="en-US"/>
          <w14:textFill>
            <w14:solidFill>
              <w14:schemeClr w14:val="tx1"/>
            </w14:solidFill>
          </w14:textFill>
        </w:rPr>
      </w:pPr>
      <w:r>
        <w:rPr>
          <w:rFonts w:hint="default" w:ascii="Times New Roman" w:hAnsi="Times New Roman" w:eastAsia="楷体" w:cs="Times New Roman"/>
          <w:color w:val="000000" w:themeColor="text1"/>
          <w:highlight w:val="none"/>
          <w:lang w:val="en-US"/>
          <w14:textFill>
            <w14:solidFill>
              <w14:schemeClr w14:val="tx1"/>
            </w14:solidFill>
          </w14:textFill>
        </w:rPr>
        <w:t>（</w:t>
      </w:r>
      <w:r>
        <w:rPr>
          <w:rFonts w:hint="default" w:ascii="Times New Roman" w:hAnsi="Times New Roman" w:eastAsia="楷体" w:cs="Times New Roman"/>
          <w:color w:val="000000" w:themeColor="text1"/>
          <w:highlight w:val="none"/>
          <w:lang w:val="en-US" w:eastAsia="zh-CN"/>
          <w14:textFill>
            <w14:solidFill>
              <w14:schemeClr w14:val="tx1"/>
            </w14:solidFill>
          </w14:textFill>
        </w:rPr>
        <w:t>4</w:t>
      </w:r>
      <w:r>
        <w:rPr>
          <w:rFonts w:hint="default" w:ascii="Times New Roman" w:hAnsi="Times New Roman" w:eastAsia="楷体" w:cs="Times New Roman"/>
          <w:color w:val="000000" w:themeColor="text1"/>
          <w:highlight w:val="none"/>
          <w:lang w:val="en-US"/>
          <w14:textFill>
            <w14:solidFill>
              <w14:schemeClr w14:val="tx1"/>
            </w14:solidFill>
          </w14:textFill>
        </w:rPr>
        <w:t>）《河北省大气污染防治条例》河北省第十三届人民代表大会2021年9月29日修订；</w:t>
      </w:r>
    </w:p>
    <w:p w14:paraId="5C41918F">
      <w:pPr>
        <w:pStyle w:val="47"/>
        <w:ind w:firstLine="482"/>
        <w:rPr>
          <w:rFonts w:hint="default" w:ascii="Times New Roman" w:hAnsi="Times New Roman" w:eastAsia="楷体" w:cs="Times New Roman"/>
          <w:color w:val="000000" w:themeColor="text1"/>
          <w:highlight w:val="none"/>
          <w:lang w:val="en-US"/>
          <w14:textFill>
            <w14:solidFill>
              <w14:schemeClr w14:val="tx1"/>
            </w14:solidFill>
          </w14:textFill>
        </w:rPr>
      </w:pPr>
      <w:r>
        <w:rPr>
          <w:rFonts w:hint="default" w:ascii="Times New Roman" w:hAnsi="Times New Roman" w:eastAsia="楷体" w:cs="Times New Roman"/>
          <w:color w:val="000000" w:themeColor="text1"/>
          <w:highlight w:val="none"/>
          <w:lang w:val="en-US"/>
          <w14:textFill>
            <w14:solidFill>
              <w14:schemeClr w14:val="tx1"/>
            </w14:solidFill>
          </w14:textFill>
        </w:rPr>
        <w:t>（</w:t>
      </w:r>
      <w:r>
        <w:rPr>
          <w:rFonts w:hint="default" w:ascii="Times New Roman" w:hAnsi="Times New Roman" w:eastAsia="楷体" w:cs="Times New Roman"/>
          <w:color w:val="000000" w:themeColor="text1"/>
          <w:highlight w:val="none"/>
          <w:lang w:val="en-US" w:eastAsia="zh-CN"/>
          <w14:textFill>
            <w14:solidFill>
              <w14:schemeClr w14:val="tx1"/>
            </w14:solidFill>
          </w14:textFill>
        </w:rPr>
        <w:t>5</w:t>
      </w:r>
      <w:r>
        <w:rPr>
          <w:rFonts w:hint="default" w:ascii="Times New Roman" w:hAnsi="Times New Roman" w:eastAsia="楷体" w:cs="Times New Roman"/>
          <w:color w:val="000000" w:themeColor="text1"/>
          <w:highlight w:val="none"/>
          <w:lang w:val="en-US"/>
          <w14:textFill>
            <w14:solidFill>
              <w14:schemeClr w14:val="tx1"/>
            </w14:solidFill>
          </w14:textFill>
        </w:rPr>
        <w:t>）《河北省固体废物污染环境防治条例》河北省第十三届人民代表大会2022年9月28日通过，2022年12月1日施行</w:t>
      </w:r>
    </w:p>
    <w:p w14:paraId="192DBFBD">
      <w:pPr>
        <w:pStyle w:val="47"/>
        <w:ind w:firstLine="482"/>
        <w:rPr>
          <w:rFonts w:hint="default" w:ascii="Times New Roman" w:hAnsi="Times New Roman" w:eastAsia="楷体" w:cs="Times New Roman"/>
          <w:color w:val="000000" w:themeColor="text1"/>
          <w:highlight w:val="none"/>
          <w:lang w:val="en-US"/>
          <w14:textFill>
            <w14:solidFill>
              <w14:schemeClr w14:val="tx1"/>
            </w14:solidFill>
          </w14:textFill>
        </w:rPr>
      </w:pPr>
      <w:r>
        <w:rPr>
          <w:rFonts w:hint="default" w:ascii="Times New Roman" w:hAnsi="Times New Roman" w:eastAsia="楷体" w:cs="Times New Roman"/>
          <w:color w:val="000000" w:themeColor="text1"/>
          <w:highlight w:val="none"/>
          <w:lang w:val="en-US"/>
          <w14:textFill>
            <w14:solidFill>
              <w14:schemeClr w14:val="tx1"/>
            </w14:solidFill>
          </w14:textFill>
        </w:rPr>
        <w:t>（</w:t>
      </w:r>
      <w:r>
        <w:rPr>
          <w:rFonts w:hint="default" w:ascii="Times New Roman" w:hAnsi="Times New Roman" w:eastAsia="楷体" w:cs="Times New Roman"/>
          <w:color w:val="000000" w:themeColor="text1"/>
          <w:highlight w:val="none"/>
          <w:lang w:val="en-US" w:eastAsia="zh-CN"/>
          <w14:textFill>
            <w14:solidFill>
              <w14:schemeClr w14:val="tx1"/>
            </w14:solidFill>
          </w14:textFill>
        </w:rPr>
        <w:t>6</w:t>
      </w:r>
      <w:r>
        <w:rPr>
          <w:rFonts w:hint="default" w:ascii="Times New Roman" w:hAnsi="Times New Roman" w:eastAsia="楷体" w:cs="Times New Roman"/>
          <w:color w:val="000000" w:themeColor="text1"/>
          <w:highlight w:val="none"/>
          <w:lang w:val="en-US"/>
          <w14:textFill>
            <w14:solidFill>
              <w14:schemeClr w14:val="tx1"/>
            </w14:solidFill>
          </w14:textFill>
        </w:rPr>
        <w:t>）河北省人民政府关于发布《河北省生态保护红线》的通知（冀政字〔2018〕23号）2018年6月29日；</w:t>
      </w:r>
    </w:p>
    <w:p w14:paraId="7A220CC0">
      <w:pPr>
        <w:pStyle w:val="47"/>
        <w:ind w:firstLine="482"/>
        <w:rPr>
          <w:rFonts w:hint="default" w:ascii="Times New Roman" w:hAnsi="Times New Roman" w:eastAsia="楷体" w:cs="Times New Roman"/>
          <w:color w:val="000000" w:themeColor="text1"/>
          <w:highlight w:val="none"/>
          <w:lang w:val="en-US"/>
          <w14:textFill>
            <w14:solidFill>
              <w14:schemeClr w14:val="tx1"/>
            </w14:solidFill>
          </w14:textFill>
        </w:rPr>
      </w:pPr>
      <w:r>
        <w:rPr>
          <w:rFonts w:hint="default" w:ascii="Times New Roman" w:hAnsi="Times New Roman" w:eastAsia="楷体" w:cs="Times New Roman"/>
          <w:color w:val="000000" w:themeColor="text1"/>
          <w:highlight w:val="none"/>
          <w:lang w:val="en-US"/>
          <w14:textFill>
            <w14:solidFill>
              <w14:schemeClr w14:val="tx1"/>
            </w14:solidFill>
          </w14:textFill>
        </w:rPr>
        <w:t>（</w:t>
      </w:r>
      <w:r>
        <w:rPr>
          <w:rFonts w:hint="default" w:ascii="Times New Roman" w:hAnsi="Times New Roman" w:eastAsia="楷体" w:cs="Times New Roman"/>
          <w:color w:val="000000" w:themeColor="text1"/>
          <w:highlight w:val="none"/>
          <w:lang w:val="en-US" w:eastAsia="zh-CN"/>
          <w14:textFill>
            <w14:solidFill>
              <w14:schemeClr w14:val="tx1"/>
            </w14:solidFill>
          </w14:textFill>
        </w:rPr>
        <w:t>7</w:t>
      </w:r>
      <w:r>
        <w:rPr>
          <w:rFonts w:hint="default" w:ascii="Times New Roman" w:hAnsi="Times New Roman" w:eastAsia="楷体" w:cs="Times New Roman"/>
          <w:color w:val="000000" w:themeColor="text1"/>
          <w:highlight w:val="none"/>
          <w:lang w:val="en-US"/>
          <w14:textFill>
            <w14:solidFill>
              <w14:schemeClr w14:val="tx1"/>
            </w14:solidFill>
          </w14:textFill>
        </w:rPr>
        <w:t>）河北省人民政府办公厅印发《关于在国土空间规划中统筹划定落实三条控制线的若干措施》的通知，2020年2月2日；</w:t>
      </w:r>
    </w:p>
    <w:p w14:paraId="328B773F">
      <w:pPr>
        <w:pStyle w:val="47"/>
        <w:ind w:firstLine="482"/>
        <w:rPr>
          <w:rFonts w:hint="default" w:ascii="Times New Roman" w:hAnsi="Times New Roman" w:eastAsia="楷体" w:cs="Times New Roman"/>
          <w:color w:val="000000" w:themeColor="text1"/>
          <w:highlight w:val="none"/>
          <w:lang w:val="en-US"/>
          <w14:textFill>
            <w14:solidFill>
              <w14:schemeClr w14:val="tx1"/>
            </w14:solidFill>
          </w14:textFill>
        </w:rPr>
      </w:pPr>
      <w:r>
        <w:rPr>
          <w:rFonts w:hint="default" w:ascii="Times New Roman" w:hAnsi="Times New Roman" w:eastAsia="楷体" w:cs="Times New Roman"/>
          <w:color w:val="000000" w:themeColor="text1"/>
          <w:highlight w:val="none"/>
          <w:lang w:val="en-US"/>
          <w14:textFill>
            <w14:solidFill>
              <w14:schemeClr w14:val="tx1"/>
            </w14:solidFill>
          </w14:textFill>
        </w:rPr>
        <w:t>（</w:t>
      </w:r>
      <w:r>
        <w:rPr>
          <w:rFonts w:hint="default" w:ascii="Times New Roman" w:hAnsi="Times New Roman" w:eastAsia="楷体" w:cs="Times New Roman"/>
          <w:color w:val="000000" w:themeColor="text1"/>
          <w:highlight w:val="none"/>
          <w:lang w:val="en-US" w:eastAsia="zh-CN"/>
          <w14:textFill>
            <w14:solidFill>
              <w14:schemeClr w14:val="tx1"/>
            </w14:solidFill>
          </w14:textFill>
        </w:rPr>
        <w:t>8</w:t>
      </w:r>
      <w:r>
        <w:rPr>
          <w:rFonts w:hint="default" w:ascii="Times New Roman" w:hAnsi="Times New Roman" w:eastAsia="楷体" w:cs="Times New Roman"/>
          <w:color w:val="000000" w:themeColor="text1"/>
          <w:highlight w:val="none"/>
          <w:lang w:val="en-US"/>
          <w14:textFill>
            <w14:solidFill>
              <w14:schemeClr w14:val="tx1"/>
            </w14:solidFill>
          </w14:textFill>
        </w:rPr>
        <w:t>）《河北省“三线一单”生态环境分区管控方案》（冀政字[2020]71号），2020年12 月25日；</w:t>
      </w:r>
    </w:p>
    <w:p w14:paraId="39AD9D00">
      <w:pPr>
        <w:pStyle w:val="47"/>
        <w:ind w:firstLine="482"/>
        <w:rPr>
          <w:rFonts w:hint="default" w:ascii="Times New Roman" w:hAnsi="Times New Roman" w:eastAsia="楷体" w:cs="Times New Roman"/>
          <w:color w:val="000000" w:themeColor="text1"/>
          <w:highlight w:val="none"/>
          <w:lang w:val="en-US"/>
          <w14:textFill>
            <w14:solidFill>
              <w14:schemeClr w14:val="tx1"/>
            </w14:solidFill>
          </w14:textFill>
        </w:rPr>
      </w:pPr>
      <w:r>
        <w:rPr>
          <w:rFonts w:hint="default" w:ascii="Times New Roman" w:hAnsi="Times New Roman" w:eastAsia="楷体" w:cs="Times New Roman"/>
          <w:color w:val="000000" w:themeColor="text1"/>
          <w:highlight w:val="none"/>
          <w:lang w:val="en-US"/>
          <w14:textFill>
            <w14:solidFill>
              <w14:schemeClr w14:val="tx1"/>
            </w14:solidFill>
          </w14:textFill>
        </w:rPr>
        <w:t>（</w:t>
      </w:r>
      <w:r>
        <w:rPr>
          <w:rFonts w:hint="default" w:ascii="Times New Roman" w:hAnsi="Times New Roman" w:eastAsia="楷体" w:cs="Times New Roman"/>
          <w:color w:val="000000" w:themeColor="text1"/>
          <w:highlight w:val="none"/>
          <w:lang w:val="en-US" w:eastAsia="zh-CN"/>
          <w14:textFill>
            <w14:solidFill>
              <w14:schemeClr w14:val="tx1"/>
            </w14:solidFill>
          </w14:textFill>
        </w:rPr>
        <w:t>9</w:t>
      </w:r>
      <w:r>
        <w:rPr>
          <w:rFonts w:hint="default" w:ascii="Times New Roman" w:hAnsi="Times New Roman" w:eastAsia="楷体" w:cs="Times New Roman"/>
          <w:color w:val="000000" w:themeColor="text1"/>
          <w:highlight w:val="none"/>
          <w:lang w:val="en-US"/>
          <w14:textFill>
            <w14:solidFill>
              <w14:schemeClr w14:val="tx1"/>
            </w14:solidFill>
          </w14:textFill>
        </w:rPr>
        <w:t>）《河北省水污染防治工作方案》中共河北省委办公厅2015年12月31日印发；</w:t>
      </w:r>
    </w:p>
    <w:p w14:paraId="697749B5">
      <w:pPr>
        <w:pStyle w:val="47"/>
        <w:ind w:firstLine="482"/>
        <w:rPr>
          <w:rFonts w:hint="default" w:ascii="Times New Roman" w:hAnsi="Times New Roman" w:eastAsia="楷体" w:cs="Times New Roman"/>
          <w:color w:val="000000" w:themeColor="text1"/>
          <w:highlight w:val="none"/>
          <w:lang w:val="en-US"/>
          <w14:textFill>
            <w14:solidFill>
              <w14:schemeClr w14:val="tx1"/>
            </w14:solidFill>
          </w14:textFill>
        </w:rPr>
      </w:pPr>
      <w:r>
        <w:rPr>
          <w:rFonts w:hint="default" w:ascii="Times New Roman" w:hAnsi="Times New Roman" w:eastAsia="楷体" w:cs="Times New Roman"/>
          <w:color w:val="000000" w:themeColor="text1"/>
          <w:highlight w:val="none"/>
          <w:lang w:val="en-US"/>
          <w14:textFill>
            <w14:solidFill>
              <w14:schemeClr w14:val="tx1"/>
            </w14:solidFill>
          </w14:textFill>
        </w:rPr>
        <w:t>（1</w:t>
      </w:r>
      <w:r>
        <w:rPr>
          <w:rFonts w:hint="default" w:ascii="Times New Roman" w:hAnsi="Times New Roman" w:eastAsia="楷体" w:cs="Times New Roman"/>
          <w:color w:val="000000" w:themeColor="text1"/>
          <w:highlight w:val="none"/>
          <w:lang w:val="en-US" w:eastAsia="zh-CN"/>
          <w14:textFill>
            <w14:solidFill>
              <w14:schemeClr w14:val="tx1"/>
            </w14:solidFill>
          </w14:textFill>
        </w:rPr>
        <w:t>0</w:t>
      </w:r>
      <w:r>
        <w:rPr>
          <w:rFonts w:hint="default" w:ascii="Times New Roman" w:hAnsi="Times New Roman" w:eastAsia="楷体" w:cs="Times New Roman"/>
          <w:color w:val="000000" w:themeColor="text1"/>
          <w:highlight w:val="none"/>
          <w:lang w:val="en-US"/>
          <w14:textFill>
            <w14:solidFill>
              <w14:schemeClr w14:val="tx1"/>
            </w14:solidFill>
          </w14:textFill>
        </w:rPr>
        <w:t>）《河北省大气污染防治行动计划实施方案》（冀发〔2013〕23号）；</w:t>
      </w:r>
    </w:p>
    <w:p w14:paraId="4109A6C1">
      <w:pPr>
        <w:pStyle w:val="47"/>
        <w:ind w:firstLine="482"/>
        <w:rPr>
          <w:rFonts w:hint="default" w:ascii="Times New Roman" w:hAnsi="Times New Roman" w:eastAsia="楷体" w:cs="Times New Roman"/>
          <w:color w:val="000000" w:themeColor="text1"/>
          <w:highlight w:val="none"/>
          <w:lang w:val="en-US"/>
          <w14:textFill>
            <w14:solidFill>
              <w14:schemeClr w14:val="tx1"/>
            </w14:solidFill>
          </w14:textFill>
        </w:rPr>
      </w:pPr>
      <w:r>
        <w:rPr>
          <w:rFonts w:hint="default" w:ascii="Times New Roman" w:hAnsi="Times New Roman" w:eastAsia="楷体" w:cs="Times New Roman"/>
          <w:color w:val="000000" w:themeColor="text1"/>
          <w:highlight w:val="none"/>
          <w:lang w:val="en-US"/>
          <w14:textFill>
            <w14:solidFill>
              <w14:schemeClr w14:val="tx1"/>
            </w14:solidFill>
          </w14:textFill>
        </w:rPr>
        <w:t>（1</w:t>
      </w:r>
      <w:r>
        <w:rPr>
          <w:rFonts w:hint="default" w:ascii="Times New Roman" w:hAnsi="Times New Roman" w:eastAsia="楷体" w:cs="Times New Roman"/>
          <w:color w:val="000000" w:themeColor="text1"/>
          <w:highlight w:val="none"/>
          <w:lang w:val="en-US" w:eastAsia="zh-CN"/>
          <w14:textFill>
            <w14:solidFill>
              <w14:schemeClr w14:val="tx1"/>
            </w14:solidFill>
          </w14:textFill>
        </w:rPr>
        <w:t>1</w:t>
      </w:r>
      <w:r>
        <w:rPr>
          <w:rFonts w:hint="default" w:ascii="Times New Roman" w:hAnsi="Times New Roman" w:eastAsia="楷体" w:cs="Times New Roman"/>
          <w:color w:val="000000" w:themeColor="text1"/>
          <w:highlight w:val="none"/>
          <w:lang w:val="en-US"/>
          <w14:textFill>
            <w14:solidFill>
              <w14:schemeClr w14:val="tx1"/>
            </w14:solidFill>
          </w14:textFill>
        </w:rPr>
        <w:t>）“河北省重污染天气应急预案”（河北省人民政府，2013.09）；</w:t>
      </w:r>
    </w:p>
    <w:p w14:paraId="7A471737">
      <w:pPr>
        <w:pStyle w:val="47"/>
        <w:ind w:firstLine="482"/>
        <w:rPr>
          <w:rFonts w:hint="default" w:ascii="Times New Roman" w:hAnsi="Times New Roman" w:eastAsia="楷体" w:cs="Times New Roman"/>
          <w:color w:val="000000" w:themeColor="text1"/>
          <w:highlight w:val="none"/>
          <w:lang w:val="en-US"/>
          <w14:textFill>
            <w14:solidFill>
              <w14:schemeClr w14:val="tx1"/>
            </w14:solidFill>
          </w14:textFill>
        </w:rPr>
      </w:pPr>
      <w:r>
        <w:rPr>
          <w:rFonts w:hint="default" w:ascii="Times New Roman" w:hAnsi="Times New Roman" w:eastAsia="楷体" w:cs="Times New Roman"/>
          <w:color w:val="000000" w:themeColor="text1"/>
          <w:highlight w:val="none"/>
          <w:lang w:val="en-US"/>
          <w14:textFill>
            <w14:solidFill>
              <w14:schemeClr w14:val="tx1"/>
            </w14:solidFill>
          </w14:textFill>
        </w:rPr>
        <w:t>（1</w:t>
      </w:r>
      <w:r>
        <w:rPr>
          <w:rFonts w:hint="default" w:ascii="Times New Roman" w:hAnsi="Times New Roman" w:eastAsia="楷体" w:cs="Times New Roman"/>
          <w:color w:val="000000" w:themeColor="text1"/>
          <w:highlight w:val="none"/>
          <w:lang w:val="en-US" w:eastAsia="zh-CN"/>
          <w14:textFill>
            <w14:solidFill>
              <w14:schemeClr w14:val="tx1"/>
            </w14:solidFill>
          </w14:textFill>
        </w:rPr>
        <w:t>2</w:t>
      </w:r>
      <w:r>
        <w:rPr>
          <w:rFonts w:hint="default" w:ascii="Times New Roman" w:hAnsi="Times New Roman" w:eastAsia="楷体" w:cs="Times New Roman"/>
          <w:color w:val="000000" w:themeColor="text1"/>
          <w:highlight w:val="none"/>
          <w:lang w:val="en-US"/>
          <w14:textFill>
            <w14:solidFill>
              <w14:schemeClr w14:val="tx1"/>
            </w14:solidFill>
          </w14:textFill>
        </w:rPr>
        <w:t>）《河北省2020年大气污染综合治理工作方案》（冀气领组〔2020〕3号）；</w:t>
      </w:r>
    </w:p>
    <w:p w14:paraId="3387A33D">
      <w:pPr>
        <w:pStyle w:val="47"/>
        <w:ind w:firstLine="482"/>
        <w:rPr>
          <w:rFonts w:hint="default" w:ascii="Times New Roman" w:hAnsi="Times New Roman" w:eastAsia="楷体" w:cs="Times New Roman"/>
          <w:color w:val="000000" w:themeColor="text1"/>
          <w:highlight w:val="none"/>
          <w:lang w:val="en-US"/>
          <w14:textFill>
            <w14:solidFill>
              <w14:schemeClr w14:val="tx1"/>
            </w14:solidFill>
          </w14:textFill>
        </w:rPr>
      </w:pPr>
      <w:r>
        <w:rPr>
          <w:rFonts w:hint="default" w:ascii="Times New Roman" w:hAnsi="Times New Roman" w:eastAsia="楷体" w:cs="Times New Roman"/>
          <w:color w:val="000000" w:themeColor="text1"/>
          <w:highlight w:val="none"/>
          <w:lang w:val="en-US"/>
          <w14:textFill>
            <w14:solidFill>
              <w14:schemeClr w14:val="tx1"/>
            </w14:solidFill>
          </w14:textFill>
        </w:rPr>
        <w:t>（1</w:t>
      </w:r>
      <w:r>
        <w:rPr>
          <w:rFonts w:hint="default" w:ascii="Times New Roman" w:hAnsi="Times New Roman" w:eastAsia="楷体" w:cs="Times New Roman"/>
          <w:color w:val="000000" w:themeColor="text1"/>
          <w:highlight w:val="none"/>
          <w:lang w:val="en-US" w:eastAsia="zh-CN"/>
          <w14:textFill>
            <w14:solidFill>
              <w14:schemeClr w14:val="tx1"/>
            </w14:solidFill>
          </w14:textFill>
        </w:rPr>
        <w:t>3</w:t>
      </w:r>
      <w:r>
        <w:rPr>
          <w:rFonts w:hint="default" w:ascii="Times New Roman" w:hAnsi="Times New Roman" w:eastAsia="楷体" w:cs="Times New Roman"/>
          <w:color w:val="000000" w:themeColor="text1"/>
          <w:highlight w:val="none"/>
          <w:lang w:val="en-US"/>
          <w14:textFill>
            <w14:solidFill>
              <w14:schemeClr w14:val="tx1"/>
            </w14:solidFill>
          </w14:textFill>
        </w:rPr>
        <w:t>）《河北省建筑施工扬尘防治强化措施18条》（河北省住房和城乡建设厅，冀建安[2016]27 号，2016.12.16）；</w:t>
      </w:r>
    </w:p>
    <w:p w14:paraId="7E20521C">
      <w:pPr>
        <w:pStyle w:val="47"/>
        <w:ind w:firstLine="482"/>
        <w:rPr>
          <w:rFonts w:hint="default" w:ascii="Times New Roman" w:hAnsi="Times New Roman" w:eastAsia="楷体" w:cs="Times New Roman"/>
          <w:color w:val="000000" w:themeColor="text1"/>
          <w:highlight w:val="none"/>
          <w:lang w:val="en-US"/>
          <w14:textFill>
            <w14:solidFill>
              <w14:schemeClr w14:val="tx1"/>
            </w14:solidFill>
          </w14:textFill>
        </w:rPr>
      </w:pPr>
      <w:r>
        <w:rPr>
          <w:rFonts w:hint="default" w:ascii="Times New Roman" w:hAnsi="Times New Roman" w:eastAsia="楷体" w:cs="Times New Roman"/>
          <w:color w:val="000000" w:themeColor="text1"/>
          <w:highlight w:val="none"/>
          <w:lang w:val="en-US"/>
          <w14:textFill>
            <w14:solidFill>
              <w14:schemeClr w14:val="tx1"/>
            </w14:solidFill>
          </w14:textFill>
        </w:rPr>
        <w:t>（1</w:t>
      </w:r>
      <w:r>
        <w:rPr>
          <w:rFonts w:hint="default" w:ascii="Times New Roman" w:hAnsi="Times New Roman" w:eastAsia="楷体" w:cs="Times New Roman"/>
          <w:color w:val="000000" w:themeColor="text1"/>
          <w:highlight w:val="none"/>
          <w:lang w:val="en-US" w:eastAsia="zh-CN"/>
          <w14:textFill>
            <w14:solidFill>
              <w14:schemeClr w14:val="tx1"/>
            </w14:solidFill>
          </w14:textFill>
        </w:rPr>
        <w:t>4</w:t>
      </w:r>
      <w:r>
        <w:rPr>
          <w:rFonts w:hint="default" w:ascii="Times New Roman" w:hAnsi="Times New Roman" w:eastAsia="楷体" w:cs="Times New Roman"/>
          <w:color w:val="000000" w:themeColor="text1"/>
          <w:highlight w:val="none"/>
          <w:lang w:val="en-US"/>
          <w14:textFill>
            <w14:solidFill>
              <w14:schemeClr w14:val="tx1"/>
            </w14:solidFill>
          </w14:textFill>
        </w:rPr>
        <w:t>）《河北省扬尘污染防治办法》（2020年1月21日省政府第77次常务会议通过），自2020年4月1日起施行；</w:t>
      </w:r>
    </w:p>
    <w:p w14:paraId="721BA932">
      <w:pPr>
        <w:pStyle w:val="47"/>
        <w:ind w:firstLine="482"/>
        <w:rPr>
          <w:rFonts w:hint="default" w:ascii="Times New Roman" w:hAnsi="Times New Roman" w:eastAsia="楷体" w:cs="Times New Roman"/>
          <w:color w:val="000000" w:themeColor="text1"/>
          <w:highlight w:val="none"/>
          <w:lang w:val="en-US" w:eastAsia="zh-CN"/>
          <w14:textFill>
            <w14:solidFill>
              <w14:schemeClr w14:val="tx1"/>
            </w14:solidFill>
          </w14:textFill>
        </w:rPr>
      </w:pPr>
      <w:r>
        <w:rPr>
          <w:rFonts w:hint="default" w:ascii="Times New Roman" w:hAnsi="Times New Roman" w:eastAsia="楷体" w:cs="Times New Roman"/>
          <w:color w:val="000000" w:themeColor="text1"/>
          <w:highlight w:val="none"/>
          <w:lang w:val="en-US"/>
          <w14:textFill>
            <w14:solidFill>
              <w14:schemeClr w14:val="tx1"/>
            </w14:solidFill>
          </w14:textFill>
        </w:rPr>
        <w:t>（1</w:t>
      </w:r>
      <w:r>
        <w:rPr>
          <w:rFonts w:hint="default" w:ascii="Times New Roman" w:hAnsi="Times New Roman" w:eastAsia="楷体" w:cs="Times New Roman"/>
          <w:color w:val="000000" w:themeColor="text1"/>
          <w:highlight w:val="none"/>
          <w:lang w:val="en-US" w:eastAsia="zh-CN"/>
          <w14:textFill>
            <w14:solidFill>
              <w14:schemeClr w14:val="tx1"/>
            </w14:solidFill>
          </w14:textFill>
        </w:rPr>
        <w:t>5</w:t>
      </w:r>
      <w:r>
        <w:rPr>
          <w:rFonts w:hint="default" w:ascii="Times New Roman" w:hAnsi="Times New Roman" w:eastAsia="楷体" w:cs="Times New Roman"/>
          <w:color w:val="000000" w:themeColor="text1"/>
          <w:highlight w:val="none"/>
          <w:lang w:val="en-US"/>
          <w14:textFill>
            <w14:solidFill>
              <w14:schemeClr w14:val="tx1"/>
            </w14:solidFill>
          </w14:textFill>
        </w:rPr>
        <w:t>）《河北省实施电力设施保护条例办法》（河北省人民政府2001年第27号令）2002年3月1日起施行</w:t>
      </w:r>
      <w:r>
        <w:rPr>
          <w:rFonts w:hint="default" w:ascii="Times New Roman" w:hAnsi="Times New Roman" w:eastAsia="楷体" w:cs="Times New Roman"/>
          <w:color w:val="000000" w:themeColor="text1"/>
          <w:highlight w:val="none"/>
          <w:lang w:val="en-US" w:eastAsia="zh-CN"/>
          <w14:textFill>
            <w14:solidFill>
              <w14:schemeClr w14:val="tx1"/>
            </w14:solidFill>
          </w14:textFill>
        </w:rPr>
        <w:t>；</w:t>
      </w:r>
    </w:p>
    <w:p w14:paraId="082D539A">
      <w:pPr>
        <w:pStyle w:val="47"/>
        <w:ind w:firstLine="482"/>
        <w:rPr>
          <w:rFonts w:hint="default" w:ascii="Times New Roman" w:hAnsi="Times New Roman" w:eastAsia="楷体" w:cs="Times New Roman"/>
          <w:color w:val="000000" w:themeColor="text1"/>
          <w:highlight w:val="none"/>
          <w:lang w:val="en-US" w:eastAsia="zh-CN"/>
          <w14:textFill>
            <w14:solidFill>
              <w14:schemeClr w14:val="tx1"/>
            </w14:solidFill>
          </w14:textFill>
        </w:rPr>
      </w:pPr>
      <w:r>
        <w:rPr>
          <w:rFonts w:hint="default" w:ascii="Times New Roman" w:hAnsi="Times New Roman" w:eastAsia="楷体" w:cs="Times New Roman"/>
          <w:color w:val="000000" w:themeColor="text1"/>
          <w:highlight w:val="none"/>
          <w:lang w:val="en-US" w:eastAsia="zh-CN"/>
          <w14:textFill>
            <w14:solidFill>
              <w14:schemeClr w14:val="tx1"/>
            </w14:solidFill>
          </w14:textFill>
        </w:rPr>
        <w:t>（16）《河北省深入实施大气污染综合治理十条措施》（〔2021〕65号）；</w:t>
      </w:r>
    </w:p>
    <w:p w14:paraId="60EC2334">
      <w:pPr>
        <w:pStyle w:val="47"/>
        <w:ind w:firstLine="482"/>
        <w:rPr>
          <w:rFonts w:hint="default" w:ascii="Times New Roman" w:hAnsi="Times New Roman" w:eastAsia="楷体" w:cs="Times New Roman"/>
          <w:color w:val="000000" w:themeColor="text1"/>
          <w:highlight w:val="none"/>
          <w:lang w:val="en-US" w:eastAsia="zh-CN"/>
          <w14:textFill>
            <w14:solidFill>
              <w14:schemeClr w14:val="tx1"/>
            </w14:solidFill>
          </w14:textFill>
        </w:rPr>
      </w:pPr>
      <w:r>
        <w:rPr>
          <w:rFonts w:hint="default" w:ascii="Times New Roman" w:hAnsi="Times New Roman" w:eastAsia="楷体" w:cs="Times New Roman"/>
          <w:color w:val="000000" w:themeColor="text1"/>
          <w:highlight w:val="none"/>
          <w:lang w:val="en-US" w:eastAsia="zh-CN"/>
          <w14:textFill>
            <w14:solidFill>
              <w14:schemeClr w14:val="tx1"/>
            </w14:solidFill>
          </w14:textFill>
        </w:rPr>
        <w:t>（17）《河北省2023年大气污染综合治理工作要点》；</w:t>
      </w:r>
    </w:p>
    <w:p w14:paraId="10ED6362">
      <w:pPr>
        <w:pStyle w:val="47"/>
        <w:ind w:firstLine="482"/>
        <w:rPr>
          <w:rFonts w:hint="default" w:ascii="Times New Roman" w:hAnsi="Times New Roman" w:eastAsia="楷体" w:cs="Times New Roman"/>
          <w:color w:val="000000" w:themeColor="text1"/>
          <w:highlight w:val="none"/>
          <w:lang w:val="en-US" w:eastAsia="zh-CN"/>
          <w14:textFill>
            <w14:solidFill>
              <w14:schemeClr w14:val="tx1"/>
            </w14:solidFill>
          </w14:textFill>
        </w:rPr>
      </w:pPr>
      <w:r>
        <w:rPr>
          <w:rFonts w:hint="default" w:ascii="Times New Roman" w:hAnsi="Times New Roman" w:eastAsia="楷体" w:cs="Times New Roman"/>
          <w:color w:val="000000" w:themeColor="text1"/>
          <w:highlight w:val="none"/>
          <w:lang w:val="en-US" w:eastAsia="zh-CN"/>
          <w14:textFill>
            <w14:solidFill>
              <w14:schemeClr w14:val="tx1"/>
            </w14:solidFill>
          </w14:textFill>
        </w:rPr>
        <w:t>（18）河北省生态环境保护“十四五”规划（冀政字[2022]2号）</w:t>
      </w:r>
    </w:p>
    <w:p w14:paraId="4D92EA00">
      <w:pPr>
        <w:pStyle w:val="47"/>
        <w:ind w:firstLine="482"/>
        <w:rPr>
          <w:rFonts w:hint="default" w:ascii="Times New Roman" w:hAnsi="Times New Roman" w:eastAsia="楷体" w:cs="Times New Roman"/>
          <w:color w:val="000000" w:themeColor="text1"/>
          <w:highlight w:val="none"/>
          <w:lang w:val="en-US" w:eastAsia="zh-CN"/>
          <w14:textFill>
            <w14:solidFill>
              <w14:schemeClr w14:val="tx1"/>
            </w14:solidFill>
          </w14:textFill>
        </w:rPr>
      </w:pPr>
      <w:r>
        <w:rPr>
          <w:rFonts w:hint="default" w:ascii="Times New Roman" w:hAnsi="Times New Roman" w:eastAsia="楷体" w:cs="Times New Roman"/>
          <w:color w:val="000000" w:themeColor="text1"/>
          <w:highlight w:val="none"/>
          <w:lang w:val="en-US" w:eastAsia="zh-CN"/>
          <w14:textFill>
            <w14:solidFill>
              <w14:schemeClr w14:val="tx1"/>
            </w14:solidFill>
          </w14:textFill>
        </w:rPr>
        <w:t>（19）保定市生态环境保护“十四五”规划（保环发[2022]5号）</w:t>
      </w:r>
    </w:p>
    <w:p w14:paraId="4FE87529">
      <w:pPr>
        <w:pStyle w:val="47"/>
        <w:ind w:firstLine="482"/>
        <w:rPr>
          <w:rFonts w:hint="default" w:ascii="Times New Roman" w:hAnsi="Times New Roman" w:eastAsia="楷体" w:cs="Times New Roman"/>
          <w:color w:val="000000" w:themeColor="text1"/>
          <w:highlight w:val="none"/>
          <w:lang w:eastAsia="zh-CN"/>
          <w14:textFill>
            <w14:solidFill>
              <w14:schemeClr w14:val="tx1"/>
            </w14:solidFill>
          </w14:textFill>
        </w:rPr>
      </w:pPr>
      <w:r>
        <w:rPr>
          <w:rFonts w:hint="default" w:ascii="Times New Roman" w:hAnsi="Times New Roman" w:eastAsia="楷体" w:cs="Times New Roman"/>
          <w:color w:val="000000" w:themeColor="text1"/>
          <w:highlight w:val="none"/>
          <w:lang w:eastAsia="zh-CN"/>
          <w14:textFill>
            <w14:solidFill>
              <w14:schemeClr w14:val="tx1"/>
            </w14:solidFill>
          </w14:textFill>
        </w:rPr>
        <w:t>（</w:t>
      </w:r>
      <w:r>
        <w:rPr>
          <w:rFonts w:hint="default" w:ascii="Times New Roman" w:hAnsi="Times New Roman" w:eastAsia="楷体" w:cs="Times New Roman"/>
          <w:color w:val="000000" w:themeColor="text1"/>
          <w:highlight w:val="none"/>
          <w:lang w:val="en-US" w:eastAsia="zh-CN"/>
          <w14:textFill>
            <w14:solidFill>
              <w14:schemeClr w14:val="tx1"/>
            </w14:solidFill>
          </w14:textFill>
        </w:rPr>
        <w:t>20</w:t>
      </w:r>
      <w:r>
        <w:rPr>
          <w:rFonts w:hint="default" w:ascii="Times New Roman" w:hAnsi="Times New Roman" w:eastAsia="楷体" w:cs="Times New Roman"/>
          <w:color w:val="000000" w:themeColor="text1"/>
          <w:highlight w:val="none"/>
          <w:lang w:eastAsia="zh-CN"/>
          <w14:textFill>
            <w14:solidFill>
              <w14:schemeClr w14:val="tx1"/>
            </w14:solidFill>
          </w14:textFill>
        </w:rPr>
        <w:t>）</w:t>
      </w:r>
      <w:r>
        <w:rPr>
          <w:rFonts w:hint="default" w:ascii="Times New Roman" w:hAnsi="Times New Roman" w:eastAsia="楷体" w:cs="Times New Roman"/>
          <w:color w:val="000000" w:themeColor="text1"/>
          <w:highlight w:val="none"/>
          <w14:textFill>
            <w14:solidFill>
              <w14:schemeClr w14:val="tx1"/>
            </w14:solidFill>
          </w14:textFill>
        </w:rPr>
        <w:t>《2023年保定市大气污染防治“5+2”工作方案》</w:t>
      </w:r>
      <w:r>
        <w:rPr>
          <w:rFonts w:hint="default" w:ascii="Times New Roman" w:hAnsi="Times New Roman" w:eastAsia="楷体" w:cs="Times New Roman"/>
          <w:color w:val="000000" w:themeColor="text1"/>
          <w:highlight w:val="none"/>
          <w:lang w:eastAsia="zh-CN"/>
          <w14:textFill>
            <w14:solidFill>
              <w14:schemeClr w14:val="tx1"/>
            </w14:solidFill>
          </w14:textFill>
        </w:rPr>
        <w:t>；</w:t>
      </w:r>
    </w:p>
    <w:p w14:paraId="09B24FD3">
      <w:pPr>
        <w:pStyle w:val="47"/>
        <w:ind w:firstLine="482"/>
        <w:rPr>
          <w:rFonts w:hint="default" w:ascii="Times New Roman" w:hAnsi="Times New Roman" w:eastAsia="楷体" w:cs="Times New Roman"/>
          <w:color w:val="000000" w:themeColor="text1"/>
          <w:highlight w:val="none"/>
          <w:lang w:val="en-US" w:eastAsia="zh-CN"/>
          <w14:textFill>
            <w14:solidFill>
              <w14:schemeClr w14:val="tx1"/>
            </w14:solidFill>
          </w14:textFill>
        </w:rPr>
      </w:pPr>
      <w:r>
        <w:rPr>
          <w:rFonts w:hint="default" w:ascii="Times New Roman" w:hAnsi="Times New Roman" w:eastAsia="楷体" w:cs="Times New Roman"/>
          <w:color w:val="000000" w:themeColor="text1"/>
          <w:highlight w:val="none"/>
          <w:lang w:eastAsia="zh-CN"/>
          <w14:textFill>
            <w14:solidFill>
              <w14:schemeClr w14:val="tx1"/>
            </w14:solidFill>
          </w14:textFill>
        </w:rPr>
        <w:t>（</w:t>
      </w:r>
      <w:r>
        <w:rPr>
          <w:rFonts w:hint="default" w:ascii="Times New Roman" w:hAnsi="Times New Roman" w:eastAsia="楷体" w:cs="Times New Roman"/>
          <w:color w:val="000000" w:themeColor="text1"/>
          <w:highlight w:val="none"/>
          <w:lang w:val="en-US" w:eastAsia="zh-CN"/>
          <w14:textFill>
            <w14:solidFill>
              <w14:schemeClr w14:val="tx1"/>
            </w14:solidFill>
          </w14:textFill>
        </w:rPr>
        <w:t>21</w:t>
      </w:r>
      <w:r>
        <w:rPr>
          <w:rFonts w:hint="default" w:ascii="Times New Roman" w:hAnsi="Times New Roman" w:eastAsia="楷体" w:cs="Times New Roman"/>
          <w:color w:val="000000" w:themeColor="text1"/>
          <w:highlight w:val="none"/>
          <w:lang w:eastAsia="zh-CN"/>
          <w14:textFill>
            <w14:solidFill>
              <w14:schemeClr w14:val="tx1"/>
            </w14:solidFill>
          </w14:textFill>
        </w:rPr>
        <w:t>）《保定市深入实施大气污染综合治理十五条措施》。</w:t>
      </w:r>
    </w:p>
    <w:p w14:paraId="416C7E01">
      <w:pPr>
        <w:pStyle w:val="92"/>
        <w:bidi w:val="0"/>
        <w:ind w:left="0" w:leftChars="0" w:firstLine="0" w:firstLineChars="0"/>
      </w:pPr>
      <w:r>
        <w:rPr>
          <w:rFonts w:hint="eastAsia"/>
        </w:rPr>
        <w:t>环境</w:t>
      </w:r>
      <w:r>
        <w:t>保护技术导则</w:t>
      </w:r>
      <w:r>
        <w:rPr>
          <w:rFonts w:hint="eastAsia"/>
        </w:rPr>
        <w:t>与</w:t>
      </w:r>
      <w:r>
        <w:t>规范</w:t>
      </w:r>
    </w:p>
    <w:p w14:paraId="7DA50D60">
      <w:pPr>
        <w:pStyle w:val="47"/>
        <w:ind w:firstLine="48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（1）《建设项目环境影响评价技术导则·总纲》（HJ2.1-2016）；</w:t>
      </w:r>
    </w:p>
    <w:p w14:paraId="4C5CFDA9">
      <w:pPr>
        <w:pStyle w:val="47"/>
        <w:ind w:firstLine="48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（2）《环境影响评价技术导则·大气环境》（HJ2.2-2018）；</w:t>
      </w:r>
    </w:p>
    <w:p w14:paraId="43A926CE">
      <w:pPr>
        <w:pStyle w:val="47"/>
        <w:ind w:firstLine="48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（3）《环境影响评价技术导则·地表水环境》（HJ2.3-2018）；</w:t>
      </w:r>
    </w:p>
    <w:p w14:paraId="43A636F7">
      <w:pPr>
        <w:pStyle w:val="47"/>
        <w:ind w:firstLine="48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（4）《环境影响评价技术导则·声环境》（HJ 2.4-2021）；</w:t>
      </w:r>
    </w:p>
    <w:p w14:paraId="5F929C21">
      <w:pPr>
        <w:pStyle w:val="47"/>
        <w:ind w:firstLine="48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（5）《环境影响评价技术导则·地下水环境》（HJ610-2016）；</w:t>
      </w:r>
    </w:p>
    <w:p w14:paraId="604338EC">
      <w:pPr>
        <w:pStyle w:val="47"/>
        <w:ind w:firstLine="48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（6）《环境影响评价技术导则·生态影响》（HJ 19-2022）；</w:t>
      </w:r>
    </w:p>
    <w:p w14:paraId="7AA6B987">
      <w:pPr>
        <w:pStyle w:val="47"/>
        <w:ind w:firstLine="48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（7）《环境影响评价技术导则 土壤环境》（HJ964-2018）；</w:t>
      </w:r>
    </w:p>
    <w:p w14:paraId="58A91976">
      <w:pPr>
        <w:pStyle w:val="47"/>
        <w:ind w:firstLine="48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（8）《建设项目环境风险评价技术导则》（HJ 169-2018）；</w:t>
      </w:r>
    </w:p>
    <w:p w14:paraId="30A527FA">
      <w:pPr>
        <w:pStyle w:val="47"/>
        <w:ind w:firstLine="48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（9）《废塑料污染控制技术规范》（试行）（HJ364-2022）；</w:t>
      </w:r>
    </w:p>
    <w:p w14:paraId="446AF144">
      <w:pPr>
        <w:pStyle w:val="47"/>
        <w:ind w:firstLine="48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（10）《危险化学品重大危险源辨识》（GB18218-2018）；</w:t>
      </w:r>
    </w:p>
    <w:p w14:paraId="39482DB0">
      <w:pPr>
        <w:pStyle w:val="47"/>
        <w:ind w:firstLine="48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（11）《建设项目环境风险评价导则》（HJ169-2018）；</w:t>
      </w:r>
    </w:p>
    <w:p w14:paraId="25A56CA7">
      <w:pPr>
        <w:pStyle w:val="47"/>
        <w:ind w:firstLine="48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（12）《固体废物再生利用污染防治技术导则》（HJ1091-2020）；</w:t>
      </w:r>
    </w:p>
    <w:p w14:paraId="15B51FA2">
      <w:pPr>
        <w:pStyle w:val="47"/>
        <w:ind w:firstLine="48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（13）《排污许可证申请与核发技术规范 橡胶和塑料制品工业》（HJ1122-2020）；</w:t>
      </w:r>
    </w:p>
    <w:p w14:paraId="21ED2DE2">
      <w:pPr>
        <w:pStyle w:val="47"/>
        <w:ind w:firstLine="48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（14）《排污许可证申请与核发技术规范 废弃资源加工工业》（HJ 1034-2019）；</w:t>
      </w:r>
    </w:p>
    <w:p w14:paraId="5AD3B71D">
      <w:pPr>
        <w:pStyle w:val="47"/>
        <w:ind w:firstLine="48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（15）《排污许可证申请与核发技术规范 工业固体废物（试行）》（HJ 1200-2021）；</w:t>
      </w:r>
    </w:p>
    <w:p w14:paraId="34B62644">
      <w:pPr>
        <w:pStyle w:val="47"/>
        <w:ind w:firstLine="48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（16）《排放源统计调查产排污核算方法和系数手册》（生态环境部公告2021年第24号）；</w:t>
      </w:r>
    </w:p>
    <w:p w14:paraId="597BFF3D">
      <w:pPr>
        <w:pStyle w:val="47"/>
        <w:ind w:firstLine="482"/>
        <w:rPr>
          <w:rFonts w:hint="eastAsia"/>
          <w:color w:val="FF0000"/>
          <w:lang w:eastAsia="zh-CN"/>
        </w:rPr>
      </w:pPr>
      <w:r>
        <w:rPr>
          <w:rFonts w:hint="eastAsia"/>
          <w:color w:val="000000" w:themeColor="text1"/>
          <w14:textFill>
            <w14:solidFill>
              <w14:schemeClr w14:val="tx1"/>
            </w14:solidFill>
          </w14:textFill>
        </w:rPr>
        <w:t>（17）《工业企业土壤和地下水自行监测技术指南（试行）》（HJ1209-2021）。</w:t>
      </w:r>
    </w:p>
    <w:p w14:paraId="1500E60A">
      <w:pPr>
        <w:pStyle w:val="92"/>
        <w:bidi w:val="0"/>
        <w:ind w:left="0" w:leftChars="0" w:firstLine="0" w:firstLineChars="0"/>
      </w:pPr>
      <w:r>
        <w:t>任务</w:t>
      </w:r>
      <w:r>
        <w:rPr>
          <w:rFonts w:hint="eastAsia"/>
        </w:rPr>
        <w:t>依据</w:t>
      </w:r>
    </w:p>
    <w:p w14:paraId="4D7C99D1">
      <w:pPr>
        <w:pStyle w:val="47"/>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560" w:firstLineChars="200"/>
        <w:textAlignment w:val="auto"/>
        <w:rPr>
          <w:highlight w:val="none"/>
        </w:rPr>
      </w:pPr>
      <w:r>
        <w:rPr>
          <w:rFonts w:hint="eastAsia"/>
          <w:highlight w:val="none"/>
          <w:lang w:eastAsia="zh-CN"/>
        </w:rPr>
        <w:t>（</w:t>
      </w:r>
      <w:r>
        <w:rPr>
          <w:rFonts w:hint="eastAsia"/>
          <w:highlight w:val="none"/>
          <w:lang w:val="en-US" w:eastAsia="zh-CN"/>
        </w:rPr>
        <w:t>1</w:t>
      </w:r>
      <w:r>
        <w:rPr>
          <w:rFonts w:hint="eastAsia"/>
          <w:highlight w:val="none"/>
          <w:lang w:eastAsia="zh-CN"/>
        </w:rPr>
        <w:t>）</w:t>
      </w:r>
      <w:r>
        <w:rPr>
          <w:rFonts w:hint="eastAsia"/>
          <w:highlight w:val="none"/>
          <w:lang w:val="en-US" w:eastAsia="zh-CN"/>
        </w:rPr>
        <w:t>项目</w:t>
      </w:r>
      <w:r>
        <w:rPr>
          <w:highlight w:val="none"/>
        </w:rPr>
        <w:t>委托书；</w:t>
      </w:r>
    </w:p>
    <w:p w14:paraId="37C16D0D">
      <w:pPr>
        <w:pStyle w:val="47"/>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560" w:firstLineChars="200"/>
        <w:textAlignment w:val="auto"/>
        <w:rPr>
          <w:highlight w:val="none"/>
        </w:rPr>
      </w:pPr>
      <w:r>
        <w:rPr>
          <w:rFonts w:hint="eastAsia"/>
          <w:highlight w:val="none"/>
          <w:lang w:eastAsia="zh-CN"/>
        </w:rPr>
        <w:t>（</w:t>
      </w:r>
      <w:r>
        <w:rPr>
          <w:rFonts w:hint="eastAsia"/>
          <w:highlight w:val="none"/>
          <w:lang w:val="en-US" w:eastAsia="zh-CN"/>
        </w:rPr>
        <w:t>2</w:t>
      </w:r>
      <w:r>
        <w:rPr>
          <w:rFonts w:hint="eastAsia"/>
          <w:highlight w:val="none"/>
          <w:lang w:eastAsia="zh-CN"/>
        </w:rPr>
        <w:t>）企业投资项目备案信息</w:t>
      </w:r>
      <w:r>
        <w:rPr>
          <w:rFonts w:hint="eastAsia"/>
          <w:highlight w:val="none"/>
        </w:rPr>
        <w:t>（顺行审备字〔2025〕2号）</w:t>
      </w:r>
      <w:r>
        <w:rPr>
          <w:rFonts w:hint="eastAsia"/>
          <w:highlight w:val="none"/>
          <w:lang w:eastAsia="zh-CN"/>
        </w:rPr>
        <w:t>；</w:t>
      </w:r>
    </w:p>
    <w:p w14:paraId="1E870CB4">
      <w:pPr>
        <w:pStyle w:val="47"/>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560" w:firstLineChars="200"/>
        <w:textAlignment w:val="auto"/>
        <w:rPr>
          <w:rFonts w:hint="default"/>
          <w:highlight w:val="none"/>
          <w:lang w:val="en-US" w:eastAsia="zh-CN"/>
        </w:rPr>
      </w:pPr>
      <w:r>
        <w:rPr>
          <w:rFonts w:hint="eastAsia"/>
          <w:highlight w:val="none"/>
          <w:lang w:eastAsia="zh-CN"/>
        </w:rPr>
        <w:t>（</w:t>
      </w:r>
      <w:r>
        <w:rPr>
          <w:rFonts w:hint="eastAsia"/>
          <w:highlight w:val="none"/>
          <w:lang w:val="en-US" w:eastAsia="zh-CN"/>
        </w:rPr>
        <w:t>3</w:t>
      </w:r>
      <w:r>
        <w:rPr>
          <w:rFonts w:hint="eastAsia"/>
          <w:highlight w:val="none"/>
          <w:lang w:eastAsia="zh-CN"/>
        </w:rPr>
        <w:t>）</w:t>
      </w:r>
      <w:r>
        <w:rPr>
          <w:rFonts w:hint="eastAsia"/>
          <w:highlight w:val="none"/>
          <w:lang w:val="en-US" w:eastAsia="zh-CN"/>
        </w:rPr>
        <w:t>监测报告；</w:t>
      </w:r>
    </w:p>
    <w:p w14:paraId="334E5142">
      <w:pPr>
        <w:pStyle w:val="47"/>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560" w:firstLineChars="200"/>
        <w:textAlignment w:val="auto"/>
        <w:rPr>
          <w:highlight w:val="none"/>
        </w:rPr>
      </w:pPr>
      <w:r>
        <w:rPr>
          <w:rFonts w:hint="eastAsia"/>
          <w:highlight w:val="none"/>
          <w:lang w:eastAsia="zh-CN"/>
        </w:rPr>
        <w:t>（</w:t>
      </w:r>
      <w:r>
        <w:rPr>
          <w:rFonts w:hint="eastAsia"/>
          <w:highlight w:val="none"/>
          <w:lang w:val="en-US" w:eastAsia="zh-CN"/>
        </w:rPr>
        <w:t>4</w:t>
      </w:r>
      <w:r>
        <w:rPr>
          <w:rFonts w:hint="eastAsia"/>
          <w:highlight w:val="none"/>
          <w:lang w:eastAsia="zh-CN"/>
        </w:rPr>
        <w:t>）</w:t>
      </w:r>
      <w:r>
        <w:rPr>
          <w:rFonts w:hint="eastAsia"/>
          <w:highlight w:val="none"/>
          <w:lang w:val="en-US" w:eastAsia="zh-CN"/>
        </w:rPr>
        <w:t>企业提供的其他资料。</w:t>
      </w:r>
    </w:p>
    <w:p w14:paraId="031CB0F0">
      <w:pPr>
        <w:pStyle w:val="90"/>
        <w:bidi w:val="0"/>
        <w:ind w:left="0" w:leftChars="0" w:firstLine="0" w:firstLineChars="0"/>
      </w:pPr>
      <w:bookmarkStart w:id="25" w:name="_Toc6487345"/>
      <w:bookmarkStart w:id="26" w:name="_Toc498589359"/>
      <w:bookmarkStart w:id="27" w:name="_Toc31688"/>
      <w:r>
        <w:t>评价原则</w:t>
      </w:r>
      <w:r>
        <w:rPr>
          <w:rFonts w:hint="eastAsia"/>
        </w:rPr>
        <w:t>与</w:t>
      </w:r>
      <w:r>
        <w:t>评价</w:t>
      </w:r>
      <w:bookmarkEnd w:id="25"/>
      <w:bookmarkEnd w:id="26"/>
      <w:r>
        <w:rPr>
          <w:rFonts w:hint="eastAsia"/>
        </w:rPr>
        <w:t>目的</w:t>
      </w:r>
      <w:bookmarkEnd w:id="27"/>
    </w:p>
    <w:p w14:paraId="0703C123">
      <w:pPr>
        <w:pStyle w:val="92"/>
        <w:bidi w:val="0"/>
        <w:ind w:left="0" w:leftChars="0" w:firstLine="0" w:firstLineChars="0"/>
      </w:pPr>
      <w:r>
        <w:t>评价原则</w:t>
      </w:r>
    </w:p>
    <w:p w14:paraId="48674461">
      <w:pPr>
        <w:pStyle w:val="47"/>
        <w:ind w:firstLine="482"/>
      </w:pPr>
      <w:r>
        <w:t>（1）依法评价</w:t>
      </w:r>
    </w:p>
    <w:p w14:paraId="4CAD2C6F">
      <w:pPr>
        <w:pStyle w:val="47"/>
        <w:ind w:firstLine="482"/>
      </w:pPr>
      <w:r>
        <w:t>贯彻执行我国环境保护相关法律法规、标准、政策和规划等，优化项目建设，服务环境管理。</w:t>
      </w:r>
    </w:p>
    <w:p w14:paraId="58D5B4E2">
      <w:pPr>
        <w:pStyle w:val="47"/>
        <w:ind w:firstLine="482"/>
      </w:pPr>
      <w:r>
        <w:t>（2）科学评价</w:t>
      </w:r>
    </w:p>
    <w:p w14:paraId="7F923DE2">
      <w:pPr>
        <w:pStyle w:val="47"/>
        <w:ind w:firstLine="482"/>
      </w:pPr>
      <w:r>
        <w:rPr>
          <w:rFonts w:hint="eastAsia"/>
        </w:rPr>
        <w:t>规范</w:t>
      </w:r>
      <w:r>
        <w:t>环境影响评价方法，科学分析项目建设对环境质量的影响。</w:t>
      </w:r>
    </w:p>
    <w:p w14:paraId="2FA1E580">
      <w:pPr>
        <w:pStyle w:val="47"/>
        <w:ind w:firstLine="482"/>
      </w:pPr>
      <w:r>
        <w:t>（3）突出重点</w:t>
      </w:r>
    </w:p>
    <w:p w14:paraId="28692E12">
      <w:pPr>
        <w:pStyle w:val="47"/>
        <w:ind w:firstLine="482"/>
        <w:rPr>
          <w:highlight w:val="none"/>
        </w:rPr>
      </w:pPr>
      <w:r>
        <w:t>根</w:t>
      </w:r>
      <w:r>
        <w:rPr>
          <w:highlight w:val="none"/>
        </w:rPr>
        <w:t>据项目的工程内容及特点，明确与环境要素间的作用效应关系，根据规划环境影响评价结论和审查意见，充分利用符合时效的数据资料及成果，对建设项目主要环境影响予以重点分析和评价。</w:t>
      </w:r>
    </w:p>
    <w:p w14:paraId="21784099">
      <w:pPr>
        <w:pStyle w:val="92"/>
        <w:bidi w:val="0"/>
        <w:ind w:left="0" w:leftChars="0" w:firstLine="0" w:firstLineChars="0"/>
      </w:pPr>
      <w:r>
        <w:t>评价</w:t>
      </w:r>
      <w:r>
        <w:rPr>
          <w:rFonts w:hint="eastAsia"/>
        </w:rPr>
        <w:t>目的</w:t>
      </w:r>
    </w:p>
    <w:p w14:paraId="44EC7D3D">
      <w:pPr>
        <w:pStyle w:val="47"/>
        <w:ind w:firstLine="482"/>
      </w:pPr>
      <w:r>
        <w:t>（1）调查了解公司所在地区及周边环境保护目标的环境质量现状，并对厂址周围环境质量</w:t>
      </w:r>
      <w:r>
        <w:rPr>
          <w:rFonts w:hint="eastAsia"/>
        </w:rPr>
        <w:t>进行</w:t>
      </w:r>
      <w:r>
        <w:t>评价。</w:t>
      </w:r>
    </w:p>
    <w:p w14:paraId="1B641E80">
      <w:pPr>
        <w:pStyle w:val="47"/>
        <w:ind w:firstLine="482"/>
      </w:pPr>
      <w:r>
        <w:t>（2）通过工程分析、污染源调查，掌握项目特征污染物的排放情况，分析论证环保治理措施的经济技术可行性，并对全厂排放的污染物进行汇总，分析全厂污染物排放情况。</w:t>
      </w:r>
    </w:p>
    <w:p w14:paraId="6DEA2942">
      <w:pPr>
        <w:pStyle w:val="47"/>
        <w:ind w:firstLine="482"/>
      </w:pPr>
      <w:r>
        <w:t>（3）选择恰当的预测模式</w:t>
      </w:r>
      <w:r>
        <w:rPr>
          <w:rFonts w:hint="eastAsia"/>
          <w:lang w:val="en-US" w:eastAsia="zh-CN"/>
        </w:rPr>
        <w:t>预测</w:t>
      </w:r>
      <w:r>
        <w:t>全厂</w:t>
      </w:r>
      <w:r>
        <w:rPr>
          <w:rFonts w:hint="eastAsia"/>
          <w:lang w:val="en-US" w:eastAsia="zh-CN"/>
        </w:rPr>
        <w:t>主要</w:t>
      </w:r>
      <w:r>
        <w:t>污染物对周边环境、特别是对环境保护目标的影响范围和程度，并对全厂排放主要污染物进行达标分析。</w:t>
      </w:r>
    </w:p>
    <w:p w14:paraId="087EBFF9">
      <w:pPr>
        <w:pStyle w:val="47"/>
        <w:ind w:firstLine="482"/>
      </w:pPr>
      <w:r>
        <w:t>（4）针对各类污染物产生及排放情况，根据设置污染物治理措施处理能力情况，进行可行性论证，提出控制或减轻污染的对策与建议，计算污染物排放总量控制指标。</w:t>
      </w:r>
    </w:p>
    <w:p w14:paraId="0910D5DB">
      <w:pPr>
        <w:pStyle w:val="90"/>
        <w:bidi w:val="0"/>
        <w:ind w:left="0" w:leftChars="0" w:firstLine="0" w:firstLineChars="0"/>
      </w:pPr>
      <w:bookmarkStart w:id="28" w:name="_Toc6445"/>
      <w:r>
        <w:rPr>
          <w:rFonts w:hint="eastAsia"/>
        </w:rPr>
        <w:t>环境影响</w:t>
      </w:r>
      <w:r>
        <w:t>识别</w:t>
      </w:r>
      <w:r>
        <w:rPr>
          <w:rFonts w:hint="eastAsia"/>
        </w:rPr>
        <w:t>与</w:t>
      </w:r>
      <w:bookmarkStart w:id="29" w:name="_Toc6487348"/>
      <w:bookmarkStart w:id="30" w:name="_Toc498589362"/>
      <w:r>
        <w:t>评价因子筛选</w:t>
      </w:r>
      <w:bookmarkEnd w:id="28"/>
      <w:bookmarkEnd w:id="29"/>
      <w:bookmarkEnd w:id="30"/>
    </w:p>
    <w:p w14:paraId="3EEBA22B">
      <w:pPr>
        <w:pStyle w:val="92"/>
        <w:bidi w:val="0"/>
        <w:ind w:left="0" w:leftChars="0" w:firstLine="0" w:firstLineChars="0"/>
      </w:pPr>
      <w:r>
        <w:rPr>
          <w:rFonts w:hint="eastAsia"/>
        </w:rPr>
        <w:t>环境</w:t>
      </w:r>
      <w:r>
        <w:t>影响因素识别</w:t>
      </w:r>
    </w:p>
    <w:p w14:paraId="612BDDFE">
      <w:pPr>
        <w:pStyle w:val="47"/>
        <w:ind w:firstLine="482"/>
      </w:pPr>
      <w:r>
        <w:t>根据建设项目的工程特征和建设地区的环境特征，对项目建设可能产生的环境问题进行了筛选识别，结果列于</w:t>
      </w:r>
      <w:r>
        <w:rPr>
          <w:rFonts w:hint="eastAsia"/>
        </w:rPr>
        <w:t>下表</w:t>
      </w:r>
      <w:r>
        <w:t>。</w:t>
      </w:r>
    </w:p>
    <w:p w14:paraId="4318A9BC">
      <w:pPr>
        <w:pStyle w:val="94"/>
        <w:bidi w:val="0"/>
        <w:ind w:left="0" w:leftChars="0" w:firstLine="0" w:firstLineChars="0"/>
      </w:pPr>
      <w:r>
        <w:t>环境问题筛选结果</w:t>
      </w:r>
    </w:p>
    <w:tbl>
      <w:tblPr>
        <w:tblStyle w:val="32"/>
        <w:tblW w:w="500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46"/>
        <w:gridCol w:w="1215"/>
        <w:gridCol w:w="1146"/>
        <w:gridCol w:w="1146"/>
        <w:gridCol w:w="1146"/>
        <w:gridCol w:w="1146"/>
        <w:gridCol w:w="1146"/>
        <w:gridCol w:w="1401"/>
      </w:tblGrid>
      <w:tr w14:paraId="72569A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blHeader/>
          <w:jc w:val="center"/>
        </w:trPr>
        <w:tc>
          <w:tcPr>
            <w:tcW w:w="1909" w:type="dxa"/>
            <w:gridSpan w:val="2"/>
            <w:vMerge w:val="restart"/>
            <w:tcBorders>
              <w:tl2br w:val="nil"/>
              <w:tr2bl w:val="nil"/>
            </w:tcBorders>
            <w:noWrap w:val="0"/>
            <w:vAlign w:val="center"/>
          </w:tcPr>
          <w:p w14:paraId="0B3FFF77">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rPr>
              <mc:AlternateContent>
                <mc:Choice Requires="wps">
                  <w:drawing>
                    <wp:anchor distT="0" distB="0" distL="114300" distR="114300" simplePos="0" relativeHeight="251669504" behindDoc="0" locked="0" layoutInCell="1" allowOverlap="1">
                      <wp:simplePos x="0" y="0"/>
                      <wp:positionH relativeFrom="column">
                        <wp:posOffset>-635</wp:posOffset>
                      </wp:positionH>
                      <wp:positionV relativeFrom="paragraph">
                        <wp:posOffset>12065</wp:posOffset>
                      </wp:positionV>
                      <wp:extent cx="1212215" cy="424180"/>
                      <wp:effectExtent l="1270" t="4445" r="5715" b="9525"/>
                      <wp:wrapNone/>
                      <wp:docPr id="10" name="直接连接符 10"/>
                      <wp:cNvGraphicFramePr/>
                      <a:graphic xmlns:a="http://schemas.openxmlformats.org/drawingml/2006/main">
                        <a:graphicData uri="http://schemas.microsoft.com/office/word/2010/wordprocessingShape">
                          <wps:wsp>
                            <wps:cNvCnPr/>
                            <wps:spPr>
                              <a:xfrm>
                                <a:off x="971550" y="7732395"/>
                                <a:ext cx="1212215" cy="424180"/>
                              </a:xfrm>
                              <a:prstGeom prst="line">
                                <a:avLst/>
                              </a:prstGeom>
                              <a:ln w="6350">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0.05pt;margin-top:0.95pt;height:33.4pt;width:95.45pt;z-index:251669504;mso-width-relative:page;mso-height-relative:page;" filled="f" stroked="t" coordsize="21600,21600" o:gfxdata="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SVV7jNQAAAAGAQAADwAAAAAAAAABACAAAAAiAAAAZHJzL2Rvd25yZXYueG1sUEsBAhQA&#10;FAAAAAgAh07iQFKnKQH2AQAAwwMAAA4AAAAAAAAAAQAgAAAAIwEAAGRycy9lMm9Eb2MueG1sUEsF&#10;BgAAAAAGAAYAWQEAAIsFAAAAAA==&#10;">
                      <v:fill on="f" focussize="0,0"/>
                      <v:stroke weight="0.5pt" color="#000000 [3213]" miterlimit="8" joinstyle="miter"/>
                      <v:imagedata o:title=""/>
                      <o:lock v:ext="edit" aspectratio="f"/>
                    </v:line>
                  </w:pict>
                </mc:Fallback>
              </mc:AlternateContent>
            </w:r>
            <w:r>
              <w:rPr>
                <w:rFonts w:hint="eastAsia" w:ascii="Times New Roman" w:hAnsi="Times New Roman" w:eastAsia="楷体" w:cs="Times New Roman"/>
                <w:sz w:val="24"/>
                <w:szCs w:val="24"/>
                <w:lang w:val="en-US" w:eastAsia="zh-CN"/>
              </w:rPr>
              <w:t xml:space="preserve">      </w:t>
            </w:r>
            <w:r>
              <w:rPr>
                <w:rFonts w:hint="default" w:ascii="Times New Roman" w:hAnsi="Times New Roman" w:eastAsia="楷体" w:cs="Times New Roman"/>
                <w:sz w:val="24"/>
                <w:szCs w:val="24"/>
              </w:rPr>
              <w:t>影响因素</w:t>
            </w:r>
          </w:p>
          <w:p w14:paraId="1C417276">
            <w:pPr>
              <w:pStyle w:val="126"/>
              <w:keepNext w:val="0"/>
              <w:keepLines w:val="0"/>
              <w:pageBreakBefore w:val="0"/>
              <w:widowControl w:val="0"/>
              <w:kinsoku/>
              <w:wordWrap/>
              <w:topLinePunct w:val="0"/>
              <w:bidi w:val="0"/>
              <w:adjustRightInd w:val="0"/>
              <w:snapToGrid w:val="0"/>
              <w:spacing w:line="300" w:lineRule="exact"/>
              <w:ind w:firstLine="0" w:firstLineChars="0"/>
              <w:jc w:val="both"/>
              <w:rPr>
                <w:rFonts w:hint="default" w:ascii="Times New Roman" w:hAnsi="Times New Roman" w:eastAsia="楷体" w:cs="Times New Roman"/>
                <w:sz w:val="24"/>
                <w:szCs w:val="24"/>
              </w:rPr>
            </w:pPr>
            <w:r>
              <w:rPr>
                <w:rFonts w:hint="default" w:ascii="Times New Roman" w:hAnsi="Times New Roman" w:eastAsia="楷体" w:cs="Times New Roman"/>
                <w:sz w:val="24"/>
                <w:szCs w:val="24"/>
              </w:rPr>
              <w:t>影响受体</w:t>
            </w:r>
          </w:p>
        </w:tc>
        <w:tc>
          <w:tcPr>
            <w:tcW w:w="5580" w:type="dxa"/>
            <w:gridSpan w:val="5"/>
            <w:tcBorders>
              <w:tl2br w:val="nil"/>
              <w:tr2bl w:val="nil"/>
            </w:tcBorders>
            <w:noWrap w:val="0"/>
            <w:vAlign w:val="center"/>
          </w:tcPr>
          <w:p w14:paraId="6248003D">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rPr>
              <w:t>自然环境</w:t>
            </w:r>
          </w:p>
        </w:tc>
        <w:tc>
          <w:tcPr>
            <w:tcW w:w="1365" w:type="dxa"/>
            <w:tcBorders>
              <w:tl2br w:val="nil"/>
              <w:tr2bl w:val="nil"/>
            </w:tcBorders>
            <w:noWrap w:val="0"/>
            <w:vAlign w:val="center"/>
          </w:tcPr>
          <w:p w14:paraId="6F29FBE9">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rPr>
              <w:t>生态环境</w:t>
            </w:r>
          </w:p>
        </w:tc>
      </w:tr>
      <w:tr w14:paraId="6997A8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blHeader/>
          <w:jc w:val="center"/>
        </w:trPr>
        <w:tc>
          <w:tcPr>
            <w:tcW w:w="1909" w:type="dxa"/>
            <w:gridSpan w:val="2"/>
            <w:vMerge w:val="continue"/>
            <w:tcBorders>
              <w:tl2br w:val="nil"/>
              <w:tr2bl w:val="nil"/>
            </w:tcBorders>
            <w:noWrap w:val="0"/>
            <w:vAlign w:val="center"/>
          </w:tcPr>
          <w:p w14:paraId="3BF5087C">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p>
        </w:tc>
        <w:tc>
          <w:tcPr>
            <w:tcW w:w="1116" w:type="dxa"/>
            <w:tcBorders>
              <w:tl2br w:val="nil"/>
              <w:tr2bl w:val="nil"/>
            </w:tcBorders>
            <w:noWrap w:val="0"/>
            <w:vAlign w:val="center"/>
          </w:tcPr>
          <w:p w14:paraId="29CB4E03">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rPr>
              <w:t>环境空气</w:t>
            </w:r>
          </w:p>
        </w:tc>
        <w:tc>
          <w:tcPr>
            <w:tcW w:w="1116" w:type="dxa"/>
            <w:tcBorders>
              <w:tl2br w:val="nil"/>
              <w:tr2bl w:val="nil"/>
            </w:tcBorders>
            <w:noWrap w:val="0"/>
            <w:vAlign w:val="center"/>
          </w:tcPr>
          <w:p w14:paraId="3234D3DB">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rPr>
              <w:t>地表水</w:t>
            </w:r>
          </w:p>
        </w:tc>
        <w:tc>
          <w:tcPr>
            <w:tcW w:w="1116" w:type="dxa"/>
            <w:tcBorders>
              <w:tl2br w:val="nil"/>
              <w:tr2bl w:val="nil"/>
            </w:tcBorders>
            <w:noWrap w:val="0"/>
            <w:vAlign w:val="center"/>
          </w:tcPr>
          <w:p w14:paraId="3C472793">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rPr>
              <w:t>地下水</w:t>
            </w:r>
          </w:p>
        </w:tc>
        <w:tc>
          <w:tcPr>
            <w:tcW w:w="1116" w:type="dxa"/>
            <w:tcBorders>
              <w:tl2br w:val="nil"/>
              <w:tr2bl w:val="nil"/>
            </w:tcBorders>
            <w:noWrap w:val="0"/>
            <w:vAlign w:val="center"/>
          </w:tcPr>
          <w:p w14:paraId="577C9CCD">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rPr>
              <w:t>土壤环境</w:t>
            </w:r>
          </w:p>
        </w:tc>
        <w:tc>
          <w:tcPr>
            <w:tcW w:w="1116" w:type="dxa"/>
            <w:tcBorders>
              <w:tl2br w:val="nil"/>
              <w:tr2bl w:val="nil"/>
            </w:tcBorders>
            <w:noWrap w:val="0"/>
            <w:vAlign w:val="center"/>
          </w:tcPr>
          <w:p w14:paraId="6DA8C53F">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rPr>
              <w:t>声环境</w:t>
            </w:r>
          </w:p>
        </w:tc>
        <w:tc>
          <w:tcPr>
            <w:tcW w:w="1365" w:type="dxa"/>
            <w:tcBorders>
              <w:tl2br w:val="nil"/>
              <w:tr2bl w:val="nil"/>
            </w:tcBorders>
            <w:noWrap w:val="0"/>
            <w:vAlign w:val="center"/>
          </w:tcPr>
          <w:p w14:paraId="71E4E3C7">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rPr>
              <w:t>陆上生物</w:t>
            </w:r>
          </w:p>
        </w:tc>
      </w:tr>
      <w:tr w14:paraId="3B5AE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726" w:type="dxa"/>
            <w:vMerge w:val="restart"/>
            <w:tcBorders>
              <w:tl2br w:val="nil"/>
              <w:tr2bl w:val="nil"/>
            </w:tcBorders>
            <w:noWrap w:val="0"/>
            <w:vAlign w:val="center"/>
          </w:tcPr>
          <w:p w14:paraId="69735524">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rPr>
              <w:t>施工期</w:t>
            </w:r>
          </w:p>
        </w:tc>
        <w:tc>
          <w:tcPr>
            <w:tcW w:w="1183" w:type="dxa"/>
            <w:tcBorders>
              <w:tl2br w:val="nil"/>
              <w:tr2bl w:val="nil"/>
            </w:tcBorders>
            <w:noWrap w:val="0"/>
            <w:vAlign w:val="center"/>
          </w:tcPr>
          <w:p w14:paraId="73AFF27D">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rPr>
              <w:t>施工废水</w:t>
            </w:r>
          </w:p>
        </w:tc>
        <w:tc>
          <w:tcPr>
            <w:tcW w:w="1116" w:type="dxa"/>
            <w:tcBorders>
              <w:tl2br w:val="nil"/>
              <w:tr2bl w:val="nil"/>
            </w:tcBorders>
            <w:noWrap w:val="0"/>
            <w:vAlign w:val="center"/>
          </w:tcPr>
          <w:p w14:paraId="210F9A02">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w:t>
            </w:r>
          </w:p>
        </w:tc>
        <w:tc>
          <w:tcPr>
            <w:tcW w:w="1116" w:type="dxa"/>
            <w:tcBorders>
              <w:tl2br w:val="nil"/>
              <w:tr2bl w:val="nil"/>
            </w:tcBorders>
            <w:noWrap w:val="0"/>
            <w:vAlign w:val="center"/>
          </w:tcPr>
          <w:p w14:paraId="32419B8B">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rPr>
              <w:t>-S1D</w:t>
            </w:r>
          </w:p>
        </w:tc>
        <w:tc>
          <w:tcPr>
            <w:tcW w:w="1116" w:type="dxa"/>
            <w:tcBorders>
              <w:tl2br w:val="nil"/>
              <w:tr2bl w:val="nil"/>
            </w:tcBorders>
            <w:noWrap w:val="0"/>
            <w:vAlign w:val="center"/>
          </w:tcPr>
          <w:p w14:paraId="5147E574">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rPr>
              <w:t>-S1D</w:t>
            </w:r>
          </w:p>
        </w:tc>
        <w:tc>
          <w:tcPr>
            <w:tcW w:w="1116" w:type="dxa"/>
            <w:tcBorders>
              <w:tl2br w:val="nil"/>
              <w:tr2bl w:val="nil"/>
            </w:tcBorders>
            <w:noWrap w:val="0"/>
            <w:vAlign w:val="center"/>
          </w:tcPr>
          <w:p w14:paraId="5A3044C6">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rPr>
              <w:t>-S1D</w:t>
            </w:r>
          </w:p>
        </w:tc>
        <w:tc>
          <w:tcPr>
            <w:tcW w:w="1116" w:type="dxa"/>
            <w:tcBorders>
              <w:tl2br w:val="nil"/>
              <w:tr2bl w:val="nil"/>
            </w:tcBorders>
            <w:noWrap w:val="0"/>
            <w:vAlign w:val="center"/>
          </w:tcPr>
          <w:p w14:paraId="60546841">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lang w:val="en-US" w:eastAsia="zh-CN"/>
              </w:rPr>
              <w:t>/</w:t>
            </w:r>
          </w:p>
        </w:tc>
        <w:tc>
          <w:tcPr>
            <w:tcW w:w="1365" w:type="dxa"/>
            <w:tcBorders>
              <w:tl2br w:val="nil"/>
              <w:tr2bl w:val="nil"/>
            </w:tcBorders>
            <w:noWrap w:val="0"/>
            <w:vAlign w:val="center"/>
          </w:tcPr>
          <w:p w14:paraId="226C3CA5">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rPr>
              <w:t>-S1D</w:t>
            </w:r>
          </w:p>
        </w:tc>
      </w:tr>
      <w:tr w14:paraId="78420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726" w:type="dxa"/>
            <w:vMerge w:val="continue"/>
            <w:tcBorders>
              <w:tl2br w:val="nil"/>
              <w:tr2bl w:val="nil"/>
            </w:tcBorders>
            <w:noWrap w:val="0"/>
            <w:vAlign w:val="center"/>
          </w:tcPr>
          <w:p w14:paraId="7AAEDFD7">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p>
        </w:tc>
        <w:tc>
          <w:tcPr>
            <w:tcW w:w="1183" w:type="dxa"/>
            <w:tcBorders>
              <w:tl2br w:val="nil"/>
              <w:tr2bl w:val="nil"/>
            </w:tcBorders>
            <w:noWrap w:val="0"/>
            <w:vAlign w:val="center"/>
          </w:tcPr>
          <w:p w14:paraId="0C249FC6">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eastAsia" w:ascii="Times New Roman" w:hAnsi="Times New Roman" w:eastAsia="楷体" w:cs="Times New Roman"/>
                <w:sz w:val="24"/>
                <w:szCs w:val="24"/>
                <w:lang w:eastAsia="zh-CN"/>
              </w:rPr>
            </w:pPr>
            <w:r>
              <w:rPr>
                <w:rFonts w:hint="default" w:ascii="Times New Roman" w:hAnsi="Times New Roman" w:eastAsia="楷体" w:cs="Times New Roman"/>
                <w:sz w:val="24"/>
                <w:szCs w:val="24"/>
              </w:rPr>
              <w:t>施工</w:t>
            </w:r>
            <w:r>
              <w:rPr>
                <w:rFonts w:hint="eastAsia" w:ascii="Times New Roman" w:hAnsi="Times New Roman" w:eastAsia="楷体" w:cs="Times New Roman"/>
                <w:sz w:val="24"/>
                <w:szCs w:val="24"/>
                <w:lang w:val="en-US" w:eastAsia="zh-CN"/>
              </w:rPr>
              <w:t>废气</w:t>
            </w:r>
          </w:p>
        </w:tc>
        <w:tc>
          <w:tcPr>
            <w:tcW w:w="1116" w:type="dxa"/>
            <w:tcBorders>
              <w:tl2br w:val="nil"/>
              <w:tr2bl w:val="nil"/>
            </w:tcBorders>
            <w:noWrap w:val="0"/>
            <w:vAlign w:val="center"/>
          </w:tcPr>
          <w:p w14:paraId="67ADCAAA">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rPr>
              <w:t>-S1D</w:t>
            </w:r>
          </w:p>
        </w:tc>
        <w:tc>
          <w:tcPr>
            <w:tcW w:w="1116" w:type="dxa"/>
            <w:tcBorders>
              <w:tl2br w:val="nil"/>
              <w:tr2bl w:val="nil"/>
            </w:tcBorders>
            <w:noWrap w:val="0"/>
            <w:vAlign w:val="center"/>
          </w:tcPr>
          <w:p w14:paraId="1F39B384">
            <w:pPr>
              <w:keepNext w:val="0"/>
              <w:keepLines w:val="0"/>
              <w:pageBreakBefore w:val="0"/>
              <w:widowControl w:val="0"/>
              <w:kinsoku/>
              <w:wordWrap/>
              <w:overflowPunct w:val="0"/>
              <w:topLinePunct w:val="0"/>
              <w:autoSpaceDE w:val="0"/>
              <w:autoSpaceDN w:val="0"/>
              <w:bidi w:val="0"/>
              <w:adjustRightInd w:val="0"/>
              <w:snapToGrid w:val="0"/>
              <w:spacing w:line="300" w:lineRule="exact"/>
              <w:ind w:firstLine="0" w:firstLineChars="0"/>
              <w:jc w:val="center"/>
              <w:textAlignment w:val="baseline"/>
              <w:rPr>
                <w:rFonts w:hint="default" w:ascii="Times New Roman" w:hAnsi="Times New Roman" w:eastAsia="楷体" w:cs="Times New Roman"/>
                <w:sz w:val="24"/>
                <w:szCs w:val="24"/>
              </w:rPr>
            </w:pPr>
            <w:r>
              <w:rPr>
                <w:rFonts w:hint="default" w:ascii="Times New Roman" w:hAnsi="Times New Roman" w:eastAsia="楷体" w:cs="Times New Roman"/>
                <w:sz w:val="24"/>
                <w:szCs w:val="24"/>
                <w:lang w:val="en-US" w:eastAsia="zh-CN"/>
              </w:rPr>
              <w:t>/</w:t>
            </w:r>
          </w:p>
        </w:tc>
        <w:tc>
          <w:tcPr>
            <w:tcW w:w="1116" w:type="dxa"/>
            <w:tcBorders>
              <w:tl2br w:val="nil"/>
              <w:tr2bl w:val="nil"/>
            </w:tcBorders>
            <w:noWrap w:val="0"/>
            <w:vAlign w:val="center"/>
          </w:tcPr>
          <w:p w14:paraId="7D2CB696">
            <w:pPr>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lang w:val="en-US" w:eastAsia="zh-CN"/>
              </w:rPr>
              <w:t>/</w:t>
            </w:r>
          </w:p>
        </w:tc>
        <w:tc>
          <w:tcPr>
            <w:tcW w:w="1116" w:type="dxa"/>
            <w:tcBorders>
              <w:tl2br w:val="nil"/>
              <w:tr2bl w:val="nil"/>
            </w:tcBorders>
            <w:noWrap w:val="0"/>
            <w:vAlign w:val="center"/>
          </w:tcPr>
          <w:p w14:paraId="4D781AB2">
            <w:pPr>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lang w:val="en-US" w:eastAsia="zh-CN"/>
              </w:rPr>
              <w:t>/</w:t>
            </w:r>
          </w:p>
        </w:tc>
        <w:tc>
          <w:tcPr>
            <w:tcW w:w="1116" w:type="dxa"/>
            <w:tcBorders>
              <w:tl2br w:val="nil"/>
              <w:tr2bl w:val="nil"/>
            </w:tcBorders>
            <w:noWrap w:val="0"/>
            <w:vAlign w:val="center"/>
          </w:tcPr>
          <w:p w14:paraId="3DFD43F5">
            <w:pPr>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lang w:val="en-US" w:eastAsia="zh-CN"/>
              </w:rPr>
              <w:t>/</w:t>
            </w:r>
          </w:p>
        </w:tc>
        <w:tc>
          <w:tcPr>
            <w:tcW w:w="1365" w:type="dxa"/>
            <w:tcBorders>
              <w:tl2br w:val="nil"/>
              <w:tr2bl w:val="nil"/>
            </w:tcBorders>
            <w:noWrap w:val="0"/>
            <w:vAlign w:val="center"/>
          </w:tcPr>
          <w:p w14:paraId="1360CC44">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rPr>
              <w:t>-S1D</w:t>
            </w:r>
          </w:p>
        </w:tc>
      </w:tr>
      <w:tr w14:paraId="6344DC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726" w:type="dxa"/>
            <w:vMerge w:val="continue"/>
            <w:tcBorders>
              <w:tl2br w:val="nil"/>
              <w:tr2bl w:val="nil"/>
            </w:tcBorders>
            <w:noWrap w:val="0"/>
            <w:vAlign w:val="center"/>
          </w:tcPr>
          <w:p w14:paraId="5912B5F0">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p>
        </w:tc>
        <w:tc>
          <w:tcPr>
            <w:tcW w:w="1183" w:type="dxa"/>
            <w:tcBorders>
              <w:tl2br w:val="nil"/>
              <w:tr2bl w:val="nil"/>
            </w:tcBorders>
            <w:noWrap w:val="0"/>
            <w:vAlign w:val="center"/>
          </w:tcPr>
          <w:p w14:paraId="42669BBE">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rPr>
              <w:t>施工噪声</w:t>
            </w:r>
          </w:p>
        </w:tc>
        <w:tc>
          <w:tcPr>
            <w:tcW w:w="1116" w:type="dxa"/>
            <w:tcBorders>
              <w:tl2br w:val="nil"/>
              <w:tr2bl w:val="nil"/>
            </w:tcBorders>
            <w:noWrap w:val="0"/>
            <w:vAlign w:val="center"/>
          </w:tcPr>
          <w:p w14:paraId="24AA7A67">
            <w:pPr>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lang w:val="en-US" w:eastAsia="zh-CN"/>
              </w:rPr>
              <w:t>/</w:t>
            </w:r>
          </w:p>
        </w:tc>
        <w:tc>
          <w:tcPr>
            <w:tcW w:w="1116" w:type="dxa"/>
            <w:tcBorders>
              <w:tl2br w:val="nil"/>
              <w:tr2bl w:val="nil"/>
            </w:tcBorders>
            <w:noWrap w:val="0"/>
            <w:vAlign w:val="center"/>
          </w:tcPr>
          <w:p w14:paraId="12D426C9">
            <w:pPr>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lang w:val="en-US" w:eastAsia="zh-CN"/>
              </w:rPr>
              <w:t>/</w:t>
            </w:r>
          </w:p>
        </w:tc>
        <w:tc>
          <w:tcPr>
            <w:tcW w:w="1116" w:type="dxa"/>
            <w:tcBorders>
              <w:tl2br w:val="nil"/>
              <w:tr2bl w:val="nil"/>
            </w:tcBorders>
            <w:noWrap w:val="0"/>
            <w:vAlign w:val="center"/>
          </w:tcPr>
          <w:p w14:paraId="4D6209B7">
            <w:pPr>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lang w:val="en-US" w:eastAsia="zh-CN"/>
              </w:rPr>
              <w:t>/</w:t>
            </w:r>
          </w:p>
        </w:tc>
        <w:tc>
          <w:tcPr>
            <w:tcW w:w="1116" w:type="dxa"/>
            <w:tcBorders>
              <w:tl2br w:val="nil"/>
              <w:tr2bl w:val="nil"/>
            </w:tcBorders>
            <w:noWrap w:val="0"/>
            <w:vAlign w:val="center"/>
          </w:tcPr>
          <w:p w14:paraId="4347AE25">
            <w:pPr>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lang w:val="en-US" w:eastAsia="zh-CN"/>
              </w:rPr>
              <w:t>/</w:t>
            </w:r>
          </w:p>
        </w:tc>
        <w:tc>
          <w:tcPr>
            <w:tcW w:w="1116" w:type="dxa"/>
            <w:tcBorders>
              <w:tl2br w:val="nil"/>
              <w:tr2bl w:val="nil"/>
            </w:tcBorders>
            <w:noWrap w:val="0"/>
            <w:vAlign w:val="center"/>
          </w:tcPr>
          <w:p w14:paraId="29B13A48">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rPr>
              <w:t>-S1D</w:t>
            </w:r>
          </w:p>
        </w:tc>
        <w:tc>
          <w:tcPr>
            <w:tcW w:w="1365" w:type="dxa"/>
            <w:tcBorders>
              <w:tl2br w:val="nil"/>
              <w:tr2bl w:val="nil"/>
            </w:tcBorders>
            <w:noWrap w:val="0"/>
            <w:vAlign w:val="center"/>
          </w:tcPr>
          <w:p w14:paraId="32256733">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rPr>
              <w:t>-S1D</w:t>
            </w:r>
          </w:p>
        </w:tc>
      </w:tr>
      <w:tr w14:paraId="5AC0D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726" w:type="dxa"/>
            <w:vMerge w:val="continue"/>
            <w:tcBorders>
              <w:tl2br w:val="nil"/>
              <w:tr2bl w:val="nil"/>
            </w:tcBorders>
            <w:noWrap w:val="0"/>
            <w:vAlign w:val="center"/>
          </w:tcPr>
          <w:p w14:paraId="4B23B915">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p>
        </w:tc>
        <w:tc>
          <w:tcPr>
            <w:tcW w:w="1183" w:type="dxa"/>
            <w:tcBorders>
              <w:tl2br w:val="nil"/>
              <w:tr2bl w:val="nil"/>
            </w:tcBorders>
            <w:noWrap w:val="0"/>
            <w:vAlign w:val="center"/>
          </w:tcPr>
          <w:p w14:paraId="38230AC7">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rPr>
              <w:t>固体废物</w:t>
            </w:r>
          </w:p>
        </w:tc>
        <w:tc>
          <w:tcPr>
            <w:tcW w:w="1116" w:type="dxa"/>
            <w:tcBorders>
              <w:tl2br w:val="nil"/>
              <w:tr2bl w:val="nil"/>
            </w:tcBorders>
            <w:noWrap w:val="0"/>
            <w:vAlign w:val="center"/>
          </w:tcPr>
          <w:p w14:paraId="6F79C93B">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rPr>
              <w:t>-S1D</w:t>
            </w:r>
          </w:p>
        </w:tc>
        <w:tc>
          <w:tcPr>
            <w:tcW w:w="1116" w:type="dxa"/>
            <w:tcBorders>
              <w:tl2br w:val="nil"/>
              <w:tr2bl w:val="nil"/>
            </w:tcBorders>
            <w:noWrap w:val="0"/>
            <w:vAlign w:val="center"/>
          </w:tcPr>
          <w:p w14:paraId="451E719B">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rPr>
              <w:t>-S1I</w:t>
            </w:r>
          </w:p>
        </w:tc>
        <w:tc>
          <w:tcPr>
            <w:tcW w:w="1116" w:type="dxa"/>
            <w:tcBorders>
              <w:tl2br w:val="nil"/>
              <w:tr2bl w:val="nil"/>
            </w:tcBorders>
            <w:noWrap w:val="0"/>
            <w:vAlign w:val="center"/>
          </w:tcPr>
          <w:p w14:paraId="3092AE86">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rPr>
              <w:t>-S1I</w:t>
            </w:r>
          </w:p>
        </w:tc>
        <w:tc>
          <w:tcPr>
            <w:tcW w:w="1116" w:type="dxa"/>
            <w:tcBorders>
              <w:tl2br w:val="nil"/>
              <w:tr2bl w:val="nil"/>
            </w:tcBorders>
            <w:noWrap w:val="0"/>
            <w:vAlign w:val="center"/>
          </w:tcPr>
          <w:p w14:paraId="3F2577CB">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rPr>
              <w:t>-S1D</w:t>
            </w:r>
          </w:p>
        </w:tc>
        <w:tc>
          <w:tcPr>
            <w:tcW w:w="1116" w:type="dxa"/>
            <w:tcBorders>
              <w:tl2br w:val="nil"/>
              <w:tr2bl w:val="nil"/>
            </w:tcBorders>
            <w:noWrap w:val="0"/>
            <w:vAlign w:val="center"/>
          </w:tcPr>
          <w:p w14:paraId="5D0C7E29">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lang w:val="en-US" w:eastAsia="zh-CN"/>
              </w:rPr>
              <w:t>/</w:t>
            </w:r>
          </w:p>
        </w:tc>
        <w:tc>
          <w:tcPr>
            <w:tcW w:w="1365" w:type="dxa"/>
            <w:tcBorders>
              <w:tl2br w:val="nil"/>
              <w:tr2bl w:val="nil"/>
            </w:tcBorders>
            <w:noWrap w:val="0"/>
            <w:vAlign w:val="center"/>
          </w:tcPr>
          <w:p w14:paraId="73C045D7">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rPr>
              <w:t>-S1D</w:t>
            </w:r>
          </w:p>
        </w:tc>
      </w:tr>
      <w:tr w14:paraId="0C3B5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726" w:type="dxa"/>
            <w:vMerge w:val="restart"/>
            <w:tcBorders>
              <w:tl2br w:val="nil"/>
              <w:tr2bl w:val="nil"/>
            </w:tcBorders>
            <w:noWrap w:val="0"/>
            <w:vAlign w:val="center"/>
          </w:tcPr>
          <w:p w14:paraId="59A554CD">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eastAsia" w:eastAsia="楷体" w:cs="Times New Roman"/>
                <w:sz w:val="24"/>
                <w:szCs w:val="24"/>
                <w:lang w:val="en-US" w:eastAsia="zh-CN"/>
              </w:rPr>
              <w:t>运营</w:t>
            </w:r>
            <w:r>
              <w:rPr>
                <w:rFonts w:hint="default" w:ascii="Times New Roman" w:hAnsi="Times New Roman" w:eastAsia="楷体" w:cs="Times New Roman"/>
                <w:sz w:val="24"/>
                <w:szCs w:val="24"/>
              </w:rPr>
              <w:t>期</w:t>
            </w:r>
          </w:p>
        </w:tc>
        <w:tc>
          <w:tcPr>
            <w:tcW w:w="1183" w:type="dxa"/>
            <w:tcBorders>
              <w:tl2br w:val="nil"/>
              <w:tr2bl w:val="nil"/>
            </w:tcBorders>
            <w:noWrap w:val="0"/>
            <w:vAlign w:val="center"/>
          </w:tcPr>
          <w:p w14:paraId="58990930">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rPr>
              <w:t>废水排放</w:t>
            </w:r>
          </w:p>
        </w:tc>
        <w:tc>
          <w:tcPr>
            <w:tcW w:w="1116" w:type="dxa"/>
            <w:tcBorders>
              <w:tl2br w:val="nil"/>
              <w:tr2bl w:val="nil"/>
            </w:tcBorders>
            <w:noWrap w:val="0"/>
            <w:vAlign w:val="center"/>
          </w:tcPr>
          <w:p w14:paraId="586FDD0D">
            <w:pPr>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lang w:val="en-US" w:eastAsia="zh-CN"/>
              </w:rPr>
              <w:t>/</w:t>
            </w:r>
          </w:p>
        </w:tc>
        <w:tc>
          <w:tcPr>
            <w:tcW w:w="1116" w:type="dxa"/>
            <w:tcBorders>
              <w:tl2br w:val="nil"/>
              <w:tr2bl w:val="nil"/>
            </w:tcBorders>
            <w:noWrap w:val="0"/>
            <w:vAlign w:val="center"/>
          </w:tcPr>
          <w:p w14:paraId="5834F0EC">
            <w:pPr>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lang w:val="en-US" w:eastAsia="zh-CN"/>
              </w:rPr>
              <w:t>/</w:t>
            </w:r>
          </w:p>
        </w:tc>
        <w:tc>
          <w:tcPr>
            <w:tcW w:w="1116" w:type="dxa"/>
            <w:tcBorders>
              <w:tl2br w:val="nil"/>
              <w:tr2bl w:val="nil"/>
            </w:tcBorders>
            <w:noWrap w:val="0"/>
            <w:vAlign w:val="center"/>
          </w:tcPr>
          <w:p w14:paraId="4BA8BDD0">
            <w:pPr>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lang w:val="en-US" w:eastAsia="zh-CN"/>
              </w:rPr>
              <w:t>/</w:t>
            </w:r>
          </w:p>
        </w:tc>
        <w:tc>
          <w:tcPr>
            <w:tcW w:w="1116" w:type="dxa"/>
            <w:tcBorders>
              <w:tl2br w:val="nil"/>
              <w:tr2bl w:val="nil"/>
            </w:tcBorders>
            <w:noWrap w:val="0"/>
            <w:vAlign w:val="center"/>
          </w:tcPr>
          <w:p w14:paraId="1510F110">
            <w:pPr>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lang w:val="en-US" w:eastAsia="zh-CN"/>
              </w:rPr>
              <w:t>/</w:t>
            </w:r>
          </w:p>
        </w:tc>
        <w:tc>
          <w:tcPr>
            <w:tcW w:w="1116" w:type="dxa"/>
            <w:tcBorders>
              <w:tl2br w:val="nil"/>
              <w:tr2bl w:val="nil"/>
            </w:tcBorders>
            <w:noWrap w:val="0"/>
            <w:vAlign w:val="center"/>
          </w:tcPr>
          <w:p w14:paraId="2B1067CC">
            <w:pPr>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lang w:val="en-US" w:eastAsia="zh-CN"/>
              </w:rPr>
              <w:t>/</w:t>
            </w:r>
          </w:p>
        </w:tc>
        <w:tc>
          <w:tcPr>
            <w:tcW w:w="1365" w:type="dxa"/>
            <w:tcBorders>
              <w:tl2br w:val="nil"/>
              <w:tr2bl w:val="nil"/>
            </w:tcBorders>
            <w:noWrap w:val="0"/>
            <w:vAlign w:val="center"/>
          </w:tcPr>
          <w:p w14:paraId="7D9F6514">
            <w:pPr>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lang w:val="en-US" w:eastAsia="zh-CN"/>
              </w:rPr>
              <w:t>/</w:t>
            </w:r>
          </w:p>
        </w:tc>
      </w:tr>
      <w:tr w14:paraId="4F947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726" w:type="dxa"/>
            <w:vMerge w:val="continue"/>
            <w:tcBorders>
              <w:tl2br w:val="nil"/>
              <w:tr2bl w:val="nil"/>
            </w:tcBorders>
            <w:noWrap w:val="0"/>
            <w:vAlign w:val="center"/>
          </w:tcPr>
          <w:p w14:paraId="72A54F00">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p>
        </w:tc>
        <w:tc>
          <w:tcPr>
            <w:tcW w:w="1183" w:type="dxa"/>
            <w:tcBorders>
              <w:tl2br w:val="nil"/>
              <w:tr2bl w:val="nil"/>
            </w:tcBorders>
            <w:noWrap w:val="0"/>
            <w:vAlign w:val="center"/>
          </w:tcPr>
          <w:p w14:paraId="6E2D3729">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rPr>
              <w:t>废气排放</w:t>
            </w:r>
          </w:p>
        </w:tc>
        <w:tc>
          <w:tcPr>
            <w:tcW w:w="1116" w:type="dxa"/>
            <w:tcBorders>
              <w:tl2br w:val="nil"/>
              <w:tr2bl w:val="nil"/>
            </w:tcBorders>
            <w:noWrap w:val="0"/>
            <w:vAlign w:val="center"/>
          </w:tcPr>
          <w:p w14:paraId="7E7D8FE4">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rPr>
              <w:t>-L2D</w:t>
            </w:r>
          </w:p>
        </w:tc>
        <w:tc>
          <w:tcPr>
            <w:tcW w:w="1116" w:type="dxa"/>
            <w:tcBorders>
              <w:tl2br w:val="nil"/>
              <w:tr2bl w:val="nil"/>
            </w:tcBorders>
            <w:noWrap w:val="0"/>
            <w:vAlign w:val="center"/>
          </w:tcPr>
          <w:p w14:paraId="1475C295">
            <w:pPr>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lang w:val="en-US" w:eastAsia="zh-CN"/>
              </w:rPr>
              <w:t>/</w:t>
            </w:r>
          </w:p>
        </w:tc>
        <w:tc>
          <w:tcPr>
            <w:tcW w:w="1116" w:type="dxa"/>
            <w:tcBorders>
              <w:tl2br w:val="nil"/>
              <w:tr2bl w:val="nil"/>
            </w:tcBorders>
            <w:noWrap w:val="0"/>
            <w:vAlign w:val="center"/>
          </w:tcPr>
          <w:p w14:paraId="158D78C8">
            <w:pPr>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lang w:val="en-US" w:eastAsia="zh-CN"/>
              </w:rPr>
              <w:t>/</w:t>
            </w:r>
          </w:p>
        </w:tc>
        <w:tc>
          <w:tcPr>
            <w:tcW w:w="1116" w:type="dxa"/>
            <w:tcBorders>
              <w:tl2br w:val="nil"/>
              <w:tr2bl w:val="nil"/>
            </w:tcBorders>
            <w:noWrap w:val="0"/>
            <w:vAlign w:val="center"/>
          </w:tcPr>
          <w:p w14:paraId="130F266C">
            <w:pPr>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lang w:val="en-US" w:eastAsia="zh-CN"/>
              </w:rPr>
              <w:t>/</w:t>
            </w:r>
          </w:p>
        </w:tc>
        <w:tc>
          <w:tcPr>
            <w:tcW w:w="1116" w:type="dxa"/>
            <w:tcBorders>
              <w:tl2br w:val="nil"/>
              <w:tr2bl w:val="nil"/>
            </w:tcBorders>
            <w:noWrap w:val="0"/>
            <w:vAlign w:val="center"/>
          </w:tcPr>
          <w:p w14:paraId="7A5371FE">
            <w:pPr>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lang w:val="en-US" w:eastAsia="zh-CN"/>
              </w:rPr>
              <w:t>/</w:t>
            </w:r>
          </w:p>
        </w:tc>
        <w:tc>
          <w:tcPr>
            <w:tcW w:w="1365" w:type="dxa"/>
            <w:tcBorders>
              <w:tl2br w:val="nil"/>
              <w:tr2bl w:val="nil"/>
            </w:tcBorders>
            <w:noWrap w:val="0"/>
            <w:vAlign w:val="center"/>
          </w:tcPr>
          <w:p w14:paraId="11EE259C">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rPr>
              <w:t>-L1D</w:t>
            </w:r>
          </w:p>
        </w:tc>
      </w:tr>
      <w:tr w14:paraId="63E55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726" w:type="dxa"/>
            <w:vMerge w:val="continue"/>
            <w:tcBorders>
              <w:tl2br w:val="nil"/>
              <w:tr2bl w:val="nil"/>
            </w:tcBorders>
            <w:noWrap w:val="0"/>
            <w:vAlign w:val="center"/>
          </w:tcPr>
          <w:p w14:paraId="43F89A80">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p>
        </w:tc>
        <w:tc>
          <w:tcPr>
            <w:tcW w:w="1183" w:type="dxa"/>
            <w:tcBorders>
              <w:tl2br w:val="nil"/>
              <w:tr2bl w:val="nil"/>
            </w:tcBorders>
            <w:noWrap w:val="0"/>
            <w:vAlign w:val="center"/>
          </w:tcPr>
          <w:p w14:paraId="4B189867">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rPr>
              <w:t>噪声排放</w:t>
            </w:r>
          </w:p>
        </w:tc>
        <w:tc>
          <w:tcPr>
            <w:tcW w:w="1116" w:type="dxa"/>
            <w:tcBorders>
              <w:tl2br w:val="nil"/>
              <w:tr2bl w:val="nil"/>
            </w:tcBorders>
            <w:noWrap w:val="0"/>
            <w:vAlign w:val="center"/>
          </w:tcPr>
          <w:p w14:paraId="25C5DA0E">
            <w:pPr>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lang w:val="en-US" w:eastAsia="zh-CN"/>
              </w:rPr>
              <w:t>/</w:t>
            </w:r>
          </w:p>
        </w:tc>
        <w:tc>
          <w:tcPr>
            <w:tcW w:w="1116" w:type="dxa"/>
            <w:tcBorders>
              <w:tl2br w:val="nil"/>
              <w:tr2bl w:val="nil"/>
            </w:tcBorders>
            <w:noWrap w:val="0"/>
            <w:vAlign w:val="center"/>
          </w:tcPr>
          <w:p w14:paraId="4C35E268">
            <w:pPr>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lang w:val="en-US" w:eastAsia="zh-CN"/>
              </w:rPr>
              <w:t>/</w:t>
            </w:r>
          </w:p>
        </w:tc>
        <w:tc>
          <w:tcPr>
            <w:tcW w:w="1116" w:type="dxa"/>
            <w:tcBorders>
              <w:tl2br w:val="nil"/>
              <w:tr2bl w:val="nil"/>
            </w:tcBorders>
            <w:noWrap w:val="0"/>
            <w:vAlign w:val="center"/>
          </w:tcPr>
          <w:p w14:paraId="62FB39D8">
            <w:pPr>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lang w:val="en-US" w:eastAsia="zh-CN"/>
              </w:rPr>
              <w:t>/</w:t>
            </w:r>
          </w:p>
        </w:tc>
        <w:tc>
          <w:tcPr>
            <w:tcW w:w="1116" w:type="dxa"/>
            <w:tcBorders>
              <w:tl2br w:val="nil"/>
              <w:tr2bl w:val="nil"/>
            </w:tcBorders>
            <w:noWrap w:val="0"/>
            <w:vAlign w:val="center"/>
          </w:tcPr>
          <w:p w14:paraId="6A08D993">
            <w:pPr>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lang w:val="en-US" w:eastAsia="zh-CN"/>
              </w:rPr>
              <w:t>/</w:t>
            </w:r>
          </w:p>
        </w:tc>
        <w:tc>
          <w:tcPr>
            <w:tcW w:w="1116" w:type="dxa"/>
            <w:tcBorders>
              <w:tl2br w:val="nil"/>
              <w:tr2bl w:val="nil"/>
            </w:tcBorders>
            <w:noWrap w:val="0"/>
            <w:vAlign w:val="center"/>
          </w:tcPr>
          <w:p w14:paraId="6F979DD3">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rPr>
              <w:t>-L2D</w:t>
            </w:r>
          </w:p>
        </w:tc>
        <w:tc>
          <w:tcPr>
            <w:tcW w:w="1365" w:type="dxa"/>
            <w:tcBorders>
              <w:tl2br w:val="nil"/>
              <w:tr2bl w:val="nil"/>
            </w:tcBorders>
            <w:noWrap w:val="0"/>
            <w:vAlign w:val="center"/>
          </w:tcPr>
          <w:p w14:paraId="2604825C">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rPr>
              <w:t>-L0D</w:t>
            </w:r>
          </w:p>
        </w:tc>
      </w:tr>
      <w:tr w14:paraId="081AF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726" w:type="dxa"/>
            <w:vMerge w:val="continue"/>
            <w:tcBorders>
              <w:tl2br w:val="nil"/>
              <w:tr2bl w:val="nil"/>
            </w:tcBorders>
            <w:noWrap w:val="0"/>
            <w:vAlign w:val="center"/>
          </w:tcPr>
          <w:p w14:paraId="1D2232F6">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p>
        </w:tc>
        <w:tc>
          <w:tcPr>
            <w:tcW w:w="1183" w:type="dxa"/>
            <w:tcBorders>
              <w:tl2br w:val="nil"/>
              <w:tr2bl w:val="nil"/>
            </w:tcBorders>
            <w:noWrap w:val="0"/>
            <w:vAlign w:val="center"/>
          </w:tcPr>
          <w:p w14:paraId="347C0A93">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rPr>
              <w:t>固体废物</w:t>
            </w:r>
          </w:p>
        </w:tc>
        <w:tc>
          <w:tcPr>
            <w:tcW w:w="1116" w:type="dxa"/>
            <w:tcBorders>
              <w:tl2br w:val="nil"/>
              <w:tr2bl w:val="nil"/>
            </w:tcBorders>
            <w:noWrap w:val="0"/>
            <w:vAlign w:val="center"/>
          </w:tcPr>
          <w:p w14:paraId="155E34FC">
            <w:pPr>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lang w:val="en-US" w:eastAsia="zh-CN"/>
              </w:rPr>
              <w:t>/</w:t>
            </w:r>
          </w:p>
        </w:tc>
        <w:tc>
          <w:tcPr>
            <w:tcW w:w="1116" w:type="dxa"/>
            <w:tcBorders>
              <w:tl2br w:val="nil"/>
              <w:tr2bl w:val="nil"/>
            </w:tcBorders>
            <w:noWrap w:val="0"/>
            <w:vAlign w:val="center"/>
          </w:tcPr>
          <w:p w14:paraId="2850E764">
            <w:pPr>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lang w:val="en-US" w:eastAsia="zh-CN"/>
              </w:rPr>
              <w:t>/</w:t>
            </w:r>
          </w:p>
        </w:tc>
        <w:tc>
          <w:tcPr>
            <w:tcW w:w="1116" w:type="dxa"/>
            <w:tcBorders>
              <w:tl2br w:val="nil"/>
              <w:tr2bl w:val="nil"/>
            </w:tcBorders>
            <w:noWrap w:val="0"/>
            <w:vAlign w:val="center"/>
          </w:tcPr>
          <w:p w14:paraId="43E2E2BC">
            <w:pPr>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lang w:val="en-US" w:eastAsia="zh-CN"/>
              </w:rPr>
              <w:t>/</w:t>
            </w:r>
          </w:p>
        </w:tc>
        <w:tc>
          <w:tcPr>
            <w:tcW w:w="1116" w:type="dxa"/>
            <w:tcBorders>
              <w:tl2br w:val="nil"/>
              <w:tr2bl w:val="nil"/>
            </w:tcBorders>
            <w:noWrap w:val="0"/>
            <w:vAlign w:val="center"/>
          </w:tcPr>
          <w:p w14:paraId="08071C10">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rPr>
              <w:t>-L1D</w:t>
            </w:r>
          </w:p>
        </w:tc>
        <w:tc>
          <w:tcPr>
            <w:tcW w:w="1116" w:type="dxa"/>
            <w:tcBorders>
              <w:tl2br w:val="nil"/>
              <w:tr2bl w:val="nil"/>
            </w:tcBorders>
            <w:noWrap w:val="0"/>
            <w:vAlign w:val="center"/>
          </w:tcPr>
          <w:p w14:paraId="31AE447A">
            <w:pPr>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lang w:val="en-US" w:eastAsia="zh-CN"/>
              </w:rPr>
              <w:t>/</w:t>
            </w:r>
          </w:p>
        </w:tc>
        <w:tc>
          <w:tcPr>
            <w:tcW w:w="1365" w:type="dxa"/>
            <w:tcBorders>
              <w:tl2br w:val="nil"/>
              <w:tr2bl w:val="nil"/>
            </w:tcBorders>
            <w:noWrap w:val="0"/>
            <w:vAlign w:val="center"/>
          </w:tcPr>
          <w:p w14:paraId="23B5DD25">
            <w:pPr>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lang w:val="en-US" w:eastAsia="zh-CN"/>
              </w:rPr>
              <w:t>/</w:t>
            </w:r>
          </w:p>
        </w:tc>
      </w:tr>
      <w:tr w14:paraId="0D23A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8854" w:type="dxa"/>
            <w:gridSpan w:val="8"/>
            <w:tcBorders>
              <w:tl2br w:val="nil"/>
              <w:tr2bl w:val="nil"/>
            </w:tcBorders>
            <w:noWrap w:val="0"/>
            <w:vAlign w:val="center"/>
          </w:tcPr>
          <w:p w14:paraId="6C69712B">
            <w:pPr>
              <w:pStyle w:val="126"/>
              <w:keepNext w:val="0"/>
              <w:keepLines w:val="0"/>
              <w:pageBreakBefore w:val="0"/>
              <w:widowControl w:val="0"/>
              <w:kinsoku/>
              <w:wordWrap/>
              <w:topLinePunct w:val="0"/>
              <w:bidi w:val="0"/>
              <w:adjustRightInd w:val="0"/>
              <w:snapToGrid w:val="0"/>
              <w:spacing w:line="300" w:lineRule="exact"/>
              <w:ind w:firstLine="0" w:firstLineChars="0"/>
              <w:jc w:val="center"/>
              <w:rPr>
                <w:rFonts w:hint="default" w:ascii="Times New Roman" w:hAnsi="Times New Roman" w:eastAsia="楷体" w:cs="Times New Roman"/>
                <w:sz w:val="24"/>
                <w:szCs w:val="24"/>
              </w:rPr>
            </w:pPr>
            <w:r>
              <w:rPr>
                <w:rFonts w:hint="default" w:ascii="Times New Roman" w:hAnsi="Times New Roman" w:eastAsia="楷体" w:cs="Times New Roman"/>
                <w:sz w:val="24"/>
                <w:szCs w:val="24"/>
              </w:rPr>
              <w:t>注：“+和</w:t>
            </w:r>
            <w:r>
              <w:rPr>
                <w:rFonts w:hint="default" w:ascii="Times New Roman" w:hAnsi="Times New Roman" w:eastAsia="楷体" w:cs="Times New Roman"/>
                <w:sz w:val="24"/>
                <w:szCs w:val="24"/>
                <w:lang w:val="en-US" w:eastAsia="zh-CN"/>
              </w:rPr>
              <w:t>-</w:t>
            </w:r>
            <w:r>
              <w:rPr>
                <w:rFonts w:hint="default" w:ascii="Times New Roman" w:hAnsi="Times New Roman" w:eastAsia="楷体" w:cs="Times New Roman"/>
                <w:sz w:val="24"/>
                <w:szCs w:val="24"/>
              </w:rPr>
              <w:t>”分别表示有利、不利影响；“L和S”分别表示长期、短期影响；“0至3”分别表示无影响、轻微影响、中等影响、重大影响；“D和I”分别表示直接、间接影响。</w:t>
            </w:r>
          </w:p>
        </w:tc>
      </w:tr>
    </w:tbl>
    <w:p w14:paraId="360500FE">
      <w:pPr>
        <w:pStyle w:val="47"/>
        <w:bidi w:val="0"/>
        <w:rPr>
          <w:rFonts w:hint="eastAsia"/>
          <w:lang w:val="en-GB" w:eastAsia="zh-CN"/>
        </w:rPr>
      </w:pPr>
      <w:r>
        <w:rPr>
          <w:rFonts w:hint="eastAsia"/>
          <w:lang w:val="en-GB" w:eastAsia="zh-CN"/>
        </w:rPr>
        <w:t>项目施工期影响是短期影响，在施工结束后施工期的影响也随之结束；项目运营期对环境的不利影响主要是废气，其次为废水和固体废物。运营期的影响为长期影响，因此进行评价的主要时段是运营期，评价重点为废气治理。</w:t>
      </w:r>
    </w:p>
    <w:p w14:paraId="51BA85FD">
      <w:pPr>
        <w:pStyle w:val="92"/>
        <w:bidi w:val="0"/>
        <w:ind w:left="0" w:leftChars="0" w:firstLine="0" w:firstLineChars="0"/>
      </w:pPr>
      <w:r>
        <w:rPr>
          <w:rFonts w:hint="eastAsia"/>
        </w:rPr>
        <w:t>评价</w:t>
      </w:r>
      <w:r>
        <w:t>因子筛选</w:t>
      </w:r>
    </w:p>
    <w:p w14:paraId="1ED6B792">
      <w:pPr>
        <w:pStyle w:val="47"/>
        <w:ind w:firstLine="482"/>
        <w:rPr>
          <w:highlight w:val="yellow"/>
        </w:rPr>
      </w:pPr>
      <w:r>
        <w:t>根据</w:t>
      </w:r>
      <w:r>
        <w:rPr>
          <w:rFonts w:hint="eastAsia"/>
        </w:rPr>
        <w:t>项目</w:t>
      </w:r>
      <w:r>
        <w:t>的特点以及所在地区的环境</w:t>
      </w:r>
      <w:r>
        <w:rPr>
          <w:rFonts w:hint="eastAsia"/>
        </w:rPr>
        <w:t>特征</w:t>
      </w:r>
      <w:r>
        <w:t>，</w:t>
      </w:r>
      <w:r>
        <w:rPr>
          <w:rFonts w:hint="eastAsia"/>
        </w:rPr>
        <w:t>筛选</w:t>
      </w:r>
      <w:r>
        <w:t>确定</w:t>
      </w:r>
      <w:r>
        <w:rPr>
          <w:rFonts w:hint="eastAsia"/>
        </w:rPr>
        <w:t>项目的</w:t>
      </w:r>
      <w:r>
        <w:t>评价因子，见</w:t>
      </w:r>
      <w:r>
        <w:rPr>
          <w:rFonts w:hint="eastAsia"/>
        </w:rPr>
        <w:t>下表</w:t>
      </w:r>
      <w:r>
        <w:t>。</w:t>
      </w:r>
    </w:p>
    <w:p w14:paraId="326616AF">
      <w:pPr>
        <w:pStyle w:val="94"/>
        <w:bidi w:val="0"/>
        <w:ind w:left="0" w:leftChars="0" w:firstLine="0" w:firstLineChars="0"/>
      </w:pPr>
      <w:r>
        <w:rPr>
          <w:rFonts w:hint="eastAsia"/>
        </w:rPr>
        <w:t>项目评价因子一览表</w:t>
      </w:r>
    </w:p>
    <w:tbl>
      <w:tblPr>
        <w:tblStyle w:val="32"/>
        <w:tblW w:w="50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6"/>
        <w:gridCol w:w="1306"/>
        <w:gridCol w:w="7228"/>
      </w:tblGrid>
      <w:tr w14:paraId="58CF8D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87" w:type="dxa"/>
            <w:tcBorders>
              <w:tl2br w:val="nil"/>
              <w:tr2bl w:val="nil"/>
            </w:tcBorders>
            <w:vAlign w:val="center"/>
          </w:tcPr>
          <w:p w14:paraId="224037CE">
            <w:pPr>
              <w:pStyle w:val="55"/>
              <w:bidi w:val="0"/>
              <w:rPr>
                <w:rFonts w:hint="default"/>
                <w:sz w:val="24"/>
                <w:szCs w:val="24"/>
              </w:rPr>
            </w:pPr>
            <w:r>
              <w:rPr>
                <w:rFonts w:hint="default"/>
                <w:sz w:val="24"/>
                <w:szCs w:val="24"/>
              </w:rPr>
              <w:t>要素</w:t>
            </w:r>
          </w:p>
        </w:tc>
        <w:tc>
          <w:tcPr>
            <w:tcW w:w="1272" w:type="dxa"/>
            <w:tcBorders>
              <w:tl2br w:val="nil"/>
              <w:tr2bl w:val="nil"/>
            </w:tcBorders>
            <w:vAlign w:val="center"/>
          </w:tcPr>
          <w:p w14:paraId="1595C3CE">
            <w:pPr>
              <w:pStyle w:val="55"/>
              <w:bidi w:val="0"/>
              <w:rPr>
                <w:rFonts w:hint="default"/>
                <w:sz w:val="24"/>
                <w:szCs w:val="24"/>
              </w:rPr>
            </w:pPr>
            <w:r>
              <w:rPr>
                <w:rFonts w:hint="default"/>
                <w:sz w:val="24"/>
                <w:szCs w:val="24"/>
              </w:rPr>
              <w:t>项目</w:t>
            </w:r>
          </w:p>
        </w:tc>
        <w:tc>
          <w:tcPr>
            <w:tcW w:w="7040" w:type="dxa"/>
            <w:tcBorders>
              <w:tl2br w:val="nil"/>
              <w:tr2bl w:val="nil"/>
            </w:tcBorders>
            <w:vAlign w:val="center"/>
          </w:tcPr>
          <w:p w14:paraId="5420AF1D">
            <w:pPr>
              <w:pStyle w:val="55"/>
              <w:bidi w:val="0"/>
              <w:rPr>
                <w:rFonts w:hint="default"/>
                <w:sz w:val="24"/>
                <w:szCs w:val="24"/>
              </w:rPr>
            </w:pPr>
            <w:r>
              <w:rPr>
                <w:rFonts w:hint="default"/>
                <w:sz w:val="24"/>
                <w:szCs w:val="24"/>
              </w:rPr>
              <w:t>评价因子</w:t>
            </w:r>
          </w:p>
        </w:tc>
      </w:tr>
      <w:tr w14:paraId="340899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87" w:type="dxa"/>
            <w:vMerge w:val="restart"/>
            <w:tcBorders>
              <w:tl2br w:val="nil"/>
              <w:tr2bl w:val="nil"/>
            </w:tcBorders>
            <w:vAlign w:val="center"/>
          </w:tcPr>
          <w:p w14:paraId="39986446">
            <w:pPr>
              <w:pStyle w:val="55"/>
              <w:bidi w:val="0"/>
              <w:rPr>
                <w:rFonts w:hint="default"/>
                <w:sz w:val="24"/>
                <w:szCs w:val="24"/>
              </w:rPr>
            </w:pPr>
            <w:r>
              <w:rPr>
                <w:rFonts w:hint="default"/>
                <w:sz w:val="24"/>
                <w:szCs w:val="24"/>
              </w:rPr>
              <w:t>环境空气</w:t>
            </w:r>
          </w:p>
        </w:tc>
        <w:tc>
          <w:tcPr>
            <w:tcW w:w="1272" w:type="dxa"/>
            <w:tcBorders>
              <w:tl2br w:val="nil"/>
              <w:tr2bl w:val="nil"/>
            </w:tcBorders>
            <w:vAlign w:val="center"/>
          </w:tcPr>
          <w:p w14:paraId="3A94197D">
            <w:pPr>
              <w:pStyle w:val="55"/>
              <w:bidi w:val="0"/>
              <w:rPr>
                <w:rFonts w:hint="default"/>
                <w:sz w:val="24"/>
                <w:szCs w:val="24"/>
              </w:rPr>
            </w:pPr>
            <w:r>
              <w:rPr>
                <w:rFonts w:hint="default"/>
                <w:sz w:val="24"/>
                <w:szCs w:val="24"/>
              </w:rPr>
              <w:t>现状评价</w:t>
            </w:r>
          </w:p>
        </w:tc>
        <w:tc>
          <w:tcPr>
            <w:tcW w:w="7040" w:type="dxa"/>
            <w:tcBorders>
              <w:tl2br w:val="nil"/>
              <w:tr2bl w:val="nil"/>
            </w:tcBorders>
            <w:vAlign w:val="center"/>
          </w:tcPr>
          <w:p w14:paraId="495D4361">
            <w:pPr>
              <w:pStyle w:val="55"/>
              <w:bidi w:val="0"/>
              <w:rPr>
                <w:rFonts w:hint="default"/>
                <w:sz w:val="24"/>
                <w:szCs w:val="24"/>
                <w:lang w:val="en-US" w:eastAsia="zh-CN"/>
              </w:rPr>
            </w:pPr>
            <w:r>
              <w:rPr>
                <w:rFonts w:hint="default"/>
                <w:sz w:val="24"/>
                <w:szCs w:val="24"/>
                <w:lang w:val="en-US" w:eastAsia="zh-CN"/>
              </w:rPr>
              <w:t>TSP、</w:t>
            </w:r>
            <w:r>
              <w:rPr>
                <w:rFonts w:hint="default"/>
                <w:sz w:val="24"/>
                <w:szCs w:val="24"/>
              </w:rPr>
              <w:t>PM</w:t>
            </w:r>
            <w:r>
              <w:rPr>
                <w:rFonts w:hint="default"/>
                <w:sz w:val="24"/>
                <w:szCs w:val="24"/>
                <w:vertAlign w:val="subscript"/>
              </w:rPr>
              <w:t>10</w:t>
            </w:r>
            <w:r>
              <w:rPr>
                <w:rFonts w:hint="default"/>
                <w:sz w:val="24"/>
                <w:szCs w:val="24"/>
              </w:rPr>
              <w:t>、PM</w:t>
            </w:r>
            <w:r>
              <w:rPr>
                <w:rFonts w:hint="default"/>
                <w:sz w:val="24"/>
                <w:szCs w:val="24"/>
                <w:vertAlign w:val="subscript"/>
              </w:rPr>
              <w:t>2.5</w:t>
            </w:r>
            <w:r>
              <w:rPr>
                <w:rFonts w:hint="default"/>
                <w:sz w:val="24"/>
                <w:szCs w:val="24"/>
              </w:rPr>
              <w:t>、SO</w:t>
            </w:r>
            <w:r>
              <w:rPr>
                <w:rFonts w:hint="default"/>
                <w:sz w:val="24"/>
                <w:szCs w:val="24"/>
                <w:vertAlign w:val="subscript"/>
              </w:rPr>
              <w:t>2</w:t>
            </w:r>
            <w:r>
              <w:rPr>
                <w:rFonts w:hint="default"/>
                <w:sz w:val="24"/>
                <w:szCs w:val="24"/>
              </w:rPr>
              <w:t>、NO</w:t>
            </w:r>
            <w:r>
              <w:rPr>
                <w:rFonts w:hint="default"/>
                <w:sz w:val="24"/>
                <w:szCs w:val="24"/>
                <w:vertAlign w:val="subscript"/>
              </w:rPr>
              <w:t>2</w:t>
            </w:r>
            <w:r>
              <w:rPr>
                <w:rFonts w:hint="default"/>
                <w:sz w:val="24"/>
                <w:szCs w:val="24"/>
              </w:rPr>
              <w:t>、CO、O</w:t>
            </w:r>
            <w:r>
              <w:rPr>
                <w:rFonts w:hint="default"/>
                <w:sz w:val="24"/>
                <w:szCs w:val="24"/>
                <w:vertAlign w:val="subscript"/>
              </w:rPr>
              <w:t>3</w:t>
            </w:r>
            <w:r>
              <w:rPr>
                <w:rFonts w:hint="default"/>
                <w:sz w:val="24"/>
                <w:szCs w:val="24"/>
                <w:lang w:eastAsia="zh-CN"/>
              </w:rPr>
              <w:t>、</w:t>
            </w:r>
            <w:r>
              <w:rPr>
                <w:rFonts w:hint="default"/>
                <w:sz w:val="24"/>
                <w:szCs w:val="24"/>
                <w:lang w:val="en-US" w:eastAsia="zh-CN"/>
              </w:rPr>
              <w:t>非甲烷总烃</w:t>
            </w:r>
            <w:r>
              <w:rPr>
                <w:rFonts w:hint="eastAsia"/>
                <w:sz w:val="24"/>
                <w:szCs w:val="24"/>
                <w:lang w:val="en-US" w:eastAsia="zh-CN"/>
              </w:rPr>
              <w:t>、TSP、HCl</w:t>
            </w:r>
          </w:p>
        </w:tc>
      </w:tr>
      <w:tr w14:paraId="619116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87" w:type="dxa"/>
            <w:vMerge w:val="continue"/>
            <w:tcBorders>
              <w:tl2br w:val="nil"/>
              <w:tr2bl w:val="nil"/>
            </w:tcBorders>
            <w:vAlign w:val="center"/>
          </w:tcPr>
          <w:p w14:paraId="2F15B690">
            <w:pPr>
              <w:pStyle w:val="55"/>
              <w:bidi w:val="0"/>
              <w:rPr>
                <w:rFonts w:hint="default"/>
                <w:sz w:val="24"/>
                <w:szCs w:val="24"/>
              </w:rPr>
            </w:pPr>
          </w:p>
        </w:tc>
        <w:tc>
          <w:tcPr>
            <w:tcW w:w="1272" w:type="dxa"/>
            <w:tcBorders>
              <w:tl2br w:val="nil"/>
              <w:tr2bl w:val="nil"/>
            </w:tcBorders>
            <w:vAlign w:val="center"/>
          </w:tcPr>
          <w:p w14:paraId="48BD8E8A">
            <w:pPr>
              <w:pStyle w:val="55"/>
              <w:bidi w:val="0"/>
              <w:rPr>
                <w:rFonts w:hint="default"/>
                <w:sz w:val="24"/>
                <w:szCs w:val="24"/>
              </w:rPr>
            </w:pPr>
            <w:r>
              <w:rPr>
                <w:rFonts w:hint="default"/>
                <w:sz w:val="24"/>
                <w:szCs w:val="24"/>
              </w:rPr>
              <w:t>影响评价</w:t>
            </w:r>
          </w:p>
        </w:tc>
        <w:tc>
          <w:tcPr>
            <w:tcW w:w="7040" w:type="dxa"/>
            <w:tcBorders>
              <w:tl2br w:val="nil"/>
              <w:tr2bl w:val="nil"/>
            </w:tcBorders>
            <w:vAlign w:val="center"/>
          </w:tcPr>
          <w:p w14:paraId="388AC212">
            <w:pPr>
              <w:pStyle w:val="55"/>
              <w:bidi w:val="0"/>
              <w:rPr>
                <w:rFonts w:hint="default"/>
                <w:sz w:val="24"/>
                <w:szCs w:val="24"/>
                <w:lang w:val="en-US"/>
              </w:rPr>
            </w:pPr>
            <w:r>
              <w:rPr>
                <w:rFonts w:hint="default"/>
                <w:sz w:val="24"/>
                <w:szCs w:val="24"/>
                <w:lang w:val="en-US" w:eastAsia="zh-CN"/>
              </w:rPr>
              <w:t>非甲烷总烃、TSP</w:t>
            </w:r>
            <w:r>
              <w:rPr>
                <w:rFonts w:hint="eastAsia"/>
                <w:sz w:val="24"/>
                <w:szCs w:val="24"/>
                <w:lang w:val="en-US" w:eastAsia="zh-CN"/>
              </w:rPr>
              <w:t>、HCl、臭气浓度</w:t>
            </w:r>
          </w:p>
        </w:tc>
      </w:tr>
      <w:tr w14:paraId="03B603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87" w:type="dxa"/>
            <w:vMerge w:val="restart"/>
            <w:tcBorders>
              <w:tl2br w:val="nil"/>
              <w:tr2bl w:val="nil"/>
            </w:tcBorders>
            <w:vAlign w:val="center"/>
          </w:tcPr>
          <w:p w14:paraId="4C9F2B46">
            <w:pPr>
              <w:pStyle w:val="55"/>
              <w:bidi w:val="0"/>
              <w:rPr>
                <w:rFonts w:hint="default"/>
                <w:sz w:val="24"/>
                <w:szCs w:val="24"/>
              </w:rPr>
            </w:pPr>
            <w:r>
              <w:rPr>
                <w:rFonts w:hint="default"/>
                <w:sz w:val="24"/>
                <w:szCs w:val="24"/>
              </w:rPr>
              <w:t>地下水环境</w:t>
            </w:r>
          </w:p>
        </w:tc>
        <w:tc>
          <w:tcPr>
            <w:tcW w:w="1272" w:type="dxa"/>
            <w:tcBorders>
              <w:tl2br w:val="nil"/>
              <w:tr2bl w:val="nil"/>
            </w:tcBorders>
            <w:vAlign w:val="center"/>
          </w:tcPr>
          <w:p w14:paraId="7449E80E">
            <w:pPr>
              <w:pStyle w:val="55"/>
              <w:bidi w:val="0"/>
              <w:rPr>
                <w:rFonts w:hint="default"/>
                <w:sz w:val="24"/>
                <w:szCs w:val="24"/>
              </w:rPr>
            </w:pPr>
            <w:r>
              <w:rPr>
                <w:rFonts w:hint="default"/>
                <w:sz w:val="24"/>
                <w:szCs w:val="24"/>
              </w:rPr>
              <w:t>现状评价</w:t>
            </w:r>
          </w:p>
        </w:tc>
        <w:tc>
          <w:tcPr>
            <w:tcW w:w="7040" w:type="dxa"/>
            <w:tcBorders>
              <w:tl2br w:val="nil"/>
              <w:tr2bl w:val="nil"/>
            </w:tcBorders>
            <w:vAlign w:val="center"/>
          </w:tcPr>
          <w:p w14:paraId="3C5ECC28">
            <w:pPr>
              <w:pStyle w:val="55"/>
              <w:bidi w:val="0"/>
              <w:rPr>
                <w:rFonts w:hint="default"/>
                <w:sz w:val="24"/>
                <w:szCs w:val="24"/>
                <w:lang w:val="en-US" w:eastAsia="zh-CN"/>
              </w:rPr>
            </w:pPr>
            <w:r>
              <w:rPr>
                <w:rFonts w:hint="default"/>
                <w:sz w:val="24"/>
                <w:szCs w:val="24"/>
                <w:lang w:val="en-US" w:eastAsia="zh-CN"/>
              </w:rPr>
              <w:t>pH、总硬度、溶解性总固体、高锰酸盐指数、氨氮、硝酸盐氮、氟化物、铁、锰、砷、汞、六价铬、铅、镉、总大肠菌群、细菌总数、色度、K</w:t>
            </w:r>
            <w:r>
              <w:rPr>
                <w:rFonts w:hint="default"/>
                <w:sz w:val="24"/>
                <w:szCs w:val="24"/>
                <w:vertAlign w:val="superscript"/>
                <w:lang w:val="en-US" w:eastAsia="zh-CN"/>
              </w:rPr>
              <w:t>+</w:t>
            </w:r>
            <w:r>
              <w:rPr>
                <w:rFonts w:hint="default"/>
                <w:sz w:val="24"/>
                <w:szCs w:val="24"/>
                <w:lang w:val="en-US" w:eastAsia="zh-CN"/>
              </w:rPr>
              <w:t>、Na</w:t>
            </w:r>
            <w:r>
              <w:rPr>
                <w:rFonts w:hint="default"/>
                <w:sz w:val="24"/>
                <w:szCs w:val="24"/>
                <w:vertAlign w:val="superscript"/>
                <w:lang w:val="en-US" w:eastAsia="zh-CN"/>
              </w:rPr>
              <w:t>+</w:t>
            </w:r>
            <w:r>
              <w:rPr>
                <w:rFonts w:hint="default"/>
                <w:sz w:val="24"/>
                <w:szCs w:val="24"/>
                <w:lang w:val="en-US" w:eastAsia="zh-CN"/>
              </w:rPr>
              <w:t>、Ca</w:t>
            </w:r>
            <w:r>
              <w:rPr>
                <w:rFonts w:hint="default"/>
                <w:sz w:val="24"/>
                <w:szCs w:val="24"/>
                <w:vertAlign w:val="superscript"/>
                <w:lang w:val="en-US" w:eastAsia="zh-CN"/>
              </w:rPr>
              <w:t>2+</w:t>
            </w:r>
            <w:r>
              <w:rPr>
                <w:rFonts w:hint="default"/>
                <w:sz w:val="24"/>
                <w:szCs w:val="24"/>
                <w:lang w:val="en-US" w:eastAsia="zh-CN"/>
              </w:rPr>
              <w:t>、Mg</w:t>
            </w:r>
            <w:r>
              <w:rPr>
                <w:rFonts w:hint="default"/>
                <w:sz w:val="24"/>
                <w:szCs w:val="24"/>
                <w:vertAlign w:val="superscript"/>
                <w:lang w:val="en-US" w:eastAsia="zh-CN"/>
              </w:rPr>
              <w:t>2+</w:t>
            </w:r>
            <w:r>
              <w:rPr>
                <w:rFonts w:hint="default"/>
                <w:sz w:val="24"/>
                <w:szCs w:val="24"/>
                <w:lang w:val="en-US" w:eastAsia="zh-CN"/>
              </w:rPr>
              <w:t>、CO</w:t>
            </w:r>
            <w:r>
              <w:rPr>
                <w:rFonts w:hint="default"/>
                <w:sz w:val="24"/>
                <w:szCs w:val="24"/>
                <w:vertAlign w:val="subscript"/>
                <w:lang w:val="en-US" w:eastAsia="zh-CN"/>
              </w:rPr>
              <w:t>3</w:t>
            </w:r>
            <w:r>
              <w:rPr>
                <w:rFonts w:hint="default"/>
                <w:sz w:val="24"/>
                <w:szCs w:val="24"/>
                <w:vertAlign w:val="superscript"/>
                <w:lang w:val="en-US" w:eastAsia="zh-CN"/>
              </w:rPr>
              <w:t>2-</w:t>
            </w:r>
            <w:r>
              <w:rPr>
                <w:rFonts w:hint="default"/>
                <w:sz w:val="24"/>
                <w:szCs w:val="24"/>
                <w:lang w:val="en-US" w:eastAsia="zh-CN"/>
              </w:rPr>
              <w:t>、HCO</w:t>
            </w:r>
            <w:r>
              <w:rPr>
                <w:rFonts w:hint="default"/>
                <w:sz w:val="24"/>
                <w:szCs w:val="24"/>
                <w:vertAlign w:val="subscript"/>
                <w:lang w:val="en-US" w:eastAsia="zh-CN"/>
              </w:rPr>
              <w:t>3</w:t>
            </w:r>
            <w:r>
              <w:rPr>
                <w:rFonts w:hint="default"/>
                <w:sz w:val="24"/>
                <w:szCs w:val="24"/>
                <w:vertAlign w:val="superscript"/>
                <w:lang w:val="en-US" w:eastAsia="zh-CN"/>
              </w:rPr>
              <w:t>-</w:t>
            </w:r>
            <w:r>
              <w:rPr>
                <w:rFonts w:hint="default"/>
                <w:sz w:val="24"/>
                <w:szCs w:val="24"/>
                <w:lang w:val="en-US" w:eastAsia="zh-CN"/>
              </w:rPr>
              <w:t>、Cl</w:t>
            </w:r>
            <w:r>
              <w:rPr>
                <w:rFonts w:hint="default"/>
                <w:sz w:val="24"/>
                <w:szCs w:val="24"/>
                <w:vertAlign w:val="superscript"/>
                <w:lang w:val="en-US" w:eastAsia="zh-CN"/>
              </w:rPr>
              <w:t>-</w:t>
            </w:r>
            <w:r>
              <w:rPr>
                <w:rFonts w:hint="default"/>
                <w:sz w:val="24"/>
                <w:szCs w:val="24"/>
                <w:lang w:val="en-US" w:eastAsia="zh-CN"/>
              </w:rPr>
              <w:t>、SO</w:t>
            </w:r>
            <w:r>
              <w:rPr>
                <w:rFonts w:hint="default"/>
                <w:sz w:val="24"/>
                <w:szCs w:val="24"/>
                <w:vertAlign w:val="subscript"/>
                <w:lang w:val="en-US" w:eastAsia="zh-CN"/>
              </w:rPr>
              <w:t>4</w:t>
            </w:r>
            <w:r>
              <w:rPr>
                <w:rFonts w:hint="default"/>
                <w:sz w:val="24"/>
                <w:szCs w:val="24"/>
                <w:vertAlign w:val="superscript"/>
                <w:lang w:val="en-US" w:eastAsia="zh-CN"/>
              </w:rPr>
              <w:t>2-</w:t>
            </w:r>
          </w:p>
        </w:tc>
      </w:tr>
      <w:tr w14:paraId="125F4B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87" w:type="dxa"/>
            <w:vMerge w:val="continue"/>
            <w:tcBorders>
              <w:tl2br w:val="nil"/>
              <w:tr2bl w:val="nil"/>
            </w:tcBorders>
            <w:vAlign w:val="center"/>
          </w:tcPr>
          <w:p w14:paraId="236BAF6C">
            <w:pPr>
              <w:pStyle w:val="55"/>
              <w:bidi w:val="0"/>
              <w:rPr>
                <w:rFonts w:hint="default"/>
                <w:sz w:val="24"/>
                <w:szCs w:val="24"/>
              </w:rPr>
            </w:pPr>
          </w:p>
        </w:tc>
        <w:tc>
          <w:tcPr>
            <w:tcW w:w="1272" w:type="dxa"/>
            <w:tcBorders>
              <w:tl2br w:val="nil"/>
              <w:tr2bl w:val="nil"/>
            </w:tcBorders>
            <w:vAlign w:val="center"/>
          </w:tcPr>
          <w:p w14:paraId="1C35E2C9">
            <w:pPr>
              <w:pStyle w:val="55"/>
              <w:bidi w:val="0"/>
              <w:rPr>
                <w:rFonts w:hint="default"/>
                <w:sz w:val="24"/>
                <w:szCs w:val="24"/>
              </w:rPr>
            </w:pPr>
            <w:r>
              <w:rPr>
                <w:rFonts w:hint="default"/>
                <w:sz w:val="24"/>
                <w:szCs w:val="24"/>
              </w:rPr>
              <w:t>影响评价</w:t>
            </w:r>
          </w:p>
        </w:tc>
        <w:tc>
          <w:tcPr>
            <w:tcW w:w="7040" w:type="dxa"/>
            <w:tcBorders>
              <w:tl2br w:val="nil"/>
              <w:tr2bl w:val="nil"/>
            </w:tcBorders>
            <w:vAlign w:val="center"/>
          </w:tcPr>
          <w:p w14:paraId="3E707575">
            <w:pPr>
              <w:pStyle w:val="55"/>
              <w:bidi w:val="0"/>
              <w:rPr>
                <w:rFonts w:hint="default"/>
                <w:sz w:val="24"/>
                <w:szCs w:val="24"/>
                <w:lang w:val="en-US" w:eastAsia="zh-CN"/>
              </w:rPr>
            </w:pPr>
            <w:r>
              <w:rPr>
                <w:rFonts w:hint="eastAsia"/>
                <w:sz w:val="24"/>
                <w:szCs w:val="24"/>
                <w:lang w:val="en-US" w:eastAsia="zh-CN"/>
              </w:rPr>
              <w:t>COD、氨氮</w:t>
            </w:r>
          </w:p>
        </w:tc>
      </w:tr>
      <w:tr w14:paraId="6170BF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87" w:type="dxa"/>
            <w:vMerge w:val="restart"/>
            <w:tcBorders>
              <w:tl2br w:val="nil"/>
              <w:tr2bl w:val="nil"/>
            </w:tcBorders>
            <w:vAlign w:val="center"/>
          </w:tcPr>
          <w:p w14:paraId="7221448E">
            <w:pPr>
              <w:pStyle w:val="55"/>
              <w:bidi w:val="0"/>
              <w:rPr>
                <w:rFonts w:hint="default"/>
                <w:sz w:val="24"/>
                <w:szCs w:val="24"/>
              </w:rPr>
            </w:pPr>
            <w:r>
              <w:rPr>
                <w:rFonts w:hint="default"/>
                <w:sz w:val="24"/>
                <w:szCs w:val="24"/>
              </w:rPr>
              <w:t>声环境</w:t>
            </w:r>
          </w:p>
        </w:tc>
        <w:tc>
          <w:tcPr>
            <w:tcW w:w="1272" w:type="dxa"/>
            <w:tcBorders>
              <w:tl2br w:val="nil"/>
              <w:tr2bl w:val="nil"/>
            </w:tcBorders>
            <w:vAlign w:val="center"/>
          </w:tcPr>
          <w:p w14:paraId="64B9DA24">
            <w:pPr>
              <w:pStyle w:val="55"/>
              <w:bidi w:val="0"/>
              <w:rPr>
                <w:rFonts w:hint="default"/>
                <w:sz w:val="24"/>
                <w:szCs w:val="24"/>
              </w:rPr>
            </w:pPr>
            <w:r>
              <w:rPr>
                <w:rFonts w:hint="default"/>
                <w:sz w:val="24"/>
                <w:szCs w:val="24"/>
              </w:rPr>
              <w:t>现状评价</w:t>
            </w:r>
          </w:p>
        </w:tc>
        <w:tc>
          <w:tcPr>
            <w:tcW w:w="7040" w:type="dxa"/>
            <w:tcBorders>
              <w:tl2br w:val="nil"/>
              <w:tr2bl w:val="nil"/>
            </w:tcBorders>
            <w:vAlign w:val="center"/>
          </w:tcPr>
          <w:p w14:paraId="7009CF71">
            <w:pPr>
              <w:pStyle w:val="55"/>
              <w:bidi w:val="0"/>
              <w:rPr>
                <w:rFonts w:hint="default"/>
                <w:lang w:val="en-US" w:eastAsia="zh-CN"/>
              </w:rPr>
            </w:pPr>
            <w:r>
              <w:t>等效连续A声级</w:t>
            </w:r>
          </w:p>
        </w:tc>
      </w:tr>
      <w:tr w14:paraId="47511B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87" w:type="dxa"/>
            <w:vMerge w:val="continue"/>
            <w:tcBorders>
              <w:tl2br w:val="nil"/>
              <w:tr2bl w:val="nil"/>
            </w:tcBorders>
            <w:vAlign w:val="center"/>
          </w:tcPr>
          <w:p w14:paraId="57B1465C">
            <w:pPr>
              <w:pStyle w:val="55"/>
              <w:bidi w:val="0"/>
              <w:rPr>
                <w:rFonts w:hint="default"/>
                <w:sz w:val="24"/>
                <w:szCs w:val="24"/>
              </w:rPr>
            </w:pPr>
          </w:p>
        </w:tc>
        <w:tc>
          <w:tcPr>
            <w:tcW w:w="1272" w:type="dxa"/>
            <w:tcBorders>
              <w:tl2br w:val="nil"/>
              <w:tr2bl w:val="nil"/>
            </w:tcBorders>
            <w:vAlign w:val="center"/>
          </w:tcPr>
          <w:p w14:paraId="44819368">
            <w:pPr>
              <w:pStyle w:val="55"/>
              <w:bidi w:val="0"/>
              <w:rPr>
                <w:rFonts w:hint="default"/>
                <w:sz w:val="24"/>
                <w:szCs w:val="24"/>
              </w:rPr>
            </w:pPr>
            <w:r>
              <w:rPr>
                <w:rFonts w:hint="default"/>
                <w:sz w:val="24"/>
                <w:szCs w:val="24"/>
              </w:rPr>
              <w:t>影响评价</w:t>
            </w:r>
          </w:p>
        </w:tc>
        <w:tc>
          <w:tcPr>
            <w:tcW w:w="7040" w:type="dxa"/>
            <w:tcBorders>
              <w:tl2br w:val="nil"/>
              <w:tr2bl w:val="nil"/>
            </w:tcBorders>
            <w:vAlign w:val="center"/>
          </w:tcPr>
          <w:p w14:paraId="5D2D2124">
            <w:pPr>
              <w:pStyle w:val="55"/>
              <w:bidi w:val="0"/>
              <w:rPr>
                <w:rFonts w:hint="default"/>
                <w:lang w:val="en-US" w:eastAsia="zh-CN"/>
              </w:rPr>
            </w:pPr>
            <w:r>
              <w:t>等效连续A声级</w:t>
            </w:r>
          </w:p>
        </w:tc>
      </w:tr>
      <w:tr w14:paraId="735ED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87" w:type="dxa"/>
            <w:vMerge w:val="restart"/>
            <w:tcBorders>
              <w:tl2br w:val="nil"/>
              <w:tr2bl w:val="nil"/>
            </w:tcBorders>
            <w:vAlign w:val="center"/>
          </w:tcPr>
          <w:p w14:paraId="720E7C9C">
            <w:pPr>
              <w:pStyle w:val="55"/>
              <w:bidi w:val="0"/>
              <w:rPr>
                <w:rFonts w:hint="default"/>
                <w:sz w:val="24"/>
                <w:szCs w:val="24"/>
              </w:rPr>
            </w:pPr>
            <w:r>
              <w:rPr>
                <w:rFonts w:hint="default"/>
                <w:sz w:val="24"/>
                <w:szCs w:val="24"/>
              </w:rPr>
              <w:t>固体废物</w:t>
            </w:r>
          </w:p>
        </w:tc>
        <w:tc>
          <w:tcPr>
            <w:tcW w:w="1272" w:type="dxa"/>
            <w:tcBorders>
              <w:tl2br w:val="nil"/>
              <w:tr2bl w:val="nil"/>
            </w:tcBorders>
            <w:vAlign w:val="center"/>
          </w:tcPr>
          <w:p w14:paraId="63B1E7D4">
            <w:pPr>
              <w:pStyle w:val="55"/>
              <w:bidi w:val="0"/>
              <w:rPr>
                <w:rFonts w:hint="default"/>
                <w:sz w:val="24"/>
                <w:szCs w:val="24"/>
              </w:rPr>
            </w:pPr>
            <w:r>
              <w:rPr>
                <w:rFonts w:hint="default"/>
                <w:sz w:val="24"/>
                <w:szCs w:val="24"/>
              </w:rPr>
              <w:t>污染因子</w:t>
            </w:r>
          </w:p>
        </w:tc>
        <w:tc>
          <w:tcPr>
            <w:tcW w:w="7040" w:type="dxa"/>
            <w:vMerge w:val="restart"/>
            <w:tcBorders>
              <w:tl2br w:val="nil"/>
              <w:tr2bl w:val="nil"/>
            </w:tcBorders>
            <w:vAlign w:val="center"/>
          </w:tcPr>
          <w:p w14:paraId="5B761FE2">
            <w:pPr>
              <w:pStyle w:val="55"/>
              <w:bidi w:val="0"/>
              <w:rPr>
                <w:rFonts w:hint="default"/>
                <w:sz w:val="24"/>
                <w:szCs w:val="24"/>
                <w:lang w:val="en-US"/>
              </w:rPr>
            </w:pPr>
            <w:r>
              <w:rPr>
                <w:rFonts w:hint="default"/>
                <w:sz w:val="24"/>
                <w:szCs w:val="24"/>
                <w:lang w:eastAsia="zh-CN"/>
              </w:rPr>
              <w:t>分拣废物、废滤网、沉淀池污泥、废活性炭、</w:t>
            </w:r>
            <w:r>
              <w:rPr>
                <w:rFonts w:hint="eastAsia"/>
                <w:sz w:val="24"/>
                <w:szCs w:val="24"/>
                <w:lang w:val="en-US" w:eastAsia="zh-CN"/>
              </w:rPr>
              <w:t>废过滤棉、</w:t>
            </w:r>
            <w:r>
              <w:rPr>
                <w:rFonts w:hint="default"/>
                <w:sz w:val="24"/>
                <w:szCs w:val="24"/>
                <w:lang w:eastAsia="zh-CN"/>
              </w:rPr>
              <w:t>废润滑油、废润滑油</w:t>
            </w:r>
            <w:r>
              <w:rPr>
                <w:rFonts w:hint="eastAsia"/>
                <w:sz w:val="24"/>
                <w:szCs w:val="24"/>
                <w:lang w:val="en-US" w:eastAsia="zh-CN"/>
              </w:rPr>
              <w:t>桶、</w:t>
            </w:r>
            <w:r>
              <w:rPr>
                <w:rFonts w:hint="default"/>
                <w:sz w:val="24"/>
                <w:szCs w:val="24"/>
                <w:lang w:eastAsia="zh-CN"/>
              </w:rPr>
              <w:t>生活垃圾</w:t>
            </w:r>
          </w:p>
        </w:tc>
      </w:tr>
      <w:tr w14:paraId="7E2699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87" w:type="dxa"/>
            <w:vMerge w:val="continue"/>
            <w:tcBorders>
              <w:tl2br w:val="nil"/>
              <w:tr2bl w:val="nil"/>
            </w:tcBorders>
            <w:vAlign w:val="center"/>
          </w:tcPr>
          <w:p w14:paraId="4C660D22">
            <w:pPr>
              <w:pStyle w:val="55"/>
              <w:bidi w:val="0"/>
              <w:rPr>
                <w:rFonts w:hint="default"/>
                <w:sz w:val="24"/>
                <w:szCs w:val="24"/>
              </w:rPr>
            </w:pPr>
          </w:p>
        </w:tc>
        <w:tc>
          <w:tcPr>
            <w:tcW w:w="1272" w:type="dxa"/>
            <w:tcBorders>
              <w:tl2br w:val="nil"/>
              <w:tr2bl w:val="nil"/>
            </w:tcBorders>
            <w:vAlign w:val="center"/>
          </w:tcPr>
          <w:p w14:paraId="354A626B">
            <w:pPr>
              <w:pStyle w:val="55"/>
              <w:bidi w:val="0"/>
              <w:rPr>
                <w:rFonts w:hint="default"/>
                <w:sz w:val="24"/>
                <w:szCs w:val="24"/>
              </w:rPr>
            </w:pPr>
            <w:r>
              <w:rPr>
                <w:rFonts w:hint="default"/>
                <w:sz w:val="24"/>
                <w:szCs w:val="24"/>
              </w:rPr>
              <w:t>影响分析</w:t>
            </w:r>
          </w:p>
        </w:tc>
        <w:tc>
          <w:tcPr>
            <w:tcW w:w="7040" w:type="dxa"/>
            <w:vMerge w:val="continue"/>
            <w:tcBorders>
              <w:tl2br w:val="nil"/>
              <w:tr2bl w:val="nil"/>
            </w:tcBorders>
            <w:vAlign w:val="center"/>
          </w:tcPr>
          <w:p w14:paraId="0997B17D">
            <w:pPr>
              <w:pStyle w:val="123"/>
              <w:keepNext w:val="0"/>
              <w:keepLines w:val="0"/>
              <w:pageBreakBefore w:val="0"/>
              <w:kinsoku/>
              <w:wordWrap/>
              <w:overflowPunct/>
              <w:topLinePunct w:val="0"/>
              <w:autoSpaceDE w:val="0"/>
              <w:autoSpaceDN w:val="0"/>
              <w:bidi w:val="0"/>
              <w:adjustRightInd/>
              <w:snapToGrid/>
              <w:spacing w:before="0" w:line="240" w:lineRule="auto"/>
              <w:ind w:left="0" w:leftChars="0" w:right="0" w:rightChars="0" w:firstLine="0" w:firstLineChars="0"/>
              <w:jc w:val="center"/>
              <w:textAlignment w:val="auto"/>
              <w:rPr>
                <w:rFonts w:hint="default" w:ascii="Times New Roman" w:hAnsi="Times New Roman" w:eastAsia="宋体" w:cs="Times New Roman"/>
                <w:color w:val="auto"/>
                <w:sz w:val="24"/>
                <w:szCs w:val="24"/>
                <w:highlight w:val="none"/>
              </w:rPr>
            </w:pPr>
          </w:p>
        </w:tc>
      </w:tr>
      <w:tr w14:paraId="255AB4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87" w:type="dxa"/>
            <w:vMerge w:val="restart"/>
            <w:tcBorders>
              <w:tl2br w:val="nil"/>
              <w:tr2bl w:val="nil"/>
            </w:tcBorders>
            <w:vAlign w:val="center"/>
          </w:tcPr>
          <w:p w14:paraId="1967ED2E">
            <w:pPr>
              <w:pStyle w:val="55"/>
              <w:bidi w:val="0"/>
              <w:rPr>
                <w:rFonts w:hint="eastAsia" w:eastAsia="楷体"/>
                <w:sz w:val="24"/>
                <w:szCs w:val="24"/>
                <w:lang w:val="en-US" w:eastAsia="zh-CN"/>
              </w:rPr>
            </w:pPr>
            <w:r>
              <w:rPr>
                <w:rFonts w:hint="eastAsia"/>
                <w:sz w:val="24"/>
                <w:szCs w:val="24"/>
                <w:lang w:val="en-US" w:eastAsia="zh-CN"/>
              </w:rPr>
              <w:t>土壤环境</w:t>
            </w:r>
          </w:p>
        </w:tc>
        <w:tc>
          <w:tcPr>
            <w:tcW w:w="1272" w:type="dxa"/>
            <w:tcBorders>
              <w:tl2br w:val="nil"/>
              <w:tr2bl w:val="nil"/>
            </w:tcBorders>
            <w:vAlign w:val="center"/>
          </w:tcPr>
          <w:p w14:paraId="642F7482">
            <w:pPr>
              <w:pStyle w:val="55"/>
              <w:bidi w:val="0"/>
              <w:rPr>
                <w:rFonts w:hint="default"/>
                <w:sz w:val="24"/>
                <w:szCs w:val="24"/>
              </w:rPr>
            </w:pPr>
            <w:r>
              <w:rPr>
                <w:rFonts w:hint="default"/>
                <w:sz w:val="24"/>
                <w:szCs w:val="24"/>
              </w:rPr>
              <w:t>现状评价</w:t>
            </w:r>
          </w:p>
        </w:tc>
        <w:tc>
          <w:tcPr>
            <w:tcW w:w="7040" w:type="dxa"/>
            <w:tcBorders>
              <w:tl2br w:val="nil"/>
              <w:tr2bl w:val="nil"/>
            </w:tcBorders>
            <w:vAlign w:val="center"/>
          </w:tcPr>
          <w:p w14:paraId="4E7E6092">
            <w:pPr>
              <w:pStyle w:val="55"/>
              <w:bidi w:val="0"/>
              <w:rPr>
                <w:rFonts w:hint="eastAsia" w:eastAsia="楷体"/>
                <w:lang w:eastAsia="zh-CN"/>
              </w:rPr>
            </w:pPr>
            <w:r>
              <w:rPr>
                <w:rFonts w:hint="eastAsia"/>
              </w:rPr>
              <w:t>砷</w:t>
            </w:r>
            <w:r>
              <w:rPr>
                <w:rFonts w:hint="eastAsia"/>
                <w:lang w:eastAsia="zh-CN"/>
              </w:rPr>
              <w:t>、</w:t>
            </w:r>
            <w:r>
              <w:rPr>
                <w:rFonts w:hint="eastAsia"/>
              </w:rPr>
              <w:t>镉</w:t>
            </w:r>
            <w:r>
              <w:rPr>
                <w:rFonts w:hint="eastAsia"/>
                <w:lang w:eastAsia="zh-CN"/>
              </w:rPr>
              <w:t>、</w:t>
            </w:r>
            <w:r>
              <w:rPr>
                <w:rFonts w:hint="eastAsia"/>
              </w:rPr>
              <w:t>铬（六价）</w:t>
            </w:r>
            <w:r>
              <w:rPr>
                <w:rFonts w:hint="eastAsia"/>
                <w:lang w:eastAsia="zh-CN"/>
              </w:rPr>
              <w:t>、</w:t>
            </w:r>
            <w:r>
              <w:rPr>
                <w:rFonts w:hint="eastAsia"/>
              </w:rPr>
              <w:t>铜（mg/kg）</w:t>
            </w:r>
            <w:r>
              <w:rPr>
                <w:rFonts w:hint="eastAsia"/>
                <w:lang w:eastAsia="zh-CN"/>
              </w:rPr>
              <w:t>、</w:t>
            </w:r>
            <w:r>
              <w:rPr>
                <w:rFonts w:hint="eastAsia"/>
              </w:rPr>
              <w:t>铅</w:t>
            </w:r>
            <w:r>
              <w:rPr>
                <w:rFonts w:hint="eastAsia"/>
                <w:lang w:eastAsia="zh-CN"/>
              </w:rPr>
              <w:t>、</w:t>
            </w:r>
            <w:r>
              <w:rPr>
                <w:rFonts w:hint="eastAsia"/>
              </w:rPr>
              <w:t>汞</w:t>
            </w:r>
            <w:r>
              <w:rPr>
                <w:rFonts w:hint="eastAsia"/>
                <w:lang w:eastAsia="zh-CN"/>
              </w:rPr>
              <w:t>、</w:t>
            </w:r>
            <w:r>
              <w:rPr>
                <w:rFonts w:hint="eastAsia"/>
              </w:rPr>
              <w:t>镍</w:t>
            </w:r>
            <w:r>
              <w:rPr>
                <w:rFonts w:hint="eastAsia"/>
                <w:lang w:eastAsia="zh-CN"/>
              </w:rPr>
              <w:t>、</w:t>
            </w:r>
            <w:r>
              <w:rPr>
                <w:rFonts w:hint="eastAsia"/>
              </w:rPr>
              <w:t>2-氯酚</w:t>
            </w:r>
            <w:r>
              <w:rPr>
                <w:rFonts w:hint="eastAsia"/>
                <w:lang w:eastAsia="zh-CN"/>
              </w:rPr>
              <w:t>、</w:t>
            </w:r>
            <w:r>
              <w:rPr>
                <w:rFonts w:hint="eastAsia"/>
              </w:rPr>
              <w:t>硝基苯</w:t>
            </w:r>
            <w:r>
              <w:rPr>
                <w:rFonts w:hint="eastAsia"/>
                <w:lang w:eastAsia="zh-CN"/>
              </w:rPr>
              <w:t>、</w:t>
            </w:r>
            <w:r>
              <w:rPr>
                <w:rFonts w:hint="eastAsia"/>
              </w:rPr>
              <w:t>萘</w:t>
            </w:r>
            <w:r>
              <w:rPr>
                <w:rFonts w:hint="eastAsia"/>
                <w:lang w:eastAsia="zh-CN"/>
              </w:rPr>
              <w:t>、</w:t>
            </w:r>
            <w:r>
              <w:rPr>
                <w:rFonts w:hint="eastAsia"/>
              </w:rPr>
              <w:t>苯并（a）蒽</w:t>
            </w:r>
            <w:r>
              <w:rPr>
                <w:rFonts w:hint="eastAsia"/>
                <w:lang w:eastAsia="zh-CN"/>
              </w:rPr>
              <w:t>、</w:t>
            </w:r>
            <w:r>
              <w:rPr>
                <w:rFonts w:hint="eastAsia"/>
              </w:rPr>
              <w:t>䓛</w:t>
            </w:r>
            <w:r>
              <w:rPr>
                <w:rFonts w:hint="eastAsia"/>
                <w:lang w:eastAsia="zh-CN"/>
              </w:rPr>
              <w:t>、</w:t>
            </w:r>
            <w:r>
              <w:rPr>
                <w:rFonts w:hint="eastAsia"/>
              </w:rPr>
              <w:t>苯并（b）荧蒽</w:t>
            </w:r>
            <w:r>
              <w:rPr>
                <w:rFonts w:hint="eastAsia"/>
                <w:lang w:eastAsia="zh-CN"/>
              </w:rPr>
              <w:t>、</w:t>
            </w:r>
            <w:r>
              <w:rPr>
                <w:rFonts w:hint="eastAsia"/>
              </w:rPr>
              <w:t>苯并（k）荧蒽</w:t>
            </w:r>
            <w:r>
              <w:rPr>
                <w:rFonts w:hint="eastAsia"/>
                <w:lang w:eastAsia="zh-CN"/>
              </w:rPr>
              <w:t>、</w:t>
            </w:r>
          </w:p>
          <w:p w14:paraId="3FFA27AE">
            <w:pPr>
              <w:pStyle w:val="55"/>
              <w:bidi w:val="0"/>
              <w:rPr>
                <w:rFonts w:hint="default" w:ascii="Times New Roman" w:hAnsi="Times New Roman" w:eastAsia="宋体" w:cs="Times New Roman"/>
                <w:color w:val="auto"/>
                <w:szCs w:val="24"/>
                <w:highlight w:val="none"/>
              </w:rPr>
            </w:pPr>
            <w:r>
              <w:rPr>
                <w:rFonts w:hint="eastAsia"/>
              </w:rPr>
              <w:t>苯并（a）芘</w:t>
            </w:r>
            <w:r>
              <w:rPr>
                <w:rFonts w:hint="eastAsia"/>
                <w:lang w:eastAsia="zh-CN"/>
              </w:rPr>
              <w:t>、</w:t>
            </w:r>
            <w:r>
              <w:rPr>
                <w:rFonts w:hint="eastAsia"/>
              </w:rPr>
              <w:t>茚并（1,2,3-cd)（mg/kg）二苯并（a,h）蒽</w:t>
            </w:r>
            <w:r>
              <w:rPr>
                <w:rFonts w:hint="eastAsia"/>
                <w:lang w:eastAsia="zh-CN"/>
              </w:rPr>
              <w:t>、</w:t>
            </w:r>
            <w:r>
              <w:rPr>
                <w:rFonts w:hint="eastAsia"/>
              </w:rPr>
              <w:t>苯胺</w:t>
            </w:r>
            <w:r>
              <w:rPr>
                <w:rFonts w:hint="eastAsia"/>
                <w:lang w:eastAsia="zh-CN"/>
              </w:rPr>
              <w:t>、</w:t>
            </w:r>
            <w:r>
              <w:rPr>
                <w:rFonts w:hint="eastAsia"/>
              </w:rPr>
              <w:t>氯甲烷</w:t>
            </w:r>
            <w:r>
              <w:rPr>
                <w:rFonts w:hint="eastAsia"/>
                <w:lang w:eastAsia="zh-CN"/>
              </w:rPr>
              <w:t>、</w:t>
            </w:r>
            <w:r>
              <w:rPr>
                <w:rFonts w:hint="eastAsia"/>
              </w:rPr>
              <w:t>氯乙烯</w:t>
            </w:r>
            <w:r>
              <w:rPr>
                <w:rFonts w:hint="eastAsia"/>
                <w:lang w:eastAsia="zh-CN"/>
              </w:rPr>
              <w:t>、</w:t>
            </w:r>
            <w:r>
              <w:rPr>
                <w:rFonts w:hint="eastAsia"/>
              </w:rPr>
              <w:t>1,1-二氯乙烯</w:t>
            </w:r>
            <w:r>
              <w:rPr>
                <w:rFonts w:hint="eastAsia"/>
                <w:lang w:eastAsia="zh-CN"/>
              </w:rPr>
              <w:t>、</w:t>
            </w:r>
            <w:r>
              <w:rPr>
                <w:rFonts w:hint="eastAsia"/>
              </w:rPr>
              <w:t>二氯甲烷</w:t>
            </w:r>
            <w:r>
              <w:rPr>
                <w:rFonts w:hint="eastAsia"/>
                <w:lang w:eastAsia="zh-CN"/>
              </w:rPr>
              <w:t>、</w:t>
            </w:r>
            <w:r>
              <w:rPr>
                <w:rFonts w:hint="eastAsia"/>
              </w:rPr>
              <w:t>反式-1,2-二氯乙烯</w:t>
            </w:r>
            <w:r>
              <w:rPr>
                <w:rFonts w:hint="eastAsia"/>
                <w:lang w:eastAsia="zh-CN"/>
              </w:rPr>
              <w:t>、</w:t>
            </w:r>
            <w:r>
              <w:rPr>
                <w:rFonts w:hint="eastAsia"/>
              </w:rPr>
              <w:t>1,1-二氯乙烷</w:t>
            </w:r>
            <w:r>
              <w:rPr>
                <w:rFonts w:hint="eastAsia"/>
                <w:lang w:eastAsia="zh-CN"/>
              </w:rPr>
              <w:t>、</w:t>
            </w:r>
            <w:r>
              <w:rPr>
                <w:rFonts w:hint="eastAsia"/>
              </w:rPr>
              <w:t>顺式-1,2-二氯乙烯</w:t>
            </w:r>
            <w:r>
              <w:rPr>
                <w:rFonts w:hint="eastAsia"/>
                <w:lang w:eastAsia="zh-CN"/>
              </w:rPr>
              <w:t>、</w:t>
            </w:r>
            <w:r>
              <w:rPr>
                <w:rFonts w:hint="eastAsia"/>
              </w:rPr>
              <w:t>氯仿</w:t>
            </w:r>
            <w:r>
              <w:rPr>
                <w:rFonts w:hint="eastAsia"/>
                <w:lang w:eastAsia="zh-CN"/>
              </w:rPr>
              <w:t>、</w:t>
            </w:r>
            <w:r>
              <w:rPr>
                <w:rFonts w:hint="eastAsia"/>
              </w:rPr>
              <w:t>1,1,1-三氯乙烷</w:t>
            </w:r>
            <w:r>
              <w:rPr>
                <w:rFonts w:hint="eastAsia"/>
                <w:lang w:eastAsia="zh-CN"/>
              </w:rPr>
              <w:t>、</w:t>
            </w:r>
            <w:r>
              <w:rPr>
                <w:rFonts w:hint="eastAsia"/>
              </w:rPr>
              <w:t>四氯化碳</w:t>
            </w:r>
            <w:r>
              <w:rPr>
                <w:rFonts w:hint="eastAsia"/>
                <w:lang w:eastAsia="zh-CN"/>
              </w:rPr>
              <w:t>、</w:t>
            </w:r>
            <w:r>
              <w:rPr>
                <w:rFonts w:hint="eastAsia"/>
              </w:rPr>
              <w:t>苯</w:t>
            </w:r>
            <w:r>
              <w:rPr>
                <w:rFonts w:hint="eastAsia"/>
                <w:lang w:eastAsia="zh-CN"/>
              </w:rPr>
              <w:t>、</w:t>
            </w:r>
            <w:r>
              <w:rPr>
                <w:rFonts w:hint="eastAsia"/>
              </w:rPr>
              <w:t>1,2-二氯乙烷</w:t>
            </w:r>
            <w:r>
              <w:rPr>
                <w:rFonts w:hint="eastAsia"/>
                <w:lang w:eastAsia="zh-CN"/>
              </w:rPr>
              <w:t>、</w:t>
            </w:r>
            <w:r>
              <w:rPr>
                <w:rFonts w:hint="eastAsia"/>
              </w:rPr>
              <w:t>三氯乙烯</w:t>
            </w:r>
            <w:r>
              <w:rPr>
                <w:rFonts w:hint="eastAsia"/>
                <w:lang w:eastAsia="zh-CN"/>
              </w:rPr>
              <w:t>、</w:t>
            </w:r>
            <w:r>
              <w:rPr>
                <w:rFonts w:hint="eastAsia"/>
              </w:rPr>
              <w:t>1,2-二氯丙烷</w:t>
            </w:r>
            <w:r>
              <w:rPr>
                <w:rFonts w:hint="eastAsia"/>
                <w:lang w:eastAsia="zh-CN"/>
              </w:rPr>
              <w:t>、</w:t>
            </w:r>
            <w:r>
              <w:rPr>
                <w:rFonts w:hint="eastAsia"/>
              </w:rPr>
              <w:t>甲苯</w:t>
            </w:r>
            <w:r>
              <w:rPr>
                <w:rFonts w:hint="eastAsia"/>
                <w:lang w:eastAsia="zh-CN"/>
              </w:rPr>
              <w:t>、</w:t>
            </w:r>
            <w:r>
              <w:rPr>
                <w:rFonts w:hint="eastAsia"/>
              </w:rPr>
              <w:t>1,1,2-三氯乙烷</w:t>
            </w:r>
            <w:r>
              <w:rPr>
                <w:rFonts w:hint="eastAsia"/>
                <w:lang w:eastAsia="zh-CN"/>
              </w:rPr>
              <w:t>、</w:t>
            </w:r>
            <w:r>
              <w:rPr>
                <w:rFonts w:hint="eastAsia"/>
              </w:rPr>
              <w:t>四氯乙烯</w:t>
            </w:r>
            <w:r>
              <w:rPr>
                <w:rFonts w:hint="eastAsia"/>
                <w:lang w:eastAsia="zh-CN"/>
              </w:rPr>
              <w:t>、</w:t>
            </w:r>
            <w:r>
              <w:rPr>
                <w:rFonts w:hint="eastAsia"/>
              </w:rPr>
              <w:t>氯苯</w:t>
            </w:r>
            <w:r>
              <w:rPr>
                <w:rFonts w:hint="eastAsia"/>
                <w:lang w:eastAsia="zh-CN"/>
              </w:rPr>
              <w:t>、</w:t>
            </w:r>
            <w:r>
              <w:rPr>
                <w:rFonts w:hint="eastAsia"/>
              </w:rPr>
              <w:t>1,1,1,2-四氯乙烷</w:t>
            </w:r>
            <w:r>
              <w:rPr>
                <w:rFonts w:hint="eastAsia"/>
                <w:lang w:eastAsia="zh-CN"/>
              </w:rPr>
              <w:t>、</w:t>
            </w:r>
            <w:r>
              <w:rPr>
                <w:rFonts w:hint="eastAsia"/>
              </w:rPr>
              <w:t>乙苯</w:t>
            </w:r>
            <w:r>
              <w:rPr>
                <w:rFonts w:hint="eastAsia"/>
                <w:lang w:eastAsia="zh-CN"/>
              </w:rPr>
              <w:t>、</w:t>
            </w:r>
            <w:r>
              <w:rPr>
                <w:rFonts w:hint="eastAsia"/>
              </w:rPr>
              <w:t>间,对-二甲苯</w:t>
            </w:r>
            <w:r>
              <w:rPr>
                <w:rFonts w:hint="eastAsia"/>
                <w:lang w:eastAsia="zh-CN"/>
              </w:rPr>
              <w:t>、</w:t>
            </w:r>
            <w:r>
              <w:rPr>
                <w:rFonts w:hint="eastAsia"/>
              </w:rPr>
              <w:t>邻-二甲苯</w:t>
            </w:r>
            <w:r>
              <w:rPr>
                <w:rFonts w:hint="eastAsia"/>
                <w:lang w:eastAsia="zh-CN"/>
              </w:rPr>
              <w:t>、</w:t>
            </w:r>
            <w:r>
              <w:rPr>
                <w:rFonts w:hint="eastAsia"/>
              </w:rPr>
              <w:t>苯乙烯</w:t>
            </w:r>
            <w:r>
              <w:rPr>
                <w:rFonts w:hint="eastAsia"/>
                <w:lang w:eastAsia="zh-CN"/>
              </w:rPr>
              <w:t>、</w:t>
            </w:r>
            <w:r>
              <w:rPr>
                <w:rFonts w:hint="eastAsia"/>
              </w:rPr>
              <w:t>1,1,2,2-四氯乙烷</w:t>
            </w:r>
            <w:r>
              <w:rPr>
                <w:rFonts w:hint="eastAsia"/>
                <w:lang w:eastAsia="zh-CN"/>
              </w:rPr>
              <w:t>、</w:t>
            </w:r>
            <w:r>
              <w:rPr>
                <w:rFonts w:hint="eastAsia"/>
              </w:rPr>
              <w:t>1,2,3-三氯丙烷</w:t>
            </w:r>
            <w:r>
              <w:rPr>
                <w:rFonts w:hint="eastAsia"/>
                <w:lang w:eastAsia="zh-CN"/>
              </w:rPr>
              <w:t>、</w:t>
            </w:r>
            <w:r>
              <w:rPr>
                <w:rFonts w:hint="eastAsia"/>
              </w:rPr>
              <w:t>1,4-二氯苯</w:t>
            </w:r>
            <w:r>
              <w:rPr>
                <w:rFonts w:hint="eastAsia"/>
                <w:lang w:eastAsia="zh-CN"/>
              </w:rPr>
              <w:t>、</w:t>
            </w:r>
            <w:r>
              <w:rPr>
                <w:rFonts w:hint="eastAsia"/>
              </w:rPr>
              <w:t>1,2-二氯苯</w:t>
            </w:r>
          </w:p>
        </w:tc>
      </w:tr>
      <w:tr w14:paraId="5EE07C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87" w:type="dxa"/>
            <w:vMerge w:val="continue"/>
            <w:tcBorders>
              <w:tl2br w:val="nil"/>
              <w:tr2bl w:val="nil"/>
            </w:tcBorders>
            <w:vAlign w:val="center"/>
          </w:tcPr>
          <w:p w14:paraId="4ED4DB4F">
            <w:pPr>
              <w:pStyle w:val="55"/>
              <w:bidi w:val="0"/>
              <w:rPr>
                <w:rFonts w:hint="default"/>
                <w:sz w:val="24"/>
                <w:szCs w:val="24"/>
              </w:rPr>
            </w:pPr>
          </w:p>
        </w:tc>
        <w:tc>
          <w:tcPr>
            <w:tcW w:w="1272" w:type="dxa"/>
            <w:tcBorders>
              <w:tl2br w:val="nil"/>
              <w:tr2bl w:val="nil"/>
            </w:tcBorders>
            <w:vAlign w:val="center"/>
          </w:tcPr>
          <w:p w14:paraId="61724FE2">
            <w:pPr>
              <w:pStyle w:val="55"/>
              <w:bidi w:val="0"/>
              <w:rPr>
                <w:rFonts w:hint="default"/>
                <w:sz w:val="24"/>
                <w:szCs w:val="24"/>
              </w:rPr>
            </w:pPr>
            <w:r>
              <w:rPr>
                <w:rFonts w:hint="default"/>
                <w:sz w:val="24"/>
                <w:szCs w:val="24"/>
              </w:rPr>
              <w:t>影响评价</w:t>
            </w:r>
          </w:p>
        </w:tc>
        <w:tc>
          <w:tcPr>
            <w:tcW w:w="7040" w:type="dxa"/>
            <w:tcBorders>
              <w:tl2br w:val="nil"/>
              <w:tr2bl w:val="nil"/>
            </w:tcBorders>
            <w:vAlign w:val="center"/>
          </w:tcPr>
          <w:p w14:paraId="3C6C668E">
            <w:pPr>
              <w:pStyle w:val="123"/>
              <w:keepNext w:val="0"/>
              <w:keepLines w:val="0"/>
              <w:pageBreakBefore w:val="0"/>
              <w:kinsoku/>
              <w:wordWrap/>
              <w:overflowPunct/>
              <w:topLinePunct w:val="0"/>
              <w:autoSpaceDE w:val="0"/>
              <w:autoSpaceDN w:val="0"/>
              <w:bidi w:val="0"/>
              <w:adjustRightInd/>
              <w:snapToGrid/>
              <w:spacing w:before="0" w:line="240" w:lineRule="auto"/>
              <w:ind w:left="0" w:leftChars="0" w:right="0" w:rightChars="0" w:firstLine="0" w:firstLineChars="0"/>
              <w:jc w:val="center"/>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w:t>
            </w:r>
          </w:p>
        </w:tc>
      </w:tr>
      <w:tr w14:paraId="0D25C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87" w:type="dxa"/>
            <w:vMerge w:val="restart"/>
            <w:tcBorders>
              <w:tl2br w:val="nil"/>
              <w:tr2bl w:val="nil"/>
            </w:tcBorders>
            <w:vAlign w:val="center"/>
          </w:tcPr>
          <w:p w14:paraId="3CCD8E6C">
            <w:pPr>
              <w:pStyle w:val="55"/>
              <w:bidi w:val="0"/>
              <w:rPr>
                <w:rFonts w:hint="eastAsia" w:eastAsia="楷体"/>
                <w:sz w:val="24"/>
                <w:szCs w:val="24"/>
                <w:lang w:val="en-US" w:eastAsia="zh-CN"/>
              </w:rPr>
            </w:pPr>
            <w:r>
              <w:rPr>
                <w:rFonts w:hint="eastAsia"/>
                <w:sz w:val="24"/>
                <w:szCs w:val="24"/>
                <w:lang w:val="en-US" w:eastAsia="zh-CN"/>
              </w:rPr>
              <w:t>环境风险</w:t>
            </w:r>
          </w:p>
        </w:tc>
        <w:tc>
          <w:tcPr>
            <w:tcW w:w="1272" w:type="dxa"/>
            <w:tcBorders>
              <w:tl2br w:val="nil"/>
              <w:tr2bl w:val="nil"/>
            </w:tcBorders>
            <w:vAlign w:val="center"/>
          </w:tcPr>
          <w:p w14:paraId="1520246E">
            <w:pPr>
              <w:pStyle w:val="55"/>
              <w:bidi w:val="0"/>
              <w:rPr>
                <w:rFonts w:hint="default"/>
                <w:sz w:val="24"/>
                <w:szCs w:val="24"/>
              </w:rPr>
            </w:pPr>
            <w:r>
              <w:rPr>
                <w:rFonts w:hint="default"/>
                <w:sz w:val="24"/>
                <w:szCs w:val="24"/>
              </w:rPr>
              <w:t>现状评价</w:t>
            </w:r>
          </w:p>
        </w:tc>
        <w:tc>
          <w:tcPr>
            <w:tcW w:w="7040" w:type="dxa"/>
            <w:tcBorders>
              <w:tl2br w:val="nil"/>
              <w:tr2bl w:val="nil"/>
            </w:tcBorders>
            <w:vAlign w:val="center"/>
          </w:tcPr>
          <w:p w14:paraId="26AE3C27">
            <w:pPr>
              <w:pStyle w:val="123"/>
              <w:keepNext w:val="0"/>
              <w:keepLines w:val="0"/>
              <w:pageBreakBefore w:val="0"/>
              <w:kinsoku/>
              <w:wordWrap/>
              <w:overflowPunct/>
              <w:topLinePunct w:val="0"/>
              <w:autoSpaceDE w:val="0"/>
              <w:autoSpaceDN w:val="0"/>
              <w:bidi w:val="0"/>
              <w:adjustRightInd/>
              <w:snapToGrid/>
              <w:spacing w:before="0" w:line="240" w:lineRule="auto"/>
              <w:ind w:left="0" w:leftChars="0" w:right="0" w:rightChars="0" w:firstLine="0" w:firstLineChars="0"/>
              <w:jc w:val="center"/>
              <w:textAlignment w:val="auto"/>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w:t>
            </w:r>
          </w:p>
        </w:tc>
      </w:tr>
      <w:tr w14:paraId="2064A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87" w:type="dxa"/>
            <w:vMerge w:val="continue"/>
            <w:tcBorders>
              <w:tl2br w:val="nil"/>
              <w:tr2bl w:val="nil"/>
            </w:tcBorders>
            <w:vAlign w:val="center"/>
          </w:tcPr>
          <w:p w14:paraId="097C0D66">
            <w:pPr>
              <w:pStyle w:val="55"/>
              <w:bidi w:val="0"/>
              <w:rPr>
                <w:rFonts w:hint="eastAsia"/>
                <w:sz w:val="24"/>
                <w:szCs w:val="24"/>
                <w:lang w:val="en-US" w:eastAsia="zh-CN"/>
              </w:rPr>
            </w:pPr>
          </w:p>
        </w:tc>
        <w:tc>
          <w:tcPr>
            <w:tcW w:w="1272" w:type="dxa"/>
            <w:tcBorders>
              <w:tl2br w:val="nil"/>
              <w:tr2bl w:val="nil"/>
            </w:tcBorders>
            <w:vAlign w:val="center"/>
          </w:tcPr>
          <w:p w14:paraId="10E4604C">
            <w:pPr>
              <w:pStyle w:val="55"/>
              <w:bidi w:val="0"/>
              <w:rPr>
                <w:rFonts w:hint="default"/>
                <w:sz w:val="24"/>
                <w:szCs w:val="24"/>
              </w:rPr>
            </w:pPr>
            <w:r>
              <w:rPr>
                <w:rFonts w:hint="default"/>
                <w:sz w:val="24"/>
                <w:szCs w:val="24"/>
              </w:rPr>
              <w:t>影响评价</w:t>
            </w:r>
          </w:p>
        </w:tc>
        <w:tc>
          <w:tcPr>
            <w:tcW w:w="7040" w:type="dxa"/>
            <w:tcBorders>
              <w:tl2br w:val="nil"/>
              <w:tr2bl w:val="nil"/>
            </w:tcBorders>
            <w:vAlign w:val="center"/>
          </w:tcPr>
          <w:p w14:paraId="42DE8D71">
            <w:pPr>
              <w:pStyle w:val="55"/>
              <w:bidi w:val="0"/>
              <w:rPr>
                <w:rFonts w:hint="eastAsia" w:ascii="Times New Roman" w:hAnsi="Times New Roman" w:cs="Times New Roman"/>
                <w:color w:val="auto"/>
                <w:szCs w:val="24"/>
                <w:highlight w:val="none"/>
                <w:lang w:val="en-US" w:eastAsia="zh-CN"/>
              </w:rPr>
            </w:pPr>
            <w:r>
              <w:rPr>
                <w:rFonts w:hint="eastAsia"/>
                <w:lang w:val="en-US" w:eastAsia="zh-CN"/>
              </w:rPr>
              <w:t>危险废物</w:t>
            </w:r>
          </w:p>
        </w:tc>
      </w:tr>
    </w:tbl>
    <w:p w14:paraId="6313ED41">
      <w:pPr>
        <w:pStyle w:val="90"/>
        <w:bidi w:val="0"/>
        <w:ind w:left="0" w:leftChars="0" w:firstLine="0" w:firstLineChars="0"/>
      </w:pPr>
      <w:bookmarkStart w:id="31" w:name="_Toc18449"/>
      <w:r>
        <w:rPr>
          <w:rFonts w:hint="eastAsia"/>
        </w:rPr>
        <w:t>环境</w:t>
      </w:r>
      <w:r>
        <w:t>影响评价等级</w:t>
      </w:r>
      <w:r>
        <w:rPr>
          <w:rFonts w:hint="eastAsia"/>
          <w:lang w:val="en-US" w:eastAsia="zh-CN"/>
        </w:rPr>
        <w:t>及评价重点</w:t>
      </w:r>
      <w:bookmarkEnd w:id="31"/>
    </w:p>
    <w:p w14:paraId="24FE1637">
      <w:pPr>
        <w:pStyle w:val="92"/>
        <w:bidi w:val="0"/>
        <w:ind w:left="0" w:leftChars="0" w:firstLine="0" w:firstLineChars="0"/>
      </w:pPr>
      <w:r>
        <w:t>大气环境</w:t>
      </w:r>
      <w:r>
        <w:rPr>
          <w:rFonts w:hint="eastAsia"/>
        </w:rPr>
        <w:t>影响</w:t>
      </w:r>
      <w:r>
        <w:t>评价工作等级</w:t>
      </w:r>
    </w:p>
    <w:p w14:paraId="2131BE1A">
      <w:pPr>
        <w:pStyle w:val="47"/>
        <w:keepNext w:val="0"/>
        <w:keepLines w:val="0"/>
        <w:pageBreakBefore w:val="0"/>
        <w:widowControl w:val="0"/>
        <w:kinsoku/>
        <w:wordWrap/>
        <w:overflowPunct/>
        <w:topLinePunct w:val="0"/>
        <w:autoSpaceDE/>
        <w:autoSpaceDN/>
        <w:bidi w:val="0"/>
        <w:adjustRightInd w:val="0"/>
        <w:snapToGrid w:val="0"/>
        <w:spacing w:line="540" w:lineRule="exact"/>
        <w:textAlignment w:val="auto"/>
      </w:pPr>
      <w:r>
        <w:rPr>
          <w:rFonts w:hint="eastAsia"/>
        </w:rPr>
        <w:t>根据</w:t>
      </w:r>
      <w:r>
        <w:t>《环境影响评价技术导则</w:t>
      </w:r>
      <w:r>
        <w:rPr>
          <w:rFonts w:hint="eastAsia"/>
          <w:lang w:val="en-US" w:eastAsia="zh-CN"/>
        </w:rPr>
        <w:t xml:space="preserve"> </w:t>
      </w:r>
      <w:r>
        <w:t>大气环境》（HJ 2.2-2018），选择推荐模式中AERSCREEN估算</w:t>
      </w:r>
      <w:r>
        <w:rPr>
          <w:rFonts w:hint="eastAsia"/>
        </w:rPr>
        <w:t>模型，进行筛选计算</w:t>
      </w:r>
      <w:r>
        <w:t>和大气环境影响评价等级确定。</w:t>
      </w:r>
    </w:p>
    <w:p w14:paraId="6158C5BD">
      <w:pPr>
        <w:pStyle w:val="47"/>
        <w:keepNext w:val="0"/>
        <w:keepLines w:val="0"/>
        <w:pageBreakBefore w:val="0"/>
        <w:widowControl w:val="0"/>
        <w:kinsoku/>
        <w:wordWrap/>
        <w:overflowPunct/>
        <w:topLinePunct w:val="0"/>
        <w:autoSpaceDE/>
        <w:autoSpaceDN/>
        <w:bidi w:val="0"/>
        <w:adjustRightInd w:val="0"/>
        <w:snapToGrid w:val="0"/>
        <w:spacing w:line="540" w:lineRule="exact"/>
        <w:textAlignment w:val="auto"/>
      </w:pPr>
      <w:r>
        <w:rPr>
          <w:rFonts w:hint="eastAsia"/>
        </w:rPr>
        <w:t>（1）</w:t>
      </w:r>
      <w:r>
        <w:t>最大浓度占标率计算</w:t>
      </w:r>
    </w:p>
    <w:p w14:paraId="3F748D16">
      <w:pPr>
        <w:pStyle w:val="47"/>
        <w:keepNext w:val="0"/>
        <w:keepLines w:val="0"/>
        <w:pageBreakBefore w:val="0"/>
        <w:widowControl w:val="0"/>
        <w:kinsoku/>
        <w:wordWrap/>
        <w:overflowPunct/>
        <w:topLinePunct w:val="0"/>
        <w:autoSpaceDE/>
        <w:autoSpaceDN/>
        <w:bidi w:val="0"/>
        <w:adjustRightInd w:val="0"/>
        <w:snapToGrid w:val="0"/>
        <w:spacing w:line="540" w:lineRule="exact"/>
        <w:textAlignment w:val="auto"/>
      </w:pPr>
      <w:r>
        <w:t>根据项目污染源初步调查结果，选择项目正常工况下排放主要污染物及排放参数，分别计算其最大地面空气质量浓度占标率Pi及第i个污染物的地面</w:t>
      </w:r>
      <w:r>
        <w:rPr>
          <w:lang w:val="en-US"/>
        </w:rPr>
        <w:t>空气质量浓度达到标准值的10%时所对应的最远距离</w:t>
      </w:r>
      <w:r>
        <w:t>D10%，其中Pi定义如下：</w:t>
      </w:r>
    </w:p>
    <w:p w14:paraId="29802338">
      <w:pPr>
        <w:pStyle w:val="47"/>
        <w:keepNext w:val="0"/>
        <w:keepLines w:val="0"/>
        <w:pageBreakBefore w:val="0"/>
        <w:widowControl w:val="0"/>
        <w:kinsoku/>
        <w:wordWrap/>
        <w:overflowPunct/>
        <w:topLinePunct w:val="0"/>
        <w:autoSpaceDE/>
        <w:autoSpaceDN/>
        <w:bidi w:val="0"/>
        <w:adjustRightInd w:val="0"/>
        <w:snapToGrid w:val="0"/>
        <w:spacing w:line="540" w:lineRule="exact"/>
        <w:textAlignment w:val="auto"/>
      </w:pPr>
      <m:oMathPara>
        <m:oMath>
          <m:sSub>
            <m:sSubPr>
              <m:ctrlPr>
                <w:rPr>
                  <w:rFonts w:ascii="Cambria Math" w:hAnsi="Cambria Math"/>
                </w:rPr>
              </m:ctrlPr>
            </m:sSubPr>
            <m:e>
              <m:r>
                <m:rPr>
                  <m:sty m:val="p"/>
                </m:rPr>
                <w:rPr>
                  <w:rFonts w:ascii="Cambria Math" w:hAnsi="Cambria Math"/>
                </w:rPr>
                <m:t>P</m:t>
              </m:r>
              <m:ctrlPr>
                <w:rPr>
                  <w:rFonts w:ascii="Cambria Math" w:hAnsi="Cambria Math"/>
                </w:rPr>
              </m:ctrlPr>
            </m:e>
            <m:sub>
              <m:r>
                <m:rPr>
                  <m:sty m:val="p"/>
                </m:rPr>
                <w:rPr>
                  <w:rFonts w:ascii="Cambria Math" w:hAnsi="Cambria Math"/>
                </w:rPr>
                <m:t>i</m:t>
              </m:r>
              <m:ctrlPr>
                <w:rPr>
                  <w:rFonts w:ascii="Cambria Math" w:hAnsi="Cambria Math"/>
                </w:rPr>
              </m:ctrlPr>
            </m:sub>
          </m:sSub>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C</m:t>
                  </m:r>
                  <m:ctrlPr>
                    <w:rPr>
                      <w:rFonts w:ascii="Cambria Math" w:hAnsi="Cambria Math"/>
                    </w:rPr>
                  </m:ctrlPr>
                </m:e>
                <m:sub>
                  <m:r>
                    <m:rPr>
                      <m:sty m:val="p"/>
                    </m:rPr>
                    <w:rPr>
                      <w:rFonts w:ascii="Cambria Math" w:hAnsi="Cambria Math"/>
                    </w:rPr>
                    <m:t>i</m:t>
                  </m:r>
                  <m:ctrlPr>
                    <w:rPr>
                      <w:rFonts w:ascii="Cambria Math" w:hAnsi="Cambria Math"/>
                    </w:rPr>
                  </m:ctrlPr>
                </m:sub>
              </m:sSub>
              <m:ctrlPr>
                <w:rPr>
                  <w:rFonts w:ascii="Cambria Math" w:hAnsi="Cambria Math"/>
                </w:rPr>
              </m:ctrlPr>
            </m:num>
            <m:den>
              <m:sSub>
                <m:sSubPr>
                  <m:ctrlPr>
                    <w:rPr>
                      <w:rFonts w:ascii="Cambria Math" w:hAnsi="Cambria Math"/>
                    </w:rPr>
                  </m:ctrlPr>
                </m:sSubPr>
                <m:e>
                  <m:r>
                    <m:rPr>
                      <m:sty m:val="p"/>
                    </m:rPr>
                    <w:rPr>
                      <w:rFonts w:ascii="Cambria Math" w:hAnsi="Cambria Math"/>
                    </w:rPr>
                    <m:t>C</m:t>
                  </m:r>
                  <m:ctrlPr>
                    <w:rPr>
                      <w:rFonts w:ascii="Cambria Math" w:hAnsi="Cambria Math"/>
                    </w:rPr>
                  </m:ctrlPr>
                </m:e>
                <m:sub>
                  <m:r>
                    <m:rPr>
                      <m:sty m:val="p"/>
                    </m:rPr>
                    <w:rPr>
                      <w:rFonts w:ascii="Cambria Math" w:hAnsi="Cambria Math"/>
                    </w:rPr>
                    <m:t>0i</m:t>
                  </m:r>
                  <m:ctrlPr>
                    <w:rPr>
                      <w:rFonts w:ascii="Cambria Math" w:hAnsi="Cambria Math"/>
                    </w:rPr>
                  </m:ctrlPr>
                </m:sub>
              </m:sSub>
              <m:ctrlPr>
                <w:rPr>
                  <w:rFonts w:ascii="Cambria Math" w:hAnsi="Cambria Math"/>
                </w:rPr>
              </m:ctrlPr>
            </m:den>
          </m:f>
          <m:r>
            <m:rPr>
              <m:sty m:val="p"/>
            </m:rPr>
            <w:rPr>
              <w:rFonts w:ascii="Cambria Math" w:hAnsi="Cambria Math"/>
            </w:rPr>
            <m:t>×100%</m:t>
          </m:r>
        </m:oMath>
      </m:oMathPara>
    </w:p>
    <w:p w14:paraId="7417D19F">
      <w:pPr>
        <w:pStyle w:val="47"/>
        <w:keepNext w:val="0"/>
        <w:keepLines w:val="0"/>
        <w:pageBreakBefore w:val="0"/>
        <w:widowControl w:val="0"/>
        <w:kinsoku/>
        <w:wordWrap/>
        <w:overflowPunct/>
        <w:topLinePunct w:val="0"/>
        <w:autoSpaceDE/>
        <w:autoSpaceDN/>
        <w:bidi w:val="0"/>
        <w:adjustRightInd w:val="0"/>
        <w:snapToGrid w:val="0"/>
        <w:spacing w:line="540" w:lineRule="exact"/>
        <w:textAlignment w:val="auto"/>
      </w:pPr>
      <w:r>
        <w:t>式中：</w:t>
      </w:r>
    </w:p>
    <w:p w14:paraId="3C3FE119">
      <w:pPr>
        <w:pStyle w:val="47"/>
        <w:keepNext w:val="0"/>
        <w:keepLines w:val="0"/>
        <w:pageBreakBefore w:val="0"/>
        <w:widowControl w:val="0"/>
        <w:kinsoku/>
        <w:wordWrap/>
        <w:overflowPunct/>
        <w:topLinePunct w:val="0"/>
        <w:autoSpaceDE/>
        <w:autoSpaceDN/>
        <w:bidi w:val="0"/>
        <w:adjustRightInd w:val="0"/>
        <w:snapToGrid w:val="0"/>
        <w:spacing w:line="540" w:lineRule="exact"/>
        <w:textAlignment w:val="auto"/>
      </w:pPr>
      <w:r>
        <w:t>P</w:t>
      </w:r>
      <w:r>
        <w:rPr>
          <w:vertAlign w:val="subscript"/>
        </w:rPr>
        <w:t>i</w:t>
      </w:r>
      <w:r>
        <w:t>——第i个污染物的最大地面浓度占标率，%；</w:t>
      </w:r>
    </w:p>
    <w:p w14:paraId="1C41ED03">
      <w:pPr>
        <w:pStyle w:val="47"/>
        <w:keepNext w:val="0"/>
        <w:keepLines w:val="0"/>
        <w:pageBreakBefore w:val="0"/>
        <w:widowControl w:val="0"/>
        <w:kinsoku/>
        <w:wordWrap/>
        <w:overflowPunct/>
        <w:topLinePunct w:val="0"/>
        <w:autoSpaceDE/>
        <w:autoSpaceDN/>
        <w:bidi w:val="0"/>
        <w:adjustRightInd w:val="0"/>
        <w:snapToGrid w:val="0"/>
        <w:spacing w:line="540" w:lineRule="exact"/>
        <w:textAlignment w:val="auto"/>
      </w:pPr>
      <w:r>
        <w:t>C</w:t>
      </w:r>
      <w:r>
        <w:rPr>
          <w:vertAlign w:val="subscript"/>
        </w:rPr>
        <w:t>i</w:t>
      </w:r>
      <w:r>
        <w:t>——采用估算</w:t>
      </w:r>
      <w:r>
        <w:rPr>
          <w:rFonts w:hint="eastAsia"/>
        </w:rPr>
        <w:t>模型</w:t>
      </w:r>
      <w:r>
        <w:t>计算出的第i个污染物的最大</w:t>
      </w:r>
      <w:r>
        <w:rPr>
          <w:rFonts w:hint="eastAsia"/>
        </w:rPr>
        <w:t>1</w:t>
      </w:r>
      <w:r>
        <w:t>h地面浓度，μg/m</w:t>
      </w:r>
      <w:r>
        <w:rPr>
          <w:vertAlign w:val="superscript"/>
        </w:rPr>
        <w:t>3</w:t>
      </w:r>
      <w:r>
        <w:t>；C</w:t>
      </w:r>
      <w:r>
        <w:rPr>
          <w:vertAlign w:val="subscript"/>
        </w:rPr>
        <w:t>0i</w:t>
      </w:r>
      <w:r>
        <w:t>——第i个污染物的环境空气质量标准，μg/m</w:t>
      </w:r>
      <w:r>
        <w:rPr>
          <w:vertAlign w:val="superscript"/>
        </w:rPr>
        <w:t>3</w:t>
      </w:r>
      <w:r>
        <w:t>。</w:t>
      </w:r>
    </w:p>
    <w:p w14:paraId="77C08706">
      <w:pPr>
        <w:pStyle w:val="47"/>
        <w:keepNext w:val="0"/>
        <w:keepLines w:val="0"/>
        <w:pageBreakBefore w:val="0"/>
        <w:widowControl w:val="0"/>
        <w:kinsoku/>
        <w:wordWrap/>
        <w:overflowPunct/>
        <w:topLinePunct w:val="0"/>
        <w:autoSpaceDE/>
        <w:autoSpaceDN/>
        <w:bidi w:val="0"/>
        <w:adjustRightInd w:val="0"/>
        <w:snapToGrid w:val="0"/>
        <w:spacing w:line="540" w:lineRule="exact"/>
        <w:textAlignment w:val="auto"/>
      </w:pPr>
      <w:r>
        <w:rPr>
          <w:rFonts w:hint="default"/>
          <w:lang w:eastAsia="zh-CN"/>
        </w:rPr>
        <w:t>其中</w:t>
      </w:r>
      <w:r>
        <w:rPr>
          <w:rFonts w:hint="default"/>
          <w:lang w:val="en-US" w:eastAsia="zh-CN"/>
        </w:rPr>
        <w:t>TSP、PM</w:t>
      </w:r>
      <w:r>
        <w:rPr>
          <w:rFonts w:hint="default"/>
          <w:vertAlign w:val="subscript"/>
          <w:lang w:val="en-US" w:eastAsia="zh-CN"/>
        </w:rPr>
        <w:t>10</w:t>
      </w:r>
      <w:r>
        <w:rPr>
          <w:rFonts w:hint="default"/>
          <w:lang w:val="en-US" w:eastAsia="zh-CN"/>
        </w:rPr>
        <w:t>选用</w:t>
      </w:r>
      <w:r>
        <w:rPr>
          <w:rFonts w:hint="default"/>
        </w:rPr>
        <w:t>《环境空气质量标准》</w:t>
      </w:r>
      <w:r>
        <w:rPr>
          <w:rFonts w:hint="eastAsia"/>
          <w:lang w:val="en-US" w:eastAsia="zh-CN"/>
        </w:rPr>
        <w:t>表1</w:t>
      </w:r>
      <w:r>
        <w:rPr>
          <w:rFonts w:hint="default"/>
        </w:rPr>
        <w:t>（GB3095-2012）及2018年修改单中二级标准</w:t>
      </w:r>
      <w:r>
        <w:rPr>
          <w:rFonts w:hint="default"/>
          <w:lang w:val="en-US" w:eastAsia="zh-CN"/>
        </w:rPr>
        <w:t>的日平均质量浓度限值的3倍值；非甲烷总烃采用《环境空气质量 非甲烷总烃限值》</w:t>
      </w:r>
      <w:r>
        <w:rPr>
          <w:rFonts w:hint="eastAsia"/>
          <w:lang w:val="en-US" w:eastAsia="zh-CN"/>
        </w:rPr>
        <w:t>表1</w:t>
      </w:r>
      <w:r>
        <w:rPr>
          <w:rFonts w:hint="default"/>
          <w:lang w:val="en-US" w:eastAsia="zh-CN"/>
        </w:rPr>
        <w:t>（DB13/1577-2012）中的二级标准值；</w:t>
      </w:r>
      <w:r>
        <w:rPr>
          <w:rFonts w:hint="eastAsia"/>
          <w:lang w:val="en-US" w:eastAsia="zh-CN"/>
        </w:rPr>
        <w:t>HCl</w:t>
      </w:r>
      <w:r>
        <w:rPr>
          <w:rFonts w:hint="default"/>
          <w:lang w:val="en-US" w:eastAsia="zh-CN"/>
        </w:rPr>
        <w:t>采用</w:t>
      </w:r>
      <w:r>
        <w:rPr>
          <w:rFonts w:hint="default"/>
        </w:rPr>
        <w:t>《环境影响评价技术导则 大气环境》（HJ 2.2-2018）中</w:t>
      </w:r>
      <w:r>
        <w:rPr>
          <w:rFonts w:hint="eastAsia"/>
          <w:lang w:eastAsia="zh-CN"/>
        </w:rPr>
        <w:t>“</w:t>
      </w:r>
      <w:r>
        <w:rPr>
          <w:rFonts w:hint="default"/>
        </w:rPr>
        <w:t>附录D</w:t>
      </w:r>
      <w:r>
        <w:rPr>
          <w:rFonts w:hint="eastAsia"/>
          <w:lang w:val="en-US" w:eastAsia="zh-CN"/>
        </w:rPr>
        <w:t>-表D.1</w:t>
      </w:r>
      <w:r>
        <w:rPr>
          <w:rFonts w:hint="default"/>
        </w:rPr>
        <w:t>其他污染物空气质量浓度参考限值</w:t>
      </w:r>
      <w:r>
        <w:rPr>
          <w:rFonts w:hint="eastAsia"/>
          <w:lang w:eastAsia="zh-CN"/>
        </w:rPr>
        <w:t>”</w:t>
      </w:r>
      <w:r>
        <w:rPr>
          <w:rFonts w:hint="default"/>
          <w:lang w:val="en-US" w:eastAsia="zh-CN"/>
        </w:rPr>
        <w:t>。</w:t>
      </w:r>
    </w:p>
    <w:p w14:paraId="3F5B2702">
      <w:pPr>
        <w:pStyle w:val="94"/>
        <w:bidi w:val="0"/>
        <w:ind w:left="0" w:leftChars="0" w:firstLine="0" w:firstLineChars="0"/>
      </w:pPr>
      <w:bookmarkStart w:id="32" w:name="_Ref17979638"/>
      <w:r>
        <w:rPr>
          <w:rFonts w:hint="eastAsia"/>
        </w:rPr>
        <w:t>评价因子和评价标准表</w:t>
      </w:r>
      <w:bookmarkEnd w:id="32"/>
      <w:r>
        <w:rPr>
          <w:rFonts w:hint="eastAsia"/>
        </w:rPr>
        <w:t xml:space="preserve">  </w:t>
      </w:r>
      <w:r>
        <w:t xml:space="preserve"> </w:t>
      </w:r>
    </w:p>
    <w:tbl>
      <w:tblPr>
        <w:tblStyle w:val="32"/>
        <w:tblW w:w="50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445"/>
        <w:gridCol w:w="1465"/>
        <w:gridCol w:w="2170"/>
        <w:gridCol w:w="4096"/>
      </w:tblGrid>
      <w:tr w14:paraId="68AA2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jc w:val="center"/>
        </w:trPr>
        <w:tc>
          <w:tcPr>
            <w:tcW w:w="787" w:type="pct"/>
            <w:tcBorders>
              <w:tl2br w:val="nil"/>
              <w:tr2bl w:val="nil"/>
            </w:tcBorders>
            <w:vAlign w:val="center"/>
          </w:tcPr>
          <w:p w14:paraId="315BCB85">
            <w:pPr>
              <w:pStyle w:val="55"/>
              <w:bidi w:val="0"/>
              <w:rPr>
                <w:sz w:val="24"/>
                <w:szCs w:val="24"/>
              </w:rPr>
            </w:pPr>
            <w:r>
              <w:rPr>
                <w:rFonts w:hint="eastAsia"/>
                <w:sz w:val="24"/>
                <w:szCs w:val="24"/>
              </w:rPr>
              <w:t>评价因子</w:t>
            </w:r>
          </w:p>
        </w:tc>
        <w:tc>
          <w:tcPr>
            <w:tcW w:w="798" w:type="pct"/>
            <w:tcBorders>
              <w:tl2br w:val="nil"/>
              <w:tr2bl w:val="nil"/>
            </w:tcBorders>
            <w:vAlign w:val="center"/>
          </w:tcPr>
          <w:p w14:paraId="75E72818">
            <w:pPr>
              <w:pStyle w:val="55"/>
              <w:bidi w:val="0"/>
              <w:rPr>
                <w:sz w:val="24"/>
                <w:szCs w:val="24"/>
              </w:rPr>
            </w:pPr>
            <w:r>
              <w:rPr>
                <w:rFonts w:hint="eastAsia"/>
                <w:sz w:val="24"/>
                <w:szCs w:val="24"/>
              </w:rPr>
              <w:t>平均时段</w:t>
            </w:r>
          </w:p>
        </w:tc>
        <w:tc>
          <w:tcPr>
            <w:tcW w:w="1182" w:type="pct"/>
            <w:tcBorders>
              <w:tl2br w:val="nil"/>
              <w:tr2bl w:val="nil"/>
            </w:tcBorders>
            <w:vAlign w:val="center"/>
          </w:tcPr>
          <w:p w14:paraId="7E70F785">
            <w:pPr>
              <w:pStyle w:val="55"/>
              <w:bidi w:val="0"/>
              <w:rPr>
                <w:rFonts w:hint="eastAsia" w:eastAsia="楷体"/>
                <w:sz w:val="24"/>
                <w:szCs w:val="24"/>
                <w:lang w:eastAsia="zh-CN"/>
              </w:rPr>
            </w:pPr>
            <w:r>
              <w:rPr>
                <w:sz w:val="24"/>
                <w:szCs w:val="24"/>
              </w:rPr>
              <w:t>浓度限值</w:t>
            </w:r>
            <w:r>
              <w:rPr>
                <w:rFonts w:hint="eastAsia"/>
                <w:sz w:val="24"/>
                <w:szCs w:val="24"/>
                <w:lang w:eastAsia="zh-CN"/>
              </w:rPr>
              <w:t>（</w:t>
            </w:r>
            <w:r>
              <w:rPr>
                <w:rFonts w:hint="default"/>
                <w:sz w:val="24"/>
                <w:szCs w:val="24"/>
              </w:rPr>
              <w:t>mg/m</w:t>
            </w:r>
            <w:r>
              <w:rPr>
                <w:rFonts w:hint="default"/>
                <w:sz w:val="24"/>
                <w:szCs w:val="24"/>
                <w:vertAlign w:val="superscript"/>
              </w:rPr>
              <w:t>3</w:t>
            </w:r>
            <w:r>
              <w:rPr>
                <w:rFonts w:hint="eastAsia"/>
                <w:sz w:val="24"/>
                <w:szCs w:val="24"/>
                <w:lang w:eastAsia="zh-CN"/>
              </w:rPr>
              <w:t>）</w:t>
            </w:r>
          </w:p>
        </w:tc>
        <w:tc>
          <w:tcPr>
            <w:tcW w:w="2231" w:type="pct"/>
            <w:tcBorders>
              <w:tl2br w:val="nil"/>
              <w:tr2bl w:val="nil"/>
            </w:tcBorders>
            <w:vAlign w:val="center"/>
          </w:tcPr>
          <w:p w14:paraId="016FF385">
            <w:pPr>
              <w:pStyle w:val="55"/>
              <w:bidi w:val="0"/>
              <w:rPr>
                <w:sz w:val="24"/>
                <w:szCs w:val="24"/>
              </w:rPr>
            </w:pPr>
            <w:r>
              <w:rPr>
                <w:sz w:val="24"/>
                <w:szCs w:val="24"/>
              </w:rPr>
              <w:t>标准来源</w:t>
            </w:r>
          </w:p>
        </w:tc>
      </w:tr>
      <w:tr w14:paraId="04207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87" w:type="pct"/>
            <w:tcBorders>
              <w:tl2br w:val="nil"/>
              <w:tr2bl w:val="nil"/>
            </w:tcBorders>
            <w:vAlign w:val="center"/>
          </w:tcPr>
          <w:p w14:paraId="1779058F">
            <w:pPr>
              <w:pStyle w:val="55"/>
              <w:bidi w:val="0"/>
              <w:rPr>
                <w:sz w:val="24"/>
                <w:szCs w:val="24"/>
              </w:rPr>
            </w:pPr>
            <w:r>
              <w:rPr>
                <w:sz w:val="24"/>
                <w:szCs w:val="24"/>
              </w:rPr>
              <w:t>PM</w:t>
            </w:r>
            <w:r>
              <w:rPr>
                <w:sz w:val="24"/>
                <w:szCs w:val="24"/>
                <w:vertAlign w:val="subscript"/>
              </w:rPr>
              <w:t>10</w:t>
            </w:r>
          </w:p>
        </w:tc>
        <w:tc>
          <w:tcPr>
            <w:tcW w:w="798" w:type="pct"/>
            <w:tcBorders>
              <w:tl2br w:val="nil"/>
              <w:tr2bl w:val="nil"/>
            </w:tcBorders>
            <w:vAlign w:val="center"/>
          </w:tcPr>
          <w:p w14:paraId="1E4DB279">
            <w:pPr>
              <w:pStyle w:val="55"/>
              <w:bidi w:val="0"/>
              <w:rPr>
                <w:sz w:val="24"/>
                <w:szCs w:val="24"/>
              </w:rPr>
            </w:pPr>
            <w:r>
              <w:rPr>
                <w:rFonts w:hint="eastAsia"/>
                <w:sz w:val="24"/>
                <w:szCs w:val="24"/>
              </w:rPr>
              <w:t>1</w:t>
            </w:r>
            <w:r>
              <w:rPr>
                <w:sz w:val="24"/>
                <w:szCs w:val="24"/>
              </w:rPr>
              <w:t>h</w:t>
            </w:r>
          </w:p>
        </w:tc>
        <w:tc>
          <w:tcPr>
            <w:tcW w:w="1182" w:type="pct"/>
            <w:tcBorders>
              <w:tl2br w:val="nil"/>
              <w:tr2bl w:val="nil"/>
            </w:tcBorders>
            <w:vAlign w:val="center"/>
          </w:tcPr>
          <w:p w14:paraId="524D1CFA">
            <w:pPr>
              <w:pStyle w:val="55"/>
              <w:bidi w:val="0"/>
              <w:rPr>
                <w:rFonts w:hint="default"/>
                <w:sz w:val="24"/>
                <w:szCs w:val="24"/>
                <w:lang w:val="en-US"/>
              </w:rPr>
            </w:pPr>
            <w:r>
              <w:rPr>
                <w:rFonts w:hint="eastAsia"/>
                <w:sz w:val="24"/>
                <w:szCs w:val="24"/>
                <w:lang w:val="en-US" w:eastAsia="zh-CN"/>
              </w:rPr>
              <w:t>0.45</w:t>
            </w:r>
          </w:p>
        </w:tc>
        <w:tc>
          <w:tcPr>
            <w:tcW w:w="2231" w:type="pct"/>
            <w:vMerge w:val="restart"/>
            <w:tcBorders>
              <w:tl2br w:val="nil"/>
              <w:tr2bl w:val="nil"/>
            </w:tcBorders>
            <w:vAlign w:val="center"/>
          </w:tcPr>
          <w:p w14:paraId="0F79CD1C">
            <w:pPr>
              <w:pStyle w:val="55"/>
              <w:bidi w:val="0"/>
              <w:rPr>
                <w:sz w:val="24"/>
                <w:szCs w:val="24"/>
              </w:rPr>
            </w:pPr>
            <w:r>
              <w:rPr>
                <w:rFonts w:hint="default"/>
                <w:sz w:val="24"/>
                <w:szCs w:val="24"/>
              </w:rPr>
              <w:t>《环境空气质量标准》（GB3095-2012）</w:t>
            </w:r>
            <w:r>
              <w:rPr>
                <w:rFonts w:hint="eastAsia"/>
                <w:sz w:val="24"/>
                <w:szCs w:val="24"/>
                <w:lang w:val="en-US" w:eastAsia="zh-CN"/>
              </w:rPr>
              <w:t>表1</w:t>
            </w:r>
            <w:r>
              <w:rPr>
                <w:rFonts w:hint="default"/>
                <w:sz w:val="24"/>
                <w:szCs w:val="24"/>
              </w:rPr>
              <w:t>及修改单中二级标准</w:t>
            </w:r>
          </w:p>
        </w:tc>
      </w:tr>
      <w:tr w14:paraId="168FF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87" w:type="pct"/>
            <w:tcBorders>
              <w:tl2br w:val="nil"/>
              <w:tr2bl w:val="nil"/>
            </w:tcBorders>
            <w:vAlign w:val="center"/>
          </w:tcPr>
          <w:p w14:paraId="3A94AF5A">
            <w:pPr>
              <w:pStyle w:val="55"/>
              <w:bidi w:val="0"/>
              <w:rPr>
                <w:rFonts w:hint="eastAsia"/>
                <w:sz w:val="24"/>
                <w:szCs w:val="24"/>
                <w:lang w:val="en-US" w:eastAsia="zh-CN"/>
              </w:rPr>
            </w:pPr>
            <w:r>
              <w:rPr>
                <w:rFonts w:hint="eastAsia"/>
                <w:sz w:val="24"/>
                <w:szCs w:val="24"/>
                <w:lang w:val="en-US" w:eastAsia="zh-CN"/>
              </w:rPr>
              <w:t>TSP</w:t>
            </w:r>
          </w:p>
        </w:tc>
        <w:tc>
          <w:tcPr>
            <w:tcW w:w="798" w:type="pct"/>
            <w:tcBorders>
              <w:tl2br w:val="nil"/>
              <w:tr2bl w:val="nil"/>
            </w:tcBorders>
            <w:vAlign w:val="center"/>
          </w:tcPr>
          <w:p w14:paraId="1F51C9E9">
            <w:pPr>
              <w:pStyle w:val="55"/>
              <w:bidi w:val="0"/>
              <w:rPr>
                <w:rFonts w:hint="eastAsia"/>
                <w:sz w:val="24"/>
                <w:szCs w:val="24"/>
              </w:rPr>
            </w:pPr>
            <w:r>
              <w:rPr>
                <w:rFonts w:hint="eastAsia"/>
                <w:sz w:val="24"/>
                <w:szCs w:val="24"/>
              </w:rPr>
              <w:t>1</w:t>
            </w:r>
            <w:r>
              <w:rPr>
                <w:sz w:val="24"/>
                <w:szCs w:val="24"/>
              </w:rPr>
              <w:t>h</w:t>
            </w:r>
          </w:p>
        </w:tc>
        <w:tc>
          <w:tcPr>
            <w:tcW w:w="1182" w:type="pct"/>
            <w:tcBorders>
              <w:tl2br w:val="nil"/>
              <w:tr2bl w:val="nil"/>
            </w:tcBorders>
            <w:vAlign w:val="center"/>
          </w:tcPr>
          <w:p w14:paraId="3389C7AD">
            <w:pPr>
              <w:pStyle w:val="55"/>
              <w:bidi w:val="0"/>
              <w:rPr>
                <w:rFonts w:hint="default"/>
                <w:sz w:val="24"/>
                <w:szCs w:val="24"/>
                <w:lang w:val="en-US" w:eastAsia="zh-CN"/>
              </w:rPr>
            </w:pPr>
            <w:r>
              <w:rPr>
                <w:rFonts w:hint="eastAsia"/>
                <w:sz w:val="24"/>
                <w:szCs w:val="24"/>
                <w:lang w:val="en-US" w:eastAsia="zh-CN"/>
              </w:rPr>
              <w:t>0.9</w:t>
            </w:r>
          </w:p>
        </w:tc>
        <w:tc>
          <w:tcPr>
            <w:tcW w:w="2231" w:type="pct"/>
            <w:vMerge w:val="continue"/>
            <w:tcBorders>
              <w:tl2br w:val="nil"/>
              <w:tr2bl w:val="nil"/>
            </w:tcBorders>
            <w:vAlign w:val="center"/>
          </w:tcPr>
          <w:p w14:paraId="7AB35A1B">
            <w:pPr>
              <w:pStyle w:val="55"/>
              <w:bidi w:val="0"/>
              <w:rPr>
                <w:sz w:val="24"/>
                <w:szCs w:val="24"/>
              </w:rPr>
            </w:pPr>
          </w:p>
        </w:tc>
      </w:tr>
      <w:tr w14:paraId="0999C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87" w:type="pct"/>
            <w:tcBorders>
              <w:tl2br w:val="nil"/>
              <w:tr2bl w:val="nil"/>
            </w:tcBorders>
            <w:vAlign w:val="center"/>
          </w:tcPr>
          <w:p w14:paraId="16593FFA">
            <w:pPr>
              <w:pStyle w:val="55"/>
              <w:bidi w:val="0"/>
              <w:rPr>
                <w:rFonts w:hint="eastAsia" w:eastAsia="楷体"/>
                <w:sz w:val="24"/>
                <w:szCs w:val="24"/>
                <w:lang w:eastAsia="zh-CN"/>
              </w:rPr>
            </w:pPr>
            <w:r>
              <w:rPr>
                <w:rFonts w:hint="eastAsia"/>
                <w:sz w:val="24"/>
                <w:szCs w:val="24"/>
                <w:lang w:val="en-US" w:eastAsia="zh-CN"/>
              </w:rPr>
              <w:t>HCl</w:t>
            </w:r>
          </w:p>
        </w:tc>
        <w:tc>
          <w:tcPr>
            <w:tcW w:w="798" w:type="pct"/>
            <w:tcBorders>
              <w:tl2br w:val="nil"/>
              <w:tr2bl w:val="nil"/>
            </w:tcBorders>
            <w:vAlign w:val="center"/>
          </w:tcPr>
          <w:p w14:paraId="0840B8EA">
            <w:pPr>
              <w:pStyle w:val="55"/>
              <w:bidi w:val="0"/>
              <w:rPr>
                <w:sz w:val="24"/>
                <w:szCs w:val="24"/>
              </w:rPr>
            </w:pPr>
            <w:r>
              <w:rPr>
                <w:rFonts w:hint="eastAsia"/>
                <w:sz w:val="24"/>
                <w:szCs w:val="24"/>
              </w:rPr>
              <w:t>1</w:t>
            </w:r>
            <w:r>
              <w:rPr>
                <w:sz w:val="24"/>
                <w:szCs w:val="24"/>
              </w:rPr>
              <w:t>h</w:t>
            </w:r>
          </w:p>
        </w:tc>
        <w:tc>
          <w:tcPr>
            <w:tcW w:w="1182" w:type="pct"/>
            <w:tcBorders>
              <w:tl2br w:val="nil"/>
              <w:tr2bl w:val="nil"/>
            </w:tcBorders>
            <w:vAlign w:val="center"/>
          </w:tcPr>
          <w:p w14:paraId="4E70B3E2">
            <w:pPr>
              <w:pStyle w:val="55"/>
              <w:bidi w:val="0"/>
              <w:rPr>
                <w:rFonts w:hint="default"/>
                <w:sz w:val="24"/>
                <w:szCs w:val="24"/>
                <w:lang w:val="en-US"/>
              </w:rPr>
            </w:pPr>
            <w:r>
              <w:rPr>
                <w:rFonts w:hint="eastAsia"/>
                <w:sz w:val="24"/>
                <w:szCs w:val="24"/>
                <w:lang w:val="en-US" w:eastAsia="zh-CN"/>
              </w:rPr>
              <w:t>0.05</w:t>
            </w:r>
          </w:p>
        </w:tc>
        <w:tc>
          <w:tcPr>
            <w:tcW w:w="2231" w:type="pct"/>
            <w:tcBorders>
              <w:tl2br w:val="nil"/>
              <w:tr2bl w:val="nil"/>
            </w:tcBorders>
            <w:vAlign w:val="center"/>
          </w:tcPr>
          <w:p w14:paraId="7966FBCA">
            <w:pPr>
              <w:pStyle w:val="55"/>
              <w:bidi w:val="0"/>
              <w:rPr>
                <w:sz w:val="24"/>
                <w:szCs w:val="24"/>
              </w:rPr>
            </w:pPr>
            <w:r>
              <w:rPr>
                <w:rFonts w:hint="default"/>
                <w:sz w:val="24"/>
                <w:szCs w:val="24"/>
              </w:rPr>
              <w:t>《</w:t>
            </w:r>
            <w:r>
              <w:rPr>
                <w:rFonts w:hint="default"/>
                <w:sz w:val="24"/>
                <w:szCs w:val="24"/>
                <w:lang w:eastAsia="zh-CN"/>
              </w:rPr>
              <w:t>环境影响评价技术导则</w:t>
            </w:r>
            <w:r>
              <w:rPr>
                <w:rFonts w:hint="default"/>
                <w:sz w:val="24"/>
                <w:szCs w:val="24"/>
                <w:lang w:val="en-US" w:eastAsia="zh-CN"/>
              </w:rPr>
              <w:t xml:space="preserve"> 大气环境</w:t>
            </w:r>
            <w:r>
              <w:rPr>
                <w:rFonts w:hint="default"/>
                <w:sz w:val="24"/>
                <w:szCs w:val="24"/>
              </w:rPr>
              <w:t>》（</w:t>
            </w:r>
            <w:r>
              <w:rPr>
                <w:rFonts w:hint="default"/>
                <w:sz w:val="24"/>
                <w:szCs w:val="24"/>
                <w:lang w:val="en-US" w:eastAsia="zh-CN"/>
              </w:rPr>
              <w:t>HJ 2.2</w:t>
            </w:r>
            <w:r>
              <w:rPr>
                <w:rFonts w:hint="default"/>
                <w:sz w:val="24"/>
                <w:szCs w:val="24"/>
              </w:rPr>
              <w:t>-</w:t>
            </w:r>
            <w:r>
              <w:rPr>
                <w:rFonts w:hint="default"/>
                <w:sz w:val="24"/>
                <w:szCs w:val="24"/>
                <w:lang w:val="en-US" w:eastAsia="zh-CN"/>
              </w:rPr>
              <w:t>2018</w:t>
            </w:r>
            <w:r>
              <w:rPr>
                <w:rFonts w:hint="default"/>
                <w:sz w:val="24"/>
                <w:szCs w:val="24"/>
              </w:rPr>
              <w:t>）中</w:t>
            </w:r>
            <w:r>
              <w:rPr>
                <w:rFonts w:hint="eastAsia"/>
                <w:sz w:val="24"/>
                <w:szCs w:val="24"/>
                <w:lang w:eastAsia="zh-CN"/>
              </w:rPr>
              <w:t>“</w:t>
            </w:r>
            <w:r>
              <w:rPr>
                <w:rFonts w:hint="default"/>
                <w:sz w:val="24"/>
                <w:szCs w:val="24"/>
                <w:lang w:eastAsia="zh-CN"/>
              </w:rPr>
              <w:t>附录</w:t>
            </w:r>
            <w:r>
              <w:rPr>
                <w:rFonts w:hint="default"/>
                <w:sz w:val="24"/>
                <w:szCs w:val="24"/>
                <w:lang w:val="en-US" w:eastAsia="zh-CN"/>
              </w:rPr>
              <w:t>D其他污染物空气质量浓度参考限值</w:t>
            </w:r>
            <w:r>
              <w:rPr>
                <w:rFonts w:hint="eastAsia"/>
                <w:sz w:val="24"/>
                <w:szCs w:val="24"/>
                <w:lang w:eastAsia="zh-CN"/>
              </w:rPr>
              <w:t>”</w:t>
            </w:r>
          </w:p>
        </w:tc>
      </w:tr>
      <w:tr w14:paraId="20A10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87" w:type="pct"/>
            <w:tcBorders>
              <w:tl2br w:val="nil"/>
              <w:tr2bl w:val="nil"/>
            </w:tcBorders>
            <w:vAlign w:val="center"/>
          </w:tcPr>
          <w:p w14:paraId="50515333">
            <w:pPr>
              <w:pStyle w:val="55"/>
              <w:bidi w:val="0"/>
              <w:rPr>
                <w:rFonts w:hint="eastAsia"/>
                <w:sz w:val="24"/>
                <w:szCs w:val="24"/>
                <w:lang w:eastAsia="zh-CN"/>
              </w:rPr>
            </w:pPr>
            <w:r>
              <w:rPr>
                <w:rFonts w:hint="eastAsia"/>
                <w:sz w:val="24"/>
                <w:szCs w:val="24"/>
                <w:lang w:val="en-US" w:eastAsia="zh-CN"/>
              </w:rPr>
              <w:t>非甲烷总烃</w:t>
            </w:r>
          </w:p>
        </w:tc>
        <w:tc>
          <w:tcPr>
            <w:tcW w:w="798" w:type="pct"/>
            <w:tcBorders>
              <w:tl2br w:val="nil"/>
              <w:tr2bl w:val="nil"/>
            </w:tcBorders>
            <w:vAlign w:val="center"/>
          </w:tcPr>
          <w:p w14:paraId="777E48F3">
            <w:pPr>
              <w:pStyle w:val="55"/>
              <w:bidi w:val="0"/>
              <w:rPr>
                <w:sz w:val="24"/>
                <w:szCs w:val="24"/>
              </w:rPr>
            </w:pPr>
            <w:r>
              <w:rPr>
                <w:rFonts w:hint="eastAsia"/>
                <w:sz w:val="24"/>
                <w:szCs w:val="24"/>
              </w:rPr>
              <w:t>1</w:t>
            </w:r>
            <w:r>
              <w:rPr>
                <w:sz w:val="24"/>
                <w:szCs w:val="24"/>
              </w:rPr>
              <w:t>h</w:t>
            </w:r>
          </w:p>
        </w:tc>
        <w:tc>
          <w:tcPr>
            <w:tcW w:w="1182" w:type="pct"/>
            <w:tcBorders>
              <w:tl2br w:val="nil"/>
              <w:tr2bl w:val="nil"/>
            </w:tcBorders>
            <w:vAlign w:val="center"/>
          </w:tcPr>
          <w:p w14:paraId="35327499">
            <w:pPr>
              <w:pStyle w:val="55"/>
              <w:bidi w:val="0"/>
              <w:rPr>
                <w:rFonts w:hint="default"/>
                <w:sz w:val="24"/>
                <w:szCs w:val="24"/>
                <w:lang w:val="en-US" w:eastAsia="zh-CN"/>
              </w:rPr>
            </w:pPr>
            <w:r>
              <w:rPr>
                <w:rFonts w:hint="eastAsia"/>
                <w:sz w:val="24"/>
                <w:szCs w:val="24"/>
                <w:lang w:val="en-US" w:eastAsia="zh-CN"/>
              </w:rPr>
              <w:t>2.0</w:t>
            </w:r>
          </w:p>
        </w:tc>
        <w:tc>
          <w:tcPr>
            <w:tcW w:w="2231" w:type="pct"/>
            <w:tcBorders>
              <w:tl2br w:val="nil"/>
              <w:tr2bl w:val="nil"/>
            </w:tcBorders>
            <w:vAlign w:val="center"/>
          </w:tcPr>
          <w:p w14:paraId="05ED3B4B">
            <w:pPr>
              <w:pStyle w:val="55"/>
              <w:bidi w:val="0"/>
              <w:rPr>
                <w:sz w:val="24"/>
                <w:szCs w:val="24"/>
              </w:rPr>
            </w:pPr>
            <w:r>
              <w:rPr>
                <w:rFonts w:hint="default"/>
                <w:sz w:val="24"/>
                <w:szCs w:val="24"/>
                <w:lang w:val="en-US" w:eastAsia="zh-CN"/>
              </w:rPr>
              <w:t>《环境空气质量 非甲烷总烃限值》（DB13/1577-2012）</w:t>
            </w:r>
            <w:r>
              <w:rPr>
                <w:rFonts w:hint="eastAsia"/>
                <w:sz w:val="24"/>
                <w:szCs w:val="24"/>
                <w:lang w:val="en-US" w:eastAsia="zh-CN"/>
              </w:rPr>
              <w:t>表1</w:t>
            </w:r>
            <w:r>
              <w:rPr>
                <w:rFonts w:hint="default"/>
                <w:sz w:val="24"/>
                <w:szCs w:val="24"/>
                <w:lang w:val="en-US" w:eastAsia="zh-CN"/>
              </w:rPr>
              <w:t>二级标准</w:t>
            </w:r>
          </w:p>
        </w:tc>
      </w:tr>
    </w:tbl>
    <w:p w14:paraId="5A52FBD3">
      <w:pPr>
        <w:pStyle w:val="47"/>
        <w:ind w:firstLine="482"/>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项</w:t>
      </w:r>
      <w:r>
        <w:rPr>
          <w:rFonts w:hint="eastAsia"/>
          <w:color w:val="000000" w:themeColor="text1"/>
          <w:lang w:eastAsia="zh-CN"/>
          <w14:textFill>
            <w14:solidFill>
              <w14:schemeClr w14:val="tx1"/>
            </w14:solidFill>
          </w14:textFill>
        </w:rPr>
        <w:t>目</w:t>
      </w:r>
      <w:r>
        <w:rPr>
          <w:color w:val="000000" w:themeColor="text1"/>
          <w14:textFill>
            <w14:solidFill>
              <w14:schemeClr w14:val="tx1"/>
            </w14:solidFill>
          </w14:textFill>
        </w:rPr>
        <w:t>估算</w:t>
      </w:r>
      <w:r>
        <w:rPr>
          <w:rFonts w:hint="eastAsia"/>
          <w:color w:val="000000" w:themeColor="text1"/>
          <w14:textFill>
            <w14:solidFill>
              <w14:schemeClr w14:val="tx1"/>
            </w14:solidFill>
          </w14:textFill>
        </w:rPr>
        <w:t>模型</w:t>
      </w:r>
      <w:r>
        <w:rPr>
          <w:color w:val="000000" w:themeColor="text1"/>
          <w14:textFill>
            <w14:solidFill>
              <w14:schemeClr w14:val="tx1"/>
            </w14:solidFill>
          </w14:textFill>
        </w:rPr>
        <w:t>参数</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点源</w:t>
      </w:r>
      <w:r>
        <w:rPr>
          <w:rFonts w:hint="eastAsia"/>
          <w:color w:val="000000" w:themeColor="text1"/>
          <w14:textFill>
            <w14:solidFill>
              <w14:schemeClr w14:val="tx1"/>
            </w14:solidFill>
          </w14:textFill>
        </w:rPr>
        <w:t>及面</w:t>
      </w:r>
      <w:r>
        <w:rPr>
          <w:color w:val="000000" w:themeColor="text1"/>
          <w14:textFill>
            <w14:solidFill>
              <w14:schemeClr w14:val="tx1"/>
            </w14:solidFill>
          </w14:textFill>
        </w:rPr>
        <w:t>源</w:t>
      </w:r>
      <w:r>
        <w:rPr>
          <w:rFonts w:hint="eastAsia"/>
          <w:color w:val="000000" w:themeColor="text1"/>
          <w14:textFill>
            <w14:solidFill>
              <w14:schemeClr w14:val="tx1"/>
            </w14:solidFill>
          </w14:textFill>
        </w:rPr>
        <w:t>排放参数</w:t>
      </w:r>
      <w:r>
        <w:rPr>
          <w:color w:val="000000" w:themeColor="text1"/>
          <w14:textFill>
            <w14:solidFill>
              <w14:schemeClr w14:val="tx1"/>
            </w14:solidFill>
          </w14:textFill>
        </w:rPr>
        <w:t>及计算结果分别见下表。</w:t>
      </w:r>
    </w:p>
    <w:p w14:paraId="12F954A5">
      <w:pPr>
        <w:pStyle w:val="47"/>
        <w:ind w:firstLine="482"/>
        <w:rPr>
          <w:color w:val="000000" w:themeColor="text1"/>
          <w14:textFill>
            <w14:solidFill>
              <w14:schemeClr w14:val="tx1"/>
            </w14:solidFill>
          </w14:textFill>
        </w:rPr>
      </w:pPr>
    </w:p>
    <w:p w14:paraId="6927D487">
      <w:pPr>
        <w:pStyle w:val="47"/>
        <w:ind w:firstLine="482"/>
        <w:rPr>
          <w:color w:val="000000" w:themeColor="text1"/>
          <w14:textFill>
            <w14:solidFill>
              <w14:schemeClr w14:val="tx1"/>
            </w14:solidFill>
          </w14:textFill>
        </w:rPr>
      </w:pPr>
    </w:p>
    <w:p w14:paraId="756E10AD">
      <w:pPr>
        <w:pStyle w:val="94"/>
        <w:bidi w:val="0"/>
        <w:ind w:left="0" w:leftChars="0" w:firstLine="0" w:firstLineChars="0"/>
      </w:pPr>
      <w:r>
        <w:rPr>
          <w:rFonts w:hint="eastAsia"/>
        </w:rPr>
        <w:t>估算模型参数表</w:t>
      </w:r>
    </w:p>
    <w:tbl>
      <w:tblPr>
        <w:tblStyle w:val="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2423"/>
        <w:gridCol w:w="3246"/>
        <w:gridCol w:w="3619"/>
      </w:tblGrid>
      <w:tr w14:paraId="54856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blHeader/>
          <w:jc w:val="center"/>
        </w:trPr>
        <w:tc>
          <w:tcPr>
            <w:tcW w:w="3051" w:type="pct"/>
            <w:gridSpan w:val="2"/>
            <w:shd w:val="clear" w:color="auto" w:fill="auto"/>
            <w:vAlign w:val="center"/>
          </w:tcPr>
          <w:p w14:paraId="394865DC">
            <w:pPr>
              <w:pStyle w:val="55"/>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参数</w:t>
            </w:r>
          </w:p>
        </w:tc>
        <w:tc>
          <w:tcPr>
            <w:tcW w:w="1948" w:type="pct"/>
            <w:shd w:val="clear" w:color="auto" w:fill="auto"/>
            <w:vAlign w:val="center"/>
          </w:tcPr>
          <w:p w14:paraId="1D2D87FA">
            <w:pPr>
              <w:pStyle w:val="55"/>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取值</w:t>
            </w:r>
          </w:p>
        </w:tc>
      </w:tr>
      <w:tr w14:paraId="63FF9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1304" w:type="pct"/>
            <w:vMerge w:val="restart"/>
            <w:shd w:val="clear" w:color="auto" w:fill="auto"/>
            <w:vAlign w:val="center"/>
          </w:tcPr>
          <w:p w14:paraId="5CF8AA6D">
            <w:pPr>
              <w:pStyle w:val="55"/>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城市</w:t>
            </w:r>
            <w:r>
              <w:rPr>
                <w:color w:val="000000" w:themeColor="text1"/>
                <w:sz w:val="24"/>
                <w:szCs w:val="24"/>
                <w:highlight w:val="none"/>
                <w14:textFill>
                  <w14:solidFill>
                    <w14:schemeClr w14:val="tx1"/>
                  </w14:solidFill>
                </w14:textFill>
              </w:rPr>
              <w:t>/</w:t>
            </w:r>
            <w:r>
              <w:rPr>
                <w:rFonts w:hint="eastAsia"/>
                <w:color w:val="000000" w:themeColor="text1"/>
                <w:sz w:val="24"/>
                <w:szCs w:val="24"/>
                <w:highlight w:val="none"/>
                <w14:textFill>
                  <w14:solidFill>
                    <w14:schemeClr w14:val="tx1"/>
                  </w14:solidFill>
                </w14:textFill>
              </w:rPr>
              <w:t>农村选项</w:t>
            </w:r>
          </w:p>
        </w:tc>
        <w:tc>
          <w:tcPr>
            <w:tcW w:w="1747" w:type="pct"/>
            <w:shd w:val="clear" w:color="auto" w:fill="auto"/>
            <w:vAlign w:val="center"/>
          </w:tcPr>
          <w:p w14:paraId="6050825F">
            <w:pPr>
              <w:pStyle w:val="55"/>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城市</w:t>
            </w:r>
            <w:r>
              <w:rPr>
                <w:color w:val="000000" w:themeColor="text1"/>
                <w:sz w:val="24"/>
                <w:szCs w:val="24"/>
                <w:highlight w:val="none"/>
                <w14:textFill>
                  <w14:solidFill>
                    <w14:schemeClr w14:val="tx1"/>
                  </w14:solidFill>
                </w14:textFill>
              </w:rPr>
              <w:t>/</w:t>
            </w:r>
            <w:r>
              <w:rPr>
                <w:rFonts w:hint="eastAsia"/>
                <w:color w:val="000000" w:themeColor="text1"/>
                <w:sz w:val="24"/>
                <w:szCs w:val="24"/>
                <w:highlight w:val="none"/>
                <w14:textFill>
                  <w14:solidFill>
                    <w14:schemeClr w14:val="tx1"/>
                  </w14:solidFill>
                </w14:textFill>
              </w:rPr>
              <w:t>农村</w:t>
            </w:r>
          </w:p>
        </w:tc>
        <w:tc>
          <w:tcPr>
            <w:tcW w:w="1948" w:type="pct"/>
            <w:shd w:val="clear" w:color="auto" w:fill="auto"/>
            <w:vAlign w:val="center"/>
          </w:tcPr>
          <w:p w14:paraId="1B7DE6B6">
            <w:pPr>
              <w:pStyle w:val="55"/>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城市</w:t>
            </w:r>
          </w:p>
        </w:tc>
      </w:tr>
      <w:tr w14:paraId="2EBC9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1304" w:type="pct"/>
            <w:vMerge w:val="continue"/>
            <w:shd w:val="clear" w:color="auto" w:fill="auto"/>
            <w:vAlign w:val="center"/>
          </w:tcPr>
          <w:p w14:paraId="47439214">
            <w:pPr>
              <w:pStyle w:val="55"/>
              <w:rPr>
                <w:color w:val="000000" w:themeColor="text1"/>
                <w:sz w:val="24"/>
                <w:szCs w:val="24"/>
                <w:highlight w:val="none"/>
                <w14:textFill>
                  <w14:solidFill>
                    <w14:schemeClr w14:val="tx1"/>
                  </w14:solidFill>
                </w14:textFill>
              </w:rPr>
            </w:pPr>
          </w:p>
        </w:tc>
        <w:tc>
          <w:tcPr>
            <w:tcW w:w="1747" w:type="pct"/>
            <w:shd w:val="clear" w:color="auto" w:fill="auto"/>
            <w:vAlign w:val="center"/>
          </w:tcPr>
          <w:p w14:paraId="5F25E746">
            <w:pPr>
              <w:pStyle w:val="55"/>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人口数（城市选项时）</w:t>
            </w:r>
          </w:p>
        </w:tc>
        <w:tc>
          <w:tcPr>
            <w:tcW w:w="1948" w:type="pct"/>
            <w:shd w:val="clear" w:color="auto" w:fill="auto"/>
            <w:vAlign w:val="center"/>
          </w:tcPr>
          <w:p w14:paraId="1B58C52E">
            <w:pPr>
              <w:pStyle w:val="55"/>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48664</w:t>
            </w:r>
          </w:p>
        </w:tc>
      </w:tr>
      <w:tr w14:paraId="21672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3051" w:type="pct"/>
            <w:gridSpan w:val="2"/>
            <w:shd w:val="clear" w:color="auto" w:fill="auto"/>
            <w:vAlign w:val="center"/>
          </w:tcPr>
          <w:p w14:paraId="38E2C424">
            <w:pPr>
              <w:pStyle w:val="55"/>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最高环境温度</w:t>
            </w:r>
            <w:r>
              <w:rPr>
                <w:color w:val="000000" w:themeColor="text1"/>
                <w:sz w:val="24"/>
                <w:szCs w:val="24"/>
                <w:highlight w:val="none"/>
                <w14:textFill>
                  <w14:solidFill>
                    <w14:schemeClr w14:val="tx1"/>
                  </w14:solidFill>
                </w14:textFill>
              </w:rPr>
              <w:t>/</w:t>
            </w:r>
            <w:r>
              <w:rPr>
                <w:rFonts w:hint="eastAsia"/>
                <w:color w:val="000000" w:themeColor="text1"/>
                <w:sz w:val="24"/>
                <w:szCs w:val="24"/>
                <w:highlight w:val="none"/>
                <w:vertAlign w:val="superscript"/>
                <w14:textFill>
                  <w14:solidFill>
                    <w14:schemeClr w14:val="tx1"/>
                  </w14:solidFill>
                </w14:textFill>
              </w:rPr>
              <w:t>o</w:t>
            </w:r>
            <w:r>
              <w:rPr>
                <w:color w:val="000000" w:themeColor="text1"/>
                <w:sz w:val="24"/>
                <w:szCs w:val="24"/>
                <w:highlight w:val="none"/>
                <w14:textFill>
                  <w14:solidFill>
                    <w14:schemeClr w14:val="tx1"/>
                  </w14:solidFill>
                </w14:textFill>
              </w:rPr>
              <w:t>C</w:t>
            </w:r>
          </w:p>
        </w:tc>
        <w:tc>
          <w:tcPr>
            <w:tcW w:w="1948" w:type="pct"/>
            <w:shd w:val="clear" w:color="auto" w:fill="auto"/>
            <w:vAlign w:val="center"/>
          </w:tcPr>
          <w:p w14:paraId="23400AE8">
            <w:pPr>
              <w:pStyle w:val="55"/>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41.4</w:t>
            </w:r>
          </w:p>
        </w:tc>
      </w:tr>
      <w:tr w14:paraId="7800E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3051" w:type="pct"/>
            <w:gridSpan w:val="2"/>
            <w:shd w:val="clear" w:color="auto" w:fill="auto"/>
            <w:vAlign w:val="center"/>
          </w:tcPr>
          <w:p w14:paraId="6BAEE33F">
            <w:pPr>
              <w:pStyle w:val="55"/>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最低环境温度</w:t>
            </w:r>
            <w:r>
              <w:rPr>
                <w:color w:val="000000" w:themeColor="text1"/>
                <w:sz w:val="24"/>
                <w:szCs w:val="24"/>
                <w:highlight w:val="none"/>
                <w14:textFill>
                  <w14:solidFill>
                    <w14:schemeClr w14:val="tx1"/>
                  </w14:solidFill>
                </w14:textFill>
              </w:rPr>
              <w:t>/</w:t>
            </w:r>
            <w:r>
              <w:rPr>
                <w:rFonts w:hint="eastAsia"/>
                <w:color w:val="000000" w:themeColor="text1"/>
                <w:sz w:val="24"/>
                <w:szCs w:val="24"/>
                <w:highlight w:val="none"/>
                <w:vertAlign w:val="superscript"/>
                <w14:textFill>
                  <w14:solidFill>
                    <w14:schemeClr w14:val="tx1"/>
                  </w14:solidFill>
                </w14:textFill>
              </w:rPr>
              <w:t xml:space="preserve"> o</w:t>
            </w:r>
            <w:r>
              <w:rPr>
                <w:color w:val="000000" w:themeColor="text1"/>
                <w:sz w:val="24"/>
                <w:szCs w:val="24"/>
                <w:highlight w:val="none"/>
                <w14:textFill>
                  <w14:solidFill>
                    <w14:schemeClr w14:val="tx1"/>
                  </w14:solidFill>
                </w14:textFill>
              </w:rPr>
              <w:t>C</w:t>
            </w:r>
          </w:p>
        </w:tc>
        <w:tc>
          <w:tcPr>
            <w:tcW w:w="1948" w:type="pct"/>
            <w:shd w:val="clear" w:color="auto" w:fill="auto"/>
            <w:vAlign w:val="center"/>
          </w:tcPr>
          <w:p w14:paraId="3F9802A0">
            <w:pPr>
              <w:pStyle w:val="55"/>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-20.6</w:t>
            </w:r>
          </w:p>
        </w:tc>
      </w:tr>
      <w:tr w14:paraId="78801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3051" w:type="pct"/>
            <w:gridSpan w:val="2"/>
            <w:shd w:val="clear" w:color="auto" w:fill="auto"/>
            <w:vAlign w:val="center"/>
          </w:tcPr>
          <w:p w14:paraId="79D26AAC">
            <w:pPr>
              <w:pStyle w:val="55"/>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土地利用类型</w:t>
            </w:r>
          </w:p>
        </w:tc>
        <w:tc>
          <w:tcPr>
            <w:tcW w:w="1948" w:type="pct"/>
            <w:shd w:val="clear" w:color="auto" w:fill="auto"/>
            <w:vAlign w:val="center"/>
          </w:tcPr>
          <w:p w14:paraId="796FEB4C">
            <w:pPr>
              <w:pStyle w:val="55"/>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城市</w:t>
            </w:r>
          </w:p>
        </w:tc>
      </w:tr>
      <w:tr w14:paraId="28001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3051" w:type="pct"/>
            <w:gridSpan w:val="2"/>
            <w:shd w:val="clear" w:color="auto" w:fill="auto"/>
            <w:vAlign w:val="center"/>
          </w:tcPr>
          <w:p w14:paraId="638B7E05">
            <w:pPr>
              <w:pStyle w:val="55"/>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区域湿度条件</w:t>
            </w:r>
          </w:p>
        </w:tc>
        <w:tc>
          <w:tcPr>
            <w:tcW w:w="1948" w:type="pct"/>
            <w:shd w:val="clear" w:color="auto" w:fill="auto"/>
            <w:vAlign w:val="center"/>
          </w:tcPr>
          <w:p w14:paraId="04A62C73">
            <w:pPr>
              <w:pStyle w:val="55"/>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w:t>
            </w:r>
            <w:r>
              <w:rPr>
                <w:rFonts w:hint="eastAsia"/>
                <w:color w:val="000000" w:themeColor="text1"/>
                <w:sz w:val="24"/>
                <w:szCs w:val="24"/>
                <w:highlight w:val="none"/>
                <w14:textFill>
                  <w14:solidFill>
                    <w14:schemeClr w14:val="tx1"/>
                  </w14:solidFill>
                </w14:textFill>
              </w:rPr>
              <w:t>中</w:t>
            </w:r>
            <w:r>
              <w:rPr>
                <w:color w:val="000000" w:themeColor="text1"/>
                <w:sz w:val="24"/>
                <w:szCs w:val="24"/>
                <w:highlight w:val="none"/>
                <w14:textFill>
                  <w14:solidFill>
                    <w14:schemeClr w14:val="tx1"/>
                  </w14:solidFill>
                </w14:textFill>
              </w:rPr>
              <w:t>等湿度</w:t>
            </w:r>
          </w:p>
        </w:tc>
      </w:tr>
      <w:tr w14:paraId="28CE8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1304" w:type="pct"/>
            <w:shd w:val="clear" w:color="auto" w:fill="auto"/>
            <w:vAlign w:val="center"/>
          </w:tcPr>
          <w:p w14:paraId="6D40971A">
            <w:pPr>
              <w:pStyle w:val="55"/>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是</w:t>
            </w:r>
            <w:r>
              <w:rPr>
                <w:color w:val="000000" w:themeColor="text1"/>
                <w:sz w:val="24"/>
                <w:szCs w:val="24"/>
                <w:highlight w:val="none"/>
                <w14:textFill>
                  <w14:solidFill>
                    <w14:schemeClr w14:val="tx1"/>
                  </w14:solidFill>
                </w14:textFill>
              </w:rPr>
              <w:t>否考虑地形</w:t>
            </w:r>
          </w:p>
        </w:tc>
        <w:tc>
          <w:tcPr>
            <w:tcW w:w="1747" w:type="pct"/>
            <w:shd w:val="clear" w:color="auto" w:fill="auto"/>
            <w:vAlign w:val="center"/>
          </w:tcPr>
          <w:p w14:paraId="4458D54D">
            <w:pPr>
              <w:pStyle w:val="55"/>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考虑</w:t>
            </w:r>
            <w:r>
              <w:rPr>
                <w:color w:val="000000" w:themeColor="text1"/>
                <w:sz w:val="24"/>
                <w:szCs w:val="24"/>
                <w:highlight w:val="none"/>
                <w14:textFill>
                  <w14:solidFill>
                    <w14:schemeClr w14:val="tx1"/>
                  </w14:solidFill>
                </w14:textFill>
              </w:rPr>
              <w:t>地形</w:t>
            </w:r>
          </w:p>
        </w:tc>
        <w:tc>
          <w:tcPr>
            <w:tcW w:w="1948" w:type="pct"/>
            <w:shd w:val="clear" w:color="auto" w:fill="auto"/>
            <w:vAlign w:val="center"/>
          </w:tcPr>
          <w:p w14:paraId="7BC0E9D2">
            <w:pPr>
              <w:pStyle w:val="55"/>
              <w:rPr>
                <w:color w:val="000000" w:themeColor="text1"/>
                <w:sz w:val="24"/>
                <w:szCs w:val="24"/>
                <w:highlight w:val="none"/>
                <w14:textFill>
                  <w14:solidFill>
                    <w14:schemeClr w14:val="tx1"/>
                  </w14:solidFill>
                </w14:textFill>
              </w:rPr>
            </w:pPr>
            <w:r>
              <w:rPr>
                <w:rFonts w:ascii="Wingdings" w:hAnsi="Wingdings" w:cs="Wingdings"/>
                <w:color w:val="000000" w:themeColor="text1"/>
                <w:sz w:val="24"/>
                <w:szCs w:val="24"/>
                <w:highlight w:val="none"/>
                <w14:textFill>
                  <w14:solidFill>
                    <w14:schemeClr w14:val="tx1"/>
                  </w14:solidFill>
                </w14:textFill>
              </w:rPr>
              <w:sym w:font="Wingdings" w:char="00A8"/>
            </w:r>
            <w:r>
              <w:rPr>
                <w:rFonts w:hint="eastAsia"/>
                <w:color w:val="000000" w:themeColor="text1"/>
                <w:sz w:val="24"/>
                <w:szCs w:val="24"/>
                <w:highlight w:val="none"/>
                <w14:textFill>
                  <w14:solidFill>
                    <w14:schemeClr w14:val="tx1"/>
                  </w14:solidFill>
                </w14:textFill>
              </w:rPr>
              <w:t xml:space="preserve">是  </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否</w:t>
            </w:r>
          </w:p>
        </w:tc>
      </w:tr>
      <w:tr w14:paraId="090E9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1304" w:type="pct"/>
            <w:vMerge w:val="restart"/>
            <w:shd w:val="clear" w:color="auto" w:fill="auto"/>
            <w:vAlign w:val="center"/>
          </w:tcPr>
          <w:p w14:paraId="4B44FBCD">
            <w:pPr>
              <w:pStyle w:val="55"/>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是否考虑海岸线熏烟</w:t>
            </w:r>
          </w:p>
        </w:tc>
        <w:tc>
          <w:tcPr>
            <w:tcW w:w="1747" w:type="pct"/>
            <w:shd w:val="clear" w:color="auto" w:fill="auto"/>
            <w:vAlign w:val="center"/>
          </w:tcPr>
          <w:p w14:paraId="38292D4A">
            <w:pPr>
              <w:pStyle w:val="55"/>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考虑岸线</w:t>
            </w:r>
            <w:r>
              <w:rPr>
                <w:rFonts w:hint="eastAsia"/>
                <w:color w:val="000000" w:themeColor="text1"/>
                <w:sz w:val="24"/>
                <w:szCs w:val="24"/>
                <w:highlight w:val="none"/>
                <w14:textFill>
                  <w14:solidFill>
                    <w14:schemeClr w14:val="tx1"/>
                  </w14:solidFill>
                </w14:textFill>
              </w:rPr>
              <w:t>熏烟</w:t>
            </w:r>
          </w:p>
        </w:tc>
        <w:tc>
          <w:tcPr>
            <w:tcW w:w="1948" w:type="pct"/>
            <w:shd w:val="clear" w:color="auto" w:fill="auto"/>
            <w:vAlign w:val="center"/>
          </w:tcPr>
          <w:p w14:paraId="6AAB6E0D">
            <w:pPr>
              <w:pStyle w:val="55"/>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□是  </w:t>
            </w:r>
            <w:r>
              <w:rPr>
                <w:rFonts w:ascii="Wingdings" w:hAnsi="Wingdings" w:cs="Wingdings"/>
                <w:color w:val="000000" w:themeColor="text1"/>
                <w:sz w:val="24"/>
                <w:szCs w:val="24"/>
                <w:highlight w:val="none"/>
                <w14:textFill>
                  <w14:solidFill>
                    <w14:schemeClr w14:val="tx1"/>
                  </w14:solidFill>
                </w14:textFill>
              </w:rPr>
              <w:t></w:t>
            </w:r>
            <w:r>
              <w:rPr>
                <w:rFonts w:hint="eastAsia"/>
                <w:color w:val="000000" w:themeColor="text1"/>
                <w:sz w:val="24"/>
                <w:szCs w:val="24"/>
                <w:highlight w:val="none"/>
                <w14:textFill>
                  <w14:solidFill>
                    <w14:schemeClr w14:val="tx1"/>
                  </w14:solidFill>
                </w14:textFill>
              </w:rPr>
              <w:t>否</w:t>
            </w:r>
          </w:p>
        </w:tc>
      </w:tr>
      <w:tr w14:paraId="69770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1304" w:type="pct"/>
            <w:vMerge w:val="continue"/>
            <w:shd w:val="clear" w:color="auto" w:fill="auto"/>
            <w:vAlign w:val="center"/>
          </w:tcPr>
          <w:p w14:paraId="78E7C585">
            <w:pPr>
              <w:pStyle w:val="55"/>
              <w:rPr>
                <w:color w:val="000000" w:themeColor="text1"/>
                <w:sz w:val="24"/>
                <w:szCs w:val="24"/>
                <w:highlight w:val="none"/>
                <w14:textFill>
                  <w14:solidFill>
                    <w14:schemeClr w14:val="tx1"/>
                  </w14:solidFill>
                </w14:textFill>
              </w:rPr>
            </w:pPr>
          </w:p>
        </w:tc>
        <w:tc>
          <w:tcPr>
            <w:tcW w:w="1747" w:type="pct"/>
            <w:shd w:val="clear" w:color="auto" w:fill="auto"/>
            <w:vAlign w:val="center"/>
          </w:tcPr>
          <w:p w14:paraId="2BBFF14A">
            <w:pPr>
              <w:pStyle w:val="55"/>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岸线距离/</w:t>
            </w:r>
            <w:r>
              <w:rPr>
                <w:color w:val="000000" w:themeColor="text1"/>
                <w:sz w:val="24"/>
                <w:szCs w:val="24"/>
                <w:highlight w:val="none"/>
                <w14:textFill>
                  <w14:solidFill>
                    <w14:schemeClr w14:val="tx1"/>
                  </w14:solidFill>
                </w14:textFill>
              </w:rPr>
              <w:t>km</w:t>
            </w:r>
          </w:p>
        </w:tc>
        <w:tc>
          <w:tcPr>
            <w:tcW w:w="1948" w:type="pct"/>
            <w:shd w:val="clear" w:color="auto" w:fill="auto"/>
            <w:vAlign w:val="center"/>
          </w:tcPr>
          <w:p w14:paraId="20D82D2A">
            <w:pPr>
              <w:pStyle w:val="55"/>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否</w:t>
            </w:r>
          </w:p>
        </w:tc>
      </w:tr>
      <w:tr w14:paraId="50C1F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1304" w:type="pct"/>
            <w:vMerge w:val="continue"/>
            <w:shd w:val="clear" w:color="auto" w:fill="auto"/>
            <w:vAlign w:val="center"/>
          </w:tcPr>
          <w:p w14:paraId="2174C436">
            <w:pPr>
              <w:pStyle w:val="55"/>
              <w:rPr>
                <w:color w:val="000000" w:themeColor="text1"/>
                <w:sz w:val="24"/>
                <w:szCs w:val="24"/>
                <w:highlight w:val="none"/>
                <w14:textFill>
                  <w14:solidFill>
                    <w14:schemeClr w14:val="tx1"/>
                  </w14:solidFill>
                </w14:textFill>
              </w:rPr>
            </w:pPr>
          </w:p>
        </w:tc>
        <w:tc>
          <w:tcPr>
            <w:tcW w:w="1747" w:type="pct"/>
            <w:shd w:val="clear" w:color="auto" w:fill="auto"/>
            <w:vAlign w:val="center"/>
          </w:tcPr>
          <w:p w14:paraId="43EE6E4A">
            <w:pPr>
              <w:pStyle w:val="55"/>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岸线方向/°</w:t>
            </w:r>
          </w:p>
        </w:tc>
        <w:tc>
          <w:tcPr>
            <w:tcW w:w="1948" w:type="pct"/>
            <w:shd w:val="clear" w:color="auto" w:fill="auto"/>
            <w:vAlign w:val="center"/>
          </w:tcPr>
          <w:p w14:paraId="79C528A2">
            <w:pPr>
              <w:pStyle w:val="55"/>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否</w:t>
            </w:r>
          </w:p>
        </w:tc>
      </w:tr>
    </w:tbl>
    <w:p w14:paraId="4A8DB4A1">
      <w:pPr>
        <w:pStyle w:val="47"/>
        <w:ind w:firstLine="482"/>
        <w:rPr>
          <w:u w:val="none"/>
        </w:rPr>
      </w:pPr>
    </w:p>
    <w:p w14:paraId="30B2A03B">
      <w:pPr>
        <w:pStyle w:val="47"/>
        <w:ind w:left="0" w:leftChars="0" w:firstLine="0" w:firstLineChars="0"/>
        <w:rPr>
          <w:u w:val="none"/>
        </w:rPr>
        <w:sectPr>
          <w:pgSz w:w="11906" w:h="16838"/>
          <w:pgMar w:top="1417" w:right="1417" w:bottom="1417" w:left="1417" w:header="964" w:footer="964" w:gutter="0"/>
          <w:pgBorders>
            <w:top w:val="none" w:sz="0" w:space="0"/>
            <w:left w:val="none" w:sz="0" w:space="0"/>
            <w:bottom w:val="none" w:sz="0" w:space="0"/>
            <w:right w:val="none" w:sz="0" w:space="0"/>
          </w:pgBorders>
          <w:pgNumType w:fmt="decimal"/>
          <w:cols w:space="425" w:num="1"/>
          <w:docGrid w:type="linesAndChars" w:linePitch="326" w:charSpace="190"/>
        </w:sectPr>
      </w:pPr>
    </w:p>
    <w:p w14:paraId="71BAB14B">
      <w:pPr>
        <w:pStyle w:val="94"/>
        <w:bidi w:val="0"/>
        <w:ind w:left="0" w:leftChars="0" w:firstLine="0" w:firstLineChars="0"/>
      </w:pPr>
      <w:r>
        <w:rPr>
          <w:rFonts w:hint="eastAsia"/>
        </w:rPr>
        <w:t>点源参数</w:t>
      </w:r>
      <w:r>
        <w:t>表</w:t>
      </w:r>
    </w:p>
    <w:tbl>
      <w:tblPr>
        <w:tblStyle w:val="33"/>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gridCol w:w="747"/>
        <w:gridCol w:w="1007"/>
        <w:gridCol w:w="1094"/>
        <w:gridCol w:w="1042"/>
        <w:gridCol w:w="1042"/>
        <w:gridCol w:w="781"/>
        <w:gridCol w:w="781"/>
        <w:gridCol w:w="1125"/>
        <w:gridCol w:w="812"/>
        <w:gridCol w:w="781"/>
        <w:gridCol w:w="858"/>
        <w:gridCol w:w="703"/>
        <w:gridCol w:w="1361"/>
        <w:gridCol w:w="1046"/>
      </w:tblGrid>
      <w:tr w14:paraId="2727B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0" w:type="pct"/>
            <w:vMerge w:val="restart"/>
            <w:vAlign w:val="center"/>
          </w:tcPr>
          <w:p w14:paraId="1631B55D">
            <w:pPr>
              <w:pStyle w:val="55"/>
              <w:bidi w:val="0"/>
              <w:rPr>
                <w:rFonts w:hint="default"/>
              </w:rPr>
            </w:pPr>
            <w:r>
              <w:rPr>
                <w:rFonts w:hint="eastAsia"/>
                <w:lang w:eastAsia="zh-CN"/>
              </w:rPr>
              <w:t>排气筒</w:t>
            </w:r>
            <w:r>
              <w:rPr>
                <w:rFonts w:hint="default"/>
              </w:rPr>
              <w:t>编号</w:t>
            </w:r>
          </w:p>
        </w:tc>
        <w:tc>
          <w:tcPr>
            <w:tcW w:w="617" w:type="pct"/>
            <w:gridSpan w:val="2"/>
            <w:vAlign w:val="center"/>
          </w:tcPr>
          <w:p w14:paraId="4ABD405E">
            <w:pPr>
              <w:pStyle w:val="55"/>
              <w:bidi w:val="0"/>
              <w:rPr>
                <w:rFonts w:hint="default"/>
              </w:rPr>
            </w:pPr>
            <w:r>
              <w:rPr>
                <w:rFonts w:hint="default"/>
              </w:rPr>
              <w:t>名称</w:t>
            </w:r>
          </w:p>
        </w:tc>
        <w:tc>
          <w:tcPr>
            <w:tcW w:w="751" w:type="pct"/>
            <w:gridSpan w:val="2"/>
            <w:vAlign w:val="center"/>
          </w:tcPr>
          <w:p w14:paraId="793A6AF6">
            <w:pPr>
              <w:pStyle w:val="55"/>
              <w:bidi w:val="0"/>
              <w:rPr>
                <w:rFonts w:hint="default"/>
                <w:highlight w:val="none"/>
              </w:rPr>
            </w:pPr>
            <w:r>
              <w:rPr>
                <w:rFonts w:hint="default"/>
                <w:highlight w:val="none"/>
              </w:rPr>
              <w:t>排气筒底部中心坐标</w:t>
            </w:r>
          </w:p>
        </w:tc>
        <w:tc>
          <w:tcPr>
            <w:tcW w:w="366" w:type="pct"/>
            <w:vMerge w:val="restart"/>
            <w:vAlign w:val="center"/>
          </w:tcPr>
          <w:p w14:paraId="28FE18C9">
            <w:pPr>
              <w:pStyle w:val="55"/>
              <w:bidi w:val="0"/>
              <w:rPr>
                <w:rFonts w:hint="default"/>
              </w:rPr>
            </w:pPr>
            <w:r>
              <w:rPr>
                <w:rFonts w:hint="default"/>
              </w:rPr>
              <w:t>排气筒底部海拔高度/m</w:t>
            </w:r>
          </w:p>
        </w:tc>
        <w:tc>
          <w:tcPr>
            <w:tcW w:w="275" w:type="pct"/>
            <w:vMerge w:val="restart"/>
            <w:vAlign w:val="center"/>
          </w:tcPr>
          <w:p w14:paraId="5F1CCAF4">
            <w:pPr>
              <w:pStyle w:val="55"/>
              <w:bidi w:val="0"/>
              <w:rPr>
                <w:rFonts w:hint="default"/>
              </w:rPr>
            </w:pPr>
            <w:r>
              <w:rPr>
                <w:rFonts w:hint="default"/>
              </w:rPr>
              <w:t>排气筒高度/m</w:t>
            </w:r>
          </w:p>
        </w:tc>
        <w:tc>
          <w:tcPr>
            <w:tcW w:w="275" w:type="pct"/>
            <w:vMerge w:val="restart"/>
            <w:vAlign w:val="center"/>
          </w:tcPr>
          <w:p w14:paraId="4D3CC931">
            <w:pPr>
              <w:pStyle w:val="55"/>
              <w:bidi w:val="0"/>
              <w:rPr>
                <w:rFonts w:hint="default"/>
              </w:rPr>
            </w:pPr>
            <w:r>
              <w:rPr>
                <w:rFonts w:hint="default"/>
              </w:rPr>
              <w:t>排气筒出口内径/m</w:t>
            </w:r>
          </w:p>
        </w:tc>
        <w:tc>
          <w:tcPr>
            <w:tcW w:w="396" w:type="pct"/>
            <w:vMerge w:val="restart"/>
            <w:vAlign w:val="center"/>
          </w:tcPr>
          <w:p w14:paraId="4A17441E">
            <w:pPr>
              <w:pStyle w:val="55"/>
              <w:bidi w:val="0"/>
              <w:rPr>
                <w:rFonts w:hint="eastAsia"/>
                <w:lang w:val="en-US" w:eastAsia="zh-CN"/>
              </w:rPr>
            </w:pPr>
            <w:r>
              <w:rPr>
                <w:rFonts w:hint="default"/>
              </w:rPr>
              <w:t>烟气量/</w:t>
            </w:r>
            <w:r>
              <w:rPr>
                <w:rFonts w:hint="eastAsia"/>
                <w:lang w:val="en-US" w:eastAsia="zh-CN"/>
              </w:rPr>
              <w:t>N</w:t>
            </w:r>
            <w:r>
              <w:rPr>
                <w:rFonts w:hint="default"/>
              </w:rPr>
              <w:t>m</w:t>
            </w:r>
            <w:r>
              <w:rPr>
                <w:rFonts w:hint="default"/>
                <w:vertAlign w:val="superscript"/>
              </w:rPr>
              <w:t>3</w:t>
            </w:r>
            <w:r>
              <w:rPr>
                <w:rFonts w:hint="default"/>
              </w:rPr>
              <w:t>/</w:t>
            </w:r>
            <w:r>
              <w:rPr>
                <w:rFonts w:hint="eastAsia"/>
                <w:lang w:val="en-US" w:eastAsia="zh-CN"/>
              </w:rPr>
              <w:t>h</w:t>
            </w:r>
          </w:p>
        </w:tc>
        <w:tc>
          <w:tcPr>
            <w:tcW w:w="286" w:type="pct"/>
            <w:vMerge w:val="restart"/>
            <w:vAlign w:val="center"/>
          </w:tcPr>
          <w:p w14:paraId="7D8DF0FC">
            <w:pPr>
              <w:pStyle w:val="55"/>
              <w:bidi w:val="0"/>
              <w:rPr>
                <w:rFonts w:hint="default"/>
                <w:highlight w:val="none"/>
                <w:lang w:val="en-US" w:eastAsia="zh-CN"/>
              </w:rPr>
            </w:pPr>
            <w:r>
              <w:rPr>
                <w:rFonts w:hint="eastAsia"/>
                <w:highlight w:val="none"/>
                <w:lang w:val="en-US" w:eastAsia="zh-CN"/>
              </w:rPr>
              <w:t>流速/m/s</w:t>
            </w:r>
          </w:p>
        </w:tc>
        <w:tc>
          <w:tcPr>
            <w:tcW w:w="275" w:type="pct"/>
            <w:vMerge w:val="restart"/>
            <w:vAlign w:val="center"/>
          </w:tcPr>
          <w:p w14:paraId="2600D293">
            <w:pPr>
              <w:pStyle w:val="55"/>
              <w:bidi w:val="0"/>
              <w:rPr>
                <w:rFonts w:hint="default"/>
              </w:rPr>
            </w:pPr>
            <w:r>
              <w:rPr>
                <w:rFonts w:hint="default"/>
              </w:rPr>
              <w:t>烟气温度/℃</w:t>
            </w:r>
          </w:p>
        </w:tc>
        <w:tc>
          <w:tcPr>
            <w:tcW w:w="302" w:type="pct"/>
            <w:vMerge w:val="restart"/>
            <w:vAlign w:val="center"/>
          </w:tcPr>
          <w:p w14:paraId="46D81261">
            <w:pPr>
              <w:pStyle w:val="55"/>
              <w:bidi w:val="0"/>
              <w:rPr>
                <w:rFonts w:hint="default"/>
              </w:rPr>
            </w:pPr>
            <w:r>
              <w:rPr>
                <w:rFonts w:hint="default"/>
              </w:rPr>
              <w:t>年排放小时数/h</w:t>
            </w:r>
          </w:p>
        </w:tc>
        <w:tc>
          <w:tcPr>
            <w:tcW w:w="247" w:type="pct"/>
            <w:vMerge w:val="restart"/>
            <w:vAlign w:val="center"/>
          </w:tcPr>
          <w:p w14:paraId="0798FDE4">
            <w:pPr>
              <w:pStyle w:val="55"/>
              <w:bidi w:val="0"/>
              <w:rPr>
                <w:rFonts w:hint="default"/>
              </w:rPr>
            </w:pPr>
            <w:r>
              <w:rPr>
                <w:rFonts w:hint="default"/>
              </w:rPr>
              <w:t>排放</w:t>
            </w:r>
          </w:p>
          <w:p w14:paraId="54B8CAF8">
            <w:pPr>
              <w:pStyle w:val="55"/>
              <w:bidi w:val="0"/>
              <w:rPr>
                <w:rFonts w:hint="default"/>
              </w:rPr>
            </w:pPr>
            <w:r>
              <w:rPr>
                <w:rFonts w:hint="default"/>
              </w:rPr>
              <w:t>工况</w:t>
            </w:r>
          </w:p>
        </w:tc>
        <w:tc>
          <w:tcPr>
            <w:tcW w:w="847" w:type="pct"/>
            <w:gridSpan w:val="2"/>
            <w:vMerge w:val="restart"/>
            <w:vAlign w:val="center"/>
          </w:tcPr>
          <w:p w14:paraId="394F1BCE">
            <w:pPr>
              <w:pStyle w:val="55"/>
              <w:bidi w:val="0"/>
              <w:rPr>
                <w:rFonts w:hint="default"/>
              </w:rPr>
            </w:pPr>
            <w:r>
              <w:rPr>
                <w:rFonts w:hint="default"/>
              </w:rPr>
              <w:t>污染物排放速率kg/h</w:t>
            </w:r>
          </w:p>
        </w:tc>
      </w:tr>
      <w:tr w14:paraId="5D88E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0" w:type="pct"/>
            <w:vMerge w:val="continue"/>
            <w:vAlign w:val="center"/>
          </w:tcPr>
          <w:p w14:paraId="5992A87A">
            <w:pPr>
              <w:pStyle w:val="55"/>
              <w:bidi w:val="0"/>
              <w:rPr>
                <w:rFonts w:hint="default"/>
              </w:rPr>
            </w:pPr>
          </w:p>
        </w:tc>
        <w:tc>
          <w:tcPr>
            <w:tcW w:w="262" w:type="pct"/>
            <w:vAlign w:val="center"/>
          </w:tcPr>
          <w:p w14:paraId="0F059E1C">
            <w:pPr>
              <w:pStyle w:val="55"/>
              <w:bidi w:val="0"/>
              <w:rPr>
                <w:rFonts w:hint="default"/>
                <w:lang w:val="en-US" w:eastAsia="zh-CN"/>
              </w:rPr>
            </w:pPr>
            <w:r>
              <w:rPr>
                <w:rFonts w:hint="eastAsia"/>
                <w:lang w:val="en-US" w:eastAsia="zh-CN"/>
              </w:rPr>
              <w:t>车间名称</w:t>
            </w:r>
          </w:p>
        </w:tc>
        <w:tc>
          <w:tcPr>
            <w:tcW w:w="354" w:type="pct"/>
            <w:vAlign w:val="center"/>
          </w:tcPr>
          <w:p w14:paraId="3B35A517">
            <w:pPr>
              <w:pStyle w:val="55"/>
              <w:bidi w:val="0"/>
              <w:rPr>
                <w:rFonts w:hint="eastAsia"/>
                <w:lang w:val="en-US" w:eastAsia="zh-CN"/>
              </w:rPr>
            </w:pPr>
            <w:r>
              <w:rPr>
                <w:rFonts w:hint="eastAsia"/>
                <w:lang w:val="en-US" w:eastAsia="zh-CN"/>
              </w:rPr>
              <w:t>生产工序/设备</w:t>
            </w:r>
          </w:p>
        </w:tc>
        <w:tc>
          <w:tcPr>
            <w:tcW w:w="385" w:type="pct"/>
            <w:vAlign w:val="center"/>
          </w:tcPr>
          <w:p w14:paraId="46682933">
            <w:pPr>
              <w:pStyle w:val="55"/>
              <w:bidi w:val="0"/>
              <w:rPr>
                <w:rFonts w:hint="eastAsia"/>
                <w:highlight w:val="none"/>
                <w:lang w:eastAsia="zh-CN"/>
              </w:rPr>
            </w:pPr>
            <w:r>
              <w:rPr>
                <w:rFonts w:hint="eastAsia"/>
                <w:highlight w:val="none"/>
                <w:lang w:eastAsia="zh-CN"/>
              </w:rPr>
              <w:t>经度</w:t>
            </w:r>
          </w:p>
        </w:tc>
        <w:tc>
          <w:tcPr>
            <w:tcW w:w="366" w:type="pct"/>
            <w:vAlign w:val="center"/>
          </w:tcPr>
          <w:p w14:paraId="11E4017C">
            <w:pPr>
              <w:pStyle w:val="55"/>
              <w:bidi w:val="0"/>
              <w:rPr>
                <w:rFonts w:hint="default"/>
                <w:highlight w:val="none"/>
              </w:rPr>
            </w:pPr>
            <w:r>
              <w:rPr>
                <w:rFonts w:hint="eastAsia"/>
                <w:highlight w:val="none"/>
                <w:lang w:eastAsia="zh-CN"/>
              </w:rPr>
              <w:t>纬度</w:t>
            </w:r>
          </w:p>
        </w:tc>
        <w:tc>
          <w:tcPr>
            <w:tcW w:w="366" w:type="pct"/>
            <w:vMerge w:val="continue"/>
            <w:vAlign w:val="center"/>
          </w:tcPr>
          <w:p w14:paraId="39219E11">
            <w:pPr>
              <w:pStyle w:val="55"/>
              <w:bidi w:val="0"/>
              <w:rPr>
                <w:rFonts w:hint="default"/>
              </w:rPr>
            </w:pPr>
          </w:p>
        </w:tc>
        <w:tc>
          <w:tcPr>
            <w:tcW w:w="275" w:type="pct"/>
            <w:vMerge w:val="continue"/>
            <w:vAlign w:val="center"/>
          </w:tcPr>
          <w:p w14:paraId="25624035">
            <w:pPr>
              <w:pStyle w:val="55"/>
              <w:bidi w:val="0"/>
              <w:rPr>
                <w:rFonts w:hint="default"/>
              </w:rPr>
            </w:pPr>
          </w:p>
        </w:tc>
        <w:tc>
          <w:tcPr>
            <w:tcW w:w="275" w:type="pct"/>
            <w:vMerge w:val="continue"/>
            <w:vAlign w:val="center"/>
          </w:tcPr>
          <w:p w14:paraId="05390453">
            <w:pPr>
              <w:pStyle w:val="55"/>
              <w:bidi w:val="0"/>
              <w:rPr>
                <w:rFonts w:hint="default"/>
              </w:rPr>
            </w:pPr>
          </w:p>
        </w:tc>
        <w:tc>
          <w:tcPr>
            <w:tcW w:w="396" w:type="pct"/>
            <w:vMerge w:val="continue"/>
            <w:vAlign w:val="center"/>
          </w:tcPr>
          <w:p w14:paraId="2F10C8AA">
            <w:pPr>
              <w:pStyle w:val="55"/>
              <w:bidi w:val="0"/>
              <w:rPr>
                <w:rFonts w:hint="default"/>
              </w:rPr>
            </w:pPr>
          </w:p>
        </w:tc>
        <w:tc>
          <w:tcPr>
            <w:tcW w:w="286" w:type="pct"/>
            <w:vMerge w:val="continue"/>
            <w:vAlign w:val="center"/>
          </w:tcPr>
          <w:p w14:paraId="3DE699E3">
            <w:pPr>
              <w:pStyle w:val="55"/>
              <w:bidi w:val="0"/>
              <w:rPr>
                <w:rFonts w:hint="default"/>
                <w:highlight w:val="none"/>
              </w:rPr>
            </w:pPr>
          </w:p>
        </w:tc>
        <w:tc>
          <w:tcPr>
            <w:tcW w:w="275" w:type="pct"/>
            <w:vMerge w:val="continue"/>
            <w:vAlign w:val="center"/>
          </w:tcPr>
          <w:p w14:paraId="5CEE3273">
            <w:pPr>
              <w:pStyle w:val="55"/>
              <w:bidi w:val="0"/>
              <w:rPr>
                <w:rFonts w:hint="default"/>
              </w:rPr>
            </w:pPr>
          </w:p>
        </w:tc>
        <w:tc>
          <w:tcPr>
            <w:tcW w:w="302" w:type="pct"/>
            <w:vMerge w:val="continue"/>
            <w:vAlign w:val="center"/>
          </w:tcPr>
          <w:p w14:paraId="3BB3B8D3">
            <w:pPr>
              <w:pStyle w:val="55"/>
              <w:bidi w:val="0"/>
              <w:rPr>
                <w:rFonts w:hint="default"/>
              </w:rPr>
            </w:pPr>
          </w:p>
        </w:tc>
        <w:tc>
          <w:tcPr>
            <w:tcW w:w="247" w:type="pct"/>
            <w:vMerge w:val="continue"/>
            <w:vAlign w:val="center"/>
          </w:tcPr>
          <w:p w14:paraId="6C521780">
            <w:pPr>
              <w:pStyle w:val="55"/>
              <w:bidi w:val="0"/>
              <w:rPr>
                <w:rFonts w:hint="default"/>
              </w:rPr>
            </w:pPr>
          </w:p>
        </w:tc>
        <w:tc>
          <w:tcPr>
            <w:tcW w:w="847" w:type="pct"/>
            <w:gridSpan w:val="2"/>
            <w:vMerge w:val="continue"/>
            <w:vAlign w:val="center"/>
          </w:tcPr>
          <w:p w14:paraId="3CDF6606">
            <w:pPr>
              <w:pStyle w:val="55"/>
              <w:bidi w:val="0"/>
              <w:rPr>
                <w:rFonts w:hint="default"/>
              </w:rPr>
            </w:pPr>
          </w:p>
        </w:tc>
      </w:tr>
      <w:tr w14:paraId="3276B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0" w:type="pct"/>
            <w:vMerge w:val="restart"/>
            <w:vAlign w:val="center"/>
          </w:tcPr>
          <w:p w14:paraId="6EDE3686">
            <w:pPr>
              <w:pStyle w:val="55"/>
              <w:bidi w:val="0"/>
              <w:rPr>
                <w:rFonts w:hint="default" w:eastAsia="楷体"/>
                <w:lang w:val="en-US" w:eastAsia="zh-CN"/>
              </w:rPr>
            </w:pPr>
            <w:r>
              <w:rPr>
                <w:rFonts w:hint="eastAsia"/>
                <w:lang w:val="en-US" w:eastAsia="zh-CN"/>
              </w:rPr>
              <w:t>DA001</w:t>
            </w:r>
          </w:p>
        </w:tc>
        <w:tc>
          <w:tcPr>
            <w:tcW w:w="262" w:type="pct"/>
            <w:vMerge w:val="restart"/>
            <w:vAlign w:val="center"/>
          </w:tcPr>
          <w:p w14:paraId="3C8B668A">
            <w:pPr>
              <w:pStyle w:val="55"/>
              <w:bidi w:val="0"/>
              <w:rPr>
                <w:rFonts w:hint="default"/>
              </w:rPr>
            </w:pPr>
            <w:r>
              <w:rPr>
                <w:rFonts w:hint="eastAsia"/>
                <w:lang w:val="en-US" w:eastAsia="zh-CN"/>
              </w:rPr>
              <w:t>1#生产车间</w:t>
            </w:r>
          </w:p>
        </w:tc>
        <w:tc>
          <w:tcPr>
            <w:tcW w:w="354" w:type="pct"/>
            <w:vMerge w:val="restart"/>
            <w:vAlign w:val="center"/>
          </w:tcPr>
          <w:p w14:paraId="673F1CE6">
            <w:pPr>
              <w:pStyle w:val="55"/>
              <w:bidi w:val="0"/>
              <w:rPr>
                <w:rFonts w:hint="default"/>
                <w:lang w:val="en-US" w:eastAsia="zh-CN"/>
              </w:rPr>
            </w:pPr>
            <w:r>
              <w:rPr>
                <w:rFonts w:hint="default"/>
                <w:lang w:val="en-US" w:eastAsia="zh-CN"/>
              </w:rPr>
              <w:t>投料</w:t>
            </w:r>
            <w:r>
              <w:rPr>
                <w:rFonts w:hint="eastAsia"/>
                <w:lang w:val="en-US" w:eastAsia="zh-CN"/>
              </w:rPr>
              <w:t>、</w:t>
            </w:r>
            <w:r>
              <w:rPr>
                <w:rFonts w:hint="default"/>
                <w:lang w:val="en-US" w:eastAsia="zh-CN"/>
              </w:rPr>
              <w:t>搅拌</w:t>
            </w:r>
            <w:r>
              <w:rPr>
                <w:rFonts w:hint="eastAsia"/>
                <w:lang w:val="en-US" w:eastAsia="zh-CN"/>
              </w:rPr>
              <w:t>，挤出</w:t>
            </w:r>
            <w:r>
              <w:rPr>
                <w:rFonts w:hint="default"/>
                <w:lang w:val="en-US" w:eastAsia="zh-CN"/>
              </w:rPr>
              <w:t>工序</w:t>
            </w:r>
          </w:p>
        </w:tc>
        <w:tc>
          <w:tcPr>
            <w:tcW w:w="385" w:type="pct"/>
            <w:vMerge w:val="restart"/>
            <w:vAlign w:val="center"/>
          </w:tcPr>
          <w:p w14:paraId="0CEB4EE9">
            <w:pPr>
              <w:pStyle w:val="55"/>
              <w:bidi w:val="0"/>
              <w:rPr>
                <w:rFonts w:hint="default"/>
                <w:highlight w:val="none"/>
                <w:lang w:val="en-US" w:eastAsia="zh-CN"/>
              </w:rPr>
            </w:pPr>
            <w:r>
              <w:rPr>
                <w:rFonts w:hint="default"/>
                <w:highlight w:val="none"/>
                <w:lang w:val="en-US" w:eastAsia="zh-CN"/>
              </w:rPr>
              <w:t>115.186904102</w:t>
            </w:r>
          </w:p>
        </w:tc>
        <w:tc>
          <w:tcPr>
            <w:tcW w:w="366" w:type="pct"/>
            <w:vMerge w:val="restart"/>
            <w:vAlign w:val="center"/>
          </w:tcPr>
          <w:p w14:paraId="37FF5C56">
            <w:pPr>
              <w:pStyle w:val="55"/>
              <w:bidi w:val="0"/>
              <w:rPr>
                <w:rFonts w:hint="default"/>
                <w:highlight w:val="none"/>
                <w:lang w:val="en-US" w:eastAsia="zh-CN"/>
              </w:rPr>
            </w:pPr>
            <w:r>
              <w:rPr>
                <w:rFonts w:hint="default"/>
                <w:highlight w:val="none"/>
                <w:lang w:val="en-US" w:eastAsia="zh-CN"/>
              </w:rPr>
              <w:t>38.794752390</w:t>
            </w:r>
          </w:p>
        </w:tc>
        <w:tc>
          <w:tcPr>
            <w:tcW w:w="366" w:type="pct"/>
            <w:vMerge w:val="restart"/>
            <w:vAlign w:val="center"/>
          </w:tcPr>
          <w:p w14:paraId="79FB3B75">
            <w:pPr>
              <w:pStyle w:val="55"/>
              <w:bidi w:val="0"/>
              <w:rPr>
                <w:rFonts w:hint="default"/>
                <w:lang w:val="en-US" w:eastAsia="zh-CN"/>
              </w:rPr>
            </w:pPr>
            <w:r>
              <w:rPr>
                <w:rFonts w:hint="eastAsia"/>
                <w:lang w:val="en-US" w:eastAsia="zh-CN"/>
              </w:rPr>
              <w:t>40</w:t>
            </w:r>
          </w:p>
        </w:tc>
        <w:tc>
          <w:tcPr>
            <w:tcW w:w="275" w:type="pct"/>
            <w:vMerge w:val="restart"/>
            <w:vAlign w:val="center"/>
          </w:tcPr>
          <w:p w14:paraId="59FEEF93">
            <w:pPr>
              <w:pStyle w:val="55"/>
              <w:bidi w:val="0"/>
              <w:rPr>
                <w:rFonts w:hint="default"/>
                <w:lang w:val="en-US" w:eastAsia="zh-CN"/>
              </w:rPr>
            </w:pPr>
            <w:r>
              <w:rPr>
                <w:rFonts w:hint="eastAsia"/>
                <w:lang w:val="en-US" w:eastAsia="zh-CN"/>
              </w:rPr>
              <w:t>15</w:t>
            </w:r>
          </w:p>
        </w:tc>
        <w:tc>
          <w:tcPr>
            <w:tcW w:w="275" w:type="pct"/>
            <w:vMerge w:val="restart"/>
            <w:vAlign w:val="center"/>
          </w:tcPr>
          <w:p w14:paraId="47CE6BDE">
            <w:pPr>
              <w:pStyle w:val="55"/>
              <w:bidi w:val="0"/>
              <w:rPr>
                <w:rFonts w:hint="default"/>
                <w:lang w:val="en-US" w:eastAsia="zh-CN"/>
              </w:rPr>
            </w:pPr>
            <w:r>
              <w:rPr>
                <w:rFonts w:hint="eastAsia"/>
                <w:lang w:val="en-US" w:eastAsia="zh-CN"/>
              </w:rPr>
              <w:t>0.8</w:t>
            </w:r>
          </w:p>
        </w:tc>
        <w:tc>
          <w:tcPr>
            <w:tcW w:w="396" w:type="pct"/>
            <w:vMerge w:val="restart"/>
            <w:vAlign w:val="center"/>
          </w:tcPr>
          <w:p w14:paraId="13909799">
            <w:pPr>
              <w:pStyle w:val="55"/>
              <w:bidi w:val="0"/>
              <w:rPr>
                <w:rFonts w:hint="default"/>
                <w:lang w:val="en-US" w:eastAsia="zh-CN"/>
              </w:rPr>
            </w:pPr>
            <w:r>
              <w:rPr>
                <w:rFonts w:hint="eastAsia"/>
                <w:lang w:val="en-US" w:eastAsia="zh-CN"/>
              </w:rPr>
              <w:t>30000</w:t>
            </w:r>
          </w:p>
        </w:tc>
        <w:tc>
          <w:tcPr>
            <w:tcW w:w="286" w:type="pct"/>
            <w:vMerge w:val="restart"/>
            <w:vAlign w:val="center"/>
          </w:tcPr>
          <w:p w14:paraId="73E20E80">
            <w:pPr>
              <w:pStyle w:val="55"/>
              <w:bidi w:val="0"/>
              <w:rPr>
                <w:rFonts w:hint="default"/>
                <w:highlight w:val="none"/>
                <w:lang w:val="en-US" w:eastAsia="zh-CN"/>
              </w:rPr>
            </w:pPr>
            <w:r>
              <w:rPr>
                <w:rFonts w:hint="eastAsia"/>
                <w:highlight w:val="none"/>
                <w:lang w:val="en-US" w:eastAsia="zh-CN"/>
              </w:rPr>
              <w:t>16.6</w:t>
            </w:r>
          </w:p>
        </w:tc>
        <w:tc>
          <w:tcPr>
            <w:tcW w:w="275" w:type="pct"/>
            <w:vMerge w:val="restart"/>
            <w:vAlign w:val="center"/>
          </w:tcPr>
          <w:p w14:paraId="32556935">
            <w:pPr>
              <w:pStyle w:val="55"/>
              <w:bidi w:val="0"/>
              <w:rPr>
                <w:rFonts w:hint="default"/>
                <w:lang w:val="en-US" w:eastAsia="zh-CN"/>
              </w:rPr>
            </w:pPr>
            <w:r>
              <w:rPr>
                <w:rFonts w:hint="eastAsia"/>
                <w:lang w:val="en-US" w:eastAsia="zh-CN"/>
              </w:rPr>
              <w:t>30</w:t>
            </w:r>
          </w:p>
        </w:tc>
        <w:tc>
          <w:tcPr>
            <w:tcW w:w="302" w:type="pct"/>
            <w:vMerge w:val="restart"/>
            <w:vAlign w:val="center"/>
          </w:tcPr>
          <w:p w14:paraId="23BFCFBD">
            <w:pPr>
              <w:pStyle w:val="55"/>
              <w:bidi w:val="0"/>
              <w:rPr>
                <w:rFonts w:hint="default"/>
                <w:lang w:val="en-US" w:eastAsia="zh-CN"/>
              </w:rPr>
            </w:pPr>
            <w:r>
              <w:rPr>
                <w:rFonts w:hint="eastAsia"/>
                <w:lang w:val="en-US" w:eastAsia="zh-CN"/>
              </w:rPr>
              <w:t>7200</w:t>
            </w:r>
          </w:p>
        </w:tc>
        <w:tc>
          <w:tcPr>
            <w:tcW w:w="247" w:type="pct"/>
            <w:vMerge w:val="restart"/>
            <w:vAlign w:val="center"/>
          </w:tcPr>
          <w:p w14:paraId="6A52964A">
            <w:pPr>
              <w:pStyle w:val="55"/>
              <w:bidi w:val="0"/>
              <w:rPr>
                <w:rFonts w:hint="default"/>
              </w:rPr>
            </w:pPr>
            <w:r>
              <w:rPr>
                <w:rFonts w:hint="default"/>
              </w:rPr>
              <w:t>正常</w:t>
            </w:r>
          </w:p>
        </w:tc>
        <w:tc>
          <w:tcPr>
            <w:tcW w:w="479" w:type="pct"/>
            <w:tcBorders>
              <w:right w:val="single" w:color="000000" w:sz="4" w:space="0"/>
            </w:tcBorders>
            <w:vAlign w:val="center"/>
          </w:tcPr>
          <w:p w14:paraId="5ADDCAD5">
            <w:pPr>
              <w:pStyle w:val="55"/>
              <w:bidi w:val="0"/>
              <w:rPr>
                <w:rFonts w:hint="eastAsia" w:eastAsia="楷体"/>
                <w:lang w:eastAsia="zh-CN"/>
              </w:rPr>
            </w:pPr>
            <w:r>
              <w:rPr>
                <w:rFonts w:hint="eastAsia"/>
                <w:lang w:val="en-US" w:eastAsia="zh-CN"/>
              </w:rPr>
              <w:t>颗粒物</w:t>
            </w:r>
          </w:p>
        </w:tc>
        <w:tc>
          <w:tcPr>
            <w:tcW w:w="368" w:type="pct"/>
            <w:tcBorders>
              <w:left w:val="single" w:color="000000" w:sz="4" w:space="0"/>
            </w:tcBorders>
            <w:vAlign w:val="center"/>
          </w:tcPr>
          <w:p w14:paraId="6987AEFA">
            <w:pPr>
              <w:pStyle w:val="55"/>
              <w:bidi w:val="0"/>
              <w:rPr>
                <w:rFonts w:hint="default"/>
                <w:lang w:val="en-US" w:eastAsia="zh-CN"/>
              </w:rPr>
            </w:pPr>
            <w:r>
              <w:rPr>
                <w:rFonts w:hint="eastAsia"/>
                <w:lang w:val="en-US" w:eastAsia="zh-CN"/>
              </w:rPr>
              <w:t>0.189</w:t>
            </w:r>
          </w:p>
        </w:tc>
      </w:tr>
      <w:tr w14:paraId="574D5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0" w:type="pct"/>
            <w:vMerge w:val="continue"/>
            <w:vAlign w:val="center"/>
          </w:tcPr>
          <w:p w14:paraId="3F40A420">
            <w:pPr>
              <w:pStyle w:val="55"/>
              <w:bidi w:val="0"/>
              <w:rPr>
                <w:rFonts w:hint="eastAsia"/>
                <w:lang w:val="en-US" w:eastAsia="zh-CN"/>
              </w:rPr>
            </w:pPr>
          </w:p>
        </w:tc>
        <w:tc>
          <w:tcPr>
            <w:tcW w:w="262" w:type="pct"/>
            <w:vMerge w:val="continue"/>
            <w:vAlign w:val="center"/>
          </w:tcPr>
          <w:p w14:paraId="239E1430">
            <w:pPr>
              <w:pStyle w:val="55"/>
              <w:bidi w:val="0"/>
              <w:rPr>
                <w:rFonts w:hint="eastAsia"/>
                <w:lang w:val="en-US" w:eastAsia="zh-CN"/>
              </w:rPr>
            </w:pPr>
          </w:p>
        </w:tc>
        <w:tc>
          <w:tcPr>
            <w:tcW w:w="354" w:type="pct"/>
            <w:vMerge w:val="continue"/>
            <w:vAlign w:val="center"/>
          </w:tcPr>
          <w:p w14:paraId="443F1716">
            <w:pPr>
              <w:pStyle w:val="55"/>
              <w:bidi w:val="0"/>
              <w:rPr>
                <w:rFonts w:hint="default"/>
                <w:lang w:val="en-US" w:eastAsia="zh-CN"/>
              </w:rPr>
            </w:pPr>
          </w:p>
        </w:tc>
        <w:tc>
          <w:tcPr>
            <w:tcW w:w="385" w:type="pct"/>
            <w:vMerge w:val="continue"/>
            <w:vAlign w:val="center"/>
          </w:tcPr>
          <w:p w14:paraId="3BA57EC8">
            <w:pPr>
              <w:pStyle w:val="55"/>
              <w:bidi w:val="0"/>
              <w:rPr>
                <w:rFonts w:hint="default"/>
                <w:highlight w:val="none"/>
                <w:lang w:val="en-US" w:eastAsia="zh-CN"/>
              </w:rPr>
            </w:pPr>
          </w:p>
        </w:tc>
        <w:tc>
          <w:tcPr>
            <w:tcW w:w="366" w:type="pct"/>
            <w:vMerge w:val="continue"/>
            <w:vAlign w:val="center"/>
          </w:tcPr>
          <w:p w14:paraId="28FA526D">
            <w:pPr>
              <w:pStyle w:val="55"/>
              <w:bidi w:val="0"/>
              <w:rPr>
                <w:rFonts w:hint="default"/>
                <w:highlight w:val="none"/>
                <w:lang w:val="en-US" w:eastAsia="zh-CN"/>
              </w:rPr>
            </w:pPr>
          </w:p>
        </w:tc>
        <w:tc>
          <w:tcPr>
            <w:tcW w:w="366" w:type="pct"/>
            <w:vMerge w:val="continue"/>
            <w:vAlign w:val="center"/>
          </w:tcPr>
          <w:p w14:paraId="65171EB7">
            <w:pPr>
              <w:pStyle w:val="55"/>
              <w:bidi w:val="0"/>
              <w:rPr>
                <w:rFonts w:hint="eastAsia"/>
                <w:lang w:val="en-US" w:eastAsia="zh-CN"/>
              </w:rPr>
            </w:pPr>
          </w:p>
        </w:tc>
        <w:tc>
          <w:tcPr>
            <w:tcW w:w="275" w:type="pct"/>
            <w:vMerge w:val="continue"/>
            <w:vAlign w:val="center"/>
          </w:tcPr>
          <w:p w14:paraId="1BD3896E">
            <w:pPr>
              <w:pStyle w:val="55"/>
              <w:bidi w:val="0"/>
              <w:rPr>
                <w:rFonts w:hint="eastAsia"/>
                <w:lang w:val="en-US" w:eastAsia="zh-CN"/>
              </w:rPr>
            </w:pPr>
          </w:p>
        </w:tc>
        <w:tc>
          <w:tcPr>
            <w:tcW w:w="275" w:type="pct"/>
            <w:vMerge w:val="continue"/>
            <w:vAlign w:val="center"/>
          </w:tcPr>
          <w:p w14:paraId="5E35A7FB">
            <w:pPr>
              <w:pStyle w:val="55"/>
              <w:bidi w:val="0"/>
              <w:rPr>
                <w:rFonts w:hint="eastAsia"/>
                <w:lang w:val="en-US" w:eastAsia="zh-CN"/>
              </w:rPr>
            </w:pPr>
          </w:p>
        </w:tc>
        <w:tc>
          <w:tcPr>
            <w:tcW w:w="396" w:type="pct"/>
            <w:vMerge w:val="continue"/>
            <w:vAlign w:val="center"/>
          </w:tcPr>
          <w:p w14:paraId="7B50FB22">
            <w:pPr>
              <w:pStyle w:val="55"/>
              <w:bidi w:val="0"/>
              <w:rPr>
                <w:rFonts w:hint="eastAsia"/>
                <w:lang w:val="en-US" w:eastAsia="zh-CN"/>
              </w:rPr>
            </w:pPr>
          </w:p>
        </w:tc>
        <w:tc>
          <w:tcPr>
            <w:tcW w:w="286" w:type="pct"/>
            <w:vMerge w:val="continue"/>
            <w:vAlign w:val="center"/>
          </w:tcPr>
          <w:p w14:paraId="79523129">
            <w:pPr>
              <w:pStyle w:val="55"/>
              <w:bidi w:val="0"/>
              <w:rPr>
                <w:rFonts w:hint="eastAsia"/>
                <w:highlight w:val="none"/>
                <w:lang w:val="en-US" w:eastAsia="zh-CN"/>
              </w:rPr>
            </w:pPr>
          </w:p>
        </w:tc>
        <w:tc>
          <w:tcPr>
            <w:tcW w:w="275" w:type="pct"/>
            <w:vMerge w:val="continue"/>
            <w:vAlign w:val="center"/>
          </w:tcPr>
          <w:p w14:paraId="26CB555A">
            <w:pPr>
              <w:pStyle w:val="55"/>
              <w:bidi w:val="0"/>
              <w:rPr>
                <w:rFonts w:hint="eastAsia"/>
                <w:lang w:val="en-US" w:eastAsia="zh-CN"/>
              </w:rPr>
            </w:pPr>
          </w:p>
        </w:tc>
        <w:tc>
          <w:tcPr>
            <w:tcW w:w="302" w:type="pct"/>
            <w:vMerge w:val="continue"/>
            <w:vAlign w:val="center"/>
          </w:tcPr>
          <w:p w14:paraId="4ECD7851">
            <w:pPr>
              <w:pStyle w:val="55"/>
              <w:bidi w:val="0"/>
              <w:rPr>
                <w:rFonts w:hint="eastAsia"/>
                <w:lang w:val="en-US" w:eastAsia="zh-CN"/>
              </w:rPr>
            </w:pPr>
          </w:p>
        </w:tc>
        <w:tc>
          <w:tcPr>
            <w:tcW w:w="247" w:type="pct"/>
            <w:vMerge w:val="continue"/>
            <w:vAlign w:val="center"/>
          </w:tcPr>
          <w:p w14:paraId="7D29A0F8">
            <w:pPr>
              <w:pStyle w:val="55"/>
              <w:bidi w:val="0"/>
              <w:rPr>
                <w:rFonts w:hint="default"/>
              </w:rPr>
            </w:pPr>
          </w:p>
        </w:tc>
        <w:tc>
          <w:tcPr>
            <w:tcW w:w="479" w:type="pct"/>
            <w:tcBorders>
              <w:right w:val="single" w:color="000000" w:sz="4" w:space="0"/>
            </w:tcBorders>
            <w:vAlign w:val="center"/>
          </w:tcPr>
          <w:p w14:paraId="19DFCD50">
            <w:pPr>
              <w:pStyle w:val="55"/>
              <w:bidi w:val="0"/>
              <w:rPr>
                <w:rFonts w:hint="default" w:eastAsia="楷体"/>
                <w:lang w:val="en-US" w:eastAsia="zh-CN"/>
              </w:rPr>
            </w:pPr>
            <w:r>
              <w:rPr>
                <w:rFonts w:hint="eastAsia"/>
                <w:lang w:val="en-US" w:eastAsia="zh-CN"/>
              </w:rPr>
              <w:t>非甲烷总烃</w:t>
            </w:r>
          </w:p>
        </w:tc>
        <w:tc>
          <w:tcPr>
            <w:tcW w:w="368" w:type="pct"/>
            <w:tcBorders>
              <w:left w:val="single" w:color="000000" w:sz="4" w:space="0"/>
            </w:tcBorders>
            <w:vAlign w:val="center"/>
          </w:tcPr>
          <w:p w14:paraId="397AD99E">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default"/>
                <w:lang w:val="en-US" w:eastAsia="zh-CN"/>
              </w:rPr>
            </w:pPr>
            <w:r>
              <w:rPr>
                <w:rFonts w:hint="eastAsia"/>
                <w:lang w:val="en-US" w:eastAsia="zh-CN"/>
              </w:rPr>
              <w:t>0.316</w:t>
            </w:r>
          </w:p>
        </w:tc>
      </w:tr>
      <w:tr w14:paraId="1128F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0" w:type="pct"/>
            <w:vMerge w:val="continue"/>
            <w:vAlign w:val="center"/>
          </w:tcPr>
          <w:p w14:paraId="7D834811">
            <w:pPr>
              <w:pStyle w:val="55"/>
              <w:bidi w:val="0"/>
              <w:rPr>
                <w:rFonts w:hint="eastAsia"/>
                <w:lang w:val="en-US" w:eastAsia="zh-CN"/>
              </w:rPr>
            </w:pPr>
          </w:p>
        </w:tc>
        <w:tc>
          <w:tcPr>
            <w:tcW w:w="262" w:type="pct"/>
            <w:vMerge w:val="continue"/>
            <w:vAlign w:val="center"/>
          </w:tcPr>
          <w:p w14:paraId="41266EDA">
            <w:pPr>
              <w:pStyle w:val="55"/>
              <w:bidi w:val="0"/>
              <w:rPr>
                <w:rFonts w:hint="eastAsia"/>
                <w:lang w:val="en-US" w:eastAsia="zh-CN"/>
              </w:rPr>
            </w:pPr>
          </w:p>
        </w:tc>
        <w:tc>
          <w:tcPr>
            <w:tcW w:w="354" w:type="pct"/>
            <w:vMerge w:val="continue"/>
            <w:vAlign w:val="center"/>
          </w:tcPr>
          <w:p w14:paraId="291D9F83">
            <w:pPr>
              <w:pStyle w:val="55"/>
              <w:bidi w:val="0"/>
              <w:rPr>
                <w:rFonts w:hint="default"/>
                <w:lang w:val="en-US" w:eastAsia="zh-CN"/>
              </w:rPr>
            </w:pPr>
          </w:p>
        </w:tc>
        <w:tc>
          <w:tcPr>
            <w:tcW w:w="385" w:type="pct"/>
            <w:vMerge w:val="continue"/>
            <w:vAlign w:val="center"/>
          </w:tcPr>
          <w:p w14:paraId="70656891">
            <w:pPr>
              <w:pStyle w:val="55"/>
              <w:bidi w:val="0"/>
              <w:rPr>
                <w:rFonts w:hint="default"/>
                <w:highlight w:val="none"/>
                <w:lang w:val="en-US" w:eastAsia="zh-CN"/>
              </w:rPr>
            </w:pPr>
          </w:p>
        </w:tc>
        <w:tc>
          <w:tcPr>
            <w:tcW w:w="366" w:type="pct"/>
            <w:vMerge w:val="continue"/>
            <w:vAlign w:val="center"/>
          </w:tcPr>
          <w:p w14:paraId="6E2F1774">
            <w:pPr>
              <w:pStyle w:val="55"/>
              <w:bidi w:val="0"/>
              <w:rPr>
                <w:rFonts w:hint="default"/>
                <w:highlight w:val="none"/>
                <w:lang w:val="en-US" w:eastAsia="zh-CN"/>
              </w:rPr>
            </w:pPr>
          </w:p>
        </w:tc>
        <w:tc>
          <w:tcPr>
            <w:tcW w:w="366" w:type="pct"/>
            <w:vMerge w:val="continue"/>
            <w:vAlign w:val="center"/>
          </w:tcPr>
          <w:p w14:paraId="70514E8A">
            <w:pPr>
              <w:pStyle w:val="55"/>
              <w:bidi w:val="0"/>
              <w:rPr>
                <w:rFonts w:hint="eastAsia"/>
                <w:lang w:val="en-US" w:eastAsia="zh-CN"/>
              </w:rPr>
            </w:pPr>
          </w:p>
        </w:tc>
        <w:tc>
          <w:tcPr>
            <w:tcW w:w="275" w:type="pct"/>
            <w:vMerge w:val="continue"/>
            <w:vAlign w:val="center"/>
          </w:tcPr>
          <w:p w14:paraId="7B0D6111">
            <w:pPr>
              <w:pStyle w:val="55"/>
              <w:bidi w:val="0"/>
              <w:rPr>
                <w:rFonts w:hint="eastAsia"/>
                <w:lang w:val="en-US" w:eastAsia="zh-CN"/>
              </w:rPr>
            </w:pPr>
          </w:p>
        </w:tc>
        <w:tc>
          <w:tcPr>
            <w:tcW w:w="275" w:type="pct"/>
            <w:vMerge w:val="continue"/>
            <w:vAlign w:val="center"/>
          </w:tcPr>
          <w:p w14:paraId="507C5A77">
            <w:pPr>
              <w:pStyle w:val="55"/>
              <w:bidi w:val="0"/>
              <w:rPr>
                <w:rFonts w:hint="eastAsia"/>
                <w:lang w:val="en-US" w:eastAsia="zh-CN"/>
              </w:rPr>
            </w:pPr>
          </w:p>
        </w:tc>
        <w:tc>
          <w:tcPr>
            <w:tcW w:w="396" w:type="pct"/>
            <w:vMerge w:val="continue"/>
            <w:vAlign w:val="center"/>
          </w:tcPr>
          <w:p w14:paraId="1FA4F1EA">
            <w:pPr>
              <w:pStyle w:val="55"/>
              <w:bidi w:val="0"/>
              <w:rPr>
                <w:rFonts w:hint="eastAsia"/>
                <w:lang w:val="en-US" w:eastAsia="zh-CN"/>
              </w:rPr>
            </w:pPr>
          </w:p>
        </w:tc>
        <w:tc>
          <w:tcPr>
            <w:tcW w:w="286" w:type="pct"/>
            <w:vMerge w:val="continue"/>
            <w:vAlign w:val="center"/>
          </w:tcPr>
          <w:p w14:paraId="2B0DE2F2">
            <w:pPr>
              <w:pStyle w:val="55"/>
              <w:bidi w:val="0"/>
              <w:rPr>
                <w:rFonts w:hint="eastAsia"/>
                <w:highlight w:val="none"/>
                <w:lang w:val="en-US" w:eastAsia="zh-CN"/>
              </w:rPr>
            </w:pPr>
          </w:p>
        </w:tc>
        <w:tc>
          <w:tcPr>
            <w:tcW w:w="275" w:type="pct"/>
            <w:vMerge w:val="continue"/>
            <w:vAlign w:val="center"/>
          </w:tcPr>
          <w:p w14:paraId="4BAFCF73">
            <w:pPr>
              <w:pStyle w:val="55"/>
              <w:bidi w:val="0"/>
              <w:rPr>
                <w:rFonts w:hint="eastAsia"/>
                <w:lang w:val="en-US" w:eastAsia="zh-CN"/>
              </w:rPr>
            </w:pPr>
          </w:p>
        </w:tc>
        <w:tc>
          <w:tcPr>
            <w:tcW w:w="302" w:type="pct"/>
            <w:vMerge w:val="continue"/>
            <w:vAlign w:val="center"/>
          </w:tcPr>
          <w:p w14:paraId="73399F2C">
            <w:pPr>
              <w:pStyle w:val="55"/>
              <w:bidi w:val="0"/>
              <w:rPr>
                <w:rFonts w:hint="eastAsia"/>
                <w:lang w:val="en-US" w:eastAsia="zh-CN"/>
              </w:rPr>
            </w:pPr>
          </w:p>
        </w:tc>
        <w:tc>
          <w:tcPr>
            <w:tcW w:w="247" w:type="pct"/>
            <w:vMerge w:val="continue"/>
            <w:vAlign w:val="center"/>
          </w:tcPr>
          <w:p w14:paraId="6FA8A3DF">
            <w:pPr>
              <w:pStyle w:val="55"/>
              <w:bidi w:val="0"/>
              <w:rPr>
                <w:rFonts w:hint="default"/>
              </w:rPr>
            </w:pPr>
          </w:p>
        </w:tc>
        <w:tc>
          <w:tcPr>
            <w:tcW w:w="479" w:type="pct"/>
            <w:tcBorders>
              <w:right w:val="single" w:color="000000" w:sz="4" w:space="0"/>
            </w:tcBorders>
            <w:vAlign w:val="center"/>
          </w:tcPr>
          <w:p w14:paraId="558FCD56">
            <w:pPr>
              <w:pStyle w:val="55"/>
              <w:bidi w:val="0"/>
              <w:rPr>
                <w:rFonts w:hint="eastAsia" w:eastAsia="楷体"/>
                <w:lang w:val="en-US" w:eastAsia="zh-CN"/>
              </w:rPr>
            </w:pPr>
            <w:r>
              <w:rPr>
                <w:rFonts w:hint="eastAsia"/>
                <w:lang w:val="en-US" w:eastAsia="zh-CN"/>
              </w:rPr>
              <w:t>HCl</w:t>
            </w:r>
          </w:p>
        </w:tc>
        <w:tc>
          <w:tcPr>
            <w:tcW w:w="368" w:type="pct"/>
            <w:tcBorders>
              <w:left w:val="single" w:color="000000" w:sz="4" w:space="0"/>
            </w:tcBorders>
            <w:vAlign w:val="center"/>
          </w:tcPr>
          <w:p w14:paraId="0B7CDCAB">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default"/>
                <w:lang w:val="en-US" w:eastAsia="zh-CN"/>
              </w:rPr>
            </w:pPr>
            <w:r>
              <w:rPr>
                <w:rFonts w:hint="eastAsia"/>
                <w:lang w:val="en-US" w:eastAsia="zh-CN"/>
              </w:rPr>
              <w:t>0.0002</w:t>
            </w:r>
          </w:p>
        </w:tc>
      </w:tr>
      <w:tr w14:paraId="766EF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0" w:type="pct"/>
            <w:vMerge w:val="restart"/>
            <w:vAlign w:val="center"/>
          </w:tcPr>
          <w:p w14:paraId="590257FD">
            <w:pPr>
              <w:pStyle w:val="55"/>
              <w:bidi w:val="0"/>
              <w:rPr>
                <w:rFonts w:hint="default"/>
                <w:lang w:val="en-US" w:eastAsia="zh-CN"/>
              </w:rPr>
            </w:pPr>
            <w:r>
              <w:rPr>
                <w:rFonts w:hint="eastAsia"/>
                <w:lang w:val="en-US" w:eastAsia="zh-CN"/>
              </w:rPr>
              <w:t>DA002</w:t>
            </w:r>
          </w:p>
        </w:tc>
        <w:tc>
          <w:tcPr>
            <w:tcW w:w="262" w:type="pct"/>
            <w:vMerge w:val="restart"/>
            <w:vAlign w:val="center"/>
          </w:tcPr>
          <w:p w14:paraId="2D6EF6B4">
            <w:pPr>
              <w:pStyle w:val="55"/>
              <w:bidi w:val="0"/>
              <w:rPr>
                <w:rFonts w:hint="eastAsia"/>
                <w:lang w:val="en-US" w:eastAsia="zh-CN"/>
              </w:rPr>
            </w:pPr>
            <w:r>
              <w:rPr>
                <w:rFonts w:hint="eastAsia"/>
                <w:lang w:val="en-US" w:eastAsia="zh-CN"/>
              </w:rPr>
              <w:t>2#生产车间</w:t>
            </w:r>
          </w:p>
        </w:tc>
        <w:tc>
          <w:tcPr>
            <w:tcW w:w="354" w:type="pct"/>
            <w:vMerge w:val="restart"/>
            <w:vAlign w:val="center"/>
          </w:tcPr>
          <w:p w14:paraId="1F8CE875">
            <w:pPr>
              <w:pStyle w:val="55"/>
              <w:bidi w:val="0"/>
              <w:rPr>
                <w:rFonts w:hint="default"/>
                <w:lang w:val="en-US" w:eastAsia="zh-CN"/>
              </w:rPr>
            </w:pPr>
            <w:r>
              <w:rPr>
                <w:rFonts w:hint="default"/>
                <w:lang w:val="en-US" w:eastAsia="zh-CN"/>
              </w:rPr>
              <w:t>投料</w:t>
            </w:r>
            <w:r>
              <w:rPr>
                <w:rFonts w:hint="eastAsia"/>
                <w:lang w:val="en-US" w:eastAsia="zh-CN"/>
              </w:rPr>
              <w:t>、</w:t>
            </w:r>
            <w:r>
              <w:rPr>
                <w:rFonts w:hint="default"/>
                <w:lang w:val="en-US" w:eastAsia="zh-CN"/>
              </w:rPr>
              <w:t>搅拌</w:t>
            </w:r>
            <w:r>
              <w:rPr>
                <w:rFonts w:hint="eastAsia"/>
                <w:lang w:val="en-US" w:eastAsia="zh-CN"/>
              </w:rPr>
              <w:t>，挤出</w:t>
            </w:r>
            <w:r>
              <w:rPr>
                <w:rFonts w:hint="default"/>
                <w:lang w:val="en-US" w:eastAsia="zh-CN"/>
              </w:rPr>
              <w:t>工序</w:t>
            </w:r>
          </w:p>
        </w:tc>
        <w:tc>
          <w:tcPr>
            <w:tcW w:w="385" w:type="pct"/>
            <w:vMerge w:val="restart"/>
            <w:vAlign w:val="center"/>
          </w:tcPr>
          <w:p w14:paraId="01F31859">
            <w:pPr>
              <w:pStyle w:val="55"/>
              <w:bidi w:val="0"/>
              <w:rPr>
                <w:rFonts w:hint="default"/>
                <w:highlight w:val="none"/>
                <w:lang w:val="en-US" w:eastAsia="zh-CN"/>
              </w:rPr>
            </w:pPr>
            <w:r>
              <w:rPr>
                <w:rFonts w:hint="default"/>
                <w:highlight w:val="none"/>
                <w:lang w:val="en-US" w:eastAsia="zh-CN"/>
              </w:rPr>
              <w:t>115.186008244</w:t>
            </w:r>
          </w:p>
        </w:tc>
        <w:tc>
          <w:tcPr>
            <w:tcW w:w="366" w:type="pct"/>
            <w:vMerge w:val="restart"/>
            <w:vAlign w:val="center"/>
          </w:tcPr>
          <w:p w14:paraId="62A51985">
            <w:pPr>
              <w:pStyle w:val="55"/>
              <w:bidi w:val="0"/>
              <w:rPr>
                <w:rFonts w:hint="default"/>
                <w:highlight w:val="none"/>
                <w:lang w:val="en-US" w:eastAsia="zh-CN"/>
              </w:rPr>
            </w:pPr>
            <w:r>
              <w:rPr>
                <w:rFonts w:hint="default"/>
                <w:highlight w:val="none"/>
                <w:lang w:val="en-US" w:eastAsia="zh-CN"/>
              </w:rPr>
              <w:t>38.794730932</w:t>
            </w:r>
          </w:p>
        </w:tc>
        <w:tc>
          <w:tcPr>
            <w:tcW w:w="366" w:type="pct"/>
            <w:vMerge w:val="restart"/>
            <w:vAlign w:val="center"/>
          </w:tcPr>
          <w:p w14:paraId="6EFD61AF">
            <w:pPr>
              <w:pStyle w:val="55"/>
              <w:bidi w:val="0"/>
              <w:rPr>
                <w:rFonts w:hint="default"/>
                <w:lang w:val="en-US" w:eastAsia="zh-CN"/>
              </w:rPr>
            </w:pPr>
            <w:r>
              <w:rPr>
                <w:rFonts w:hint="eastAsia"/>
                <w:lang w:val="en-US" w:eastAsia="zh-CN"/>
              </w:rPr>
              <w:t>39</w:t>
            </w:r>
          </w:p>
        </w:tc>
        <w:tc>
          <w:tcPr>
            <w:tcW w:w="275" w:type="pct"/>
            <w:vMerge w:val="restart"/>
            <w:vAlign w:val="center"/>
          </w:tcPr>
          <w:p w14:paraId="367AEA88">
            <w:pPr>
              <w:pStyle w:val="55"/>
              <w:bidi w:val="0"/>
              <w:rPr>
                <w:rFonts w:hint="default"/>
                <w:lang w:val="en-US" w:eastAsia="zh-CN"/>
              </w:rPr>
            </w:pPr>
            <w:r>
              <w:rPr>
                <w:rFonts w:hint="eastAsia"/>
                <w:lang w:val="en-US" w:eastAsia="zh-CN"/>
              </w:rPr>
              <w:t>15</w:t>
            </w:r>
          </w:p>
        </w:tc>
        <w:tc>
          <w:tcPr>
            <w:tcW w:w="275" w:type="pct"/>
            <w:vMerge w:val="restart"/>
            <w:vAlign w:val="center"/>
          </w:tcPr>
          <w:p w14:paraId="354E8944">
            <w:pPr>
              <w:pStyle w:val="55"/>
              <w:bidi w:val="0"/>
              <w:rPr>
                <w:rFonts w:hint="default"/>
                <w:lang w:val="en-US" w:eastAsia="zh-CN"/>
              </w:rPr>
            </w:pPr>
            <w:r>
              <w:rPr>
                <w:rFonts w:hint="eastAsia"/>
                <w:lang w:val="en-US" w:eastAsia="zh-CN"/>
              </w:rPr>
              <w:t>0.8</w:t>
            </w:r>
          </w:p>
        </w:tc>
        <w:tc>
          <w:tcPr>
            <w:tcW w:w="396" w:type="pct"/>
            <w:vMerge w:val="restart"/>
            <w:vAlign w:val="center"/>
          </w:tcPr>
          <w:p w14:paraId="0345BF12">
            <w:pPr>
              <w:pStyle w:val="55"/>
              <w:bidi w:val="0"/>
              <w:rPr>
                <w:rFonts w:hint="default"/>
                <w:lang w:val="en-US" w:eastAsia="zh-CN"/>
              </w:rPr>
            </w:pPr>
            <w:r>
              <w:rPr>
                <w:rFonts w:hint="eastAsia"/>
                <w:lang w:val="en-US" w:eastAsia="zh-CN"/>
              </w:rPr>
              <w:t>30000</w:t>
            </w:r>
          </w:p>
        </w:tc>
        <w:tc>
          <w:tcPr>
            <w:tcW w:w="286" w:type="pct"/>
            <w:vMerge w:val="restart"/>
            <w:vAlign w:val="center"/>
          </w:tcPr>
          <w:p w14:paraId="3A0736B3">
            <w:pPr>
              <w:pStyle w:val="55"/>
              <w:bidi w:val="0"/>
              <w:rPr>
                <w:rFonts w:hint="default"/>
                <w:highlight w:val="none"/>
                <w:lang w:val="en-US" w:eastAsia="zh-CN"/>
              </w:rPr>
            </w:pPr>
            <w:r>
              <w:rPr>
                <w:rFonts w:hint="eastAsia"/>
                <w:highlight w:val="none"/>
                <w:lang w:val="en-US" w:eastAsia="zh-CN"/>
              </w:rPr>
              <w:t>16.6</w:t>
            </w:r>
          </w:p>
        </w:tc>
        <w:tc>
          <w:tcPr>
            <w:tcW w:w="275" w:type="pct"/>
            <w:vMerge w:val="restart"/>
            <w:vAlign w:val="center"/>
          </w:tcPr>
          <w:p w14:paraId="50C3B37B">
            <w:pPr>
              <w:pStyle w:val="55"/>
              <w:bidi w:val="0"/>
              <w:rPr>
                <w:rFonts w:hint="default"/>
                <w:lang w:val="en-US" w:eastAsia="zh-CN"/>
              </w:rPr>
            </w:pPr>
            <w:r>
              <w:rPr>
                <w:rFonts w:hint="eastAsia"/>
                <w:lang w:val="en-US" w:eastAsia="zh-CN"/>
              </w:rPr>
              <w:t>30</w:t>
            </w:r>
          </w:p>
        </w:tc>
        <w:tc>
          <w:tcPr>
            <w:tcW w:w="302" w:type="pct"/>
            <w:vMerge w:val="restart"/>
            <w:vAlign w:val="center"/>
          </w:tcPr>
          <w:p w14:paraId="275C5C51">
            <w:pPr>
              <w:pStyle w:val="55"/>
              <w:bidi w:val="0"/>
              <w:rPr>
                <w:rFonts w:hint="default"/>
                <w:lang w:val="en-US" w:eastAsia="zh-CN"/>
              </w:rPr>
            </w:pPr>
            <w:r>
              <w:rPr>
                <w:rFonts w:hint="eastAsia"/>
                <w:lang w:val="en-US" w:eastAsia="zh-CN"/>
              </w:rPr>
              <w:t>7200</w:t>
            </w:r>
          </w:p>
        </w:tc>
        <w:tc>
          <w:tcPr>
            <w:tcW w:w="247" w:type="pct"/>
            <w:vMerge w:val="restart"/>
            <w:vAlign w:val="center"/>
          </w:tcPr>
          <w:p w14:paraId="169B24A6">
            <w:pPr>
              <w:pStyle w:val="55"/>
              <w:bidi w:val="0"/>
              <w:rPr>
                <w:rFonts w:hint="default"/>
              </w:rPr>
            </w:pPr>
            <w:r>
              <w:rPr>
                <w:rFonts w:hint="default"/>
              </w:rPr>
              <w:t>正常</w:t>
            </w:r>
          </w:p>
        </w:tc>
        <w:tc>
          <w:tcPr>
            <w:tcW w:w="479" w:type="pct"/>
            <w:tcBorders>
              <w:right w:val="single" w:color="000000" w:sz="4" w:space="0"/>
            </w:tcBorders>
            <w:vAlign w:val="center"/>
          </w:tcPr>
          <w:p w14:paraId="33EE0305">
            <w:pPr>
              <w:pStyle w:val="55"/>
              <w:bidi w:val="0"/>
              <w:rPr>
                <w:rFonts w:hint="default"/>
              </w:rPr>
            </w:pPr>
            <w:r>
              <w:rPr>
                <w:rFonts w:hint="eastAsia"/>
                <w:lang w:val="en-US" w:eastAsia="zh-CN"/>
              </w:rPr>
              <w:t>颗粒物</w:t>
            </w:r>
          </w:p>
        </w:tc>
        <w:tc>
          <w:tcPr>
            <w:tcW w:w="368" w:type="pct"/>
            <w:tcBorders>
              <w:left w:val="single" w:color="000000" w:sz="4" w:space="0"/>
            </w:tcBorders>
            <w:vAlign w:val="center"/>
          </w:tcPr>
          <w:p w14:paraId="4AC98F4C">
            <w:pPr>
              <w:pStyle w:val="55"/>
              <w:bidi w:val="0"/>
              <w:rPr>
                <w:rFonts w:hint="default"/>
                <w:lang w:val="en-US" w:eastAsia="zh-CN"/>
              </w:rPr>
            </w:pPr>
            <w:r>
              <w:rPr>
                <w:rFonts w:hint="eastAsia"/>
                <w:lang w:val="en-US" w:eastAsia="zh-CN"/>
              </w:rPr>
              <w:t>0.189</w:t>
            </w:r>
          </w:p>
        </w:tc>
      </w:tr>
      <w:tr w14:paraId="6BDEA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0" w:type="pct"/>
            <w:vMerge w:val="continue"/>
            <w:vAlign w:val="center"/>
          </w:tcPr>
          <w:p w14:paraId="000E8927">
            <w:pPr>
              <w:pStyle w:val="55"/>
              <w:bidi w:val="0"/>
              <w:rPr>
                <w:rFonts w:hint="eastAsia"/>
                <w:lang w:val="en-US" w:eastAsia="zh-CN"/>
              </w:rPr>
            </w:pPr>
          </w:p>
        </w:tc>
        <w:tc>
          <w:tcPr>
            <w:tcW w:w="262" w:type="pct"/>
            <w:vMerge w:val="continue"/>
            <w:vAlign w:val="center"/>
          </w:tcPr>
          <w:p w14:paraId="0CFE39F8">
            <w:pPr>
              <w:pStyle w:val="55"/>
              <w:bidi w:val="0"/>
              <w:rPr>
                <w:rFonts w:hint="eastAsia"/>
                <w:lang w:val="en-US" w:eastAsia="zh-CN"/>
              </w:rPr>
            </w:pPr>
          </w:p>
        </w:tc>
        <w:tc>
          <w:tcPr>
            <w:tcW w:w="354" w:type="pct"/>
            <w:vMerge w:val="continue"/>
            <w:vAlign w:val="center"/>
          </w:tcPr>
          <w:p w14:paraId="1397FEAF">
            <w:pPr>
              <w:pStyle w:val="55"/>
              <w:bidi w:val="0"/>
              <w:rPr>
                <w:rFonts w:hint="default"/>
                <w:lang w:val="en-US" w:eastAsia="zh-CN"/>
              </w:rPr>
            </w:pPr>
          </w:p>
        </w:tc>
        <w:tc>
          <w:tcPr>
            <w:tcW w:w="385" w:type="pct"/>
            <w:vMerge w:val="continue"/>
            <w:vAlign w:val="center"/>
          </w:tcPr>
          <w:p w14:paraId="17027D54">
            <w:pPr>
              <w:pStyle w:val="55"/>
              <w:bidi w:val="0"/>
              <w:rPr>
                <w:rFonts w:hint="default"/>
                <w:highlight w:val="none"/>
                <w:lang w:val="en-US" w:eastAsia="zh-CN"/>
              </w:rPr>
            </w:pPr>
          </w:p>
        </w:tc>
        <w:tc>
          <w:tcPr>
            <w:tcW w:w="366" w:type="pct"/>
            <w:vMerge w:val="continue"/>
            <w:vAlign w:val="center"/>
          </w:tcPr>
          <w:p w14:paraId="4C04BA42">
            <w:pPr>
              <w:pStyle w:val="55"/>
              <w:bidi w:val="0"/>
              <w:rPr>
                <w:rFonts w:hint="default"/>
                <w:highlight w:val="none"/>
                <w:lang w:val="en-US" w:eastAsia="zh-CN"/>
              </w:rPr>
            </w:pPr>
          </w:p>
        </w:tc>
        <w:tc>
          <w:tcPr>
            <w:tcW w:w="366" w:type="pct"/>
            <w:vMerge w:val="continue"/>
            <w:vAlign w:val="center"/>
          </w:tcPr>
          <w:p w14:paraId="7AC27B6A">
            <w:pPr>
              <w:pStyle w:val="55"/>
              <w:bidi w:val="0"/>
              <w:rPr>
                <w:rFonts w:hint="eastAsia"/>
                <w:lang w:val="en-US" w:eastAsia="zh-CN"/>
              </w:rPr>
            </w:pPr>
          </w:p>
        </w:tc>
        <w:tc>
          <w:tcPr>
            <w:tcW w:w="275" w:type="pct"/>
            <w:vMerge w:val="continue"/>
            <w:vAlign w:val="center"/>
          </w:tcPr>
          <w:p w14:paraId="143512F2">
            <w:pPr>
              <w:pStyle w:val="55"/>
              <w:bidi w:val="0"/>
              <w:rPr>
                <w:rFonts w:hint="eastAsia"/>
                <w:lang w:val="en-US" w:eastAsia="zh-CN"/>
              </w:rPr>
            </w:pPr>
          </w:p>
        </w:tc>
        <w:tc>
          <w:tcPr>
            <w:tcW w:w="275" w:type="pct"/>
            <w:vMerge w:val="continue"/>
            <w:vAlign w:val="center"/>
          </w:tcPr>
          <w:p w14:paraId="7C5A9448">
            <w:pPr>
              <w:pStyle w:val="55"/>
              <w:bidi w:val="0"/>
              <w:rPr>
                <w:rFonts w:hint="eastAsia"/>
                <w:lang w:val="en-US" w:eastAsia="zh-CN"/>
              </w:rPr>
            </w:pPr>
          </w:p>
        </w:tc>
        <w:tc>
          <w:tcPr>
            <w:tcW w:w="396" w:type="pct"/>
            <w:vMerge w:val="continue"/>
            <w:vAlign w:val="center"/>
          </w:tcPr>
          <w:p w14:paraId="0BD8D8C2">
            <w:pPr>
              <w:pStyle w:val="55"/>
              <w:bidi w:val="0"/>
              <w:rPr>
                <w:rFonts w:hint="eastAsia"/>
                <w:lang w:val="en-US" w:eastAsia="zh-CN"/>
              </w:rPr>
            </w:pPr>
          </w:p>
        </w:tc>
        <w:tc>
          <w:tcPr>
            <w:tcW w:w="286" w:type="pct"/>
            <w:vMerge w:val="continue"/>
            <w:vAlign w:val="center"/>
          </w:tcPr>
          <w:p w14:paraId="76876120">
            <w:pPr>
              <w:pStyle w:val="55"/>
              <w:bidi w:val="0"/>
              <w:rPr>
                <w:rFonts w:hint="eastAsia"/>
                <w:highlight w:val="none"/>
                <w:lang w:val="en-US" w:eastAsia="zh-CN"/>
              </w:rPr>
            </w:pPr>
          </w:p>
        </w:tc>
        <w:tc>
          <w:tcPr>
            <w:tcW w:w="275" w:type="pct"/>
            <w:vMerge w:val="continue"/>
            <w:vAlign w:val="center"/>
          </w:tcPr>
          <w:p w14:paraId="59B8D1D3">
            <w:pPr>
              <w:pStyle w:val="55"/>
              <w:bidi w:val="0"/>
              <w:rPr>
                <w:rFonts w:hint="eastAsia"/>
                <w:lang w:val="en-US" w:eastAsia="zh-CN"/>
              </w:rPr>
            </w:pPr>
          </w:p>
        </w:tc>
        <w:tc>
          <w:tcPr>
            <w:tcW w:w="302" w:type="pct"/>
            <w:vMerge w:val="continue"/>
            <w:vAlign w:val="center"/>
          </w:tcPr>
          <w:p w14:paraId="551FFD4F">
            <w:pPr>
              <w:pStyle w:val="55"/>
              <w:bidi w:val="0"/>
              <w:rPr>
                <w:rFonts w:hint="eastAsia"/>
                <w:lang w:val="en-US" w:eastAsia="zh-CN"/>
              </w:rPr>
            </w:pPr>
          </w:p>
        </w:tc>
        <w:tc>
          <w:tcPr>
            <w:tcW w:w="247" w:type="pct"/>
            <w:vMerge w:val="continue"/>
            <w:vAlign w:val="center"/>
          </w:tcPr>
          <w:p w14:paraId="48F6F066">
            <w:pPr>
              <w:pStyle w:val="55"/>
              <w:bidi w:val="0"/>
              <w:rPr>
                <w:rFonts w:hint="default"/>
              </w:rPr>
            </w:pPr>
          </w:p>
        </w:tc>
        <w:tc>
          <w:tcPr>
            <w:tcW w:w="479" w:type="pct"/>
            <w:tcBorders>
              <w:right w:val="single" w:color="000000" w:sz="4" w:space="0"/>
            </w:tcBorders>
            <w:vAlign w:val="center"/>
          </w:tcPr>
          <w:p w14:paraId="6E4307EA">
            <w:pPr>
              <w:pStyle w:val="55"/>
              <w:bidi w:val="0"/>
              <w:rPr>
                <w:rFonts w:hint="default"/>
              </w:rPr>
            </w:pPr>
            <w:r>
              <w:rPr>
                <w:rFonts w:hint="eastAsia"/>
                <w:lang w:val="en-US" w:eastAsia="zh-CN"/>
              </w:rPr>
              <w:t>非甲烷总烃</w:t>
            </w:r>
          </w:p>
        </w:tc>
        <w:tc>
          <w:tcPr>
            <w:tcW w:w="1004" w:type="dxa"/>
            <w:tcBorders>
              <w:left w:val="single" w:color="000000" w:sz="4" w:space="0"/>
            </w:tcBorders>
            <w:vAlign w:val="center"/>
          </w:tcPr>
          <w:p w14:paraId="4AB55663">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eastAsia"/>
                <w:lang w:val="en-US" w:eastAsia="zh-CN"/>
              </w:rPr>
            </w:pPr>
            <w:r>
              <w:rPr>
                <w:rFonts w:hint="eastAsia"/>
                <w:lang w:val="en-US" w:eastAsia="zh-CN"/>
              </w:rPr>
              <w:t>0.316</w:t>
            </w:r>
          </w:p>
        </w:tc>
      </w:tr>
      <w:tr w14:paraId="434A1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0" w:type="pct"/>
            <w:vMerge w:val="continue"/>
            <w:vAlign w:val="center"/>
          </w:tcPr>
          <w:p w14:paraId="54AC64F0">
            <w:pPr>
              <w:pStyle w:val="55"/>
              <w:bidi w:val="0"/>
              <w:rPr>
                <w:rFonts w:hint="eastAsia"/>
                <w:lang w:val="en-US" w:eastAsia="zh-CN"/>
              </w:rPr>
            </w:pPr>
          </w:p>
        </w:tc>
        <w:tc>
          <w:tcPr>
            <w:tcW w:w="262" w:type="pct"/>
            <w:vMerge w:val="continue"/>
            <w:vAlign w:val="center"/>
          </w:tcPr>
          <w:p w14:paraId="413B41F9">
            <w:pPr>
              <w:pStyle w:val="55"/>
              <w:bidi w:val="0"/>
              <w:rPr>
                <w:rFonts w:hint="eastAsia"/>
                <w:lang w:val="en-US" w:eastAsia="zh-CN"/>
              </w:rPr>
            </w:pPr>
          </w:p>
        </w:tc>
        <w:tc>
          <w:tcPr>
            <w:tcW w:w="354" w:type="pct"/>
            <w:vMerge w:val="continue"/>
            <w:vAlign w:val="center"/>
          </w:tcPr>
          <w:p w14:paraId="66C65391">
            <w:pPr>
              <w:pStyle w:val="55"/>
              <w:bidi w:val="0"/>
              <w:rPr>
                <w:rFonts w:hint="default"/>
                <w:lang w:val="en-US" w:eastAsia="zh-CN"/>
              </w:rPr>
            </w:pPr>
          </w:p>
        </w:tc>
        <w:tc>
          <w:tcPr>
            <w:tcW w:w="385" w:type="pct"/>
            <w:vMerge w:val="continue"/>
            <w:vAlign w:val="center"/>
          </w:tcPr>
          <w:p w14:paraId="7CBA8245">
            <w:pPr>
              <w:pStyle w:val="55"/>
              <w:bidi w:val="0"/>
              <w:rPr>
                <w:rFonts w:hint="default"/>
                <w:highlight w:val="none"/>
                <w:lang w:val="en-US" w:eastAsia="zh-CN"/>
              </w:rPr>
            </w:pPr>
          </w:p>
        </w:tc>
        <w:tc>
          <w:tcPr>
            <w:tcW w:w="366" w:type="pct"/>
            <w:vMerge w:val="continue"/>
            <w:vAlign w:val="center"/>
          </w:tcPr>
          <w:p w14:paraId="0667E8E0">
            <w:pPr>
              <w:pStyle w:val="55"/>
              <w:bidi w:val="0"/>
              <w:rPr>
                <w:rFonts w:hint="default"/>
                <w:highlight w:val="none"/>
                <w:lang w:val="en-US" w:eastAsia="zh-CN"/>
              </w:rPr>
            </w:pPr>
          </w:p>
        </w:tc>
        <w:tc>
          <w:tcPr>
            <w:tcW w:w="366" w:type="pct"/>
            <w:vMerge w:val="continue"/>
            <w:vAlign w:val="center"/>
          </w:tcPr>
          <w:p w14:paraId="6C189E11">
            <w:pPr>
              <w:pStyle w:val="55"/>
              <w:bidi w:val="0"/>
              <w:rPr>
                <w:rFonts w:hint="eastAsia"/>
                <w:lang w:val="en-US" w:eastAsia="zh-CN"/>
              </w:rPr>
            </w:pPr>
          </w:p>
        </w:tc>
        <w:tc>
          <w:tcPr>
            <w:tcW w:w="275" w:type="pct"/>
            <w:vMerge w:val="continue"/>
            <w:vAlign w:val="center"/>
          </w:tcPr>
          <w:p w14:paraId="4435381A">
            <w:pPr>
              <w:pStyle w:val="55"/>
              <w:bidi w:val="0"/>
              <w:rPr>
                <w:rFonts w:hint="eastAsia"/>
                <w:lang w:val="en-US" w:eastAsia="zh-CN"/>
              </w:rPr>
            </w:pPr>
          </w:p>
        </w:tc>
        <w:tc>
          <w:tcPr>
            <w:tcW w:w="275" w:type="pct"/>
            <w:vMerge w:val="continue"/>
            <w:vAlign w:val="center"/>
          </w:tcPr>
          <w:p w14:paraId="0D9CC328">
            <w:pPr>
              <w:pStyle w:val="55"/>
              <w:bidi w:val="0"/>
              <w:rPr>
                <w:rFonts w:hint="eastAsia"/>
                <w:lang w:val="en-US" w:eastAsia="zh-CN"/>
              </w:rPr>
            </w:pPr>
          </w:p>
        </w:tc>
        <w:tc>
          <w:tcPr>
            <w:tcW w:w="396" w:type="pct"/>
            <w:vMerge w:val="continue"/>
            <w:vAlign w:val="center"/>
          </w:tcPr>
          <w:p w14:paraId="5A4CDACE">
            <w:pPr>
              <w:pStyle w:val="55"/>
              <w:bidi w:val="0"/>
              <w:rPr>
                <w:rFonts w:hint="eastAsia"/>
                <w:lang w:val="en-US" w:eastAsia="zh-CN"/>
              </w:rPr>
            </w:pPr>
          </w:p>
        </w:tc>
        <w:tc>
          <w:tcPr>
            <w:tcW w:w="286" w:type="pct"/>
            <w:vMerge w:val="continue"/>
            <w:vAlign w:val="center"/>
          </w:tcPr>
          <w:p w14:paraId="4E4DAEB6">
            <w:pPr>
              <w:pStyle w:val="55"/>
              <w:bidi w:val="0"/>
              <w:rPr>
                <w:rFonts w:hint="eastAsia"/>
                <w:highlight w:val="none"/>
                <w:lang w:val="en-US" w:eastAsia="zh-CN"/>
              </w:rPr>
            </w:pPr>
          </w:p>
        </w:tc>
        <w:tc>
          <w:tcPr>
            <w:tcW w:w="275" w:type="pct"/>
            <w:vMerge w:val="continue"/>
            <w:vAlign w:val="center"/>
          </w:tcPr>
          <w:p w14:paraId="040CA6D6">
            <w:pPr>
              <w:pStyle w:val="55"/>
              <w:bidi w:val="0"/>
              <w:rPr>
                <w:rFonts w:hint="eastAsia"/>
                <w:lang w:val="en-US" w:eastAsia="zh-CN"/>
              </w:rPr>
            </w:pPr>
          </w:p>
        </w:tc>
        <w:tc>
          <w:tcPr>
            <w:tcW w:w="302" w:type="pct"/>
            <w:vMerge w:val="continue"/>
            <w:vAlign w:val="center"/>
          </w:tcPr>
          <w:p w14:paraId="05222913">
            <w:pPr>
              <w:pStyle w:val="55"/>
              <w:bidi w:val="0"/>
              <w:rPr>
                <w:rFonts w:hint="eastAsia"/>
                <w:lang w:val="en-US" w:eastAsia="zh-CN"/>
              </w:rPr>
            </w:pPr>
          </w:p>
        </w:tc>
        <w:tc>
          <w:tcPr>
            <w:tcW w:w="247" w:type="pct"/>
            <w:vMerge w:val="continue"/>
            <w:vAlign w:val="center"/>
          </w:tcPr>
          <w:p w14:paraId="64E1CE4A">
            <w:pPr>
              <w:pStyle w:val="55"/>
              <w:bidi w:val="0"/>
              <w:rPr>
                <w:rFonts w:hint="default"/>
              </w:rPr>
            </w:pPr>
          </w:p>
        </w:tc>
        <w:tc>
          <w:tcPr>
            <w:tcW w:w="479" w:type="pct"/>
            <w:tcBorders>
              <w:right w:val="single" w:color="000000" w:sz="4" w:space="0"/>
            </w:tcBorders>
            <w:vAlign w:val="center"/>
          </w:tcPr>
          <w:p w14:paraId="7250239B">
            <w:pPr>
              <w:pStyle w:val="55"/>
              <w:bidi w:val="0"/>
              <w:rPr>
                <w:rFonts w:hint="default"/>
              </w:rPr>
            </w:pPr>
            <w:r>
              <w:rPr>
                <w:rFonts w:hint="eastAsia"/>
                <w:lang w:val="en-US" w:eastAsia="zh-CN"/>
              </w:rPr>
              <w:t>HCl</w:t>
            </w:r>
          </w:p>
        </w:tc>
        <w:tc>
          <w:tcPr>
            <w:tcW w:w="1004" w:type="dxa"/>
            <w:tcBorders>
              <w:left w:val="single" w:color="000000" w:sz="4" w:space="0"/>
            </w:tcBorders>
            <w:vAlign w:val="center"/>
          </w:tcPr>
          <w:p w14:paraId="7A3E02B7">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eastAsia"/>
                <w:lang w:val="en-US" w:eastAsia="zh-CN"/>
              </w:rPr>
            </w:pPr>
            <w:r>
              <w:rPr>
                <w:rFonts w:hint="eastAsia"/>
                <w:lang w:val="en-US" w:eastAsia="zh-CN"/>
              </w:rPr>
              <w:t>0.0002</w:t>
            </w:r>
          </w:p>
        </w:tc>
      </w:tr>
      <w:tr w14:paraId="28861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0" w:type="pct"/>
            <w:vMerge w:val="restart"/>
            <w:vAlign w:val="center"/>
          </w:tcPr>
          <w:p w14:paraId="5AE1AF3A">
            <w:pPr>
              <w:pStyle w:val="55"/>
              <w:bidi w:val="0"/>
              <w:rPr>
                <w:rFonts w:hint="default"/>
                <w:lang w:val="en-US" w:eastAsia="zh-CN"/>
              </w:rPr>
            </w:pPr>
            <w:r>
              <w:rPr>
                <w:rFonts w:hint="eastAsia"/>
                <w:lang w:val="en-US" w:eastAsia="zh-CN"/>
              </w:rPr>
              <w:t>DA003</w:t>
            </w:r>
          </w:p>
        </w:tc>
        <w:tc>
          <w:tcPr>
            <w:tcW w:w="262" w:type="pct"/>
            <w:vMerge w:val="restart"/>
            <w:vAlign w:val="center"/>
          </w:tcPr>
          <w:p w14:paraId="71ACDD1C">
            <w:pPr>
              <w:pStyle w:val="55"/>
              <w:bidi w:val="0"/>
              <w:rPr>
                <w:rFonts w:hint="eastAsia"/>
                <w:lang w:val="en-US" w:eastAsia="zh-CN"/>
              </w:rPr>
            </w:pPr>
            <w:r>
              <w:rPr>
                <w:rFonts w:hint="eastAsia"/>
                <w:lang w:val="en-US" w:eastAsia="zh-CN"/>
              </w:rPr>
              <w:t>3#生产车间</w:t>
            </w:r>
          </w:p>
        </w:tc>
        <w:tc>
          <w:tcPr>
            <w:tcW w:w="354" w:type="pct"/>
            <w:vMerge w:val="restart"/>
            <w:vAlign w:val="center"/>
          </w:tcPr>
          <w:p w14:paraId="013CD7FE">
            <w:pPr>
              <w:pStyle w:val="55"/>
              <w:bidi w:val="0"/>
              <w:rPr>
                <w:rFonts w:hint="default"/>
                <w:lang w:val="en-US" w:eastAsia="zh-CN"/>
              </w:rPr>
            </w:pPr>
            <w:r>
              <w:rPr>
                <w:rFonts w:hint="default"/>
                <w:lang w:val="en-US" w:eastAsia="zh-CN"/>
              </w:rPr>
              <w:t>投料</w:t>
            </w:r>
            <w:r>
              <w:rPr>
                <w:rFonts w:hint="eastAsia"/>
                <w:lang w:val="en-US" w:eastAsia="zh-CN"/>
              </w:rPr>
              <w:t>、</w:t>
            </w:r>
            <w:r>
              <w:rPr>
                <w:rFonts w:hint="default"/>
                <w:lang w:val="en-US" w:eastAsia="zh-CN"/>
              </w:rPr>
              <w:t>搅拌</w:t>
            </w:r>
            <w:r>
              <w:rPr>
                <w:rFonts w:hint="eastAsia"/>
                <w:lang w:val="en-US" w:eastAsia="zh-CN"/>
              </w:rPr>
              <w:t>，挤出</w:t>
            </w:r>
            <w:r>
              <w:rPr>
                <w:rFonts w:hint="default"/>
                <w:lang w:val="en-US" w:eastAsia="zh-CN"/>
              </w:rPr>
              <w:t>工序</w:t>
            </w:r>
          </w:p>
        </w:tc>
        <w:tc>
          <w:tcPr>
            <w:tcW w:w="385" w:type="pct"/>
            <w:vMerge w:val="restart"/>
            <w:vAlign w:val="center"/>
          </w:tcPr>
          <w:p w14:paraId="2FAAA40A">
            <w:pPr>
              <w:pStyle w:val="55"/>
              <w:bidi w:val="0"/>
              <w:rPr>
                <w:rFonts w:hint="default"/>
                <w:highlight w:val="none"/>
                <w:lang w:val="en-US" w:eastAsia="zh-CN"/>
              </w:rPr>
            </w:pPr>
            <w:r>
              <w:rPr>
                <w:rFonts w:hint="default"/>
                <w:highlight w:val="none"/>
                <w:lang w:val="en-US" w:eastAsia="zh-CN"/>
              </w:rPr>
              <w:t>115.186866551</w:t>
            </w:r>
          </w:p>
        </w:tc>
        <w:tc>
          <w:tcPr>
            <w:tcW w:w="366" w:type="pct"/>
            <w:vMerge w:val="restart"/>
            <w:vAlign w:val="center"/>
          </w:tcPr>
          <w:p w14:paraId="68A829E4">
            <w:pPr>
              <w:pStyle w:val="55"/>
              <w:bidi w:val="0"/>
              <w:rPr>
                <w:rFonts w:hint="default"/>
                <w:highlight w:val="none"/>
                <w:lang w:val="en-US" w:eastAsia="zh-CN"/>
              </w:rPr>
            </w:pPr>
            <w:r>
              <w:rPr>
                <w:rFonts w:hint="default"/>
                <w:highlight w:val="none"/>
                <w:lang w:val="en-US" w:eastAsia="zh-CN"/>
              </w:rPr>
              <w:t>38.794258864</w:t>
            </w:r>
          </w:p>
        </w:tc>
        <w:tc>
          <w:tcPr>
            <w:tcW w:w="366" w:type="pct"/>
            <w:vMerge w:val="restart"/>
            <w:vAlign w:val="center"/>
          </w:tcPr>
          <w:p w14:paraId="4D1222B3">
            <w:pPr>
              <w:pStyle w:val="55"/>
              <w:bidi w:val="0"/>
              <w:rPr>
                <w:rFonts w:hint="default"/>
              </w:rPr>
            </w:pPr>
            <w:r>
              <w:rPr>
                <w:rFonts w:hint="eastAsia"/>
                <w:lang w:val="en-US" w:eastAsia="zh-CN"/>
              </w:rPr>
              <w:t>38</w:t>
            </w:r>
          </w:p>
        </w:tc>
        <w:tc>
          <w:tcPr>
            <w:tcW w:w="275" w:type="pct"/>
            <w:vMerge w:val="restart"/>
            <w:vAlign w:val="center"/>
          </w:tcPr>
          <w:p w14:paraId="014C3670">
            <w:pPr>
              <w:pStyle w:val="55"/>
              <w:bidi w:val="0"/>
              <w:rPr>
                <w:rFonts w:hint="default"/>
                <w:lang w:val="en-US" w:eastAsia="zh-CN"/>
              </w:rPr>
            </w:pPr>
            <w:r>
              <w:rPr>
                <w:rFonts w:hint="eastAsia"/>
                <w:lang w:val="en-US" w:eastAsia="zh-CN"/>
              </w:rPr>
              <w:t>15</w:t>
            </w:r>
          </w:p>
        </w:tc>
        <w:tc>
          <w:tcPr>
            <w:tcW w:w="275" w:type="pct"/>
            <w:vMerge w:val="restart"/>
            <w:vAlign w:val="center"/>
          </w:tcPr>
          <w:p w14:paraId="467C2623">
            <w:pPr>
              <w:pStyle w:val="55"/>
              <w:bidi w:val="0"/>
              <w:rPr>
                <w:rFonts w:hint="default"/>
                <w:lang w:val="en-US" w:eastAsia="zh-CN"/>
              </w:rPr>
            </w:pPr>
            <w:r>
              <w:rPr>
                <w:rFonts w:hint="eastAsia"/>
                <w:lang w:val="en-US" w:eastAsia="zh-CN"/>
              </w:rPr>
              <w:t>0.8</w:t>
            </w:r>
          </w:p>
        </w:tc>
        <w:tc>
          <w:tcPr>
            <w:tcW w:w="396" w:type="pct"/>
            <w:vMerge w:val="restart"/>
            <w:vAlign w:val="center"/>
          </w:tcPr>
          <w:p w14:paraId="29E95646">
            <w:pPr>
              <w:pStyle w:val="55"/>
              <w:bidi w:val="0"/>
              <w:rPr>
                <w:rFonts w:hint="default"/>
                <w:lang w:val="en-US" w:eastAsia="zh-CN"/>
              </w:rPr>
            </w:pPr>
            <w:r>
              <w:rPr>
                <w:rFonts w:hint="eastAsia"/>
                <w:lang w:val="en-US" w:eastAsia="zh-CN"/>
              </w:rPr>
              <w:t>30000</w:t>
            </w:r>
          </w:p>
        </w:tc>
        <w:tc>
          <w:tcPr>
            <w:tcW w:w="286" w:type="pct"/>
            <w:vMerge w:val="restart"/>
            <w:vAlign w:val="center"/>
          </w:tcPr>
          <w:p w14:paraId="14A30BB8">
            <w:pPr>
              <w:pStyle w:val="55"/>
              <w:bidi w:val="0"/>
              <w:rPr>
                <w:rFonts w:hint="default"/>
                <w:highlight w:val="none"/>
                <w:lang w:val="en-US" w:eastAsia="zh-CN"/>
              </w:rPr>
            </w:pPr>
            <w:r>
              <w:rPr>
                <w:rFonts w:hint="eastAsia"/>
                <w:highlight w:val="none"/>
                <w:lang w:val="en-US" w:eastAsia="zh-CN"/>
              </w:rPr>
              <w:t>16.6</w:t>
            </w:r>
          </w:p>
        </w:tc>
        <w:tc>
          <w:tcPr>
            <w:tcW w:w="275" w:type="pct"/>
            <w:vMerge w:val="restart"/>
            <w:vAlign w:val="center"/>
          </w:tcPr>
          <w:p w14:paraId="69CAB4CC">
            <w:pPr>
              <w:pStyle w:val="55"/>
              <w:bidi w:val="0"/>
              <w:rPr>
                <w:rFonts w:hint="default"/>
                <w:lang w:val="en-US" w:eastAsia="zh-CN"/>
              </w:rPr>
            </w:pPr>
            <w:r>
              <w:rPr>
                <w:rFonts w:hint="eastAsia"/>
                <w:lang w:val="en-US" w:eastAsia="zh-CN"/>
              </w:rPr>
              <w:t>30</w:t>
            </w:r>
          </w:p>
        </w:tc>
        <w:tc>
          <w:tcPr>
            <w:tcW w:w="302" w:type="pct"/>
            <w:vMerge w:val="restart"/>
            <w:vAlign w:val="center"/>
          </w:tcPr>
          <w:p w14:paraId="6203BAC6">
            <w:pPr>
              <w:pStyle w:val="55"/>
              <w:bidi w:val="0"/>
              <w:rPr>
                <w:rFonts w:hint="default"/>
                <w:lang w:val="en-US" w:eastAsia="zh-CN"/>
              </w:rPr>
            </w:pPr>
            <w:r>
              <w:rPr>
                <w:rFonts w:hint="eastAsia"/>
                <w:lang w:val="en-US" w:eastAsia="zh-CN"/>
              </w:rPr>
              <w:t>7200</w:t>
            </w:r>
          </w:p>
        </w:tc>
        <w:tc>
          <w:tcPr>
            <w:tcW w:w="247" w:type="pct"/>
            <w:vMerge w:val="restart"/>
            <w:vAlign w:val="center"/>
          </w:tcPr>
          <w:p w14:paraId="1D030712">
            <w:pPr>
              <w:pStyle w:val="55"/>
              <w:bidi w:val="0"/>
              <w:rPr>
                <w:rFonts w:hint="default"/>
              </w:rPr>
            </w:pPr>
            <w:r>
              <w:rPr>
                <w:rFonts w:hint="default"/>
              </w:rPr>
              <w:t>正常</w:t>
            </w:r>
          </w:p>
        </w:tc>
        <w:tc>
          <w:tcPr>
            <w:tcW w:w="479" w:type="pct"/>
            <w:tcBorders>
              <w:right w:val="single" w:color="000000" w:sz="4" w:space="0"/>
            </w:tcBorders>
            <w:vAlign w:val="center"/>
          </w:tcPr>
          <w:p w14:paraId="255C6675">
            <w:pPr>
              <w:pStyle w:val="55"/>
              <w:bidi w:val="0"/>
              <w:rPr>
                <w:rFonts w:hint="default"/>
                <w:lang w:val="en-US" w:eastAsia="zh-CN"/>
              </w:rPr>
            </w:pPr>
            <w:r>
              <w:rPr>
                <w:rFonts w:hint="eastAsia"/>
                <w:lang w:val="en-US" w:eastAsia="zh-CN"/>
              </w:rPr>
              <w:t>颗粒物</w:t>
            </w:r>
          </w:p>
        </w:tc>
        <w:tc>
          <w:tcPr>
            <w:tcW w:w="368" w:type="pct"/>
            <w:tcBorders>
              <w:left w:val="single" w:color="000000" w:sz="4" w:space="0"/>
            </w:tcBorders>
            <w:vAlign w:val="center"/>
          </w:tcPr>
          <w:p w14:paraId="752ABDA0">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default"/>
                <w:lang w:val="en-US" w:eastAsia="zh-CN"/>
              </w:rPr>
            </w:pPr>
            <w:r>
              <w:rPr>
                <w:rFonts w:hint="eastAsia"/>
                <w:lang w:val="en-US" w:eastAsia="zh-CN"/>
              </w:rPr>
              <w:t>0.094</w:t>
            </w:r>
          </w:p>
        </w:tc>
      </w:tr>
      <w:tr w14:paraId="61C55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0" w:type="pct"/>
            <w:vMerge w:val="continue"/>
            <w:vAlign w:val="center"/>
          </w:tcPr>
          <w:p w14:paraId="371BBAF0">
            <w:pPr>
              <w:pStyle w:val="55"/>
              <w:bidi w:val="0"/>
              <w:rPr>
                <w:rFonts w:hint="eastAsia"/>
                <w:lang w:val="en-US" w:eastAsia="zh-CN"/>
              </w:rPr>
            </w:pPr>
          </w:p>
        </w:tc>
        <w:tc>
          <w:tcPr>
            <w:tcW w:w="262" w:type="pct"/>
            <w:vMerge w:val="continue"/>
            <w:vAlign w:val="center"/>
          </w:tcPr>
          <w:p w14:paraId="4159A9C7">
            <w:pPr>
              <w:pStyle w:val="55"/>
              <w:bidi w:val="0"/>
              <w:rPr>
                <w:rFonts w:hint="eastAsia"/>
                <w:lang w:val="en-US" w:eastAsia="zh-CN"/>
              </w:rPr>
            </w:pPr>
          </w:p>
        </w:tc>
        <w:tc>
          <w:tcPr>
            <w:tcW w:w="354" w:type="pct"/>
            <w:vMerge w:val="continue"/>
            <w:vAlign w:val="center"/>
          </w:tcPr>
          <w:p w14:paraId="7A3729DC">
            <w:pPr>
              <w:pStyle w:val="55"/>
              <w:bidi w:val="0"/>
              <w:rPr>
                <w:rFonts w:hint="eastAsia"/>
                <w:lang w:val="en-US" w:eastAsia="zh-CN"/>
              </w:rPr>
            </w:pPr>
          </w:p>
        </w:tc>
        <w:tc>
          <w:tcPr>
            <w:tcW w:w="385" w:type="pct"/>
            <w:vMerge w:val="continue"/>
            <w:vAlign w:val="center"/>
          </w:tcPr>
          <w:p w14:paraId="3AE0CE3A">
            <w:pPr>
              <w:pStyle w:val="55"/>
              <w:bidi w:val="0"/>
              <w:rPr>
                <w:rFonts w:hint="default"/>
                <w:lang w:val="en-US" w:eastAsia="zh-CN"/>
              </w:rPr>
            </w:pPr>
          </w:p>
        </w:tc>
        <w:tc>
          <w:tcPr>
            <w:tcW w:w="366" w:type="pct"/>
            <w:vMerge w:val="continue"/>
            <w:vAlign w:val="center"/>
          </w:tcPr>
          <w:p w14:paraId="606F2457">
            <w:pPr>
              <w:pStyle w:val="55"/>
              <w:bidi w:val="0"/>
              <w:rPr>
                <w:rFonts w:hint="default"/>
                <w:lang w:val="en-US" w:eastAsia="zh-CN"/>
              </w:rPr>
            </w:pPr>
          </w:p>
        </w:tc>
        <w:tc>
          <w:tcPr>
            <w:tcW w:w="366" w:type="pct"/>
            <w:vMerge w:val="continue"/>
            <w:vAlign w:val="center"/>
          </w:tcPr>
          <w:p w14:paraId="7984EA9A">
            <w:pPr>
              <w:pStyle w:val="55"/>
              <w:bidi w:val="0"/>
              <w:rPr>
                <w:rFonts w:hint="eastAsia"/>
                <w:lang w:val="en-US" w:eastAsia="zh-CN"/>
              </w:rPr>
            </w:pPr>
          </w:p>
        </w:tc>
        <w:tc>
          <w:tcPr>
            <w:tcW w:w="275" w:type="pct"/>
            <w:vMerge w:val="continue"/>
            <w:vAlign w:val="center"/>
          </w:tcPr>
          <w:p w14:paraId="5DA95790">
            <w:pPr>
              <w:pStyle w:val="55"/>
              <w:bidi w:val="0"/>
              <w:rPr>
                <w:rFonts w:hint="eastAsia"/>
                <w:lang w:val="en-US" w:eastAsia="zh-CN"/>
              </w:rPr>
            </w:pPr>
          </w:p>
        </w:tc>
        <w:tc>
          <w:tcPr>
            <w:tcW w:w="275" w:type="pct"/>
            <w:vMerge w:val="continue"/>
            <w:vAlign w:val="center"/>
          </w:tcPr>
          <w:p w14:paraId="410EF310">
            <w:pPr>
              <w:pStyle w:val="55"/>
              <w:bidi w:val="0"/>
              <w:rPr>
                <w:rFonts w:hint="default"/>
                <w:lang w:val="en-US" w:eastAsia="zh-CN"/>
              </w:rPr>
            </w:pPr>
          </w:p>
        </w:tc>
        <w:tc>
          <w:tcPr>
            <w:tcW w:w="396" w:type="pct"/>
            <w:vMerge w:val="continue"/>
            <w:vAlign w:val="center"/>
          </w:tcPr>
          <w:p w14:paraId="0750E12B">
            <w:pPr>
              <w:pStyle w:val="55"/>
              <w:bidi w:val="0"/>
              <w:rPr>
                <w:rFonts w:hint="eastAsia"/>
                <w:lang w:val="en-US" w:eastAsia="zh-CN"/>
              </w:rPr>
            </w:pPr>
          </w:p>
        </w:tc>
        <w:tc>
          <w:tcPr>
            <w:tcW w:w="286" w:type="pct"/>
            <w:vMerge w:val="continue"/>
            <w:vAlign w:val="center"/>
          </w:tcPr>
          <w:p w14:paraId="0BD99A36">
            <w:pPr>
              <w:pStyle w:val="55"/>
              <w:bidi w:val="0"/>
              <w:rPr>
                <w:rFonts w:hint="eastAsia"/>
                <w:lang w:val="en-US" w:eastAsia="zh-CN"/>
              </w:rPr>
            </w:pPr>
          </w:p>
        </w:tc>
        <w:tc>
          <w:tcPr>
            <w:tcW w:w="275" w:type="pct"/>
            <w:vMerge w:val="continue"/>
            <w:vAlign w:val="center"/>
          </w:tcPr>
          <w:p w14:paraId="50FC0BE1">
            <w:pPr>
              <w:pStyle w:val="55"/>
              <w:bidi w:val="0"/>
              <w:rPr>
                <w:rFonts w:hint="default"/>
                <w:lang w:val="en-US" w:eastAsia="zh-CN"/>
              </w:rPr>
            </w:pPr>
          </w:p>
        </w:tc>
        <w:tc>
          <w:tcPr>
            <w:tcW w:w="302" w:type="pct"/>
            <w:vMerge w:val="continue"/>
            <w:vAlign w:val="center"/>
          </w:tcPr>
          <w:p w14:paraId="45CA5FB9">
            <w:pPr>
              <w:pStyle w:val="55"/>
              <w:bidi w:val="0"/>
              <w:rPr>
                <w:rFonts w:hint="eastAsia"/>
                <w:lang w:val="en-US" w:eastAsia="zh-CN"/>
              </w:rPr>
            </w:pPr>
          </w:p>
        </w:tc>
        <w:tc>
          <w:tcPr>
            <w:tcW w:w="247" w:type="pct"/>
            <w:vMerge w:val="continue"/>
            <w:vAlign w:val="center"/>
          </w:tcPr>
          <w:p w14:paraId="57BF5C39">
            <w:pPr>
              <w:pStyle w:val="55"/>
              <w:bidi w:val="0"/>
              <w:rPr>
                <w:rFonts w:hint="default"/>
              </w:rPr>
            </w:pPr>
          </w:p>
        </w:tc>
        <w:tc>
          <w:tcPr>
            <w:tcW w:w="479" w:type="pct"/>
            <w:tcBorders>
              <w:right w:val="single" w:color="000000" w:sz="4" w:space="0"/>
            </w:tcBorders>
            <w:vAlign w:val="center"/>
          </w:tcPr>
          <w:p w14:paraId="39909DE1">
            <w:pPr>
              <w:pStyle w:val="55"/>
              <w:bidi w:val="0"/>
              <w:rPr>
                <w:rFonts w:hint="default"/>
                <w:lang w:val="en-US" w:eastAsia="zh-CN"/>
              </w:rPr>
            </w:pPr>
            <w:r>
              <w:rPr>
                <w:rFonts w:hint="eastAsia"/>
                <w:lang w:val="en-US" w:eastAsia="zh-CN"/>
              </w:rPr>
              <w:t>非甲烷总烃</w:t>
            </w:r>
          </w:p>
        </w:tc>
        <w:tc>
          <w:tcPr>
            <w:tcW w:w="368" w:type="pct"/>
            <w:tcBorders>
              <w:left w:val="single" w:color="000000" w:sz="4" w:space="0"/>
            </w:tcBorders>
            <w:vAlign w:val="center"/>
          </w:tcPr>
          <w:p w14:paraId="15DBB437">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default"/>
                <w:lang w:val="en-US" w:eastAsia="zh-CN"/>
              </w:rPr>
            </w:pPr>
            <w:r>
              <w:rPr>
                <w:rFonts w:hint="eastAsia"/>
                <w:lang w:val="en-US" w:eastAsia="zh-CN"/>
              </w:rPr>
              <w:t>0.158</w:t>
            </w:r>
          </w:p>
        </w:tc>
      </w:tr>
      <w:tr w14:paraId="406B6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0" w:type="pct"/>
            <w:vMerge w:val="continue"/>
            <w:vAlign w:val="center"/>
          </w:tcPr>
          <w:p w14:paraId="428D43B9">
            <w:pPr>
              <w:pStyle w:val="55"/>
              <w:bidi w:val="0"/>
              <w:rPr>
                <w:rFonts w:hint="eastAsia"/>
                <w:lang w:val="en-US" w:eastAsia="zh-CN"/>
              </w:rPr>
            </w:pPr>
          </w:p>
        </w:tc>
        <w:tc>
          <w:tcPr>
            <w:tcW w:w="262" w:type="pct"/>
            <w:vMerge w:val="continue"/>
            <w:vAlign w:val="center"/>
          </w:tcPr>
          <w:p w14:paraId="51668793">
            <w:pPr>
              <w:pStyle w:val="55"/>
              <w:bidi w:val="0"/>
              <w:rPr>
                <w:rFonts w:hint="eastAsia"/>
                <w:lang w:val="en-US" w:eastAsia="zh-CN"/>
              </w:rPr>
            </w:pPr>
          </w:p>
        </w:tc>
        <w:tc>
          <w:tcPr>
            <w:tcW w:w="354" w:type="pct"/>
            <w:vMerge w:val="continue"/>
            <w:vAlign w:val="center"/>
          </w:tcPr>
          <w:p w14:paraId="465AF2CE">
            <w:pPr>
              <w:pStyle w:val="55"/>
              <w:bidi w:val="0"/>
              <w:rPr>
                <w:rFonts w:hint="eastAsia"/>
                <w:lang w:val="en-US" w:eastAsia="zh-CN"/>
              </w:rPr>
            </w:pPr>
          </w:p>
        </w:tc>
        <w:tc>
          <w:tcPr>
            <w:tcW w:w="385" w:type="pct"/>
            <w:vMerge w:val="continue"/>
            <w:vAlign w:val="center"/>
          </w:tcPr>
          <w:p w14:paraId="5E613B0E">
            <w:pPr>
              <w:pStyle w:val="55"/>
              <w:bidi w:val="0"/>
              <w:rPr>
                <w:rFonts w:hint="default"/>
                <w:lang w:val="en-US" w:eastAsia="zh-CN"/>
              </w:rPr>
            </w:pPr>
          </w:p>
        </w:tc>
        <w:tc>
          <w:tcPr>
            <w:tcW w:w="366" w:type="pct"/>
            <w:vMerge w:val="continue"/>
            <w:vAlign w:val="center"/>
          </w:tcPr>
          <w:p w14:paraId="57700F0C">
            <w:pPr>
              <w:pStyle w:val="55"/>
              <w:bidi w:val="0"/>
              <w:rPr>
                <w:rFonts w:hint="default"/>
                <w:lang w:val="en-US" w:eastAsia="zh-CN"/>
              </w:rPr>
            </w:pPr>
          </w:p>
        </w:tc>
        <w:tc>
          <w:tcPr>
            <w:tcW w:w="366" w:type="pct"/>
            <w:vMerge w:val="continue"/>
            <w:vAlign w:val="center"/>
          </w:tcPr>
          <w:p w14:paraId="407040FC">
            <w:pPr>
              <w:pStyle w:val="55"/>
              <w:bidi w:val="0"/>
              <w:rPr>
                <w:rFonts w:hint="eastAsia"/>
                <w:lang w:val="en-US" w:eastAsia="zh-CN"/>
              </w:rPr>
            </w:pPr>
          </w:p>
        </w:tc>
        <w:tc>
          <w:tcPr>
            <w:tcW w:w="275" w:type="pct"/>
            <w:vMerge w:val="continue"/>
            <w:vAlign w:val="center"/>
          </w:tcPr>
          <w:p w14:paraId="13438D45">
            <w:pPr>
              <w:pStyle w:val="55"/>
              <w:bidi w:val="0"/>
              <w:rPr>
                <w:rFonts w:hint="eastAsia"/>
                <w:lang w:val="en-US" w:eastAsia="zh-CN"/>
              </w:rPr>
            </w:pPr>
          </w:p>
        </w:tc>
        <w:tc>
          <w:tcPr>
            <w:tcW w:w="275" w:type="pct"/>
            <w:vMerge w:val="continue"/>
            <w:vAlign w:val="center"/>
          </w:tcPr>
          <w:p w14:paraId="5B16BBC9">
            <w:pPr>
              <w:pStyle w:val="55"/>
              <w:bidi w:val="0"/>
              <w:rPr>
                <w:rFonts w:hint="default"/>
                <w:lang w:val="en-US" w:eastAsia="zh-CN"/>
              </w:rPr>
            </w:pPr>
          </w:p>
        </w:tc>
        <w:tc>
          <w:tcPr>
            <w:tcW w:w="396" w:type="pct"/>
            <w:vMerge w:val="continue"/>
            <w:vAlign w:val="center"/>
          </w:tcPr>
          <w:p w14:paraId="3EAA1EE7">
            <w:pPr>
              <w:pStyle w:val="55"/>
              <w:bidi w:val="0"/>
              <w:rPr>
                <w:rFonts w:hint="eastAsia"/>
                <w:lang w:val="en-US" w:eastAsia="zh-CN"/>
              </w:rPr>
            </w:pPr>
          </w:p>
        </w:tc>
        <w:tc>
          <w:tcPr>
            <w:tcW w:w="286" w:type="pct"/>
            <w:vMerge w:val="continue"/>
            <w:vAlign w:val="center"/>
          </w:tcPr>
          <w:p w14:paraId="72C830AF">
            <w:pPr>
              <w:pStyle w:val="55"/>
              <w:bidi w:val="0"/>
              <w:rPr>
                <w:rFonts w:hint="eastAsia"/>
                <w:lang w:val="en-US" w:eastAsia="zh-CN"/>
              </w:rPr>
            </w:pPr>
          </w:p>
        </w:tc>
        <w:tc>
          <w:tcPr>
            <w:tcW w:w="275" w:type="pct"/>
            <w:vMerge w:val="continue"/>
            <w:vAlign w:val="center"/>
          </w:tcPr>
          <w:p w14:paraId="39403BC8">
            <w:pPr>
              <w:pStyle w:val="55"/>
              <w:bidi w:val="0"/>
              <w:rPr>
                <w:rFonts w:hint="default"/>
                <w:lang w:val="en-US" w:eastAsia="zh-CN"/>
              </w:rPr>
            </w:pPr>
          </w:p>
        </w:tc>
        <w:tc>
          <w:tcPr>
            <w:tcW w:w="302" w:type="pct"/>
            <w:vMerge w:val="continue"/>
            <w:vAlign w:val="center"/>
          </w:tcPr>
          <w:p w14:paraId="602E1792">
            <w:pPr>
              <w:pStyle w:val="55"/>
              <w:bidi w:val="0"/>
              <w:rPr>
                <w:rFonts w:hint="eastAsia"/>
                <w:lang w:val="en-US" w:eastAsia="zh-CN"/>
              </w:rPr>
            </w:pPr>
          </w:p>
        </w:tc>
        <w:tc>
          <w:tcPr>
            <w:tcW w:w="247" w:type="pct"/>
            <w:vMerge w:val="continue"/>
            <w:vAlign w:val="center"/>
          </w:tcPr>
          <w:p w14:paraId="66CB31CC">
            <w:pPr>
              <w:pStyle w:val="55"/>
              <w:bidi w:val="0"/>
              <w:rPr>
                <w:rFonts w:hint="default"/>
              </w:rPr>
            </w:pPr>
          </w:p>
        </w:tc>
        <w:tc>
          <w:tcPr>
            <w:tcW w:w="479" w:type="pct"/>
            <w:tcBorders>
              <w:right w:val="single" w:color="000000" w:sz="4" w:space="0"/>
            </w:tcBorders>
            <w:vAlign w:val="center"/>
          </w:tcPr>
          <w:p w14:paraId="4B009273">
            <w:pPr>
              <w:pStyle w:val="55"/>
              <w:bidi w:val="0"/>
              <w:rPr>
                <w:rFonts w:hint="eastAsia"/>
                <w:lang w:val="en-US" w:eastAsia="zh-CN"/>
              </w:rPr>
            </w:pPr>
            <w:r>
              <w:rPr>
                <w:rFonts w:hint="eastAsia"/>
                <w:lang w:val="en-US" w:eastAsia="zh-CN"/>
              </w:rPr>
              <w:t>HCl</w:t>
            </w:r>
          </w:p>
        </w:tc>
        <w:tc>
          <w:tcPr>
            <w:tcW w:w="368" w:type="pct"/>
            <w:tcBorders>
              <w:left w:val="single" w:color="000000" w:sz="4" w:space="0"/>
            </w:tcBorders>
            <w:vAlign w:val="center"/>
          </w:tcPr>
          <w:p w14:paraId="1BCD2EBC">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default"/>
                <w:lang w:val="en-US" w:eastAsia="zh-CN"/>
              </w:rPr>
            </w:pPr>
            <w:r>
              <w:rPr>
                <w:rFonts w:hint="eastAsia"/>
                <w:lang w:val="en-US" w:eastAsia="zh-CN"/>
              </w:rPr>
              <w:t>0.0001</w:t>
            </w:r>
          </w:p>
        </w:tc>
      </w:tr>
    </w:tbl>
    <w:p w14:paraId="3D35B2C6">
      <w:pPr>
        <w:pStyle w:val="94"/>
        <w:numPr>
          <w:ilvl w:val="3"/>
          <w:numId w:val="0"/>
        </w:numPr>
        <w:bidi w:val="0"/>
        <w:ind w:leftChars="0"/>
        <w:jc w:val="both"/>
      </w:pPr>
    </w:p>
    <w:p w14:paraId="78F9B8EB">
      <w:pPr>
        <w:pStyle w:val="55"/>
      </w:pPr>
    </w:p>
    <w:p w14:paraId="1C9B5EF2">
      <w:pPr>
        <w:pStyle w:val="55"/>
      </w:pPr>
    </w:p>
    <w:p w14:paraId="18981282">
      <w:pPr>
        <w:pStyle w:val="55"/>
      </w:pPr>
    </w:p>
    <w:p w14:paraId="33B846FA">
      <w:pPr>
        <w:pStyle w:val="55"/>
      </w:pPr>
    </w:p>
    <w:p w14:paraId="2F05213E">
      <w:pPr>
        <w:pStyle w:val="55"/>
      </w:pPr>
    </w:p>
    <w:p w14:paraId="611487F2">
      <w:pPr>
        <w:pStyle w:val="94"/>
        <w:bidi w:val="0"/>
        <w:ind w:left="0" w:leftChars="0" w:firstLine="0" w:firstLineChars="0"/>
      </w:pPr>
      <w:r>
        <w:rPr>
          <w:rFonts w:hint="eastAsia"/>
        </w:rPr>
        <w:t>面源参数表</w:t>
      </w:r>
    </w:p>
    <w:tbl>
      <w:tblPr>
        <w:tblStyle w:val="3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28" w:type="dxa"/>
          <w:bottom w:w="0" w:type="dxa"/>
          <w:right w:w="28" w:type="dxa"/>
        </w:tblCellMar>
      </w:tblPr>
      <w:tblGrid>
        <w:gridCol w:w="412"/>
        <w:gridCol w:w="1366"/>
        <w:gridCol w:w="1556"/>
        <w:gridCol w:w="1436"/>
        <w:gridCol w:w="812"/>
        <w:gridCol w:w="1031"/>
        <w:gridCol w:w="789"/>
        <w:gridCol w:w="820"/>
        <w:gridCol w:w="1048"/>
        <w:gridCol w:w="963"/>
        <w:gridCol w:w="558"/>
        <w:gridCol w:w="1020"/>
        <w:gridCol w:w="1316"/>
        <w:gridCol w:w="925"/>
      </w:tblGrid>
      <w:tr w14:paraId="6786C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28" w:type="dxa"/>
            <w:bottom w:w="0" w:type="dxa"/>
            <w:right w:w="28" w:type="dxa"/>
          </w:tblCellMar>
        </w:tblPrEx>
        <w:trPr>
          <w:trHeight w:val="454" w:hRule="atLeast"/>
          <w:tblHeader/>
          <w:jc w:val="center"/>
        </w:trPr>
        <w:tc>
          <w:tcPr>
            <w:tcW w:w="160" w:type="pct"/>
            <w:vMerge w:val="restart"/>
            <w:tcBorders>
              <w:bottom w:val="single" w:color="auto" w:sz="4" w:space="0"/>
            </w:tcBorders>
            <w:shd w:val="clear" w:color="auto" w:fill="auto"/>
            <w:vAlign w:val="center"/>
          </w:tcPr>
          <w:p w14:paraId="0D9F9B94">
            <w:pPr>
              <w:pStyle w:val="55"/>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编号</w:t>
            </w:r>
          </w:p>
        </w:tc>
        <w:tc>
          <w:tcPr>
            <w:tcW w:w="499" w:type="pct"/>
            <w:vMerge w:val="restart"/>
            <w:tcBorders>
              <w:bottom w:val="single" w:color="auto" w:sz="4" w:space="0"/>
            </w:tcBorders>
            <w:shd w:val="clear" w:color="auto" w:fill="auto"/>
            <w:vAlign w:val="center"/>
          </w:tcPr>
          <w:p w14:paraId="4F767CC1">
            <w:pPr>
              <w:pStyle w:val="55"/>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名称</w:t>
            </w:r>
          </w:p>
        </w:tc>
        <w:tc>
          <w:tcPr>
            <w:tcW w:w="902" w:type="pct"/>
            <w:gridSpan w:val="2"/>
            <w:tcBorders>
              <w:bottom w:val="single" w:color="auto" w:sz="4" w:space="0"/>
            </w:tcBorders>
            <w:shd w:val="clear" w:color="auto" w:fill="auto"/>
            <w:vAlign w:val="center"/>
          </w:tcPr>
          <w:p w14:paraId="7A030DA1">
            <w:pPr>
              <w:pStyle w:val="55"/>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面源起点坐标</w:t>
            </w:r>
          </w:p>
        </w:tc>
        <w:tc>
          <w:tcPr>
            <w:tcW w:w="302" w:type="pct"/>
            <w:vMerge w:val="restart"/>
            <w:tcBorders>
              <w:bottom w:val="single" w:color="auto" w:sz="4" w:space="0"/>
            </w:tcBorders>
            <w:shd w:val="clear" w:color="auto" w:fill="auto"/>
            <w:vAlign w:val="center"/>
          </w:tcPr>
          <w:p w14:paraId="4E1194A9">
            <w:pPr>
              <w:pStyle w:val="55"/>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面源海拔高度</w:t>
            </w:r>
            <w:r>
              <w:rPr>
                <w:color w:val="000000" w:themeColor="text1"/>
                <w:sz w:val="24"/>
                <w:szCs w:val="24"/>
                <w:highlight w:val="none"/>
                <w14:textFill>
                  <w14:solidFill>
                    <w14:schemeClr w14:val="tx1"/>
                  </w14:solidFill>
                </w14:textFill>
              </w:rPr>
              <w:t>/m</w:t>
            </w:r>
          </w:p>
        </w:tc>
        <w:tc>
          <w:tcPr>
            <w:tcW w:w="380" w:type="pct"/>
            <w:vMerge w:val="restart"/>
            <w:tcBorders>
              <w:bottom w:val="single" w:color="auto" w:sz="4" w:space="0"/>
            </w:tcBorders>
            <w:shd w:val="clear" w:color="auto" w:fill="auto"/>
            <w:vAlign w:val="center"/>
          </w:tcPr>
          <w:p w14:paraId="673BA3FE">
            <w:pPr>
              <w:pStyle w:val="55"/>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面源长度</w:t>
            </w:r>
            <w:r>
              <w:rPr>
                <w:color w:val="000000" w:themeColor="text1"/>
                <w:sz w:val="24"/>
                <w:szCs w:val="24"/>
                <w:highlight w:val="none"/>
                <w14:textFill>
                  <w14:solidFill>
                    <w14:schemeClr w14:val="tx1"/>
                  </w14:solidFill>
                </w14:textFill>
              </w:rPr>
              <w:t>/m</w:t>
            </w:r>
          </w:p>
        </w:tc>
        <w:tc>
          <w:tcPr>
            <w:tcW w:w="294" w:type="pct"/>
            <w:vMerge w:val="restart"/>
            <w:tcBorders>
              <w:bottom w:val="single" w:color="auto" w:sz="4" w:space="0"/>
            </w:tcBorders>
            <w:shd w:val="clear" w:color="auto" w:fill="auto"/>
            <w:vAlign w:val="center"/>
          </w:tcPr>
          <w:p w14:paraId="26AD16C1">
            <w:pPr>
              <w:pStyle w:val="55"/>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面源宽度</w:t>
            </w:r>
            <w:r>
              <w:rPr>
                <w:color w:val="000000" w:themeColor="text1"/>
                <w:sz w:val="24"/>
                <w:szCs w:val="24"/>
                <w:highlight w:val="none"/>
                <w14:textFill>
                  <w14:solidFill>
                    <w14:schemeClr w14:val="tx1"/>
                  </w14:solidFill>
                </w14:textFill>
              </w:rPr>
              <w:t>/m</w:t>
            </w:r>
          </w:p>
        </w:tc>
        <w:tc>
          <w:tcPr>
            <w:tcW w:w="305" w:type="pct"/>
            <w:vMerge w:val="restart"/>
            <w:tcBorders>
              <w:bottom w:val="single" w:color="auto" w:sz="4" w:space="0"/>
            </w:tcBorders>
            <w:shd w:val="clear" w:color="auto" w:fill="auto"/>
            <w:vAlign w:val="center"/>
          </w:tcPr>
          <w:p w14:paraId="53531966">
            <w:pPr>
              <w:pStyle w:val="55"/>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与正北向夹角</w:t>
            </w:r>
            <w:r>
              <w:rPr>
                <w:color w:val="000000" w:themeColor="text1"/>
                <w:sz w:val="24"/>
                <w:szCs w:val="24"/>
                <w:highlight w:val="none"/>
                <w14:textFill>
                  <w14:solidFill>
                    <w14:schemeClr w14:val="tx1"/>
                  </w14:solidFill>
                </w14:textFill>
              </w:rPr>
              <w:t>/°</w:t>
            </w:r>
          </w:p>
        </w:tc>
        <w:tc>
          <w:tcPr>
            <w:tcW w:w="386" w:type="pct"/>
            <w:vMerge w:val="restart"/>
            <w:tcBorders>
              <w:bottom w:val="single" w:color="auto" w:sz="4" w:space="0"/>
            </w:tcBorders>
            <w:shd w:val="clear" w:color="auto" w:fill="auto"/>
            <w:vAlign w:val="center"/>
          </w:tcPr>
          <w:p w14:paraId="2B3E1073">
            <w:pPr>
              <w:pStyle w:val="55"/>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面源有效排放高度</w:t>
            </w:r>
            <w:r>
              <w:rPr>
                <w:color w:val="000000" w:themeColor="text1"/>
                <w:sz w:val="24"/>
                <w:szCs w:val="24"/>
                <w:highlight w:val="none"/>
                <w14:textFill>
                  <w14:solidFill>
                    <w14:schemeClr w14:val="tx1"/>
                  </w14:solidFill>
                </w14:textFill>
              </w:rPr>
              <w:t>/m</w:t>
            </w:r>
          </w:p>
        </w:tc>
        <w:tc>
          <w:tcPr>
            <w:tcW w:w="356" w:type="pct"/>
            <w:vMerge w:val="restart"/>
            <w:tcBorders>
              <w:bottom w:val="single" w:color="auto" w:sz="4" w:space="0"/>
            </w:tcBorders>
            <w:shd w:val="clear" w:color="auto" w:fill="auto"/>
            <w:vAlign w:val="center"/>
          </w:tcPr>
          <w:p w14:paraId="56783A34">
            <w:pPr>
              <w:pStyle w:val="55"/>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年排放小时数</w:t>
            </w:r>
            <w:r>
              <w:rPr>
                <w:color w:val="000000" w:themeColor="text1"/>
                <w:sz w:val="24"/>
                <w:szCs w:val="24"/>
                <w:highlight w:val="none"/>
                <w14:textFill>
                  <w14:solidFill>
                    <w14:schemeClr w14:val="tx1"/>
                  </w14:solidFill>
                </w14:textFill>
              </w:rPr>
              <w:t>/h</w:t>
            </w:r>
          </w:p>
        </w:tc>
        <w:tc>
          <w:tcPr>
            <w:tcW w:w="212" w:type="pct"/>
            <w:vMerge w:val="restart"/>
            <w:tcBorders>
              <w:bottom w:val="single" w:color="auto" w:sz="4" w:space="0"/>
            </w:tcBorders>
            <w:shd w:val="clear" w:color="auto" w:fill="auto"/>
            <w:vAlign w:val="center"/>
          </w:tcPr>
          <w:p w14:paraId="26B88B7A">
            <w:pPr>
              <w:pStyle w:val="55"/>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排放工况</w:t>
            </w:r>
          </w:p>
        </w:tc>
        <w:tc>
          <w:tcPr>
            <w:tcW w:w="1199" w:type="pct"/>
            <w:gridSpan w:val="3"/>
            <w:tcBorders>
              <w:bottom w:val="single" w:color="auto" w:sz="4" w:space="0"/>
            </w:tcBorders>
            <w:shd w:val="clear" w:color="auto" w:fill="auto"/>
            <w:vAlign w:val="center"/>
          </w:tcPr>
          <w:p w14:paraId="2A2E2412">
            <w:pPr>
              <w:pStyle w:val="55"/>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污染物排放速率/(</w:t>
            </w:r>
            <w:r>
              <w:rPr>
                <w:color w:val="000000" w:themeColor="text1"/>
                <w:sz w:val="24"/>
                <w:szCs w:val="24"/>
                <w:highlight w:val="none"/>
                <w14:textFill>
                  <w14:solidFill>
                    <w14:schemeClr w14:val="tx1"/>
                  </w14:solidFill>
                </w14:textFill>
              </w:rPr>
              <w:t>kg/h</w:t>
            </w:r>
            <w:r>
              <w:rPr>
                <w:rFonts w:hint="eastAsia"/>
                <w:color w:val="000000" w:themeColor="text1"/>
                <w:sz w:val="24"/>
                <w:szCs w:val="24"/>
                <w:highlight w:val="none"/>
                <w14:textFill>
                  <w14:solidFill>
                    <w14:schemeClr w14:val="tx1"/>
                  </w14:solidFill>
                </w14:textFill>
              </w:rPr>
              <w:t>)</w:t>
            </w:r>
          </w:p>
        </w:tc>
      </w:tr>
      <w:tr w14:paraId="39428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28" w:type="dxa"/>
            <w:bottom w:w="0" w:type="dxa"/>
            <w:right w:w="28" w:type="dxa"/>
          </w:tblCellMar>
        </w:tblPrEx>
        <w:trPr>
          <w:trHeight w:val="454" w:hRule="atLeast"/>
          <w:tblHeader/>
          <w:jc w:val="center"/>
        </w:trPr>
        <w:tc>
          <w:tcPr>
            <w:tcW w:w="160" w:type="pct"/>
            <w:vMerge w:val="continue"/>
            <w:shd w:val="clear" w:color="auto" w:fill="auto"/>
            <w:vAlign w:val="center"/>
          </w:tcPr>
          <w:p w14:paraId="6D294C91">
            <w:pPr>
              <w:pStyle w:val="55"/>
              <w:rPr>
                <w:color w:val="000000" w:themeColor="text1"/>
                <w:sz w:val="24"/>
                <w:szCs w:val="24"/>
                <w:highlight w:val="none"/>
                <w14:textFill>
                  <w14:solidFill>
                    <w14:schemeClr w14:val="tx1"/>
                  </w14:solidFill>
                </w14:textFill>
              </w:rPr>
            </w:pPr>
          </w:p>
        </w:tc>
        <w:tc>
          <w:tcPr>
            <w:tcW w:w="499" w:type="pct"/>
            <w:vMerge w:val="continue"/>
            <w:shd w:val="clear" w:color="auto" w:fill="auto"/>
            <w:vAlign w:val="center"/>
          </w:tcPr>
          <w:p w14:paraId="307E5E00">
            <w:pPr>
              <w:pStyle w:val="55"/>
              <w:rPr>
                <w:color w:val="000000" w:themeColor="text1"/>
                <w:sz w:val="24"/>
                <w:szCs w:val="24"/>
                <w:highlight w:val="none"/>
                <w14:textFill>
                  <w14:solidFill>
                    <w14:schemeClr w14:val="tx1"/>
                  </w14:solidFill>
                </w14:textFill>
              </w:rPr>
            </w:pPr>
          </w:p>
        </w:tc>
        <w:tc>
          <w:tcPr>
            <w:tcW w:w="453" w:type="pct"/>
            <w:shd w:val="clear" w:color="auto" w:fill="auto"/>
            <w:vAlign w:val="center"/>
          </w:tcPr>
          <w:p w14:paraId="591E4CB6">
            <w:pPr>
              <w:pStyle w:val="55"/>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E/</w:t>
            </w:r>
            <w:r>
              <w:rPr>
                <w:rFonts w:hint="eastAsia"/>
                <w:color w:val="000000" w:themeColor="text1"/>
                <w:sz w:val="24"/>
                <w:szCs w:val="24"/>
                <w:highlight w:val="none"/>
                <w:vertAlign w:val="superscript"/>
                <w14:textFill>
                  <w14:solidFill>
                    <w14:schemeClr w14:val="tx1"/>
                  </w14:solidFill>
                </w14:textFill>
              </w:rPr>
              <w:t>o</w:t>
            </w:r>
          </w:p>
        </w:tc>
        <w:tc>
          <w:tcPr>
            <w:tcW w:w="449" w:type="pct"/>
            <w:shd w:val="clear" w:color="auto" w:fill="auto"/>
            <w:vAlign w:val="center"/>
          </w:tcPr>
          <w:p w14:paraId="623775FA">
            <w:pPr>
              <w:pStyle w:val="55"/>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N/</w:t>
            </w:r>
            <w:r>
              <w:rPr>
                <w:rFonts w:hint="eastAsia"/>
                <w:color w:val="000000" w:themeColor="text1"/>
                <w:sz w:val="24"/>
                <w:szCs w:val="24"/>
                <w:highlight w:val="none"/>
                <w:vertAlign w:val="superscript"/>
                <w14:textFill>
                  <w14:solidFill>
                    <w14:schemeClr w14:val="tx1"/>
                  </w14:solidFill>
                </w14:textFill>
              </w:rPr>
              <w:t>o</w:t>
            </w:r>
          </w:p>
        </w:tc>
        <w:tc>
          <w:tcPr>
            <w:tcW w:w="302" w:type="pct"/>
            <w:vMerge w:val="continue"/>
            <w:shd w:val="clear" w:color="auto" w:fill="auto"/>
            <w:vAlign w:val="center"/>
          </w:tcPr>
          <w:p w14:paraId="7F7C26E3">
            <w:pPr>
              <w:pStyle w:val="55"/>
              <w:rPr>
                <w:color w:val="000000" w:themeColor="text1"/>
                <w:sz w:val="24"/>
                <w:szCs w:val="24"/>
                <w:highlight w:val="none"/>
                <w14:textFill>
                  <w14:solidFill>
                    <w14:schemeClr w14:val="tx1"/>
                  </w14:solidFill>
                </w14:textFill>
              </w:rPr>
            </w:pPr>
          </w:p>
        </w:tc>
        <w:tc>
          <w:tcPr>
            <w:tcW w:w="380" w:type="pct"/>
            <w:vMerge w:val="continue"/>
            <w:shd w:val="clear" w:color="auto" w:fill="auto"/>
            <w:vAlign w:val="center"/>
          </w:tcPr>
          <w:p w14:paraId="4195D312">
            <w:pPr>
              <w:pStyle w:val="55"/>
              <w:rPr>
                <w:color w:val="000000" w:themeColor="text1"/>
                <w:sz w:val="24"/>
                <w:szCs w:val="24"/>
                <w:highlight w:val="none"/>
                <w14:textFill>
                  <w14:solidFill>
                    <w14:schemeClr w14:val="tx1"/>
                  </w14:solidFill>
                </w14:textFill>
              </w:rPr>
            </w:pPr>
          </w:p>
        </w:tc>
        <w:tc>
          <w:tcPr>
            <w:tcW w:w="294" w:type="pct"/>
            <w:vMerge w:val="continue"/>
            <w:shd w:val="clear" w:color="auto" w:fill="auto"/>
            <w:vAlign w:val="center"/>
          </w:tcPr>
          <w:p w14:paraId="7B8AC6C6">
            <w:pPr>
              <w:pStyle w:val="55"/>
              <w:rPr>
                <w:color w:val="000000" w:themeColor="text1"/>
                <w:sz w:val="24"/>
                <w:szCs w:val="24"/>
                <w:highlight w:val="none"/>
                <w14:textFill>
                  <w14:solidFill>
                    <w14:schemeClr w14:val="tx1"/>
                  </w14:solidFill>
                </w14:textFill>
              </w:rPr>
            </w:pPr>
          </w:p>
        </w:tc>
        <w:tc>
          <w:tcPr>
            <w:tcW w:w="305" w:type="pct"/>
            <w:vMerge w:val="continue"/>
            <w:shd w:val="clear" w:color="auto" w:fill="auto"/>
            <w:vAlign w:val="center"/>
          </w:tcPr>
          <w:p w14:paraId="0009D929">
            <w:pPr>
              <w:pStyle w:val="55"/>
              <w:rPr>
                <w:color w:val="000000" w:themeColor="text1"/>
                <w:sz w:val="24"/>
                <w:szCs w:val="24"/>
                <w:highlight w:val="none"/>
                <w14:textFill>
                  <w14:solidFill>
                    <w14:schemeClr w14:val="tx1"/>
                  </w14:solidFill>
                </w14:textFill>
              </w:rPr>
            </w:pPr>
          </w:p>
        </w:tc>
        <w:tc>
          <w:tcPr>
            <w:tcW w:w="386" w:type="pct"/>
            <w:vMerge w:val="continue"/>
            <w:shd w:val="clear" w:color="auto" w:fill="auto"/>
            <w:vAlign w:val="center"/>
          </w:tcPr>
          <w:p w14:paraId="485BAFF8">
            <w:pPr>
              <w:pStyle w:val="55"/>
              <w:rPr>
                <w:color w:val="000000" w:themeColor="text1"/>
                <w:sz w:val="24"/>
                <w:szCs w:val="24"/>
                <w:highlight w:val="none"/>
                <w14:textFill>
                  <w14:solidFill>
                    <w14:schemeClr w14:val="tx1"/>
                  </w14:solidFill>
                </w14:textFill>
              </w:rPr>
            </w:pPr>
          </w:p>
        </w:tc>
        <w:tc>
          <w:tcPr>
            <w:tcW w:w="356" w:type="pct"/>
            <w:vMerge w:val="continue"/>
            <w:shd w:val="clear" w:color="auto" w:fill="auto"/>
            <w:vAlign w:val="center"/>
          </w:tcPr>
          <w:p w14:paraId="4DE6290F">
            <w:pPr>
              <w:pStyle w:val="55"/>
              <w:rPr>
                <w:color w:val="000000" w:themeColor="text1"/>
                <w:sz w:val="24"/>
                <w:szCs w:val="24"/>
                <w:highlight w:val="none"/>
                <w14:textFill>
                  <w14:solidFill>
                    <w14:schemeClr w14:val="tx1"/>
                  </w14:solidFill>
                </w14:textFill>
              </w:rPr>
            </w:pPr>
          </w:p>
        </w:tc>
        <w:tc>
          <w:tcPr>
            <w:tcW w:w="212" w:type="pct"/>
            <w:vMerge w:val="continue"/>
            <w:shd w:val="clear" w:color="auto" w:fill="auto"/>
            <w:vAlign w:val="center"/>
          </w:tcPr>
          <w:p w14:paraId="362983B4">
            <w:pPr>
              <w:pStyle w:val="55"/>
              <w:rPr>
                <w:color w:val="000000" w:themeColor="text1"/>
                <w:sz w:val="24"/>
                <w:szCs w:val="24"/>
                <w:highlight w:val="none"/>
                <w14:textFill>
                  <w14:solidFill>
                    <w14:schemeClr w14:val="tx1"/>
                  </w14:solidFill>
                </w14:textFill>
              </w:rPr>
            </w:pPr>
          </w:p>
        </w:tc>
        <w:tc>
          <w:tcPr>
            <w:tcW w:w="376" w:type="pct"/>
            <w:shd w:val="clear" w:color="auto" w:fill="auto"/>
            <w:vAlign w:val="center"/>
          </w:tcPr>
          <w:p w14:paraId="793697AD">
            <w:pPr>
              <w:pStyle w:val="55"/>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颗粒物</w:t>
            </w:r>
          </w:p>
        </w:tc>
        <w:tc>
          <w:tcPr>
            <w:tcW w:w="481" w:type="pct"/>
            <w:shd w:val="clear" w:color="auto" w:fill="auto"/>
            <w:vAlign w:val="center"/>
          </w:tcPr>
          <w:p w14:paraId="5BF3577F">
            <w:pPr>
              <w:pStyle w:val="55"/>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非甲烷总烃</w:t>
            </w:r>
          </w:p>
        </w:tc>
        <w:tc>
          <w:tcPr>
            <w:tcW w:w="342" w:type="pct"/>
            <w:shd w:val="clear" w:color="auto" w:fill="auto"/>
            <w:vAlign w:val="center"/>
          </w:tcPr>
          <w:p w14:paraId="28E4A973">
            <w:pPr>
              <w:pStyle w:val="55"/>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H</w:t>
            </w:r>
            <w:r>
              <w:rPr>
                <w:rFonts w:hint="eastAsia"/>
                <w:color w:val="000000" w:themeColor="text1"/>
                <w:sz w:val="24"/>
                <w:szCs w:val="24"/>
                <w:highlight w:val="none"/>
                <w:vertAlign w:val="baseline"/>
                <w:lang w:val="en-US" w:eastAsia="zh-CN"/>
                <w14:textFill>
                  <w14:solidFill>
                    <w14:schemeClr w14:val="tx1"/>
                  </w14:solidFill>
                </w14:textFill>
              </w:rPr>
              <w:t>Cl</w:t>
            </w:r>
          </w:p>
        </w:tc>
      </w:tr>
      <w:tr w14:paraId="61C17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60" w:type="pct"/>
            <w:shd w:val="clear" w:color="auto" w:fill="auto"/>
            <w:vAlign w:val="center"/>
          </w:tcPr>
          <w:p w14:paraId="1FE601C5">
            <w:pPr>
              <w:pStyle w:val="55"/>
              <w:rPr>
                <w:rFonts w:hint="eastAsia"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1</w:t>
            </w:r>
          </w:p>
        </w:tc>
        <w:tc>
          <w:tcPr>
            <w:tcW w:w="499" w:type="pct"/>
            <w:shd w:val="clear" w:color="auto" w:fill="auto"/>
            <w:vAlign w:val="center"/>
          </w:tcPr>
          <w:p w14:paraId="3871DEC0">
            <w:pPr>
              <w:pStyle w:val="55"/>
              <w:bidi w:val="0"/>
              <w:rPr>
                <w:rFonts w:hint="default" w:eastAsia="宋体"/>
                <w:color w:val="000000" w:themeColor="text1"/>
                <w:sz w:val="24"/>
                <w:szCs w:val="24"/>
                <w:highlight w:val="none"/>
                <w:lang w:val="en-US" w:eastAsia="zh-CN"/>
                <w14:textFill>
                  <w14:solidFill>
                    <w14:schemeClr w14:val="tx1"/>
                  </w14:solidFill>
                </w14:textFill>
              </w:rPr>
            </w:pPr>
            <w:r>
              <w:rPr>
                <w:rFonts w:hint="eastAsia"/>
                <w:sz w:val="24"/>
                <w:szCs w:val="24"/>
                <w:highlight w:val="none"/>
                <w:lang w:val="en-US" w:eastAsia="zh-CN"/>
              </w:rPr>
              <w:t>1#生产车间</w:t>
            </w:r>
          </w:p>
        </w:tc>
        <w:tc>
          <w:tcPr>
            <w:tcW w:w="453" w:type="pct"/>
            <w:shd w:val="clear" w:color="auto" w:fill="auto"/>
            <w:vAlign w:val="center"/>
          </w:tcPr>
          <w:p w14:paraId="2F47DD0C">
            <w:pPr>
              <w:pStyle w:val="55"/>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115.186507135</w:t>
            </w:r>
          </w:p>
        </w:tc>
        <w:tc>
          <w:tcPr>
            <w:tcW w:w="449" w:type="pct"/>
            <w:shd w:val="clear" w:color="auto" w:fill="auto"/>
            <w:vAlign w:val="center"/>
          </w:tcPr>
          <w:p w14:paraId="4013B461">
            <w:pPr>
              <w:pStyle w:val="55"/>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38.794924052</w:t>
            </w:r>
          </w:p>
        </w:tc>
        <w:tc>
          <w:tcPr>
            <w:tcW w:w="302" w:type="pct"/>
            <w:shd w:val="clear" w:color="auto" w:fill="auto"/>
            <w:vAlign w:val="center"/>
          </w:tcPr>
          <w:p w14:paraId="1F22DA0D">
            <w:pPr>
              <w:pStyle w:val="55"/>
              <w:bidi w:val="0"/>
              <w:rPr>
                <w:color w:val="000000" w:themeColor="text1"/>
                <w:sz w:val="24"/>
                <w:szCs w:val="24"/>
                <w:highlight w:val="none"/>
                <w14:textFill>
                  <w14:solidFill>
                    <w14:schemeClr w14:val="tx1"/>
                  </w14:solidFill>
                </w14:textFill>
              </w:rPr>
            </w:pPr>
            <w:r>
              <w:rPr>
                <w:rFonts w:hint="eastAsia"/>
                <w:sz w:val="24"/>
                <w:szCs w:val="24"/>
                <w:highlight w:val="none"/>
                <w:lang w:val="en-US" w:eastAsia="zh-CN"/>
              </w:rPr>
              <w:t>39</w:t>
            </w:r>
          </w:p>
        </w:tc>
        <w:tc>
          <w:tcPr>
            <w:tcW w:w="979" w:type="dxa"/>
            <w:shd w:val="clear" w:color="auto" w:fill="auto"/>
            <w:vAlign w:val="center"/>
          </w:tcPr>
          <w:p w14:paraId="2C8CB317">
            <w:pPr>
              <w:pStyle w:val="55"/>
              <w:bidi w:val="0"/>
              <w:rPr>
                <w:rFonts w:hint="default" w:ascii="Times New Roman" w:hAnsi="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olor w:val="000000" w:themeColor="text1"/>
                <w:sz w:val="24"/>
                <w:szCs w:val="24"/>
                <w:highlight w:val="none"/>
                <w:lang w:val="en-US" w:eastAsia="zh-CN"/>
                <w14:textFill>
                  <w14:solidFill>
                    <w14:schemeClr w14:val="tx1"/>
                  </w14:solidFill>
                </w14:textFill>
              </w:rPr>
              <w:t>25</w:t>
            </w:r>
          </w:p>
        </w:tc>
        <w:tc>
          <w:tcPr>
            <w:tcW w:w="748" w:type="dxa"/>
            <w:shd w:val="clear" w:color="auto" w:fill="auto"/>
            <w:vAlign w:val="center"/>
          </w:tcPr>
          <w:p w14:paraId="5BD5F6C8">
            <w:pPr>
              <w:pStyle w:val="55"/>
              <w:bidi w:val="0"/>
              <w:rPr>
                <w:rFonts w:hint="default" w:ascii="Times New Roman" w:hAnsi="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olor w:val="000000" w:themeColor="text1"/>
                <w:sz w:val="24"/>
                <w:szCs w:val="24"/>
                <w:highlight w:val="none"/>
                <w:lang w:val="en-US" w:eastAsia="zh-CN"/>
                <w14:textFill>
                  <w14:solidFill>
                    <w14:schemeClr w14:val="tx1"/>
                  </w14:solidFill>
                </w14:textFill>
              </w:rPr>
              <w:t>78</w:t>
            </w:r>
          </w:p>
        </w:tc>
        <w:tc>
          <w:tcPr>
            <w:tcW w:w="305" w:type="pct"/>
            <w:shd w:val="clear" w:color="auto" w:fill="auto"/>
            <w:vAlign w:val="center"/>
          </w:tcPr>
          <w:p w14:paraId="29118ECE">
            <w:pPr>
              <w:pStyle w:val="55"/>
              <w:rPr>
                <w:rFonts w:hint="eastAsia"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w:t>
            </w:r>
          </w:p>
        </w:tc>
        <w:tc>
          <w:tcPr>
            <w:tcW w:w="386" w:type="pct"/>
            <w:shd w:val="clear" w:color="auto" w:fill="auto"/>
            <w:vAlign w:val="center"/>
          </w:tcPr>
          <w:p w14:paraId="31FA1A41">
            <w:pPr>
              <w:pStyle w:val="55"/>
              <w:bidi w:val="0"/>
              <w:rPr>
                <w:rFonts w:hint="default"/>
                <w:color w:val="000000" w:themeColor="text1"/>
                <w:sz w:val="24"/>
                <w:szCs w:val="24"/>
                <w:highlight w:val="none"/>
                <w:lang w:val="en-US"/>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10</w:t>
            </w:r>
          </w:p>
        </w:tc>
        <w:tc>
          <w:tcPr>
            <w:tcW w:w="356" w:type="pct"/>
            <w:shd w:val="clear" w:color="auto" w:fill="auto"/>
            <w:vAlign w:val="center"/>
          </w:tcPr>
          <w:p w14:paraId="22B3493F">
            <w:pPr>
              <w:pStyle w:val="55"/>
              <w:bidi w:val="0"/>
              <w:rPr>
                <w:rFonts w:hint="default"/>
                <w:sz w:val="24"/>
                <w:szCs w:val="24"/>
                <w:highlight w:val="none"/>
                <w:lang w:val="en-US"/>
              </w:rPr>
            </w:pPr>
            <w:r>
              <w:rPr>
                <w:rFonts w:hint="eastAsia"/>
                <w:sz w:val="24"/>
                <w:szCs w:val="24"/>
                <w:highlight w:val="none"/>
                <w:lang w:val="en-US" w:eastAsia="zh-CN"/>
              </w:rPr>
              <w:t>7200</w:t>
            </w:r>
          </w:p>
        </w:tc>
        <w:tc>
          <w:tcPr>
            <w:tcW w:w="212" w:type="pct"/>
            <w:shd w:val="clear" w:color="auto" w:fill="auto"/>
            <w:vAlign w:val="center"/>
          </w:tcPr>
          <w:p w14:paraId="0F81D305">
            <w:pPr>
              <w:pStyle w:val="55"/>
              <w:rPr>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正常</w:t>
            </w:r>
          </w:p>
        </w:tc>
        <w:tc>
          <w:tcPr>
            <w:tcW w:w="376" w:type="pct"/>
            <w:shd w:val="clear" w:color="auto" w:fill="auto"/>
            <w:vAlign w:val="center"/>
          </w:tcPr>
          <w:p w14:paraId="4EE62260">
            <w:pPr>
              <w:pStyle w:val="55"/>
              <w:rPr>
                <w:rFonts w:hint="default" w:eastAsia="宋体"/>
                <w:color w:val="000000" w:themeColor="text1"/>
                <w:sz w:val="24"/>
                <w:szCs w:val="24"/>
                <w:highlight w:val="none"/>
                <w:lang w:val="en-US" w:eastAsia="zh-CN"/>
                <w14:textFill>
                  <w14:solidFill>
                    <w14:schemeClr w14:val="tx1"/>
                  </w14:solidFill>
                </w14:textFill>
              </w:rPr>
            </w:pPr>
            <w:r>
              <w:rPr>
                <w:rFonts w:hint="eastAsia" w:eastAsia="宋体"/>
                <w:color w:val="000000" w:themeColor="text1"/>
                <w:sz w:val="24"/>
                <w:szCs w:val="24"/>
                <w:highlight w:val="none"/>
                <w:lang w:val="en-US" w:eastAsia="zh-CN"/>
                <w14:textFill>
                  <w14:solidFill>
                    <w14:schemeClr w14:val="tx1"/>
                  </w14:solidFill>
                </w14:textFill>
              </w:rPr>
              <w:t>0.063</w:t>
            </w:r>
          </w:p>
        </w:tc>
        <w:tc>
          <w:tcPr>
            <w:tcW w:w="481" w:type="pct"/>
            <w:shd w:val="clear" w:color="auto" w:fill="auto"/>
            <w:vAlign w:val="center"/>
          </w:tcPr>
          <w:p w14:paraId="2F8F9337">
            <w:pPr>
              <w:pStyle w:val="55"/>
              <w:rPr>
                <w:rFonts w:hint="default" w:eastAsia="宋体"/>
                <w:color w:val="000000" w:themeColor="text1"/>
                <w:sz w:val="24"/>
                <w:szCs w:val="24"/>
                <w:highlight w:val="none"/>
                <w:lang w:val="en-US" w:eastAsia="zh-CN"/>
                <w14:textFill>
                  <w14:solidFill>
                    <w14:schemeClr w14:val="tx1"/>
                  </w14:solidFill>
                </w14:textFill>
              </w:rPr>
            </w:pPr>
            <w:r>
              <w:rPr>
                <w:rFonts w:hint="eastAsia" w:eastAsia="宋体"/>
                <w:color w:val="000000" w:themeColor="text1"/>
                <w:sz w:val="24"/>
                <w:szCs w:val="24"/>
                <w:highlight w:val="none"/>
                <w:lang w:val="en-US" w:eastAsia="zh-CN"/>
                <w14:textFill>
                  <w14:solidFill>
                    <w14:schemeClr w14:val="tx1"/>
                  </w14:solidFill>
                </w14:textFill>
              </w:rPr>
              <w:t>0.064</w:t>
            </w:r>
          </w:p>
        </w:tc>
        <w:tc>
          <w:tcPr>
            <w:tcW w:w="342" w:type="pct"/>
            <w:shd w:val="clear" w:color="auto" w:fill="auto"/>
            <w:vAlign w:val="center"/>
          </w:tcPr>
          <w:p w14:paraId="2B9C6B63">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0.00004</w:t>
            </w:r>
          </w:p>
        </w:tc>
      </w:tr>
      <w:tr w14:paraId="6937D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60" w:type="pct"/>
            <w:shd w:val="clear" w:color="auto" w:fill="auto"/>
            <w:vAlign w:val="center"/>
          </w:tcPr>
          <w:p w14:paraId="2E4F9F7D">
            <w:pPr>
              <w:pStyle w:val="55"/>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2</w:t>
            </w:r>
          </w:p>
        </w:tc>
        <w:tc>
          <w:tcPr>
            <w:tcW w:w="499" w:type="pct"/>
            <w:shd w:val="clear" w:color="auto" w:fill="auto"/>
            <w:vAlign w:val="center"/>
          </w:tcPr>
          <w:p w14:paraId="621AF475">
            <w:pPr>
              <w:pStyle w:val="55"/>
              <w:bidi w:val="0"/>
              <w:rPr>
                <w:rFonts w:hint="eastAsia"/>
                <w:color w:val="000000" w:themeColor="text1"/>
                <w:sz w:val="24"/>
                <w:szCs w:val="24"/>
                <w:highlight w:val="none"/>
                <w:lang w:val="en-US" w:eastAsia="zh-CN"/>
                <w14:textFill>
                  <w14:solidFill>
                    <w14:schemeClr w14:val="tx1"/>
                  </w14:solidFill>
                </w14:textFill>
              </w:rPr>
            </w:pPr>
            <w:r>
              <w:rPr>
                <w:rFonts w:hint="eastAsia"/>
                <w:sz w:val="24"/>
                <w:szCs w:val="24"/>
                <w:highlight w:val="none"/>
                <w:lang w:val="en-US" w:eastAsia="zh-CN"/>
              </w:rPr>
              <w:t>2#生产车间</w:t>
            </w:r>
          </w:p>
        </w:tc>
        <w:tc>
          <w:tcPr>
            <w:tcW w:w="453" w:type="pct"/>
            <w:shd w:val="clear" w:color="auto" w:fill="auto"/>
            <w:vAlign w:val="center"/>
          </w:tcPr>
          <w:p w14:paraId="3433F788">
            <w:pPr>
              <w:pStyle w:val="55"/>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115.186163813</w:t>
            </w:r>
          </w:p>
        </w:tc>
        <w:tc>
          <w:tcPr>
            <w:tcW w:w="449" w:type="pct"/>
            <w:shd w:val="clear" w:color="auto" w:fill="auto"/>
            <w:vAlign w:val="center"/>
          </w:tcPr>
          <w:p w14:paraId="290FA076">
            <w:pPr>
              <w:pStyle w:val="55"/>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38.79464778</w:t>
            </w:r>
          </w:p>
        </w:tc>
        <w:tc>
          <w:tcPr>
            <w:tcW w:w="302" w:type="pct"/>
            <w:shd w:val="clear" w:color="auto" w:fill="auto"/>
            <w:vAlign w:val="center"/>
          </w:tcPr>
          <w:p w14:paraId="584B203B">
            <w:pPr>
              <w:pStyle w:val="55"/>
              <w:bidi w:val="0"/>
              <w:rPr>
                <w:rFonts w:hint="default"/>
                <w:color w:val="000000" w:themeColor="text1"/>
                <w:sz w:val="24"/>
                <w:szCs w:val="24"/>
                <w:highlight w:val="none"/>
                <w:lang w:val="en-US" w:eastAsia="zh-CN"/>
                <w14:textFill>
                  <w14:solidFill>
                    <w14:schemeClr w14:val="tx1"/>
                  </w14:solidFill>
                </w14:textFill>
              </w:rPr>
            </w:pPr>
            <w:r>
              <w:rPr>
                <w:rFonts w:hint="eastAsia"/>
                <w:sz w:val="24"/>
                <w:szCs w:val="24"/>
                <w:highlight w:val="none"/>
                <w:lang w:val="en-US" w:eastAsia="zh-CN"/>
              </w:rPr>
              <w:t>39</w:t>
            </w:r>
          </w:p>
        </w:tc>
        <w:tc>
          <w:tcPr>
            <w:tcW w:w="979" w:type="dxa"/>
            <w:shd w:val="clear" w:color="auto" w:fill="auto"/>
            <w:vAlign w:val="center"/>
          </w:tcPr>
          <w:p w14:paraId="00B6096B">
            <w:pPr>
              <w:pStyle w:val="55"/>
              <w:bidi w:val="0"/>
              <w:rPr>
                <w:rFonts w:hint="default" w:ascii="Times New Roman" w:hAnsi="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olor w:val="000000" w:themeColor="text1"/>
                <w:sz w:val="24"/>
                <w:szCs w:val="24"/>
                <w:highlight w:val="none"/>
                <w:lang w:val="en-US" w:eastAsia="zh-CN"/>
                <w14:textFill>
                  <w14:solidFill>
                    <w14:schemeClr w14:val="tx1"/>
                  </w14:solidFill>
                </w14:textFill>
              </w:rPr>
              <w:t>45</w:t>
            </w:r>
          </w:p>
        </w:tc>
        <w:tc>
          <w:tcPr>
            <w:tcW w:w="748" w:type="dxa"/>
            <w:shd w:val="clear" w:color="auto" w:fill="auto"/>
            <w:vAlign w:val="center"/>
          </w:tcPr>
          <w:p w14:paraId="44B552D2">
            <w:pPr>
              <w:pStyle w:val="55"/>
              <w:bidi w:val="0"/>
              <w:rPr>
                <w:rFonts w:hint="default" w:ascii="Times New Roman" w:hAnsi="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olor w:val="000000" w:themeColor="text1"/>
                <w:sz w:val="24"/>
                <w:szCs w:val="24"/>
                <w:highlight w:val="none"/>
                <w:lang w:val="en-US" w:eastAsia="zh-CN"/>
                <w14:textFill>
                  <w14:solidFill>
                    <w14:schemeClr w14:val="tx1"/>
                  </w14:solidFill>
                </w14:textFill>
              </w:rPr>
              <w:t>23</w:t>
            </w:r>
          </w:p>
        </w:tc>
        <w:tc>
          <w:tcPr>
            <w:tcW w:w="305" w:type="pct"/>
            <w:shd w:val="clear" w:color="auto" w:fill="auto"/>
            <w:vAlign w:val="center"/>
          </w:tcPr>
          <w:p w14:paraId="4201C486">
            <w:pPr>
              <w:pStyle w:val="55"/>
              <w:rPr>
                <w:rFonts w:hint="eastAsia"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w:t>
            </w:r>
          </w:p>
        </w:tc>
        <w:tc>
          <w:tcPr>
            <w:tcW w:w="386" w:type="pct"/>
            <w:shd w:val="clear" w:color="auto" w:fill="auto"/>
            <w:vAlign w:val="center"/>
          </w:tcPr>
          <w:p w14:paraId="59148E19">
            <w:pPr>
              <w:pStyle w:val="55"/>
              <w:bidi w:val="0"/>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10</w:t>
            </w:r>
          </w:p>
        </w:tc>
        <w:tc>
          <w:tcPr>
            <w:tcW w:w="356" w:type="pct"/>
            <w:shd w:val="clear" w:color="auto" w:fill="auto"/>
            <w:vAlign w:val="center"/>
          </w:tcPr>
          <w:p w14:paraId="7B7BEEDE">
            <w:pPr>
              <w:pStyle w:val="55"/>
              <w:bidi w:val="0"/>
              <w:rPr>
                <w:rFonts w:hint="eastAsia"/>
                <w:sz w:val="24"/>
                <w:szCs w:val="24"/>
                <w:highlight w:val="none"/>
                <w:lang w:val="en-US" w:eastAsia="zh-CN"/>
              </w:rPr>
            </w:pPr>
            <w:r>
              <w:rPr>
                <w:rFonts w:hint="eastAsia"/>
                <w:sz w:val="24"/>
                <w:szCs w:val="24"/>
                <w:highlight w:val="none"/>
                <w:lang w:val="en-US" w:eastAsia="zh-CN"/>
              </w:rPr>
              <w:t>7200</w:t>
            </w:r>
          </w:p>
        </w:tc>
        <w:tc>
          <w:tcPr>
            <w:tcW w:w="212" w:type="pct"/>
            <w:shd w:val="clear" w:color="auto" w:fill="auto"/>
            <w:vAlign w:val="center"/>
          </w:tcPr>
          <w:p w14:paraId="2EE145FF">
            <w:pPr>
              <w:pStyle w:val="55"/>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正常</w:t>
            </w:r>
          </w:p>
        </w:tc>
        <w:tc>
          <w:tcPr>
            <w:tcW w:w="376" w:type="pct"/>
            <w:shd w:val="clear" w:color="auto" w:fill="auto"/>
            <w:vAlign w:val="center"/>
          </w:tcPr>
          <w:p w14:paraId="30B10386">
            <w:pPr>
              <w:pStyle w:val="55"/>
              <w:rPr>
                <w:rFonts w:hint="eastAsia" w:ascii="Times New Roman" w:hAnsi="Times New Roman" w:eastAsia="宋体" w:cstheme="minorBidi"/>
                <w:snapToGrid w:val="0"/>
                <w:color w:val="000000" w:themeColor="text1"/>
                <w:kern w:val="0"/>
                <w:sz w:val="24"/>
                <w:szCs w:val="24"/>
                <w:highlight w:val="none"/>
                <w:lang w:val="en-US" w:eastAsia="zh-CN" w:bidi="ar-SA"/>
                <w14:textFill>
                  <w14:solidFill>
                    <w14:schemeClr w14:val="tx1"/>
                  </w14:solidFill>
                </w14:textFill>
              </w:rPr>
            </w:pPr>
            <w:r>
              <w:rPr>
                <w:rFonts w:hint="eastAsia" w:eastAsia="宋体"/>
                <w:color w:val="000000" w:themeColor="text1"/>
                <w:sz w:val="24"/>
                <w:szCs w:val="24"/>
                <w:highlight w:val="none"/>
                <w:lang w:val="en-US" w:eastAsia="zh-CN"/>
                <w14:textFill>
                  <w14:solidFill>
                    <w14:schemeClr w14:val="tx1"/>
                  </w14:solidFill>
                </w14:textFill>
              </w:rPr>
              <w:t>0.063</w:t>
            </w:r>
          </w:p>
        </w:tc>
        <w:tc>
          <w:tcPr>
            <w:tcW w:w="481" w:type="pct"/>
            <w:shd w:val="clear" w:color="auto" w:fill="auto"/>
            <w:vAlign w:val="center"/>
          </w:tcPr>
          <w:p w14:paraId="50B610D2">
            <w:pPr>
              <w:pStyle w:val="55"/>
              <w:rPr>
                <w:rFonts w:hint="default" w:ascii="Times New Roman" w:hAnsi="Times New Roman" w:eastAsia="宋体" w:cstheme="minorBidi"/>
                <w:snapToGrid w:val="0"/>
                <w:color w:val="000000" w:themeColor="text1"/>
                <w:kern w:val="0"/>
                <w:sz w:val="24"/>
                <w:szCs w:val="24"/>
                <w:highlight w:val="none"/>
                <w:lang w:val="en-US" w:eastAsia="zh-CN" w:bidi="ar-SA"/>
                <w14:textFill>
                  <w14:solidFill>
                    <w14:schemeClr w14:val="tx1"/>
                  </w14:solidFill>
                </w14:textFill>
              </w:rPr>
            </w:pPr>
            <w:r>
              <w:rPr>
                <w:rFonts w:hint="eastAsia" w:eastAsia="宋体"/>
                <w:color w:val="000000" w:themeColor="text1"/>
                <w:sz w:val="24"/>
                <w:szCs w:val="24"/>
                <w:highlight w:val="none"/>
                <w:lang w:val="en-US" w:eastAsia="zh-CN"/>
                <w14:textFill>
                  <w14:solidFill>
                    <w14:schemeClr w14:val="tx1"/>
                  </w14:solidFill>
                </w14:textFill>
              </w:rPr>
              <w:t>0.064</w:t>
            </w:r>
          </w:p>
        </w:tc>
        <w:tc>
          <w:tcPr>
            <w:tcW w:w="342" w:type="pct"/>
            <w:shd w:val="clear" w:color="auto" w:fill="auto"/>
            <w:vAlign w:val="center"/>
          </w:tcPr>
          <w:p w14:paraId="787DDACD">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eastAsia" w:ascii="Times New Roman" w:hAnsi="Times New Roman" w:eastAsia="宋体" w:cstheme="minorBidi"/>
                <w:snapToGrid w:val="0"/>
                <w:color w:val="000000" w:themeColor="text1"/>
                <w:kern w:val="0"/>
                <w:sz w:val="24"/>
                <w:szCs w:val="24"/>
                <w:highlight w:val="none"/>
                <w:lang w:val="en-US" w:eastAsia="zh-CN" w:bidi="ar-SA"/>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0.00004</w:t>
            </w:r>
          </w:p>
        </w:tc>
      </w:tr>
      <w:tr w14:paraId="6EE4A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60" w:type="pct"/>
            <w:shd w:val="clear" w:color="auto" w:fill="auto"/>
            <w:vAlign w:val="center"/>
          </w:tcPr>
          <w:p w14:paraId="095E18FE">
            <w:pPr>
              <w:pStyle w:val="55"/>
              <w:rPr>
                <w:rFonts w:hint="eastAsia"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3</w:t>
            </w:r>
          </w:p>
        </w:tc>
        <w:tc>
          <w:tcPr>
            <w:tcW w:w="499" w:type="pct"/>
            <w:shd w:val="clear" w:color="auto" w:fill="auto"/>
            <w:vAlign w:val="center"/>
          </w:tcPr>
          <w:p w14:paraId="387D2B76">
            <w:pPr>
              <w:pStyle w:val="55"/>
              <w:bidi w:val="0"/>
              <w:rPr>
                <w:rFonts w:hint="eastAsia" w:eastAsia="宋体"/>
                <w:color w:val="000000" w:themeColor="text1"/>
                <w:sz w:val="24"/>
                <w:szCs w:val="24"/>
                <w:highlight w:val="none"/>
                <w:lang w:val="en-US" w:eastAsia="zh-CN"/>
                <w14:textFill>
                  <w14:solidFill>
                    <w14:schemeClr w14:val="tx1"/>
                  </w14:solidFill>
                </w14:textFill>
              </w:rPr>
            </w:pPr>
            <w:r>
              <w:rPr>
                <w:rFonts w:hint="eastAsia"/>
                <w:sz w:val="24"/>
                <w:szCs w:val="24"/>
                <w:highlight w:val="none"/>
                <w:lang w:val="en-US" w:eastAsia="zh-CN"/>
              </w:rPr>
              <w:t>3#生产车间</w:t>
            </w:r>
          </w:p>
        </w:tc>
        <w:tc>
          <w:tcPr>
            <w:tcW w:w="453" w:type="pct"/>
            <w:shd w:val="clear" w:color="auto" w:fill="auto"/>
            <w:vAlign w:val="center"/>
          </w:tcPr>
          <w:p w14:paraId="5E21A375">
            <w:pPr>
              <w:pStyle w:val="55"/>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115.186622470</w:t>
            </w:r>
          </w:p>
        </w:tc>
        <w:tc>
          <w:tcPr>
            <w:tcW w:w="449" w:type="pct"/>
            <w:shd w:val="clear" w:color="auto" w:fill="auto"/>
            <w:vAlign w:val="center"/>
          </w:tcPr>
          <w:p w14:paraId="0A8B80AE">
            <w:pPr>
              <w:pStyle w:val="55"/>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38.794124753</w:t>
            </w:r>
          </w:p>
        </w:tc>
        <w:tc>
          <w:tcPr>
            <w:tcW w:w="302" w:type="pct"/>
            <w:shd w:val="clear" w:color="auto" w:fill="auto"/>
            <w:vAlign w:val="center"/>
          </w:tcPr>
          <w:p w14:paraId="041C50C7">
            <w:pPr>
              <w:pStyle w:val="55"/>
              <w:bidi w:val="0"/>
              <w:rPr>
                <w:color w:val="000000" w:themeColor="text1"/>
                <w:sz w:val="24"/>
                <w:szCs w:val="24"/>
                <w:highlight w:val="none"/>
                <w14:textFill>
                  <w14:solidFill>
                    <w14:schemeClr w14:val="tx1"/>
                  </w14:solidFill>
                </w14:textFill>
              </w:rPr>
            </w:pPr>
            <w:r>
              <w:rPr>
                <w:rFonts w:hint="eastAsia"/>
                <w:sz w:val="24"/>
                <w:szCs w:val="24"/>
                <w:highlight w:val="none"/>
                <w:lang w:val="en-US" w:eastAsia="zh-CN"/>
              </w:rPr>
              <w:t>38</w:t>
            </w:r>
          </w:p>
        </w:tc>
        <w:tc>
          <w:tcPr>
            <w:tcW w:w="979" w:type="dxa"/>
            <w:shd w:val="clear" w:color="auto" w:fill="auto"/>
            <w:vAlign w:val="center"/>
          </w:tcPr>
          <w:p w14:paraId="6FE66B9D">
            <w:pPr>
              <w:pStyle w:val="55"/>
              <w:bidi w:val="0"/>
              <w:rPr>
                <w:rFonts w:hint="default" w:ascii="Times New Roman" w:hAnsi="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olor w:val="000000" w:themeColor="text1"/>
                <w:sz w:val="24"/>
                <w:szCs w:val="24"/>
                <w:highlight w:val="none"/>
                <w:lang w:val="en-US" w:eastAsia="zh-CN"/>
                <w14:textFill>
                  <w14:solidFill>
                    <w14:schemeClr w14:val="tx1"/>
                  </w14:solidFill>
                </w14:textFill>
              </w:rPr>
              <w:t>40</w:t>
            </w:r>
          </w:p>
        </w:tc>
        <w:tc>
          <w:tcPr>
            <w:tcW w:w="748" w:type="dxa"/>
            <w:shd w:val="clear" w:color="auto" w:fill="auto"/>
            <w:vAlign w:val="center"/>
          </w:tcPr>
          <w:p w14:paraId="65DAA804">
            <w:pPr>
              <w:pStyle w:val="55"/>
              <w:bidi w:val="0"/>
              <w:rPr>
                <w:rFonts w:hint="default" w:ascii="Times New Roman" w:hAnsi="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olor w:val="000000" w:themeColor="text1"/>
                <w:sz w:val="24"/>
                <w:szCs w:val="24"/>
                <w:highlight w:val="none"/>
                <w:lang w:val="en-US" w:eastAsia="zh-CN"/>
                <w14:textFill>
                  <w14:solidFill>
                    <w14:schemeClr w14:val="tx1"/>
                  </w14:solidFill>
                </w14:textFill>
              </w:rPr>
              <w:t>35</w:t>
            </w:r>
          </w:p>
        </w:tc>
        <w:tc>
          <w:tcPr>
            <w:tcW w:w="305" w:type="pct"/>
            <w:shd w:val="clear" w:color="auto" w:fill="auto"/>
            <w:vAlign w:val="center"/>
          </w:tcPr>
          <w:p w14:paraId="152D9A5B">
            <w:pPr>
              <w:pStyle w:val="55"/>
              <w:rPr>
                <w:rFonts w:hint="eastAsia"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w:t>
            </w:r>
          </w:p>
        </w:tc>
        <w:tc>
          <w:tcPr>
            <w:tcW w:w="386" w:type="pct"/>
            <w:shd w:val="clear" w:color="auto" w:fill="auto"/>
            <w:vAlign w:val="center"/>
          </w:tcPr>
          <w:p w14:paraId="61DC21A2">
            <w:pPr>
              <w:pStyle w:val="55"/>
              <w:bidi w:val="0"/>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10</w:t>
            </w:r>
          </w:p>
        </w:tc>
        <w:tc>
          <w:tcPr>
            <w:tcW w:w="356" w:type="pct"/>
            <w:shd w:val="clear" w:color="auto" w:fill="auto"/>
            <w:vAlign w:val="center"/>
          </w:tcPr>
          <w:p w14:paraId="2D80F782">
            <w:pPr>
              <w:pStyle w:val="55"/>
              <w:bidi w:val="0"/>
              <w:rPr>
                <w:sz w:val="24"/>
                <w:szCs w:val="24"/>
                <w:highlight w:val="none"/>
              </w:rPr>
            </w:pPr>
            <w:r>
              <w:rPr>
                <w:rFonts w:hint="eastAsia"/>
                <w:sz w:val="24"/>
                <w:szCs w:val="24"/>
                <w:highlight w:val="none"/>
                <w:lang w:val="en-US" w:eastAsia="zh-CN"/>
              </w:rPr>
              <w:t>7200</w:t>
            </w:r>
          </w:p>
        </w:tc>
        <w:tc>
          <w:tcPr>
            <w:tcW w:w="212" w:type="pct"/>
            <w:shd w:val="clear" w:color="auto" w:fill="auto"/>
            <w:vAlign w:val="center"/>
          </w:tcPr>
          <w:p w14:paraId="031B5620">
            <w:pPr>
              <w:pStyle w:val="55"/>
              <w:rPr>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正常</w:t>
            </w:r>
          </w:p>
        </w:tc>
        <w:tc>
          <w:tcPr>
            <w:tcW w:w="376" w:type="pct"/>
            <w:shd w:val="clear" w:color="auto" w:fill="auto"/>
            <w:vAlign w:val="center"/>
          </w:tcPr>
          <w:p w14:paraId="5D70B3AE">
            <w:pPr>
              <w:pStyle w:val="55"/>
              <w:rPr>
                <w:rFonts w:hint="default" w:ascii="Times New Roman" w:hAnsi="Times New Roman" w:eastAsia="宋体" w:cstheme="minorBidi"/>
                <w:snapToGrid w:val="0"/>
                <w:color w:val="000000" w:themeColor="text1"/>
                <w:kern w:val="0"/>
                <w:sz w:val="24"/>
                <w:szCs w:val="24"/>
                <w:highlight w:val="none"/>
                <w:lang w:val="en-US" w:eastAsia="zh-CN" w:bidi="ar-SA"/>
                <w14:textFill>
                  <w14:solidFill>
                    <w14:schemeClr w14:val="tx1"/>
                  </w14:solidFill>
                </w14:textFill>
              </w:rPr>
            </w:pPr>
            <w:r>
              <w:rPr>
                <w:rFonts w:hint="eastAsia" w:ascii="Times New Roman" w:hAnsi="Times New Roman" w:eastAsia="宋体" w:cstheme="minorBidi"/>
                <w:snapToGrid w:val="0"/>
                <w:color w:val="000000" w:themeColor="text1"/>
                <w:kern w:val="0"/>
                <w:sz w:val="24"/>
                <w:szCs w:val="24"/>
                <w:highlight w:val="none"/>
                <w:lang w:val="en-US" w:eastAsia="zh-CN" w:bidi="ar-SA"/>
                <w14:textFill>
                  <w14:solidFill>
                    <w14:schemeClr w14:val="tx1"/>
                  </w14:solidFill>
                </w14:textFill>
              </w:rPr>
              <w:t>0.032</w:t>
            </w:r>
          </w:p>
        </w:tc>
        <w:tc>
          <w:tcPr>
            <w:tcW w:w="481" w:type="pct"/>
            <w:shd w:val="clear" w:color="auto" w:fill="auto"/>
            <w:vAlign w:val="center"/>
          </w:tcPr>
          <w:p w14:paraId="54E198E8">
            <w:pPr>
              <w:pStyle w:val="55"/>
              <w:rPr>
                <w:rFonts w:hint="default" w:ascii="Times New Roman" w:hAnsi="Times New Roman" w:eastAsia="宋体" w:cstheme="minorBidi"/>
                <w:snapToGrid w:val="0"/>
                <w:color w:val="000000" w:themeColor="text1"/>
                <w:kern w:val="0"/>
                <w:sz w:val="24"/>
                <w:szCs w:val="24"/>
                <w:highlight w:val="none"/>
                <w:lang w:val="en-US" w:eastAsia="zh-CN" w:bidi="ar-SA"/>
                <w14:textFill>
                  <w14:solidFill>
                    <w14:schemeClr w14:val="tx1"/>
                  </w14:solidFill>
                </w14:textFill>
              </w:rPr>
            </w:pPr>
            <w:r>
              <w:rPr>
                <w:rFonts w:hint="eastAsia" w:ascii="Times New Roman" w:hAnsi="Times New Roman" w:eastAsia="宋体" w:cstheme="minorBidi"/>
                <w:snapToGrid w:val="0"/>
                <w:color w:val="000000" w:themeColor="text1"/>
                <w:kern w:val="0"/>
                <w:sz w:val="24"/>
                <w:szCs w:val="24"/>
                <w:highlight w:val="none"/>
                <w:lang w:val="en-US" w:eastAsia="zh-CN" w:bidi="ar-SA"/>
                <w14:textFill>
                  <w14:solidFill>
                    <w14:schemeClr w14:val="tx1"/>
                  </w14:solidFill>
                </w14:textFill>
              </w:rPr>
              <w:t>0.032</w:t>
            </w:r>
          </w:p>
        </w:tc>
        <w:tc>
          <w:tcPr>
            <w:tcW w:w="342" w:type="pct"/>
            <w:shd w:val="clear" w:color="auto" w:fill="auto"/>
            <w:vAlign w:val="center"/>
          </w:tcPr>
          <w:p w14:paraId="483FFF90">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default" w:ascii="Times New Roman" w:hAnsi="Times New Roman" w:eastAsia="宋体" w:cstheme="minorBidi"/>
                <w:snapToGrid w:val="0"/>
                <w:color w:val="000000" w:themeColor="text1"/>
                <w:kern w:val="0"/>
                <w:sz w:val="24"/>
                <w:szCs w:val="24"/>
                <w:highlight w:val="none"/>
                <w:lang w:val="en-US" w:eastAsia="zh-CN" w:bidi="ar-SA"/>
                <w14:textFill>
                  <w14:solidFill>
                    <w14:schemeClr w14:val="tx1"/>
                  </w14:solidFill>
                </w14:textFill>
              </w:rPr>
            </w:pPr>
            <w:r>
              <w:rPr>
                <w:rFonts w:hint="eastAsia" w:ascii="Times New Roman" w:hAnsi="Times New Roman" w:eastAsia="宋体" w:cstheme="minorBidi"/>
                <w:snapToGrid w:val="0"/>
                <w:color w:val="000000" w:themeColor="text1"/>
                <w:kern w:val="0"/>
                <w:sz w:val="24"/>
                <w:szCs w:val="24"/>
                <w:highlight w:val="none"/>
                <w:lang w:val="en-US" w:eastAsia="zh-CN" w:bidi="ar-SA"/>
                <w14:textFill>
                  <w14:solidFill>
                    <w14:schemeClr w14:val="tx1"/>
                  </w14:solidFill>
                </w14:textFill>
              </w:rPr>
              <w:t>0.00002</w:t>
            </w:r>
          </w:p>
        </w:tc>
      </w:tr>
    </w:tbl>
    <w:p w14:paraId="2CF93C3D">
      <w:pPr>
        <w:pStyle w:val="47"/>
        <w:ind w:firstLine="482"/>
        <w:rPr>
          <w:highlight w:val="none"/>
          <w:u w:val="none"/>
        </w:rPr>
        <w:sectPr>
          <w:pgSz w:w="16838" w:h="11906" w:orient="landscape"/>
          <w:pgMar w:top="1417" w:right="1417" w:bottom="1417" w:left="1417" w:header="964" w:footer="964" w:gutter="0"/>
          <w:pgBorders>
            <w:top w:val="none" w:sz="0" w:space="0"/>
            <w:left w:val="none" w:sz="0" w:space="0"/>
            <w:bottom w:val="none" w:sz="0" w:space="0"/>
            <w:right w:val="none" w:sz="0" w:space="0"/>
          </w:pgBorders>
          <w:pgNumType w:fmt="decimal"/>
          <w:cols w:space="425" w:num="1"/>
          <w:docGrid w:type="linesAndChars" w:linePitch="326" w:charSpace="190"/>
        </w:sectPr>
      </w:pPr>
    </w:p>
    <w:p w14:paraId="77C4DB02">
      <w:pPr>
        <w:pStyle w:val="94"/>
        <w:bidi w:val="0"/>
        <w:ind w:left="0" w:leftChars="0" w:firstLine="0" w:firstLineChars="0"/>
      </w:pPr>
      <w:r>
        <w:rPr>
          <w:rFonts w:hint="eastAsia"/>
        </w:rPr>
        <w:t>估算模型</w:t>
      </w:r>
      <w:r>
        <w:t>计算结果表</w:t>
      </w:r>
    </w:p>
    <w:tbl>
      <w:tblPr>
        <w:tblStyle w:val="3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0"/>
        <w:gridCol w:w="1597"/>
        <w:gridCol w:w="1658"/>
        <w:gridCol w:w="1601"/>
        <w:gridCol w:w="1186"/>
        <w:gridCol w:w="1192"/>
        <w:gridCol w:w="890"/>
      </w:tblGrid>
      <w:tr w14:paraId="4AA56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587" w:type="pct"/>
            <w:tcBorders>
              <w:tl2br w:val="nil"/>
              <w:tr2bl w:val="nil"/>
            </w:tcBorders>
            <w:tcMar>
              <w:left w:w="28" w:type="dxa"/>
              <w:right w:w="28" w:type="dxa"/>
            </w:tcMar>
            <w:vAlign w:val="center"/>
          </w:tcPr>
          <w:p w14:paraId="57D6529B">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排放方式</w:t>
            </w:r>
          </w:p>
        </w:tc>
        <w:tc>
          <w:tcPr>
            <w:tcW w:w="867" w:type="pct"/>
            <w:tcBorders>
              <w:tl2br w:val="nil"/>
              <w:tr2bl w:val="nil"/>
            </w:tcBorders>
            <w:tcMar>
              <w:left w:w="28" w:type="dxa"/>
              <w:right w:w="28" w:type="dxa"/>
            </w:tcMar>
            <w:vAlign w:val="center"/>
          </w:tcPr>
          <w:p w14:paraId="0849500A">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污染</w:t>
            </w:r>
            <w:r>
              <w:rPr>
                <w:rFonts w:hint="eastAsia"/>
                <w:color w:val="000000" w:themeColor="text1"/>
                <w:sz w:val="24"/>
                <w:szCs w:val="24"/>
                <w:highlight w:val="none"/>
                <w14:textFill>
                  <w14:solidFill>
                    <w14:schemeClr w14:val="tx1"/>
                  </w14:solidFill>
                </w14:textFill>
              </w:rPr>
              <w:t>源</w:t>
            </w:r>
          </w:p>
        </w:tc>
        <w:tc>
          <w:tcPr>
            <w:tcW w:w="900" w:type="pct"/>
            <w:tcBorders>
              <w:tl2br w:val="nil"/>
              <w:tr2bl w:val="nil"/>
            </w:tcBorders>
            <w:vAlign w:val="center"/>
          </w:tcPr>
          <w:p w14:paraId="74860D5D">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评价因子</w:t>
            </w:r>
          </w:p>
        </w:tc>
        <w:tc>
          <w:tcPr>
            <w:tcW w:w="869" w:type="pct"/>
            <w:tcBorders>
              <w:tl2br w:val="nil"/>
              <w:tr2bl w:val="nil"/>
            </w:tcBorders>
            <w:vAlign w:val="center"/>
          </w:tcPr>
          <w:p w14:paraId="31437669">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color w:val="000000" w:themeColor="text1"/>
                <w:sz w:val="24"/>
                <w:szCs w:val="24"/>
                <w:highlight w:val="none"/>
                <w:vertAlign w:val="subscript"/>
                <w14:textFill>
                  <w14:solidFill>
                    <w14:schemeClr w14:val="tx1"/>
                  </w14:solidFill>
                </w14:textFill>
              </w:rPr>
            </w:pPr>
            <w:r>
              <w:rPr>
                <w:rFonts w:hint="eastAsia"/>
                <w:color w:val="000000" w:themeColor="text1"/>
                <w:sz w:val="24"/>
                <w:szCs w:val="24"/>
                <w:highlight w:val="none"/>
                <w14:textFill>
                  <w14:solidFill>
                    <w14:schemeClr w14:val="tx1"/>
                  </w14:solidFill>
                </w14:textFill>
              </w:rPr>
              <w:t>下</w:t>
            </w:r>
            <w:r>
              <w:rPr>
                <w:color w:val="000000" w:themeColor="text1"/>
                <w:sz w:val="24"/>
                <w:szCs w:val="24"/>
                <w:highlight w:val="none"/>
                <w14:textFill>
                  <w14:solidFill>
                    <w14:schemeClr w14:val="tx1"/>
                  </w14:solidFill>
                </w14:textFill>
              </w:rPr>
              <w:t>风向最大</w:t>
            </w:r>
            <w:r>
              <w:rPr>
                <w:rFonts w:hint="eastAsia"/>
                <w:color w:val="000000" w:themeColor="text1"/>
                <w:sz w:val="24"/>
                <w:szCs w:val="24"/>
                <w:highlight w:val="none"/>
                <w14:textFill>
                  <w14:solidFill>
                    <w14:schemeClr w14:val="tx1"/>
                  </w14:solidFill>
                </w14:textFill>
              </w:rPr>
              <w:t>质量</w:t>
            </w:r>
            <w:r>
              <w:rPr>
                <w:color w:val="000000" w:themeColor="text1"/>
                <w:sz w:val="24"/>
                <w:szCs w:val="24"/>
                <w:highlight w:val="none"/>
                <w14:textFill>
                  <w14:solidFill>
                    <w14:schemeClr w14:val="tx1"/>
                  </w14:solidFill>
                </w14:textFill>
              </w:rPr>
              <w:t>浓度C</w:t>
            </w:r>
            <w:r>
              <w:rPr>
                <w:color w:val="000000" w:themeColor="text1"/>
                <w:sz w:val="24"/>
                <w:szCs w:val="24"/>
                <w:highlight w:val="none"/>
                <w:vertAlign w:val="subscript"/>
                <w14:textFill>
                  <w14:solidFill>
                    <w14:schemeClr w14:val="tx1"/>
                  </w14:solidFill>
                </w14:textFill>
              </w:rPr>
              <w:t>i</w:t>
            </w:r>
            <w:r>
              <w:rPr>
                <w:color w:val="000000" w:themeColor="text1"/>
                <w:sz w:val="24"/>
                <w:szCs w:val="24"/>
                <w:highlight w:val="none"/>
                <w14:textFill>
                  <w14:solidFill>
                    <w14:schemeClr w14:val="tx1"/>
                  </w14:solidFill>
                </w14:textFill>
              </w:rPr>
              <w:t xml:space="preserve"> /(mg/m</w:t>
            </w:r>
            <w:r>
              <w:rPr>
                <w:color w:val="000000" w:themeColor="text1"/>
                <w:sz w:val="24"/>
                <w:szCs w:val="24"/>
                <w:highlight w:val="none"/>
                <w:vertAlign w:val="superscript"/>
                <w14:textFill>
                  <w14:solidFill>
                    <w14:schemeClr w14:val="tx1"/>
                  </w14:solidFill>
                </w14:textFill>
              </w:rPr>
              <w:t>3</w:t>
            </w:r>
            <w:r>
              <w:rPr>
                <w:color w:val="000000" w:themeColor="text1"/>
                <w:sz w:val="24"/>
                <w:szCs w:val="24"/>
                <w:highlight w:val="none"/>
                <w14:textFill>
                  <w14:solidFill>
                    <w14:schemeClr w14:val="tx1"/>
                  </w14:solidFill>
                </w14:textFill>
              </w:rPr>
              <w:t>)</w:t>
            </w:r>
          </w:p>
        </w:tc>
        <w:tc>
          <w:tcPr>
            <w:tcW w:w="644" w:type="pct"/>
            <w:tcBorders>
              <w:tl2br w:val="nil"/>
              <w:tr2bl w:val="nil"/>
            </w:tcBorders>
            <w:vAlign w:val="center"/>
          </w:tcPr>
          <w:p w14:paraId="61748FF5">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color w:val="000000" w:themeColor="text1"/>
                <w:sz w:val="24"/>
                <w:szCs w:val="24"/>
                <w:highlight w:val="none"/>
                <w:vertAlign w:val="subscript"/>
                <w14:textFill>
                  <w14:solidFill>
                    <w14:schemeClr w14:val="tx1"/>
                  </w14:solidFill>
                </w14:textFill>
              </w:rPr>
            </w:pPr>
            <w:r>
              <w:rPr>
                <w:rFonts w:hint="eastAsia"/>
                <w:color w:val="000000" w:themeColor="text1"/>
                <w:sz w:val="24"/>
                <w:szCs w:val="24"/>
                <w:highlight w:val="none"/>
                <w14:textFill>
                  <w14:solidFill>
                    <w14:schemeClr w14:val="tx1"/>
                  </w14:solidFill>
                </w14:textFill>
              </w:rPr>
              <w:t>占标率</w:t>
            </w:r>
            <w:r>
              <w:rPr>
                <w:color w:val="000000" w:themeColor="text1"/>
                <w:sz w:val="24"/>
                <w:szCs w:val="24"/>
                <w:highlight w:val="none"/>
                <w14:textFill>
                  <w14:solidFill>
                    <w14:schemeClr w14:val="tx1"/>
                  </w14:solidFill>
                </w14:textFill>
              </w:rPr>
              <w:t>P</w:t>
            </w:r>
            <w:r>
              <w:rPr>
                <w:color w:val="000000" w:themeColor="text1"/>
                <w:sz w:val="24"/>
                <w:szCs w:val="24"/>
                <w:highlight w:val="none"/>
                <w:vertAlign w:val="subscript"/>
                <w14:textFill>
                  <w14:solidFill>
                    <w14:schemeClr w14:val="tx1"/>
                  </w14:solidFill>
                </w14:textFill>
              </w:rPr>
              <w:t>i</w:t>
            </w:r>
          </w:p>
          <w:p w14:paraId="14E95CBD">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w:t>
            </w:r>
          </w:p>
        </w:tc>
        <w:tc>
          <w:tcPr>
            <w:tcW w:w="647" w:type="pct"/>
            <w:tcBorders>
              <w:tl2br w:val="nil"/>
              <w:tr2bl w:val="nil"/>
            </w:tcBorders>
            <w:vAlign w:val="center"/>
          </w:tcPr>
          <w:p w14:paraId="7F34A539">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出现距离</w:t>
            </w:r>
            <w:r>
              <w:rPr>
                <w:rFonts w:hint="eastAsia"/>
                <w:color w:val="000000" w:themeColor="text1"/>
                <w:sz w:val="24"/>
                <w:szCs w:val="24"/>
                <w:highlight w:val="none"/>
                <w14:textFill>
                  <w14:solidFill>
                    <w14:schemeClr w14:val="tx1"/>
                  </w14:solidFill>
                </w14:textFill>
              </w:rPr>
              <w:t>/</w:t>
            </w:r>
            <w:r>
              <w:rPr>
                <w:color w:val="000000" w:themeColor="text1"/>
                <w:sz w:val="24"/>
                <w:szCs w:val="24"/>
                <w:highlight w:val="none"/>
                <w14:textFill>
                  <w14:solidFill>
                    <w14:schemeClr w14:val="tx1"/>
                  </w14:solidFill>
                </w14:textFill>
              </w:rPr>
              <w:t>m</w:t>
            </w:r>
          </w:p>
        </w:tc>
        <w:tc>
          <w:tcPr>
            <w:tcW w:w="483" w:type="pct"/>
            <w:tcBorders>
              <w:tl2br w:val="nil"/>
              <w:tr2bl w:val="nil"/>
            </w:tcBorders>
            <w:vAlign w:val="center"/>
          </w:tcPr>
          <w:p w14:paraId="1AD3AC9D">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color w:val="000000" w:themeColor="text1"/>
                <w:sz w:val="24"/>
                <w:szCs w:val="24"/>
                <w:highlight w:val="none"/>
                <w:vertAlign w:val="subscript"/>
                <w14:textFill>
                  <w14:solidFill>
                    <w14:schemeClr w14:val="tx1"/>
                  </w14:solidFill>
                </w14:textFill>
              </w:rPr>
            </w:pPr>
            <w:r>
              <w:rPr>
                <w:rFonts w:hint="eastAsia"/>
                <w:color w:val="000000" w:themeColor="text1"/>
                <w:sz w:val="24"/>
                <w:szCs w:val="24"/>
                <w:highlight w:val="none"/>
                <w14:textFill>
                  <w14:solidFill>
                    <w14:schemeClr w14:val="tx1"/>
                  </w14:solidFill>
                </w14:textFill>
              </w:rPr>
              <w:t>D</w:t>
            </w:r>
            <w:r>
              <w:rPr>
                <w:rFonts w:hint="eastAsia"/>
                <w:color w:val="000000" w:themeColor="text1"/>
                <w:sz w:val="24"/>
                <w:szCs w:val="24"/>
                <w:highlight w:val="none"/>
                <w:vertAlign w:val="subscript"/>
                <w14:textFill>
                  <w14:solidFill>
                    <w14:schemeClr w14:val="tx1"/>
                  </w14:solidFill>
                </w14:textFill>
              </w:rPr>
              <w:t>10</w:t>
            </w:r>
            <w:r>
              <w:rPr>
                <w:color w:val="000000" w:themeColor="text1"/>
                <w:sz w:val="24"/>
                <w:szCs w:val="24"/>
                <w:highlight w:val="none"/>
                <w:vertAlign w:val="subscript"/>
                <w14:textFill>
                  <w14:solidFill>
                    <w14:schemeClr w14:val="tx1"/>
                  </w14:solidFill>
                </w14:textFill>
              </w:rPr>
              <w:t>%</w:t>
            </w:r>
          </w:p>
          <w:p w14:paraId="67A0CE9B">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w:t>
            </w:r>
            <w:r>
              <w:rPr>
                <w:color w:val="000000" w:themeColor="text1"/>
                <w:sz w:val="24"/>
                <w:szCs w:val="24"/>
                <w:highlight w:val="none"/>
                <w14:textFill>
                  <w14:solidFill>
                    <w14:schemeClr w14:val="tx1"/>
                  </w14:solidFill>
                </w14:textFill>
              </w:rPr>
              <w:t>km</w:t>
            </w:r>
          </w:p>
        </w:tc>
      </w:tr>
      <w:tr w14:paraId="3608C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7" w:type="pct"/>
            <w:vMerge w:val="restart"/>
            <w:tcBorders>
              <w:tl2br w:val="nil"/>
              <w:tr2bl w:val="nil"/>
            </w:tcBorders>
            <w:tcMar>
              <w:left w:w="28" w:type="dxa"/>
              <w:right w:w="28" w:type="dxa"/>
            </w:tcMar>
            <w:vAlign w:val="center"/>
          </w:tcPr>
          <w:p w14:paraId="27905EFC">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点源</w:t>
            </w:r>
          </w:p>
        </w:tc>
        <w:tc>
          <w:tcPr>
            <w:tcW w:w="867" w:type="pct"/>
            <w:vMerge w:val="restart"/>
            <w:tcBorders>
              <w:tl2br w:val="nil"/>
              <w:tr2bl w:val="nil"/>
            </w:tcBorders>
            <w:tcMar>
              <w:left w:w="28" w:type="dxa"/>
              <w:right w:w="28" w:type="dxa"/>
            </w:tcMar>
            <w:vAlign w:val="center"/>
          </w:tcPr>
          <w:p w14:paraId="0A7E492C">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color w:val="000000" w:themeColor="text1"/>
                <w:sz w:val="24"/>
                <w:szCs w:val="24"/>
                <w:highlight w:val="none"/>
                <w14:textFill>
                  <w14:solidFill>
                    <w14:schemeClr w14:val="tx1"/>
                  </w14:solidFill>
                </w14:textFill>
              </w:rPr>
            </w:pPr>
            <w:r>
              <w:rPr>
                <w:rFonts w:hint="eastAsia"/>
                <w:sz w:val="24"/>
                <w:szCs w:val="24"/>
                <w:highlight w:val="none"/>
                <w:lang w:val="en-US" w:eastAsia="zh-CN"/>
              </w:rPr>
              <w:t>DA001</w:t>
            </w:r>
          </w:p>
        </w:tc>
        <w:tc>
          <w:tcPr>
            <w:tcW w:w="900" w:type="pct"/>
            <w:tcBorders>
              <w:tl2br w:val="nil"/>
              <w:tr2bl w:val="nil"/>
            </w:tcBorders>
            <w:vAlign w:val="center"/>
          </w:tcPr>
          <w:p w14:paraId="54EE0786">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color w:val="000000" w:themeColor="text1"/>
                <w:sz w:val="24"/>
                <w:szCs w:val="24"/>
                <w:highlight w:val="none"/>
                <w14:textFill>
                  <w14:solidFill>
                    <w14:schemeClr w14:val="tx1"/>
                  </w14:solidFill>
                </w14:textFill>
              </w:rPr>
            </w:pPr>
            <w:r>
              <w:rPr>
                <w:rFonts w:hint="eastAsia"/>
                <w:sz w:val="24"/>
                <w:szCs w:val="24"/>
                <w:highlight w:val="none"/>
                <w:lang w:val="en-US" w:eastAsia="zh-CN"/>
              </w:rPr>
              <w:t>颗粒物</w:t>
            </w:r>
          </w:p>
        </w:tc>
        <w:tc>
          <w:tcPr>
            <w:tcW w:w="869" w:type="pct"/>
            <w:tcBorders>
              <w:tl2br w:val="nil"/>
              <w:tr2bl w:val="nil"/>
            </w:tcBorders>
            <w:vAlign w:val="center"/>
          </w:tcPr>
          <w:p w14:paraId="3748C7FD">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eastAsia="楷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0.0296</w:t>
            </w:r>
          </w:p>
        </w:tc>
        <w:tc>
          <w:tcPr>
            <w:tcW w:w="644" w:type="pct"/>
            <w:tcBorders>
              <w:tl2br w:val="nil"/>
              <w:tr2bl w:val="nil"/>
            </w:tcBorders>
            <w:vAlign w:val="center"/>
          </w:tcPr>
          <w:p w14:paraId="460F7023">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eastAsia="楷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6.58</w:t>
            </w:r>
          </w:p>
        </w:tc>
        <w:tc>
          <w:tcPr>
            <w:tcW w:w="647" w:type="pct"/>
            <w:tcBorders>
              <w:tl2br w:val="nil"/>
              <w:tr2bl w:val="nil"/>
            </w:tcBorders>
            <w:vAlign w:val="center"/>
          </w:tcPr>
          <w:p w14:paraId="75051BDA">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eastAsia="楷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55</w:t>
            </w:r>
          </w:p>
        </w:tc>
        <w:tc>
          <w:tcPr>
            <w:tcW w:w="483" w:type="pct"/>
            <w:tcBorders>
              <w:tl2br w:val="nil"/>
              <w:tr2bl w:val="nil"/>
            </w:tcBorders>
            <w:vAlign w:val="center"/>
          </w:tcPr>
          <w:p w14:paraId="34EF15B9">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eastAsia="宋体"/>
                <w:color w:val="000000" w:themeColor="text1"/>
                <w:sz w:val="24"/>
                <w:szCs w:val="24"/>
                <w:highlight w:val="none"/>
                <w:lang w:val="en-US" w:eastAsia="zh-CN"/>
                <w14:textFill>
                  <w14:solidFill>
                    <w14:schemeClr w14:val="tx1"/>
                  </w14:solidFill>
                </w14:textFill>
              </w:rPr>
            </w:pPr>
            <w:r>
              <w:rPr>
                <w:rFonts w:hint="eastAsia" w:eastAsia="宋体"/>
                <w:color w:val="000000" w:themeColor="text1"/>
                <w:sz w:val="24"/>
                <w:szCs w:val="24"/>
                <w:highlight w:val="none"/>
                <w:lang w:val="en-US" w:eastAsia="zh-CN"/>
                <w14:textFill>
                  <w14:solidFill>
                    <w14:schemeClr w14:val="tx1"/>
                  </w14:solidFill>
                </w14:textFill>
              </w:rPr>
              <w:t>/</w:t>
            </w:r>
          </w:p>
        </w:tc>
      </w:tr>
      <w:tr w14:paraId="46AE3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7" w:type="pct"/>
            <w:vMerge w:val="continue"/>
            <w:tcBorders>
              <w:tl2br w:val="nil"/>
              <w:tr2bl w:val="nil"/>
            </w:tcBorders>
            <w:tcMar>
              <w:left w:w="28" w:type="dxa"/>
              <w:right w:w="28" w:type="dxa"/>
            </w:tcMar>
            <w:vAlign w:val="center"/>
          </w:tcPr>
          <w:p w14:paraId="4E32C6F4">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highlight w:val="none"/>
                <w14:textFill>
                  <w14:solidFill>
                    <w14:schemeClr w14:val="tx1"/>
                  </w14:solidFill>
                </w14:textFill>
              </w:rPr>
            </w:pPr>
          </w:p>
        </w:tc>
        <w:tc>
          <w:tcPr>
            <w:tcW w:w="867" w:type="pct"/>
            <w:vMerge w:val="continue"/>
            <w:tcBorders>
              <w:tl2br w:val="nil"/>
              <w:tr2bl w:val="nil"/>
            </w:tcBorders>
            <w:tcMar>
              <w:left w:w="28" w:type="dxa"/>
              <w:right w:w="28" w:type="dxa"/>
            </w:tcMar>
            <w:vAlign w:val="center"/>
          </w:tcPr>
          <w:p w14:paraId="38F60DBA">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lang w:val="en-US" w:eastAsia="zh-CN"/>
                <w14:textFill>
                  <w14:solidFill>
                    <w14:schemeClr w14:val="tx1"/>
                  </w14:solidFill>
                </w14:textFill>
              </w:rPr>
            </w:pPr>
          </w:p>
        </w:tc>
        <w:tc>
          <w:tcPr>
            <w:tcW w:w="900" w:type="pct"/>
            <w:tcBorders>
              <w:tl2br w:val="nil"/>
              <w:tr2bl w:val="nil"/>
            </w:tcBorders>
            <w:vAlign w:val="center"/>
          </w:tcPr>
          <w:p w14:paraId="2F2CE38E">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14:textFill>
                  <w14:solidFill>
                    <w14:schemeClr w14:val="tx1"/>
                  </w14:solidFill>
                </w14:textFill>
              </w:rPr>
            </w:pPr>
            <w:r>
              <w:rPr>
                <w:rFonts w:hint="eastAsia"/>
                <w:sz w:val="24"/>
                <w:szCs w:val="24"/>
                <w:highlight w:val="none"/>
                <w:lang w:val="en-US" w:eastAsia="zh-CN"/>
              </w:rPr>
              <w:t>非甲烷总烃</w:t>
            </w:r>
          </w:p>
        </w:tc>
        <w:tc>
          <w:tcPr>
            <w:tcW w:w="869" w:type="pct"/>
            <w:tcBorders>
              <w:tl2br w:val="nil"/>
              <w:tr2bl w:val="nil"/>
            </w:tcBorders>
            <w:vAlign w:val="center"/>
          </w:tcPr>
          <w:p w14:paraId="6C3F962A">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0.0495</w:t>
            </w:r>
          </w:p>
        </w:tc>
        <w:tc>
          <w:tcPr>
            <w:tcW w:w="644" w:type="pct"/>
            <w:tcBorders>
              <w:tl2br w:val="nil"/>
              <w:tr2bl w:val="nil"/>
            </w:tcBorders>
            <w:vAlign w:val="center"/>
          </w:tcPr>
          <w:p w14:paraId="296389A2">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2.47</w:t>
            </w:r>
          </w:p>
        </w:tc>
        <w:tc>
          <w:tcPr>
            <w:tcW w:w="647" w:type="pct"/>
            <w:tcBorders>
              <w:tl2br w:val="nil"/>
              <w:tr2bl w:val="nil"/>
            </w:tcBorders>
            <w:vAlign w:val="center"/>
          </w:tcPr>
          <w:p w14:paraId="40038457">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55</w:t>
            </w:r>
          </w:p>
        </w:tc>
        <w:tc>
          <w:tcPr>
            <w:tcW w:w="483" w:type="pct"/>
            <w:tcBorders>
              <w:tl2br w:val="nil"/>
              <w:tr2bl w:val="nil"/>
            </w:tcBorders>
            <w:vAlign w:val="center"/>
          </w:tcPr>
          <w:p w14:paraId="5DCBE52E">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color w:val="000000" w:themeColor="text1"/>
                <w:sz w:val="24"/>
                <w:szCs w:val="24"/>
                <w:highlight w:val="none"/>
                <w:lang w:val="en-US" w:eastAsia="zh-CN"/>
                <w14:textFill>
                  <w14:solidFill>
                    <w14:schemeClr w14:val="tx1"/>
                  </w14:solidFill>
                </w14:textFill>
              </w:rPr>
            </w:pPr>
            <w:r>
              <w:rPr>
                <w:rFonts w:hint="eastAsia" w:eastAsia="宋体"/>
                <w:color w:val="000000" w:themeColor="text1"/>
                <w:sz w:val="24"/>
                <w:szCs w:val="24"/>
                <w:highlight w:val="none"/>
                <w:lang w:val="en-US" w:eastAsia="zh-CN"/>
                <w14:textFill>
                  <w14:solidFill>
                    <w14:schemeClr w14:val="tx1"/>
                  </w14:solidFill>
                </w14:textFill>
              </w:rPr>
              <w:t>/</w:t>
            </w:r>
          </w:p>
        </w:tc>
      </w:tr>
      <w:tr w14:paraId="529AC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7" w:type="pct"/>
            <w:vMerge w:val="continue"/>
            <w:tcBorders>
              <w:tl2br w:val="nil"/>
              <w:tr2bl w:val="nil"/>
            </w:tcBorders>
            <w:tcMar>
              <w:left w:w="28" w:type="dxa"/>
              <w:right w:w="28" w:type="dxa"/>
            </w:tcMar>
            <w:vAlign w:val="center"/>
          </w:tcPr>
          <w:p w14:paraId="56AB078E">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highlight w:val="none"/>
                <w14:textFill>
                  <w14:solidFill>
                    <w14:schemeClr w14:val="tx1"/>
                  </w14:solidFill>
                </w14:textFill>
              </w:rPr>
            </w:pPr>
          </w:p>
        </w:tc>
        <w:tc>
          <w:tcPr>
            <w:tcW w:w="867" w:type="pct"/>
            <w:vMerge w:val="continue"/>
            <w:tcBorders>
              <w:tl2br w:val="nil"/>
              <w:tr2bl w:val="nil"/>
            </w:tcBorders>
            <w:tcMar>
              <w:left w:w="28" w:type="dxa"/>
              <w:right w:w="28" w:type="dxa"/>
            </w:tcMar>
            <w:vAlign w:val="center"/>
          </w:tcPr>
          <w:p w14:paraId="62236464">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lang w:val="en-US" w:eastAsia="zh-CN"/>
                <w14:textFill>
                  <w14:solidFill>
                    <w14:schemeClr w14:val="tx1"/>
                  </w14:solidFill>
                </w14:textFill>
              </w:rPr>
            </w:pPr>
          </w:p>
        </w:tc>
        <w:tc>
          <w:tcPr>
            <w:tcW w:w="900" w:type="pct"/>
            <w:tcBorders>
              <w:tl2br w:val="nil"/>
              <w:tr2bl w:val="nil"/>
            </w:tcBorders>
            <w:vAlign w:val="center"/>
          </w:tcPr>
          <w:p w14:paraId="50FBCCD3">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14:textFill>
                  <w14:solidFill>
                    <w14:schemeClr w14:val="tx1"/>
                  </w14:solidFill>
                </w14:textFill>
              </w:rPr>
            </w:pPr>
            <w:r>
              <w:rPr>
                <w:rFonts w:hint="eastAsia"/>
                <w:sz w:val="24"/>
                <w:szCs w:val="24"/>
                <w:highlight w:val="none"/>
                <w:lang w:val="en-US" w:eastAsia="zh-CN"/>
              </w:rPr>
              <w:t>HCl</w:t>
            </w:r>
          </w:p>
        </w:tc>
        <w:tc>
          <w:tcPr>
            <w:tcW w:w="869" w:type="pct"/>
            <w:tcBorders>
              <w:tl2br w:val="nil"/>
              <w:tr2bl w:val="nil"/>
            </w:tcBorders>
            <w:vAlign w:val="center"/>
          </w:tcPr>
          <w:p w14:paraId="59C1BC09">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0.0000</w:t>
            </w:r>
          </w:p>
        </w:tc>
        <w:tc>
          <w:tcPr>
            <w:tcW w:w="644" w:type="pct"/>
            <w:tcBorders>
              <w:tl2br w:val="nil"/>
              <w:tr2bl w:val="nil"/>
            </w:tcBorders>
            <w:vAlign w:val="center"/>
          </w:tcPr>
          <w:p w14:paraId="726A3B5C">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0.00</w:t>
            </w:r>
          </w:p>
        </w:tc>
        <w:tc>
          <w:tcPr>
            <w:tcW w:w="647" w:type="pct"/>
            <w:tcBorders>
              <w:tl2br w:val="nil"/>
              <w:tr2bl w:val="nil"/>
            </w:tcBorders>
            <w:vAlign w:val="center"/>
          </w:tcPr>
          <w:p w14:paraId="4C41ACDB">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55</w:t>
            </w:r>
          </w:p>
        </w:tc>
        <w:tc>
          <w:tcPr>
            <w:tcW w:w="483" w:type="pct"/>
            <w:tcBorders>
              <w:tl2br w:val="nil"/>
              <w:tr2bl w:val="nil"/>
            </w:tcBorders>
            <w:vAlign w:val="center"/>
          </w:tcPr>
          <w:p w14:paraId="13142B23">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color w:val="000000" w:themeColor="text1"/>
                <w:sz w:val="24"/>
                <w:szCs w:val="24"/>
                <w:highlight w:val="none"/>
                <w:lang w:val="en-US" w:eastAsia="zh-CN"/>
                <w14:textFill>
                  <w14:solidFill>
                    <w14:schemeClr w14:val="tx1"/>
                  </w14:solidFill>
                </w14:textFill>
              </w:rPr>
            </w:pPr>
            <w:r>
              <w:rPr>
                <w:rFonts w:hint="eastAsia" w:eastAsia="宋体"/>
                <w:color w:val="000000" w:themeColor="text1"/>
                <w:sz w:val="24"/>
                <w:szCs w:val="24"/>
                <w:highlight w:val="none"/>
                <w:lang w:val="en-US" w:eastAsia="zh-CN"/>
                <w14:textFill>
                  <w14:solidFill>
                    <w14:schemeClr w14:val="tx1"/>
                  </w14:solidFill>
                </w14:textFill>
              </w:rPr>
              <w:t>/</w:t>
            </w:r>
          </w:p>
        </w:tc>
      </w:tr>
      <w:tr w14:paraId="3DF2C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7" w:type="pct"/>
            <w:vMerge w:val="continue"/>
            <w:tcBorders>
              <w:tl2br w:val="nil"/>
              <w:tr2bl w:val="nil"/>
            </w:tcBorders>
            <w:tcMar>
              <w:left w:w="28" w:type="dxa"/>
              <w:right w:w="28" w:type="dxa"/>
            </w:tcMar>
            <w:vAlign w:val="center"/>
          </w:tcPr>
          <w:p w14:paraId="4D412414">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highlight w:val="none"/>
                <w14:textFill>
                  <w14:solidFill>
                    <w14:schemeClr w14:val="tx1"/>
                  </w14:solidFill>
                </w14:textFill>
              </w:rPr>
            </w:pPr>
          </w:p>
        </w:tc>
        <w:tc>
          <w:tcPr>
            <w:tcW w:w="867" w:type="pct"/>
            <w:vMerge w:val="restart"/>
            <w:tcBorders>
              <w:tl2br w:val="nil"/>
              <w:tr2bl w:val="nil"/>
            </w:tcBorders>
            <w:tcMar>
              <w:left w:w="28" w:type="dxa"/>
              <w:right w:w="28" w:type="dxa"/>
            </w:tcMar>
            <w:vAlign w:val="center"/>
          </w:tcPr>
          <w:p w14:paraId="227F9B88">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14:textFill>
                  <w14:solidFill>
                    <w14:schemeClr w14:val="tx1"/>
                  </w14:solidFill>
                </w14:textFill>
              </w:rPr>
            </w:pPr>
            <w:r>
              <w:rPr>
                <w:rFonts w:hint="eastAsia"/>
                <w:sz w:val="24"/>
                <w:szCs w:val="24"/>
                <w:highlight w:val="none"/>
                <w:lang w:val="en-US" w:eastAsia="zh-CN"/>
              </w:rPr>
              <w:t>DA002</w:t>
            </w:r>
          </w:p>
        </w:tc>
        <w:tc>
          <w:tcPr>
            <w:tcW w:w="900" w:type="pct"/>
            <w:tcBorders>
              <w:tl2br w:val="nil"/>
              <w:tr2bl w:val="nil"/>
            </w:tcBorders>
            <w:vAlign w:val="center"/>
          </w:tcPr>
          <w:p w14:paraId="2532E17A">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14:textFill>
                  <w14:solidFill>
                    <w14:schemeClr w14:val="tx1"/>
                  </w14:solidFill>
                </w14:textFill>
              </w:rPr>
            </w:pPr>
            <w:r>
              <w:rPr>
                <w:rFonts w:hint="eastAsia"/>
                <w:sz w:val="24"/>
                <w:szCs w:val="24"/>
                <w:highlight w:val="none"/>
                <w:lang w:val="en-US" w:eastAsia="zh-CN"/>
              </w:rPr>
              <w:t>颗粒物</w:t>
            </w:r>
          </w:p>
        </w:tc>
        <w:tc>
          <w:tcPr>
            <w:tcW w:w="869" w:type="pct"/>
            <w:tcBorders>
              <w:tl2br w:val="nil"/>
              <w:tr2bl w:val="nil"/>
            </w:tcBorders>
            <w:vAlign w:val="center"/>
          </w:tcPr>
          <w:p w14:paraId="55C902CA">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0.0296</w:t>
            </w:r>
          </w:p>
        </w:tc>
        <w:tc>
          <w:tcPr>
            <w:tcW w:w="644" w:type="pct"/>
            <w:tcBorders>
              <w:tl2br w:val="nil"/>
              <w:tr2bl w:val="nil"/>
            </w:tcBorders>
            <w:vAlign w:val="center"/>
          </w:tcPr>
          <w:p w14:paraId="62550AB0">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eastAsia="楷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6.58</w:t>
            </w:r>
          </w:p>
        </w:tc>
        <w:tc>
          <w:tcPr>
            <w:tcW w:w="647" w:type="pct"/>
            <w:tcBorders>
              <w:tl2br w:val="nil"/>
              <w:tr2bl w:val="nil"/>
            </w:tcBorders>
            <w:vAlign w:val="center"/>
          </w:tcPr>
          <w:p w14:paraId="2D3A668F">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55</w:t>
            </w:r>
          </w:p>
        </w:tc>
        <w:tc>
          <w:tcPr>
            <w:tcW w:w="483" w:type="pct"/>
            <w:tcBorders>
              <w:tl2br w:val="nil"/>
              <w:tr2bl w:val="nil"/>
            </w:tcBorders>
            <w:vAlign w:val="center"/>
          </w:tcPr>
          <w:p w14:paraId="3A64D697">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eastAsia="宋体"/>
                <w:color w:val="000000" w:themeColor="text1"/>
                <w:sz w:val="24"/>
                <w:szCs w:val="24"/>
                <w:highlight w:val="none"/>
                <w:lang w:val="en-US" w:eastAsia="zh-CN"/>
                <w14:textFill>
                  <w14:solidFill>
                    <w14:schemeClr w14:val="tx1"/>
                  </w14:solidFill>
                </w14:textFill>
              </w:rPr>
            </w:pPr>
            <w:r>
              <w:rPr>
                <w:rFonts w:hint="eastAsia" w:eastAsia="宋体"/>
                <w:color w:val="000000" w:themeColor="text1"/>
                <w:sz w:val="24"/>
                <w:szCs w:val="24"/>
                <w:highlight w:val="none"/>
                <w:lang w:val="en-US" w:eastAsia="zh-CN"/>
                <w14:textFill>
                  <w14:solidFill>
                    <w14:schemeClr w14:val="tx1"/>
                  </w14:solidFill>
                </w14:textFill>
              </w:rPr>
              <w:t>/</w:t>
            </w:r>
          </w:p>
        </w:tc>
      </w:tr>
      <w:tr w14:paraId="2B1BE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7" w:type="pct"/>
            <w:vMerge w:val="continue"/>
            <w:tcBorders>
              <w:tl2br w:val="nil"/>
              <w:tr2bl w:val="nil"/>
            </w:tcBorders>
            <w:tcMar>
              <w:left w:w="28" w:type="dxa"/>
              <w:right w:w="28" w:type="dxa"/>
            </w:tcMar>
            <w:vAlign w:val="center"/>
          </w:tcPr>
          <w:p w14:paraId="1192CA96">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highlight w:val="none"/>
                <w14:textFill>
                  <w14:solidFill>
                    <w14:schemeClr w14:val="tx1"/>
                  </w14:solidFill>
                </w14:textFill>
              </w:rPr>
            </w:pPr>
          </w:p>
        </w:tc>
        <w:tc>
          <w:tcPr>
            <w:tcW w:w="867" w:type="pct"/>
            <w:vMerge w:val="continue"/>
            <w:tcBorders>
              <w:tl2br w:val="nil"/>
              <w:tr2bl w:val="nil"/>
            </w:tcBorders>
            <w:tcMar>
              <w:left w:w="28" w:type="dxa"/>
              <w:right w:w="28" w:type="dxa"/>
            </w:tcMar>
            <w:vAlign w:val="center"/>
          </w:tcPr>
          <w:p w14:paraId="7C74674C">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lang w:val="en-US" w:eastAsia="zh-CN"/>
                <w14:textFill>
                  <w14:solidFill>
                    <w14:schemeClr w14:val="tx1"/>
                  </w14:solidFill>
                </w14:textFill>
              </w:rPr>
            </w:pPr>
          </w:p>
        </w:tc>
        <w:tc>
          <w:tcPr>
            <w:tcW w:w="900" w:type="pct"/>
            <w:tcBorders>
              <w:tl2br w:val="nil"/>
              <w:tr2bl w:val="nil"/>
            </w:tcBorders>
            <w:vAlign w:val="center"/>
          </w:tcPr>
          <w:p w14:paraId="60F8F61C">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14:textFill>
                  <w14:solidFill>
                    <w14:schemeClr w14:val="tx1"/>
                  </w14:solidFill>
                </w14:textFill>
              </w:rPr>
            </w:pPr>
            <w:r>
              <w:rPr>
                <w:rFonts w:hint="eastAsia"/>
                <w:sz w:val="24"/>
                <w:szCs w:val="24"/>
                <w:highlight w:val="none"/>
                <w:lang w:val="en-US" w:eastAsia="zh-CN"/>
              </w:rPr>
              <w:t>非甲烷总烃</w:t>
            </w:r>
          </w:p>
        </w:tc>
        <w:tc>
          <w:tcPr>
            <w:tcW w:w="869" w:type="pct"/>
            <w:tcBorders>
              <w:tl2br w:val="nil"/>
              <w:tr2bl w:val="nil"/>
            </w:tcBorders>
            <w:vAlign w:val="center"/>
          </w:tcPr>
          <w:p w14:paraId="03522AB0">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0.0495</w:t>
            </w:r>
          </w:p>
        </w:tc>
        <w:tc>
          <w:tcPr>
            <w:tcW w:w="644" w:type="pct"/>
            <w:tcBorders>
              <w:tl2br w:val="nil"/>
              <w:tr2bl w:val="nil"/>
            </w:tcBorders>
            <w:vAlign w:val="center"/>
          </w:tcPr>
          <w:p w14:paraId="74AE7818">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2.47</w:t>
            </w:r>
          </w:p>
        </w:tc>
        <w:tc>
          <w:tcPr>
            <w:tcW w:w="647" w:type="pct"/>
            <w:tcBorders>
              <w:tl2br w:val="nil"/>
              <w:tr2bl w:val="nil"/>
            </w:tcBorders>
            <w:vAlign w:val="center"/>
          </w:tcPr>
          <w:p w14:paraId="259BE9E5">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55</w:t>
            </w:r>
          </w:p>
        </w:tc>
        <w:tc>
          <w:tcPr>
            <w:tcW w:w="483" w:type="pct"/>
            <w:tcBorders>
              <w:tl2br w:val="nil"/>
              <w:tr2bl w:val="nil"/>
            </w:tcBorders>
            <w:vAlign w:val="center"/>
          </w:tcPr>
          <w:p w14:paraId="0A4B050E">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color w:val="000000" w:themeColor="text1"/>
                <w:sz w:val="24"/>
                <w:szCs w:val="24"/>
                <w:highlight w:val="none"/>
                <w:lang w:val="en-US" w:eastAsia="zh-CN"/>
                <w14:textFill>
                  <w14:solidFill>
                    <w14:schemeClr w14:val="tx1"/>
                  </w14:solidFill>
                </w14:textFill>
              </w:rPr>
            </w:pPr>
            <w:r>
              <w:rPr>
                <w:rFonts w:hint="eastAsia" w:eastAsia="宋体"/>
                <w:color w:val="000000" w:themeColor="text1"/>
                <w:sz w:val="24"/>
                <w:szCs w:val="24"/>
                <w:highlight w:val="none"/>
                <w:lang w:val="en-US" w:eastAsia="zh-CN"/>
                <w14:textFill>
                  <w14:solidFill>
                    <w14:schemeClr w14:val="tx1"/>
                  </w14:solidFill>
                </w14:textFill>
              </w:rPr>
              <w:t>/</w:t>
            </w:r>
          </w:p>
        </w:tc>
      </w:tr>
      <w:tr w14:paraId="3F4F0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7" w:type="pct"/>
            <w:vMerge w:val="continue"/>
            <w:tcBorders>
              <w:tl2br w:val="nil"/>
              <w:tr2bl w:val="nil"/>
            </w:tcBorders>
            <w:tcMar>
              <w:left w:w="28" w:type="dxa"/>
              <w:right w:w="28" w:type="dxa"/>
            </w:tcMar>
            <w:vAlign w:val="center"/>
          </w:tcPr>
          <w:p w14:paraId="3A9ECA8E">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highlight w:val="none"/>
                <w14:textFill>
                  <w14:solidFill>
                    <w14:schemeClr w14:val="tx1"/>
                  </w14:solidFill>
                </w14:textFill>
              </w:rPr>
            </w:pPr>
          </w:p>
        </w:tc>
        <w:tc>
          <w:tcPr>
            <w:tcW w:w="867" w:type="pct"/>
            <w:vMerge w:val="continue"/>
            <w:tcBorders>
              <w:tl2br w:val="nil"/>
              <w:tr2bl w:val="nil"/>
            </w:tcBorders>
            <w:tcMar>
              <w:left w:w="28" w:type="dxa"/>
              <w:right w:w="28" w:type="dxa"/>
            </w:tcMar>
            <w:vAlign w:val="center"/>
          </w:tcPr>
          <w:p w14:paraId="277A286B">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lang w:val="en-US" w:eastAsia="zh-CN"/>
                <w14:textFill>
                  <w14:solidFill>
                    <w14:schemeClr w14:val="tx1"/>
                  </w14:solidFill>
                </w14:textFill>
              </w:rPr>
            </w:pPr>
          </w:p>
        </w:tc>
        <w:tc>
          <w:tcPr>
            <w:tcW w:w="900" w:type="pct"/>
            <w:tcBorders>
              <w:tl2br w:val="nil"/>
              <w:tr2bl w:val="nil"/>
            </w:tcBorders>
            <w:vAlign w:val="center"/>
          </w:tcPr>
          <w:p w14:paraId="5FCC9A69">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14:textFill>
                  <w14:solidFill>
                    <w14:schemeClr w14:val="tx1"/>
                  </w14:solidFill>
                </w14:textFill>
              </w:rPr>
            </w:pPr>
            <w:r>
              <w:rPr>
                <w:rFonts w:hint="eastAsia"/>
                <w:sz w:val="24"/>
                <w:szCs w:val="24"/>
                <w:highlight w:val="none"/>
                <w:lang w:val="en-US" w:eastAsia="zh-CN"/>
              </w:rPr>
              <w:t>HCl</w:t>
            </w:r>
          </w:p>
        </w:tc>
        <w:tc>
          <w:tcPr>
            <w:tcW w:w="869" w:type="pct"/>
            <w:tcBorders>
              <w:tl2br w:val="nil"/>
              <w:tr2bl w:val="nil"/>
            </w:tcBorders>
            <w:vAlign w:val="center"/>
          </w:tcPr>
          <w:p w14:paraId="5773356A">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0.0000</w:t>
            </w:r>
          </w:p>
        </w:tc>
        <w:tc>
          <w:tcPr>
            <w:tcW w:w="644" w:type="pct"/>
            <w:tcBorders>
              <w:tl2br w:val="nil"/>
              <w:tr2bl w:val="nil"/>
            </w:tcBorders>
            <w:vAlign w:val="center"/>
          </w:tcPr>
          <w:p w14:paraId="3C9635A8">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0.00</w:t>
            </w:r>
          </w:p>
        </w:tc>
        <w:tc>
          <w:tcPr>
            <w:tcW w:w="647" w:type="pct"/>
            <w:tcBorders>
              <w:tl2br w:val="nil"/>
              <w:tr2bl w:val="nil"/>
            </w:tcBorders>
            <w:vAlign w:val="center"/>
          </w:tcPr>
          <w:p w14:paraId="79115312">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55</w:t>
            </w:r>
          </w:p>
        </w:tc>
        <w:tc>
          <w:tcPr>
            <w:tcW w:w="483" w:type="pct"/>
            <w:tcBorders>
              <w:tl2br w:val="nil"/>
              <w:tr2bl w:val="nil"/>
            </w:tcBorders>
            <w:vAlign w:val="center"/>
          </w:tcPr>
          <w:p w14:paraId="18C300F6">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color w:val="000000" w:themeColor="text1"/>
                <w:sz w:val="24"/>
                <w:szCs w:val="24"/>
                <w:highlight w:val="none"/>
                <w:lang w:val="en-US" w:eastAsia="zh-CN"/>
                <w14:textFill>
                  <w14:solidFill>
                    <w14:schemeClr w14:val="tx1"/>
                  </w14:solidFill>
                </w14:textFill>
              </w:rPr>
            </w:pPr>
            <w:r>
              <w:rPr>
                <w:rFonts w:hint="eastAsia" w:eastAsia="宋体"/>
                <w:color w:val="000000" w:themeColor="text1"/>
                <w:sz w:val="24"/>
                <w:szCs w:val="24"/>
                <w:highlight w:val="none"/>
                <w:lang w:val="en-US" w:eastAsia="zh-CN"/>
                <w14:textFill>
                  <w14:solidFill>
                    <w14:schemeClr w14:val="tx1"/>
                  </w14:solidFill>
                </w14:textFill>
              </w:rPr>
              <w:t>/</w:t>
            </w:r>
          </w:p>
        </w:tc>
      </w:tr>
      <w:tr w14:paraId="663E6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7" w:type="pct"/>
            <w:vMerge w:val="continue"/>
            <w:tcBorders>
              <w:tl2br w:val="nil"/>
              <w:tr2bl w:val="nil"/>
            </w:tcBorders>
            <w:tcMar>
              <w:left w:w="28" w:type="dxa"/>
              <w:right w:w="28" w:type="dxa"/>
            </w:tcMar>
            <w:vAlign w:val="center"/>
          </w:tcPr>
          <w:p w14:paraId="58C1788E">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color w:val="000000" w:themeColor="text1"/>
                <w:sz w:val="24"/>
                <w:szCs w:val="24"/>
                <w:highlight w:val="none"/>
                <w14:textFill>
                  <w14:solidFill>
                    <w14:schemeClr w14:val="tx1"/>
                  </w14:solidFill>
                </w14:textFill>
              </w:rPr>
            </w:pPr>
          </w:p>
        </w:tc>
        <w:tc>
          <w:tcPr>
            <w:tcW w:w="867" w:type="pct"/>
            <w:vMerge w:val="restart"/>
            <w:tcBorders>
              <w:tl2br w:val="nil"/>
              <w:tr2bl w:val="nil"/>
            </w:tcBorders>
            <w:tcMar>
              <w:left w:w="28" w:type="dxa"/>
              <w:right w:w="28" w:type="dxa"/>
            </w:tcMar>
            <w:vAlign w:val="center"/>
          </w:tcPr>
          <w:p w14:paraId="415E75D7">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color w:val="000000" w:themeColor="text1"/>
                <w:sz w:val="24"/>
                <w:szCs w:val="24"/>
                <w:highlight w:val="none"/>
                <w14:textFill>
                  <w14:solidFill>
                    <w14:schemeClr w14:val="tx1"/>
                  </w14:solidFill>
                </w14:textFill>
              </w:rPr>
            </w:pPr>
            <w:r>
              <w:rPr>
                <w:rFonts w:hint="eastAsia"/>
                <w:sz w:val="24"/>
                <w:szCs w:val="24"/>
                <w:highlight w:val="none"/>
                <w:lang w:val="en-US" w:eastAsia="zh-CN"/>
              </w:rPr>
              <w:t>DA003</w:t>
            </w:r>
          </w:p>
        </w:tc>
        <w:tc>
          <w:tcPr>
            <w:tcW w:w="900" w:type="pct"/>
            <w:tcBorders>
              <w:tl2br w:val="nil"/>
              <w:tr2bl w:val="nil"/>
            </w:tcBorders>
            <w:vAlign w:val="center"/>
          </w:tcPr>
          <w:p w14:paraId="07D5795A">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color w:val="000000" w:themeColor="text1"/>
                <w:sz w:val="24"/>
                <w:szCs w:val="24"/>
                <w:highlight w:val="none"/>
                <w14:textFill>
                  <w14:solidFill>
                    <w14:schemeClr w14:val="tx1"/>
                  </w14:solidFill>
                </w14:textFill>
              </w:rPr>
            </w:pPr>
            <w:r>
              <w:rPr>
                <w:rFonts w:hint="eastAsia"/>
                <w:sz w:val="24"/>
                <w:szCs w:val="24"/>
                <w:highlight w:val="none"/>
                <w:lang w:val="en-US" w:eastAsia="zh-CN"/>
              </w:rPr>
              <w:t>颗粒物</w:t>
            </w:r>
          </w:p>
        </w:tc>
        <w:tc>
          <w:tcPr>
            <w:tcW w:w="869" w:type="pct"/>
            <w:tcBorders>
              <w:tl2br w:val="nil"/>
              <w:tr2bl w:val="nil"/>
            </w:tcBorders>
            <w:vAlign w:val="center"/>
          </w:tcPr>
          <w:p w14:paraId="009DA37E">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eastAsia="楷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0.0147</w:t>
            </w:r>
          </w:p>
        </w:tc>
        <w:tc>
          <w:tcPr>
            <w:tcW w:w="644" w:type="pct"/>
            <w:tcBorders>
              <w:tl2br w:val="nil"/>
              <w:tr2bl w:val="nil"/>
            </w:tcBorders>
            <w:vAlign w:val="center"/>
          </w:tcPr>
          <w:p w14:paraId="15178FF3">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eastAsia="楷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3.27</w:t>
            </w:r>
          </w:p>
        </w:tc>
        <w:tc>
          <w:tcPr>
            <w:tcW w:w="647" w:type="pct"/>
            <w:tcBorders>
              <w:tl2br w:val="nil"/>
              <w:tr2bl w:val="nil"/>
            </w:tcBorders>
            <w:vAlign w:val="center"/>
          </w:tcPr>
          <w:p w14:paraId="161B2AAF">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55</w:t>
            </w:r>
          </w:p>
        </w:tc>
        <w:tc>
          <w:tcPr>
            <w:tcW w:w="483" w:type="pct"/>
            <w:tcBorders>
              <w:tl2br w:val="nil"/>
              <w:tr2bl w:val="nil"/>
            </w:tcBorders>
            <w:vAlign w:val="center"/>
          </w:tcPr>
          <w:p w14:paraId="77A9EFBD">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eastAsia="宋体"/>
                <w:color w:val="000000" w:themeColor="text1"/>
                <w:sz w:val="24"/>
                <w:szCs w:val="24"/>
                <w:highlight w:val="none"/>
                <w:lang w:val="en-US" w:eastAsia="zh-CN"/>
                <w14:textFill>
                  <w14:solidFill>
                    <w14:schemeClr w14:val="tx1"/>
                  </w14:solidFill>
                </w14:textFill>
              </w:rPr>
            </w:pPr>
            <w:r>
              <w:rPr>
                <w:rFonts w:hint="eastAsia" w:eastAsia="宋体"/>
                <w:color w:val="000000" w:themeColor="text1"/>
                <w:sz w:val="24"/>
                <w:szCs w:val="24"/>
                <w:highlight w:val="none"/>
                <w:lang w:val="en-US" w:eastAsia="zh-CN"/>
                <w14:textFill>
                  <w14:solidFill>
                    <w14:schemeClr w14:val="tx1"/>
                  </w14:solidFill>
                </w14:textFill>
              </w:rPr>
              <w:t>/</w:t>
            </w:r>
          </w:p>
        </w:tc>
      </w:tr>
      <w:tr w14:paraId="27B2F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7" w:type="pct"/>
            <w:vMerge w:val="continue"/>
            <w:tcBorders>
              <w:tl2br w:val="nil"/>
              <w:tr2bl w:val="nil"/>
            </w:tcBorders>
            <w:tcMar>
              <w:left w:w="28" w:type="dxa"/>
              <w:right w:w="28" w:type="dxa"/>
            </w:tcMar>
            <w:vAlign w:val="center"/>
          </w:tcPr>
          <w:p w14:paraId="35EB65EA">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color w:val="000000" w:themeColor="text1"/>
                <w:sz w:val="24"/>
                <w:szCs w:val="24"/>
                <w:highlight w:val="none"/>
                <w14:textFill>
                  <w14:solidFill>
                    <w14:schemeClr w14:val="tx1"/>
                  </w14:solidFill>
                </w14:textFill>
              </w:rPr>
            </w:pPr>
          </w:p>
        </w:tc>
        <w:tc>
          <w:tcPr>
            <w:tcW w:w="867" w:type="pct"/>
            <w:vMerge w:val="continue"/>
            <w:tcBorders>
              <w:tl2br w:val="nil"/>
              <w:tr2bl w:val="nil"/>
            </w:tcBorders>
            <w:tcMar>
              <w:left w:w="28" w:type="dxa"/>
              <w:right w:w="28" w:type="dxa"/>
            </w:tcMar>
            <w:vAlign w:val="center"/>
          </w:tcPr>
          <w:p w14:paraId="0344F34C">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lang w:val="en-US" w:eastAsia="zh-CN"/>
                <w14:textFill>
                  <w14:solidFill>
                    <w14:schemeClr w14:val="tx1"/>
                  </w14:solidFill>
                </w14:textFill>
              </w:rPr>
            </w:pPr>
          </w:p>
        </w:tc>
        <w:tc>
          <w:tcPr>
            <w:tcW w:w="900" w:type="pct"/>
            <w:tcBorders>
              <w:tl2br w:val="nil"/>
              <w:tr2bl w:val="nil"/>
            </w:tcBorders>
            <w:vAlign w:val="center"/>
          </w:tcPr>
          <w:p w14:paraId="488C5230">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14:textFill>
                  <w14:solidFill>
                    <w14:schemeClr w14:val="tx1"/>
                  </w14:solidFill>
                </w14:textFill>
              </w:rPr>
            </w:pPr>
            <w:r>
              <w:rPr>
                <w:rFonts w:hint="eastAsia"/>
                <w:sz w:val="24"/>
                <w:szCs w:val="24"/>
                <w:highlight w:val="none"/>
                <w:lang w:val="en-US" w:eastAsia="zh-CN"/>
              </w:rPr>
              <w:t>非甲烷总烃</w:t>
            </w:r>
          </w:p>
        </w:tc>
        <w:tc>
          <w:tcPr>
            <w:tcW w:w="869" w:type="pct"/>
            <w:tcBorders>
              <w:tl2br w:val="nil"/>
              <w:tr2bl w:val="nil"/>
            </w:tcBorders>
            <w:vAlign w:val="center"/>
          </w:tcPr>
          <w:p w14:paraId="2ABD6D46">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0.0247</w:t>
            </w:r>
          </w:p>
        </w:tc>
        <w:tc>
          <w:tcPr>
            <w:tcW w:w="644" w:type="pct"/>
            <w:tcBorders>
              <w:tl2br w:val="nil"/>
              <w:tr2bl w:val="nil"/>
            </w:tcBorders>
            <w:vAlign w:val="center"/>
          </w:tcPr>
          <w:p w14:paraId="57C14807">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1.24</w:t>
            </w:r>
          </w:p>
        </w:tc>
        <w:tc>
          <w:tcPr>
            <w:tcW w:w="647" w:type="pct"/>
            <w:tcBorders>
              <w:tl2br w:val="nil"/>
              <w:tr2bl w:val="nil"/>
            </w:tcBorders>
            <w:vAlign w:val="center"/>
          </w:tcPr>
          <w:p w14:paraId="44E4ED61">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55</w:t>
            </w:r>
          </w:p>
        </w:tc>
        <w:tc>
          <w:tcPr>
            <w:tcW w:w="483" w:type="pct"/>
            <w:tcBorders>
              <w:tl2br w:val="nil"/>
              <w:tr2bl w:val="nil"/>
            </w:tcBorders>
            <w:vAlign w:val="center"/>
          </w:tcPr>
          <w:p w14:paraId="60B01FE0">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color w:val="000000" w:themeColor="text1"/>
                <w:sz w:val="24"/>
                <w:szCs w:val="24"/>
                <w:highlight w:val="none"/>
                <w:lang w:val="en-US" w:eastAsia="zh-CN"/>
                <w14:textFill>
                  <w14:solidFill>
                    <w14:schemeClr w14:val="tx1"/>
                  </w14:solidFill>
                </w14:textFill>
              </w:rPr>
            </w:pPr>
            <w:r>
              <w:rPr>
                <w:rFonts w:hint="eastAsia" w:eastAsia="宋体"/>
                <w:color w:val="000000" w:themeColor="text1"/>
                <w:sz w:val="24"/>
                <w:szCs w:val="24"/>
                <w:highlight w:val="none"/>
                <w:lang w:val="en-US" w:eastAsia="zh-CN"/>
                <w14:textFill>
                  <w14:solidFill>
                    <w14:schemeClr w14:val="tx1"/>
                  </w14:solidFill>
                </w14:textFill>
              </w:rPr>
              <w:t>/</w:t>
            </w:r>
          </w:p>
        </w:tc>
      </w:tr>
      <w:tr w14:paraId="2C95A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7" w:type="pct"/>
            <w:vMerge w:val="continue"/>
            <w:tcBorders>
              <w:tl2br w:val="nil"/>
              <w:tr2bl w:val="nil"/>
            </w:tcBorders>
            <w:tcMar>
              <w:left w:w="28" w:type="dxa"/>
              <w:right w:w="28" w:type="dxa"/>
            </w:tcMar>
            <w:vAlign w:val="center"/>
          </w:tcPr>
          <w:p w14:paraId="32B3DBC6">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color w:val="000000" w:themeColor="text1"/>
                <w:sz w:val="24"/>
                <w:szCs w:val="24"/>
                <w:highlight w:val="none"/>
                <w14:textFill>
                  <w14:solidFill>
                    <w14:schemeClr w14:val="tx1"/>
                  </w14:solidFill>
                </w14:textFill>
              </w:rPr>
            </w:pPr>
          </w:p>
        </w:tc>
        <w:tc>
          <w:tcPr>
            <w:tcW w:w="867" w:type="pct"/>
            <w:vMerge w:val="continue"/>
            <w:tcBorders>
              <w:tl2br w:val="nil"/>
              <w:tr2bl w:val="nil"/>
            </w:tcBorders>
            <w:tcMar>
              <w:left w:w="28" w:type="dxa"/>
              <w:right w:w="28" w:type="dxa"/>
            </w:tcMar>
            <w:vAlign w:val="center"/>
          </w:tcPr>
          <w:p w14:paraId="2A2EB2F3">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lang w:val="en-US" w:eastAsia="zh-CN"/>
                <w14:textFill>
                  <w14:solidFill>
                    <w14:schemeClr w14:val="tx1"/>
                  </w14:solidFill>
                </w14:textFill>
              </w:rPr>
            </w:pPr>
          </w:p>
        </w:tc>
        <w:tc>
          <w:tcPr>
            <w:tcW w:w="900" w:type="pct"/>
            <w:tcBorders>
              <w:tl2br w:val="nil"/>
              <w:tr2bl w:val="nil"/>
            </w:tcBorders>
            <w:vAlign w:val="center"/>
          </w:tcPr>
          <w:p w14:paraId="3C9B0F2A">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14:textFill>
                  <w14:solidFill>
                    <w14:schemeClr w14:val="tx1"/>
                  </w14:solidFill>
                </w14:textFill>
              </w:rPr>
            </w:pPr>
            <w:r>
              <w:rPr>
                <w:rFonts w:hint="eastAsia"/>
                <w:sz w:val="24"/>
                <w:szCs w:val="24"/>
                <w:highlight w:val="none"/>
                <w:lang w:val="en-US" w:eastAsia="zh-CN"/>
              </w:rPr>
              <w:t>HCl</w:t>
            </w:r>
          </w:p>
        </w:tc>
        <w:tc>
          <w:tcPr>
            <w:tcW w:w="869" w:type="pct"/>
            <w:tcBorders>
              <w:tl2br w:val="nil"/>
              <w:tr2bl w:val="nil"/>
            </w:tcBorders>
            <w:vAlign w:val="center"/>
          </w:tcPr>
          <w:p w14:paraId="3DE5DA65">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0.0000</w:t>
            </w:r>
          </w:p>
        </w:tc>
        <w:tc>
          <w:tcPr>
            <w:tcW w:w="644" w:type="pct"/>
            <w:tcBorders>
              <w:tl2br w:val="nil"/>
              <w:tr2bl w:val="nil"/>
            </w:tcBorders>
            <w:vAlign w:val="center"/>
          </w:tcPr>
          <w:p w14:paraId="39AEFCD8">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0.00</w:t>
            </w:r>
          </w:p>
        </w:tc>
        <w:tc>
          <w:tcPr>
            <w:tcW w:w="647" w:type="pct"/>
            <w:tcBorders>
              <w:tl2br w:val="nil"/>
              <w:tr2bl w:val="nil"/>
            </w:tcBorders>
            <w:vAlign w:val="center"/>
          </w:tcPr>
          <w:p w14:paraId="03D5189F">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55</w:t>
            </w:r>
          </w:p>
        </w:tc>
        <w:tc>
          <w:tcPr>
            <w:tcW w:w="483" w:type="pct"/>
            <w:tcBorders>
              <w:tl2br w:val="nil"/>
              <w:tr2bl w:val="nil"/>
            </w:tcBorders>
            <w:vAlign w:val="center"/>
          </w:tcPr>
          <w:p w14:paraId="3F01C4CA">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color w:val="000000" w:themeColor="text1"/>
                <w:sz w:val="24"/>
                <w:szCs w:val="24"/>
                <w:highlight w:val="none"/>
                <w:lang w:val="en-US" w:eastAsia="zh-CN"/>
                <w14:textFill>
                  <w14:solidFill>
                    <w14:schemeClr w14:val="tx1"/>
                  </w14:solidFill>
                </w14:textFill>
              </w:rPr>
            </w:pPr>
            <w:r>
              <w:rPr>
                <w:rFonts w:hint="eastAsia" w:eastAsia="宋体"/>
                <w:color w:val="000000" w:themeColor="text1"/>
                <w:sz w:val="24"/>
                <w:szCs w:val="24"/>
                <w:highlight w:val="none"/>
                <w:lang w:val="en-US" w:eastAsia="zh-CN"/>
                <w14:textFill>
                  <w14:solidFill>
                    <w14:schemeClr w14:val="tx1"/>
                  </w14:solidFill>
                </w14:textFill>
              </w:rPr>
              <w:t>/</w:t>
            </w:r>
          </w:p>
        </w:tc>
      </w:tr>
      <w:tr w14:paraId="05B08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7" w:type="pct"/>
            <w:vMerge w:val="restart"/>
            <w:tcBorders>
              <w:tl2br w:val="nil"/>
              <w:tr2bl w:val="nil"/>
            </w:tcBorders>
            <w:tcMar>
              <w:left w:w="28" w:type="dxa"/>
              <w:right w:w="28" w:type="dxa"/>
            </w:tcMar>
            <w:vAlign w:val="center"/>
          </w:tcPr>
          <w:p w14:paraId="66F920E8">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面源</w:t>
            </w:r>
          </w:p>
        </w:tc>
        <w:tc>
          <w:tcPr>
            <w:tcW w:w="867" w:type="pct"/>
            <w:vMerge w:val="restart"/>
            <w:tcBorders>
              <w:tl2br w:val="nil"/>
              <w:tr2bl w:val="nil"/>
            </w:tcBorders>
            <w:tcMar>
              <w:left w:w="28" w:type="dxa"/>
              <w:right w:w="28" w:type="dxa"/>
            </w:tcMar>
            <w:vAlign w:val="center"/>
          </w:tcPr>
          <w:p w14:paraId="4D9AF6E3">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color w:val="000000" w:themeColor="text1"/>
                <w:sz w:val="24"/>
                <w:szCs w:val="24"/>
                <w:highlight w:val="none"/>
                <w14:textFill>
                  <w14:solidFill>
                    <w14:schemeClr w14:val="tx1"/>
                  </w14:solidFill>
                </w14:textFill>
              </w:rPr>
            </w:pPr>
            <w:r>
              <w:rPr>
                <w:rFonts w:hint="eastAsia"/>
                <w:sz w:val="24"/>
                <w:szCs w:val="24"/>
                <w:highlight w:val="none"/>
                <w:lang w:val="en-US" w:eastAsia="zh-CN"/>
              </w:rPr>
              <w:t>1#生产车间</w:t>
            </w:r>
          </w:p>
        </w:tc>
        <w:tc>
          <w:tcPr>
            <w:tcW w:w="900" w:type="pct"/>
            <w:tcBorders>
              <w:tl2br w:val="nil"/>
              <w:tr2bl w:val="nil"/>
            </w:tcBorders>
            <w:vAlign w:val="center"/>
          </w:tcPr>
          <w:p w14:paraId="08E68F83">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eastAsia="宋体"/>
                <w:color w:val="000000" w:themeColor="text1"/>
                <w:sz w:val="24"/>
                <w:szCs w:val="24"/>
                <w:highlight w:val="none"/>
                <w:lang w:eastAsia="zh-CN"/>
                <w14:textFill>
                  <w14:solidFill>
                    <w14:schemeClr w14:val="tx1"/>
                  </w14:solidFill>
                </w14:textFill>
              </w:rPr>
            </w:pPr>
            <w:r>
              <w:rPr>
                <w:rFonts w:hint="eastAsia"/>
                <w:sz w:val="24"/>
                <w:szCs w:val="24"/>
                <w:highlight w:val="none"/>
                <w:lang w:val="en-US" w:eastAsia="zh-CN"/>
              </w:rPr>
              <w:t>颗粒物</w:t>
            </w:r>
          </w:p>
        </w:tc>
        <w:tc>
          <w:tcPr>
            <w:tcW w:w="869" w:type="pct"/>
            <w:tcBorders>
              <w:tl2br w:val="nil"/>
              <w:tr2bl w:val="nil"/>
            </w:tcBorders>
            <w:vAlign w:val="center"/>
          </w:tcPr>
          <w:p w14:paraId="0874D900">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eastAsia="楷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0.0547</w:t>
            </w:r>
          </w:p>
        </w:tc>
        <w:tc>
          <w:tcPr>
            <w:tcW w:w="644" w:type="pct"/>
            <w:tcBorders>
              <w:tl2br w:val="nil"/>
              <w:tr2bl w:val="nil"/>
            </w:tcBorders>
            <w:vAlign w:val="center"/>
          </w:tcPr>
          <w:p w14:paraId="0DE271DD">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eastAsia="楷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6.08</w:t>
            </w:r>
          </w:p>
        </w:tc>
        <w:tc>
          <w:tcPr>
            <w:tcW w:w="647" w:type="pct"/>
            <w:tcBorders>
              <w:tl2br w:val="nil"/>
              <w:tr2bl w:val="nil"/>
            </w:tcBorders>
            <w:vAlign w:val="center"/>
          </w:tcPr>
          <w:p w14:paraId="42367267">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eastAsia="楷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41</w:t>
            </w:r>
          </w:p>
        </w:tc>
        <w:tc>
          <w:tcPr>
            <w:tcW w:w="483" w:type="pct"/>
            <w:tcBorders>
              <w:tl2br w:val="nil"/>
              <w:tr2bl w:val="nil"/>
            </w:tcBorders>
            <w:vAlign w:val="center"/>
          </w:tcPr>
          <w:p w14:paraId="7CADBE13">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color w:val="000000" w:themeColor="text1"/>
                <w:sz w:val="24"/>
                <w:szCs w:val="24"/>
                <w:highlight w:val="none"/>
                <w14:textFill>
                  <w14:solidFill>
                    <w14:schemeClr w14:val="tx1"/>
                  </w14:solidFill>
                </w14:textFill>
              </w:rPr>
            </w:pPr>
            <w:r>
              <w:rPr>
                <w:rFonts w:hint="eastAsia" w:eastAsia="宋体"/>
                <w:color w:val="000000" w:themeColor="text1"/>
                <w:sz w:val="24"/>
                <w:szCs w:val="24"/>
                <w:highlight w:val="none"/>
                <w:lang w:val="en-US" w:eastAsia="zh-CN"/>
                <w14:textFill>
                  <w14:solidFill>
                    <w14:schemeClr w14:val="tx1"/>
                  </w14:solidFill>
                </w14:textFill>
              </w:rPr>
              <w:t>/</w:t>
            </w:r>
          </w:p>
        </w:tc>
      </w:tr>
      <w:tr w14:paraId="7E4FD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7" w:type="pct"/>
            <w:vMerge w:val="continue"/>
            <w:tcBorders>
              <w:tl2br w:val="nil"/>
              <w:tr2bl w:val="nil"/>
            </w:tcBorders>
            <w:tcMar>
              <w:left w:w="28" w:type="dxa"/>
              <w:right w:w="28" w:type="dxa"/>
            </w:tcMar>
            <w:vAlign w:val="center"/>
          </w:tcPr>
          <w:p w14:paraId="2ACBC90F">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highlight w:val="none"/>
                <w14:textFill>
                  <w14:solidFill>
                    <w14:schemeClr w14:val="tx1"/>
                  </w14:solidFill>
                </w14:textFill>
              </w:rPr>
            </w:pPr>
          </w:p>
        </w:tc>
        <w:tc>
          <w:tcPr>
            <w:tcW w:w="867" w:type="pct"/>
            <w:vMerge w:val="continue"/>
            <w:tcBorders>
              <w:tl2br w:val="nil"/>
              <w:tr2bl w:val="nil"/>
            </w:tcBorders>
            <w:tcMar>
              <w:left w:w="28" w:type="dxa"/>
              <w:right w:w="28" w:type="dxa"/>
            </w:tcMar>
            <w:vAlign w:val="center"/>
          </w:tcPr>
          <w:p w14:paraId="57703E39">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highlight w:val="none"/>
                <w:lang w:val="en-US" w:eastAsia="zh-CN"/>
                <w14:textFill>
                  <w14:solidFill>
                    <w14:schemeClr w14:val="tx1"/>
                  </w14:solidFill>
                </w14:textFill>
              </w:rPr>
            </w:pPr>
          </w:p>
        </w:tc>
        <w:tc>
          <w:tcPr>
            <w:tcW w:w="900" w:type="pct"/>
            <w:tcBorders>
              <w:tl2br w:val="nil"/>
              <w:tr2bl w:val="nil"/>
            </w:tcBorders>
            <w:vAlign w:val="center"/>
          </w:tcPr>
          <w:p w14:paraId="1F583778">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highlight w:val="none"/>
                <w:lang w:val="en-US" w:eastAsia="zh-CN"/>
                <w14:textFill>
                  <w14:solidFill>
                    <w14:schemeClr w14:val="tx1"/>
                  </w14:solidFill>
                </w14:textFill>
              </w:rPr>
            </w:pPr>
            <w:r>
              <w:rPr>
                <w:rFonts w:hint="eastAsia"/>
                <w:sz w:val="24"/>
                <w:szCs w:val="24"/>
                <w:highlight w:val="none"/>
                <w:lang w:val="en-US" w:eastAsia="zh-CN"/>
              </w:rPr>
              <w:t>非甲烷总烃</w:t>
            </w:r>
          </w:p>
        </w:tc>
        <w:tc>
          <w:tcPr>
            <w:tcW w:w="869" w:type="pct"/>
            <w:tcBorders>
              <w:tl2br w:val="nil"/>
              <w:tr2bl w:val="nil"/>
            </w:tcBorders>
            <w:vAlign w:val="center"/>
          </w:tcPr>
          <w:p w14:paraId="2505E4EA">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0.0556</w:t>
            </w:r>
          </w:p>
        </w:tc>
        <w:tc>
          <w:tcPr>
            <w:tcW w:w="644" w:type="pct"/>
            <w:tcBorders>
              <w:tl2br w:val="nil"/>
              <w:tr2bl w:val="nil"/>
            </w:tcBorders>
            <w:vAlign w:val="center"/>
          </w:tcPr>
          <w:p w14:paraId="28AE3D64">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2.78</w:t>
            </w:r>
          </w:p>
        </w:tc>
        <w:tc>
          <w:tcPr>
            <w:tcW w:w="647" w:type="pct"/>
            <w:tcBorders>
              <w:tl2br w:val="nil"/>
              <w:tr2bl w:val="nil"/>
            </w:tcBorders>
            <w:vAlign w:val="center"/>
          </w:tcPr>
          <w:p w14:paraId="6E841BD9">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41</w:t>
            </w:r>
          </w:p>
        </w:tc>
        <w:tc>
          <w:tcPr>
            <w:tcW w:w="483" w:type="pct"/>
            <w:tcBorders>
              <w:tl2br w:val="nil"/>
              <w:tr2bl w:val="nil"/>
            </w:tcBorders>
            <w:vAlign w:val="center"/>
          </w:tcPr>
          <w:p w14:paraId="176C22B5">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color w:val="000000" w:themeColor="text1"/>
                <w:sz w:val="24"/>
                <w:szCs w:val="24"/>
                <w:highlight w:val="none"/>
                <w:lang w:val="en-US" w:eastAsia="zh-CN"/>
                <w14:textFill>
                  <w14:solidFill>
                    <w14:schemeClr w14:val="tx1"/>
                  </w14:solidFill>
                </w14:textFill>
              </w:rPr>
            </w:pPr>
            <w:r>
              <w:rPr>
                <w:rFonts w:hint="eastAsia" w:eastAsia="宋体"/>
                <w:color w:val="000000" w:themeColor="text1"/>
                <w:sz w:val="24"/>
                <w:szCs w:val="24"/>
                <w:highlight w:val="none"/>
                <w:lang w:val="en-US" w:eastAsia="zh-CN"/>
                <w14:textFill>
                  <w14:solidFill>
                    <w14:schemeClr w14:val="tx1"/>
                  </w14:solidFill>
                </w14:textFill>
              </w:rPr>
              <w:t>/</w:t>
            </w:r>
          </w:p>
        </w:tc>
      </w:tr>
      <w:tr w14:paraId="43D54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7" w:type="pct"/>
            <w:vMerge w:val="continue"/>
            <w:tcBorders>
              <w:tl2br w:val="nil"/>
              <w:tr2bl w:val="nil"/>
            </w:tcBorders>
            <w:tcMar>
              <w:left w:w="28" w:type="dxa"/>
              <w:right w:w="28" w:type="dxa"/>
            </w:tcMar>
            <w:vAlign w:val="center"/>
          </w:tcPr>
          <w:p w14:paraId="4ED30140">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highlight w:val="none"/>
                <w14:textFill>
                  <w14:solidFill>
                    <w14:schemeClr w14:val="tx1"/>
                  </w14:solidFill>
                </w14:textFill>
              </w:rPr>
            </w:pPr>
          </w:p>
        </w:tc>
        <w:tc>
          <w:tcPr>
            <w:tcW w:w="867" w:type="pct"/>
            <w:vMerge w:val="continue"/>
            <w:tcBorders>
              <w:tl2br w:val="nil"/>
              <w:tr2bl w:val="nil"/>
            </w:tcBorders>
            <w:tcMar>
              <w:left w:w="28" w:type="dxa"/>
              <w:right w:w="28" w:type="dxa"/>
            </w:tcMar>
            <w:vAlign w:val="center"/>
          </w:tcPr>
          <w:p w14:paraId="1741AEAE">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highlight w:val="none"/>
                <w:lang w:val="en-US" w:eastAsia="zh-CN"/>
                <w14:textFill>
                  <w14:solidFill>
                    <w14:schemeClr w14:val="tx1"/>
                  </w14:solidFill>
                </w14:textFill>
              </w:rPr>
            </w:pPr>
          </w:p>
        </w:tc>
        <w:tc>
          <w:tcPr>
            <w:tcW w:w="900" w:type="pct"/>
            <w:tcBorders>
              <w:tl2br w:val="nil"/>
              <w:tr2bl w:val="nil"/>
            </w:tcBorders>
            <w:vAlign w:val="center"/>
          </w:tcPr>
          <w:p w14:paraId="37CDF75E">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highlight w:val="none"/>
                <w:lang w:val="en-US" w:eastAsia="zh-CN"/>
                <w14:textFill>
                  <w14:solidFill>
                    <w14:schemeClr w14:val="tx1"/>
                  </w14:solidFill>
                </w14:textFill>
              </w:rPr>
            </w:pPr>
            <w:r>
              <w:rPr>
                <w:rFonts w:hint="eastAsia"/>
                <w:sz w:val="24"/>
                <w:szCs w:val="24"/>
                <w:highlight w:val="none"/>
                <w:lang w:val="en-US" w:eastAsia="zh-CN"/>
              </w:rPr>
              <w:t>HCl</w:t>
            </w:r>
          </w:p>
        </w:tc>
        <w:tc>
          <w:tcPr>
            <w:tcW w:w="869" w:type="pct"/>
            <w:tcBorders>
              <w:tl2br w:val="nil"/>
              <w:tr2bl w:val="nil"/>
            </w:tcBorders>
            <w:vAlign w:val="center"/>
          </w:tcPr>
          <w:p w14:paraId="28E35E9D">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0.0000</w:t>
            </w:r>
          </w:p>
        </w:tc>
        <w:tc>
          <w:tcPr>
            <w:tcW w:w="644" w:type="pct"/>
            <w:tcBorders>
              <w:tl2br w:val="nil"/>
              <w:tr2bl w:val="nil"/>
            </w:tcBorders>
            <w:vAlign w:val="center"/>
          </w:tcPr>
          <w:p w14:paraId="33BE9082">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0.00</w:t>
            </w:r>
          </w:p>
        </w:tc>
        <w:tc>
          <w:tcPr>
            <w:tcW w:w="647" w:type="pct"/>
            <w:tcBorders>
              <w:tl2br w:val="nil"/>
              <w:tr2bl w:val="nil"/>
            </w:tcBorders>
            <w:vAlign w:val="center"/>
          </w:tcPr>
          <w:p w14:paraId="4BDE80A7">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41</w:t>
            </w:r>
          </w:p>
        </w:tc>
        <w:tc>
          <w:tcPr>
            <w:tcW w:w="483" w:type="pct"/>
            <w:tcBorders>
              <w:tl2br w:val="nil"/>
              <w:tr2bl w:val="nil"/>
            </w:tcBorders>
            <w:vAlign w:val="center"/>
          </w:tcPr>
          <w:p w14:paraId="3DAE80D1">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color w:val="000000" w:themeColor="text1"/>
                <w:sz w:val="24"/>
                <w:szCs w:val="24"/>
                <w:highlight w:val="none"/>
                <w:lang w:val="en-US" w:eastAsia="zh-CN"/>
                <w14:textFill>
                  <w14:solidFill>
                    <w14:schemeClr w14:val="tx1"/>
                  </w14:solidFill>
                </w14:textFill>
              </w:rPr>
            </w:pPr>
            <w:r>
              <w:rPr>
                <w:rFonts w:hint="eastAsia" w:eastAsia="宋体"/>
                <w:color w:val="000000" w:themeColor="text1"/>
                <w:sz w:val="24"/>
                <w:szCs w:val="24"/>
                <w:highlight w:val="none"/>
                <w:lang w:val="en-US" w:eastAsia="zh-CN"/>
                <w14:textFill>
                  <w14:solidFill>
                    <w14:schemeClr w14:val="tx1"/>
                  </w14:solidFill>
                </w14:textFill>
              </w:rPr>
              <w:t>/</w:t>
            </w:r>
          </w:p>
        </w:tc>
      </w:tr>
      <w:tr w14:paraId="74501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7" w:type="pct"/>
            <w:vMerge w:val="continue"/>
            <w:tcBorders>
              <w:tl2br w:val="nil"/>
              <w:tr2bl w:val="nil"/>
            </w:tcBorders>
            <w:tcMar>
              <w:left w:w="28" w:type="dxa"/>
              <w:right w:w="28" w:type="dxa"/>
            </w:tcMar>
            <w:vAlign w:val="center"/>
          </w:tcPr>
          <w:p w14:paraId="26799023">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highlight w:val="none"/>
                <w14:textFill>
                  <w14:solidFill>
                    <w14:schemeClr w14:val="tx1"/>
                  </w14:solidFill>
                </w14:textFill>
              </w:rPr>
            </w:pPr>
          </w:p>
        </w:tc>
        <w:tc>
          <w:tcPr>
            <w:tcW w:w="867" w:type="pct"/>
            <w:vMerge w:val="restart"/>
            <w:tcBorders>
              <w:tl2br w:val="nil"/>
              <w:tr2bl w:val="nil"/>
            </w:tcBorders>
            <w:tcMar>
              <w:left w:w="28" w:type="dxa"/>
              <w:right w:w="28" w:type="dxa"/>
            </w:tcMar>
            <w:vAlign w:val="center"/>
          </w:tcPr>
          <w:p w14:paraId="710108BC">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highlight w:val="none"/>
                <w:lang w:val="en-US" w:eastAsia="zh-CN"/>
                <w14:textFill>
                  <w14:solidFill>
                    <w14:schemeClr w14:val="tx1"/>
                  </w14:solidFill>
                </w14:textFill>
              </w:rPr>
            </w:pPr>
            <w:r>
              <w:rPr>
                <w:rFonts w:hint="eastAsia"/>
                <w:sz w:val="24"/>
                <w:szCs w:val="24"/>
                <w:highlight w:val="none"/>
                <w:lang w:val="en-US" w:eastAsia="zh-CN"/>
              </w:rPr>
              <w:t>2#生产车间</w:t>
            </w:r>
          </w:p>
        </w:tc>
        <w:tc>
          <w:tcPr>
            <w:tcW w:w="900" w:type="pct"/>
            <w:tcBorders>
              <w:tl2br w:val="nil"/>
              <w:tr2bl w:val="nil"/>
            </w:tcBorders>
            <w:vAlign w:val="center"/>
          </w:tcPr>
          <w:p w14:paraId="14D74925">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14:textFill>
                  <w14:solidFill>
                    <w14:schemeClr w14:val="tx1"/>
                  </w14:solidFill>
                </w14:textFill>
              </w:rPr>
            </w:pPr>
            <w:r>
              <w:rPr>
                <w:rFonts w:hint="eastAsia"/>
                <w:sz w:val="24"/>
                <w:szCs w:val="24"/>
                <w:highlight w:val="none"/>
                <w:lang w:val="en-US" w:eastAsia="zh-CN"/>
              </w:rPr>
              <w:t>颗粒物</w:t>
            </w:r>
          </w:p>
        </w:tc>
        <w:tc>
          <w:tcPr>
            <w:tcW w:w="869" w:type="pct"/>
            <w:tcBorders>
              <w:tl2br w:val="nil"/>
              <w:tr2bl w:val="nil"/>
            </w:tcBorders>
            <w:vAlign w:val="center"/>
          </w:tcPr>
          <w:p w14:paraId="32BEED23">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eastAsia="楷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0.0694</w:t>
            </w:r>
          </w:p>
        </w:tc>
        <w:tc>
          <w:tcPr>
            <w:tcW w:w="644" w:type="pct"/>
            <w:tcBorders>
              <w:tl2br w:val="nil"/>
              <w:tr2bl w:val="nil"/>
            </w:tcBorders>
            <w:vAlign w:val="center"/>
          </w:tcPr>
          <w:p w14:paraId="45D47967">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eastAsia="楷体"/>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7.71</w:t>
            </w:r>
          </w:p>
        </w:tc>
        <w:tc>
          <w:tcPr>
            <w:tcW w:w="647" w:type="pct"/>
            <w:tcBorders>
              <w:tl2br w:val="nil"/>
              <w:tr2bl w:val="nil"/>
            </w:tcBorders>
            <w:vAlign w:val="center"/>
          </w:tcPr>
          <w:p w14:paraId="37F79A5C">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eastAsia="楷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28</w:t>
            </w:r>
          </w:p>
        </w:tc>
        <w:tc>
          <w:tcPr>
            <w:tcW w:w="483" w:type="pct"/>
            <w:tcBorders>
              <w:tl2br w:val="nil"/>
              <w:tr2bl w:val="nil"/>
            </w:tcBorders>
            <w:vAlign w:val="center"/>
          </w:tcPr>
          <w:p w14:paraId="6C690D9D">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default"/>
                <w:color w:val="000000" w:themeColor="text1"/>
                <w:sz w:val="24"/>
                <w:szCs w:val="24"/>
                <w:highlight w:val="none"/>
                <w:lang w:val="en-US" w:eastAsia="zh-CN"/>
                <w14:textFill>
                  <w14:solidFill>
                    <w14:schemeClr w14:val="tx1"/>
                  </w14:solidFill>
                </w14:textFill>
              </w:rPr>
            </w:pPr>
            <w:r>
              <w:rPr>
                <w:rFonts w:hint="eastAsia" w:eastAsia="宋体"/>
                <w:color w:val="000000" w:themeColor="text1"/>
                <w:sz w:val="24"/>
                <w:szCs w:val="24"/>
                <w:highlight w:val="none"/>
                <w:lang w:val="en-US" w:eastAsia="zh-CN"/>
                <w14:textFill>
                  <w14:solidFill>
                    <w14:schemeClr w14:val="tx1"/>
                  </w14:solidFill>
                </w14:textFill>
              </w:rPr>
              <w:t>/</w:t>
            </w:r>
          </w:p>
        </w:tc>
      </w:tr>
      <w:tr w14:paraId="7FF3C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7" w:type="pct"/>
            <w:vMerge w:val="continue"/>
            <w:tcBorders>
              <w:tl2br w:val="nil"/>
              <w:tr2bl w:val="nil"/>
            </w:tcBorders>
            <w:tcMar>
              <w:left w:w="28" w:type="dxa"/>
              <w:right w:w="28" w:type="dxa"/>
            </w:tcMar>
            <w:vAlign w:val="center"/>
          </w:tcPr>
          <w:p w14:paraId="4EF41B5B">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highlight w:val="none"/>
                <w14:textFill>
                  <w14:solidFill>
                    <w14:schemeClr w14:val="tx1"/>
                  </w14:solidFill>
                </w14:textFill>
              </w:rPr>
            </w:pPr>
          </w:p>
        </w:tc>
        <w:tc>
          <w:tcPr>
            <w:tcW w:w="867" w:type="pct"/>
            <w:vMerge w:val="continue"/>
            <w:tcBorders>
              <w:tl2br w:val="nil"/>
              <w:tr2bl w:val="nil"/>
            </w:tcBorders>
            <w:tcMar>
              <w:left w:w="28" w:type="dxa"/>
              <w:right w:w="28" w:type="dxa"/>
            </w:tcMar>
            <w:vAlign w:val="center"/>
          </w:tcPr>
          <w:p w14:paraId="5CCABE66">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highlight w:val="none"/>
                <w:lang w:val="en-US" w:eastAsia="zh-CN"/>
                <w14:textFill>
                  <w14:solidFill>
                    <w14:schemeClr w14:val="tx1"/>
                  </w14:solidFill>
                </w14:textFill>
              </w:rPr>
            </w:pPr>
          </w:p>
        </w:tc>
        <w:tc>
          <w:tcPr>
            <w:tcW w:w="900" w:type="pct"/>
            <w:tcBorders>
              <w:tl2br w:val="nil"/>
              <w:tr2bl w:val="nil"/>
            </w:tcBorders>
            <w:vAlign w:val="center"/>
          </w:tcPr>
          <w:p w14:paraId="5294BE90">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lang w:val="en-US" w:eastAsia="zh-CN"/>
                <w14:textFill>
                  <w14:solidFill>
                    <w14:schemeClr w14:val="tx1"/>
                  </w14:solidFill>
                </w14:textFill>
              </w:rPr>
            </w:pPr>
            <w:r>
              <w:rPr>
                <w:rFonts w:hint="eastAsia"/>
                <w:sz w:val="24"/>
                <w:szCs w:val="24"/>
                <w:highlight w:val="none"/>
                <w:lang w:val="en-US" w:eastAsia="zh-CN"/>
              </w:rPr>
              <w:t>非甲烷总烃</w:t>
            </w:r>
          </w:p>
        </w:tc>
        <w:tc>
          <w:tcPr>
            <w:tcW w:w="869" w:type="pct"/>
            <w:tcBorders>
              <w:tl2br w:val="nil"/>
              <w:tr2bl w:val="nil"/>
            </w:tcBorders>
            <w:vAlign w:val="center"/>
          </w:tcPr>
          <w:p w14:paraId="4B76EBF7">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0.0705</w:t>
            </w:r>
          </w:p>
        </w:tc>
        <w:tc>
          <w:tcPr>
            <w:tcW w:w="644" w:type="pct"/>
            <w:tcBorders>
              <w:tl2br w:val="nil"/>
              <w:tr2bl w:val="nil"/>
            </w:tcBorders>
            <w:vAlign w:val="center"/>
          </w:tcPr>
          <w:p w14:paraId="32D4CEC1">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3.52</w:t>
            </w:r>
          </w:p>
        </w:tc>
        <w:tc>
          <w:tcPr>
            <w:tcW w:w="647" w:type="pct"/>
            <w:tcBorders>
              <w:tl2br w:val="nil"/>
              <w:tr2bl w:val="nil"/>
            </w:tcBorders>
            <w:vAlign w:val="center"/>
          </w:tcPr>
          <w:p w14:paraId="093A32C6">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28</w:t>
            </w:r>
          </w:p>
        </w:tc>
        <w:tc>
          <w:tcPr>
            <w:tcW w:w="483" w:type="pct"/>
            <w:tcBorders>
              <w:tl2br w:val="nil"/>
              <w:tr2bl w:val="nil"/>
            </w:tcBorders>
            <w:vAlign w:val="center"/>
          </w:tcPr>
          <w:p w14:paraId="661FABF1">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color w:val="000000" w:themeColor="text1"/>
                <w:sz w:val="24"/>
                <w:szCs w:val="24"/>
                <w:highlight w:val="none"/>
                <w:lang w:val="en-US" w:eastAsia="zh-CN"/>
                <w14:textFill>
                  <w14:solidFill>
                    <w14:schemeClr w14:val="tx1"/>
                  </w14:solidFill>
                </w14:textFill>
              </w:rPr>
            </w:pPr>
            <w:r>
              <w:rPr>
                <w:rFonts w:hint="eastAsia" w:eastAsia="宋体"/>
                <w:color w:val="000000" w:themeColor="text1"/>
                <w:sz w:val="24"/>
                <w:szCs w:val="24"/>
                <w:highlight w:val="none"/>
                <w:lang w:val="en-US" w:eastAsia="zh-CN"/>
                <w14:textFill>
                  <w14:solidFill>
                    <w14:schemeClr w14:val="tx1"/>
                  </w14:solidFill>
                </w14:textFill>
              </w:rPr>
              <w:t>/</w:t>
            </w:r>
          </w:p>
        </w:tc>
      </w:tr>
      <w:tr w14:paraId="29ACD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7" w:type="pct"/>
            <w:vMerge w:val="continue"/>
            <w:tcBorders>
              <w:tl2br w:val="nil"/>
              <w:tr2bl w:val="nil"/>
            </w:tcBorders>
            <w:tcMar>
              <w:left w:w="28" w:type="dxa"/>
              <w:right w:w="28" w:type="dxa"/>
            </w:tcMar>
            <w:vAlign w:val="center"/>
          </w:tcPr>
          <w:p w14:paraId="718F15D1">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highlight w:val="none"/>
                <w14:textFill>
                  <w14:solidFill>
                    <w14:schemeClr w14:val="tx1"/>
                  </w14:solidFill>
                </w14:textFill>
              </w:rPr>
            </w:pPr>
          </w:p>
        </w:tc>
        <w:tc>
          <w:tcPr>
            <w:tcW w:w="867" w:type="pct"/>
            <w:vMerge w:val="continue"/>
            <w:tcBorders>
              <w:tl2br w:val="nil"/>
              <w:tr2bl w:val="nil"/>
            </w:tcBorders>
            <w:tcMar>
              <w:left w:w="28" w:type="dxa"/>
              <w:right w:w="28" w:type="dxa"/>
            </w:tcMar>
            <w:vAlign w:val="center"/>
          </w:tcPr>
          <w:p w14:paraId="0E846A17">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highlight w:val="none"/>
                <w:lang w:val="en-US" w:eastAsia="zh-CN"/>
                <w14:textFill>
                  <w14:solidFill>
                    <w14:schemeClr w14:val="tx1"/>
                  </w14:solidFill>
                </w14:textFill>
              </w:rPr>
            </w:pPr>
          </w:p>
        </w:tc>
        <w:tc>
          <w:tcPr>
            <w:tcW w:w="900" w:type="pct"/>
            <w:tcBorders>
              <w:tl2br w:val="nil"/>
              <w:tr2bl w:val="nil"/>
            </w:tcBorders>
            <w:vAlign w:val="center"/>
          </w:tcPr>
          <w:p w14:paraId="6973EAF1">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lang w:val="en-US" w:eastAsia="zh-CN"/>
                <w14:textFill>
                  <w14:solidFill>
                    <w14:schemeClr w14:val="tx1"/>
                  </w14:solidFill>
                </w14:textFill>
              </w:rPr>
            </w:pPr>
            <w:r>
              <w:rPr>
                <w:rFonts w:hint="eastAsia"/>
                <w:sz w:val="24"/>
                <w:szCs w:val="24"/>
                <w:highlight w:val="none"/>
                <w:lang w:val="en-US" w:eastAsia="zh-CN"/>
              </w:rPr>
              <w:t>HCl</w:t>
            </w:r>
          </w:p>
        </w:tc>
        <w:tc>
          <w:tcPr>
            <w:tcW w:w="869" w:type="pct"/>
            <w:tcBorders>
              <w:tl2br w:val="nil"/>
              <w:tr2bl w:val="nil"/>
            </w:tcBorders>
            <w:vAlign w:val="center"/>
          </w:tcPr>
          <w:p w14:paraId="724FE1FC">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0.0000</w:t>
            </w:r>
          </w:p>
        </w:tc>
        <w:tc>
          <w:tcPr>
            <w:tcW w:w="644" w:type="pct"/>
            <w:tcBorders>
              <w:tl2br w:val="nil"/>
              <w:tr2bl w:val="nil"/>
            </w:tcBorders>
            <w:vAlign w:val="center"/>
          </w:tcPr>
          <w:p w14:paraId="28A0CD8A">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0.00</w:t>
            </w:r>
          </w:p>
        </w:tc>
        <w:tc>
          <w:tcPr>
            <w:tcW w:w="647" w:type="pct"/>
            <w:tcBorders>
              <w:tl2br w:val="nil"/>
              <w:tr2bl w:val="nil"/>
            </w:tcBorders>
            <w:vAlign w:val="center"/>
          </w:tcPr>
          <w:p w14:paraId="17443BD5">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28</w:t>
            </w:r>
          </w:p>
        </w:tc>
        <w:tc>
          <w:tcPr>
            <w:tcW w:w="483" w:type="pct"/>
            <w:tcBorders>
              <w:tl2br w:val="nil"/>
              <w:tr2bl w:val="nil"/>
            </w:tcBorders>
            <w:vAlign w:val="center"/>
          </w:tcPr>
          <w:p w14:paraId="05981E96">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color w:val="000000" w:themeColor="text1"/>
                <w:sz w:val="24"/>
                <w:szCs w:val="24"/>
                <w:highlight w:val="none"/>
                <w:lang w:val="en-US" w:eastAsia="zh-CN"/>
                <w14:textFill>
                  <w14:solidFill>
                    <w14:schemeClr w14:val="tx1"/>
                  </w14:solidFill>
                </w14:textFill>
              </w:rPr>
            </w:pPr>
            <w:r>
              <w:rPr>
                <w:rFonts w:hint="eastAsia" w:eastAsia="宋体"/>
                <w:color w:val="000000" w:themeColor="text1"/>
                <w:sz w:val="24"/>
                <w:szCs w:val="24"/>
                <w:highlight w:val="none"/>
                <w:lang w:val="en-US" w:eastAsia="zh-CN"/>
                <w14:textFill>
                  <w14:solidFill>
                    <w14:schemeClr w14:val="tx1"/>
                  </w14:solidFill>
                </w14:textFill>
              </w:rPr>
              <w:t>/</w:t>
            </w:r>
          </w:p>
        </w:tc>
      </w:tr>
      <w:tr w14:paraId="10FD6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7" w:type="pct"/>
            <w:vMerge w:val="continue"/>
            <w:tcBorders>
              <w:tl2br w:val="nil"/>
              <w:tr2bl w:val="nil"/>
            </w:tcBorders>
            <w:tcMar>
              <w:left w:w="28" w:type="dxa"/>
              <w:right w:w="28" w:type="dxa"/>
            </w:tcMar>
            <w:vAlign w:val="center"/>
          </w:tcPr>
          <w:p w14:paraId="19885CB0">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highlight w:val="none"/>
                <w14:textFill>
                  <w14:solidFill>
                    <w14:schemeClr w14:val="tx1"/>
                  </w14:solidFill>
                </w14:textFill>
              </w:rPr>
            </w:pPr>
          </w:p>
        </w:tc>
        <w:tc>
          <w:tcPr>
            <w:tcW w:w="867" w:type="pct"/>
            <w:vMerge w:val="restart"/>
            <w:tcBorders>
              <w:tl2br w:val="nil"/>
              <w:tr2bl w:val="nil"/>
            </w:tcBorders>
            <w:tcMar>
              <w:left w:w="28" w:type="dxa"/>
              <w:right w:w="28" w:type="dxa"/>
            </w:tcMar>
            <w:vAlign w:val="center"/>
          </w:tcPr>
          <w:p w14:paraId="20C58230">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highlight w:val="none"/>
                <w14:textFill>
                  <w14:solidFill>
                    <w14:schemeClr w14:val="tx1"/>
                  </w14:solidFill>
                </w14:textFill>
              </w:rPr>
            </w:pPr>
            <w:r>
              <w:rPr>
                <w:rFonts w:hint="eastAsia"/>
                <w:sz w:val="24"/>
                <w:szCs w:val="24"/>
                <w:highlight w:val="none"/>
                <w:lang w:val="en-US" w:eastAsia="zh-CN"/>
              </w:rPr>
              <w:t>3#生产车间</w:t>
            </w:r>
          </w:p>
        </w:tc>
        <w:tc>
          <w:tcPr>
            <w:tcW w:w="900" w:type="pct"/>
            <w:tcBorders>
              <w:tl2br w:val="nil"/>
              <w:tr2bl w:val="nil"/>
            </w:tcBorders>
            <w:vAlign w:val="center"/>
          </w:tcPr>
          <w:p w14:paraId="182B51DE">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color w:val="000000" w:themeColor="text1"/>
                <w:sz w:val="24"/>
                <w:szCs w:val="24"/>
                <w:highlight w:val="none"/>
                <w14:textFill>
                  <w14:solidFill>
                    <w14:schemeClr w14:val="tx1"/>
                  </w14:solidFill>
                </w14:textFill>
              </w:rPr>
            </w:pPr>
            <w:r>
              <w:rPr>
                <w:rFonts w:hint="eastAsia"/>
                <w:sz w:val="24"/>
                <w:szCs w:val="24"/>
                <w:highlight w:val="none"/>
                <w:lang w:val="en-US" w:eastAsia="zh-CN"/>
              </w:rPr>
              <w:t>颗粒物</w:t>
            </w:r>
          </w:p>
        </w:tc>
        <w:tc>
          <w:tcPr>
            <w:tcW w:w="869" w:type="pct"/>
            <w:tcBorders>
              <w:tl2br w:val="nil"/>
              <w:tr2bl w:val="nil"/>
            </w:tcBorders>
            <w:vAlign w:val="center"/>
          </w:tcPr>
          <w:p w14:paraId="1CA3CADF">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eastAsia="楷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0.0315</w:t>
            </w:r>
          </w:p>
        </w:tc>
        <w:tc>
          <w:tcPr>
            <w:tcW w:w="644" w:type="pct"/>
            <w:tcBorders>
              <w:tl2br w:val="nil"/>
              <w:tr2bl w:val="nil"/>
            </w:tcBorders>
            <w:vAlign w:val="center"/>
          </w:tcPr>
          <w:p w14:paraId="1877B4F2">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eastAsia="楷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3.50</w:t>
            </w:r>
          </w:p>
        </w:tc>
        <w:tc>
          <w:tcPr>
            <w:tcW w:w="647" w:type="pct"/>
            <w:tcBorders>
              <w:tl2br w:val="nil"/>
              <w:tr2bl w:val="nil"/>
            </w:tcBorders>
            <w:vAlign w:val="center"/>
          </w:tcPr>
          <w:p w14:paraId="0ADDFFF7">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eastAsia="楷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28</w:t>
            </w:r>
          </w:p>
        </w:tc>
        <w:tc>
          <w:tcPr>
            <w:tcW w:w="483" w:type="pct"/>
            <w:tcBorders>
              <w:tl2br w:val="nil"/>
              <w:tr2bl w:val="nil"/>
            </w:tcBorders>
            <w:vAlign w:val="center"/>
          </w:tcPr>
          <w:p w14:paraId="6EAB627B">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color w:val="000000" w:themeColor="text1"/>
                <w:sz w:val="24"/>
                <w:szCs w:val="24"/>
                <w:highlight w:val="none"/>
                <w14:textFill>
                  <w14:solidFill>
                    <w14:schemeClr w14:val="tx1"/>
                  </w14:solidFill>
                </w14:textFill>
              </w:rPr>
            </w:pPr>
            <w:r>
              <w:rPr>
                <w:rFonts w:hint="eastAsia" w:eastAsia="宋体"/>
                <w:color w:val="000000" w:themeColor="text1"/>
                <w:sz w:val="24"/>
                <w:szCs w:val="24"/>
                <w:highlight w:val="none"/>
                <w:lang w:val="en-US" w:eastAsia="zh-CN"/>
                <w14:textFill>
                  <w14:solidFill>
                    <w14:schemeClr w14:val="tx1"/>
                  </w14:solidFill>
                </w14:textFill>
              </w:rPr>
              <w:t>/</w:t>
            </w:r>
          </w:p>
        </w:tc>
      </w:tr>
      <w:tr w14:paraId="53A18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7" w:type="pct"/>
            <w:vMerge w:val="continue"/>
            <w:tcBorders>
              <w:tl2br w:val="nil"/>
              <w:tr2bl w:val="nil"/>
            </w:tcBorders>
            <w:tcMar>
              <w:left w:w="28" w:type="dxa"/>
              <w:right w:w="28" w:type="dxa"/>
            </w:tcMar>
            <w:vAlign w:val="center"/>
          </w:tcPr>
          <w:p w14:paraId="052D3D9C">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highlight w:val="none"/>
                <w14:textFill>
                  <w14:solidFill>
                    <w14:schemeClr w14:val="tx1"/>
                  </w14:solidFill>
                </w14:textFill>
              </w:rPr>
            </w:pPr>
          </w:p>
        </w:tc>
        <w:tc>
          <w:tcPr>
            <w:tcW w:w="867" w:type="pct"/>
            <w:vMerge w:val="continue"/>
            <w:tcBorders>
              <w:tl2br w:val="nil"/>
              <w:tr2bl w:val="nil"/>
            </w:tcBorders>
            <w:tcMar>
              <w:left w:w="28" w:type="dxa"/>
              <w:right w:w="28" w:type="dxa"/>
            </w:tcMar>
            <w:vAlign w:val="center"/>
          </w:tcPr>
          <w:p w14:paraId="1592B928">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highlight w:val="none"/>
                <w:lang w:val="en-US" w:eastAsia="zh-CN"/>
                <w14:textFill>
                  <w14:solidFill>
                    <w14:schemeClr w14:val="tx1"/>
                  </w14:solidFill>
                </w14:textFill>
              </w:rPr>
            </w:pPr>
          </w:p>
        </w:tc>
        <w:tc>
          <w:tcPr>
            <w:tcW w:w="900" w:type="pct"/>
            <w:tcBorders>
              <w:tl2br w:val="nil"/>
              <w:tr2bl w:val="nil"/>
            </w:tcBorders>
            <w:vAlign w:val="center"/>
          </w:tcPr>
          <w:p w14:paraId="2ED6131F">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lang w:val="en-US" w:eastAsia="zh-CN"/>
                <w14:textFill>
                  <w14:solidFill>
                    <w14:schemeClr w14:val="tx1"/>
                  </w14:solidFill>
                </w14:textFill>
              </w:rPr>
            </w:pPr>
            <w:r>
              <w:rPr>
                <w:rFonts w:hint="eastAsia"/>
                <w:sz w:val="24"/>
                <w:szCs w:val="24"/>
                <w:highlight w:val="none"/>
                <w:lang w:val="en-US" w:eastAsia="zh-CN"/>
              </w:rPr>
              <w:t>非甲烷总烃</w:t>
            </w:r>
          </w:p>
        </w:tc>
        <w:tc>
          <w:tcPr>
            <w:tcW w:w="869" w:type="pct"/>
            <w:tcBorders>
              <w:tl2br w:val="nil"/>
              <w:tr2bl w:val="nil"/>
            </w:tcBorders>
            <w:vAlign w:val="center"/>
          </w:tcPr>
          <w:p w14:paraId="642B3EB7">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0.0315</w:t>
            </w:r>
          </w:p>
        </w:tc>
        <w:tc>
          <w:tcPr>
            <w:tcW w:w="644" w:type="pct"/>
            <w:tcBorders>
              <w:tl2br w:val="nil"/>
              <w:tr2bl w:val="nil"/>
            </w:tcBorders>
            <w:vAlign w:val="center"/>
          </w:tcPr>
          <w:p w14:paraId="4A2A613E">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1.58</w:t>
            </w:r>
          </w:p>
        </w:tc>
        <w:tc>
          <w:tcPr>
            <w:tcW w:w="647" w:type="pct"/>
            <w:tcBorders>
              <w:tl2br w:val="nil"/>
              <w:tr2bl w:val="nil"/>
            </w:tcBorders>
            <w:vAlign w:val="center"/>
          </w:tcPr>
          <w:p w14:paraId="1FCEEC57">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28</w:t>
            </w:r>
          </w:p>
        </w:tc>
        <w:tc>
          <w:tcPr>
            <w:tcW w:w="483" w:type="pct"/>
            <w:tcBorders>
              <w:tl2br w:val="nil"/>
              <w:tr2bl w:val="nil"/>
            </w:tcBorders>
            <w:vAlign w:val="center"/>
          </w:tcPr>
          <w:p w14:paraId="48F2ED6C">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color w:val="000000" w:themeColor="text1"/>
                <w:sz w:val="24"/>
                <w:szCs w:val="24"/>
                <w:highlight w:val="none"/>
                <w:lang w:val="en-US" w:eastAsia="zh-CN"/>
                <w14:textFill>
                  <w14:solidFill>
                    <w14:schemeClr w14:val="tx1"/>
                  </w14:solidFill>
                </w14:textFill>
              </w:rPr>
            </w:pPr>
            <w:r>
              <w:rPr>
                <w:rFonts w:hint="eastAsia" w:eastAsia="宋体"/>
                <w:color w:val="000000" w:themeColor="text1"/>
                <w:sz w:val="24"/>
                <w:szCs w:val="24"/>
                <w:highlight w:val="none"/>
                <w:lang w:val="en-US" w:eastAsia="zh-CN"/>
                <w14:textFill>
                  <w14:solidFill>
                    <w14:schemeClr w14:val="tx1"/>
                  </w14:solidFill>
                </w14:textFill>
              </w:rPr>
              <w:t>/</w:t>
            </w:r>
          </w:p>
        </w:tc>
      </w:tr>
      <w:tr w14:paraId="41BA9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7" w:type="pct"/>
            <w:vMerge w:val="continue"/>
            <w:tcBorders>
              <w:tl2br w:val="nil"/>
              <w:tr2bl w:val="nil"/>
            </w:tcBorders>
            <w:tcMar>
              <w:left w:w="28" w:type="dxa"/>
              <w:right w:w="28" w:type="dxa"/>
            </w:tcMar>
            <w:vAlign w:val="center"/>
          </w:tcPr>
          <w:p w14:paraId="5511ADE5">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highlight w:val="none"/>
                <w14:textFill>
                  <w14:solidFill>
                    <w14:schemeClr w14:val="tx1"/>
                  </w14:solidFill>
                </w14:textFill>
              </w:rPr>
            </w:pPr>
          </w:p>
        </w:tc>
        <w:tc>
          <w:tcPr>
            <w:tcW w:w="867" w:type="pct"/>
            <w:vMerge w:val="continue"/>
            <w:tcBorders>
              <w:tl2br w:val="nil"/>
              <w:tr2bl w:val="nil"/>
            </w:tcBorders>
            <w:tcMar>
              <w:left w:w="28" w:type="dxa"/>
              <w:right w:w="28" w:type="dxa"/>
            </w:tcMar>
            <w:vAlign w:val="center"/>
          </w:tcPr>
          <w:p w14:paraId="78F01D09">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highlight w:val="none"/>
                <w:lang w:val="en-US" w:eastAsia="zh-CN"/>
                <w14:textFill>
                  <w14:solidFill>
                    <w14:schemeClr w14:val="tx1"/>
                  </w14:solidFill>
                </w14:textFill>
              </w:rPr>
            </w:pPr>
          </w:p>
        </w:tc>
        <w:tc>
          <w:tcPr>
            <w:tcW w:w="900" w:type="pct"/>
            <w:tcBorders>
              <w:tl2br w:val="nil"/>
              <w:tr2bl w:val="nil"/>
            </w:tcBorders>
            <w:vAlign w:val="center"/>
          </w:tcPr>
          <w:p w14:paraId="6A31EF0B">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lang w:val="en-US" w:eastAsia="zh-CN"/>
                <w14:textFill>
                  <w14:solidFill>
                    <w14:schemeClr w14:val="tx1"/>
                  </w14:solidFill>
                </w14:textFill>
              </w:rPr>
            </w:pPr>
            <w:r>
              <w:rPr>
                <w:rFonts w:hint="eastAsia"/>
                <w:sz w:val="24"/>
                <w:szCs w:val="24"/>
                <w:highlight w:val="none"/>
                <w:lang w:val="en-US" w:eastAsia="zh-CN"/>
              </w:rPr>
              <w:t>HCl</w:t>
            </w:r>
          </w:p>
        </w:tc>
        <w:tc>
          <w:tcPr>
            <w:tcW w:w="869" w:type="pct"/>
            <w:tcBorders>
              <w:tl2br w:val="nil"/>
              <w:tr2bl w:val="nil"/>
            </w:tcBorders>
            <w:vAlign w:val="center"/>
          </w:tcPr>
          <w:p w14:paraId="66BBF0A3">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0.0000</w:t>
            </w:r>
          </w:p>
        </w:tc>
        <w:tc>
          <w:tcPr>
            <w:tcW w:w="644" w:type="pct"/>
            <w:tcBorders>
              <w:tl2br w:val="nil"/>
              <w:tr2bl w:val="nil"/>
            </w:tcBorders>
            <w:vAlign w:val="center"/>
          </w:tcPr>
          <w:p w14:paraId="6DD13C8E">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0.00</w:t>
            </w:r>
          </w:p>
        </w:tc>
        <w:tc>
          <w:tcPr>
            <w:tcW w:w="647" w:type="pct"/>
            <w:tcBorders>
              <w:tl2br w:val="nil"/>
              <w:tr2bl w:val="nil"/>
            </w:tcBorders>
            <w:vAlign w:val="center"/>
          </w:tcPr>
          <w:p w14:paraId="3A3E09BB">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28</w:t>
            </w:r>
          </w:p>
        </w:tc>
        <w:tc>
          <w:tcPr>
            <w:tcW w:w="483" w:type="pct"/>
            <w:tcBorders>
              <w:tl2br w:val="nil"/>
              <w:tr2bl w:val="nil"/>
            </w:tcBorders>
            <w:vAlign w:val="center"/>
          </w:tcPr>
          <w:p w14:paraId="0E0D7ED3">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color w:val="000000" w:themeColor="text1"/>
                <w:sz w:val="24"/>
                <w:szCs w:val="24"/>
                <w:highlight w:val="none"/>
                <w:lang w:val="en-US" w:eastAsia="zh-CN"/>
                <w14:textFill>
                  <w14:solidFill>
                    <w14:schemeClr w14:val="tx1"/>
                  </w14:solidFill>
                </w14:textFill>
              </w:rPr>
            </w:pPr>
            <w:r>
              <w:rPr>
                <w:rFonts w:hint="eastAsia" w:eastAsia="宋体"/>
                <w:color w:val="000000" w:themeColor="text1"/>
                <w:sz w:val="24"/>
                <w:szCs w:val="24"/>
                <w:highlight w:val="none"/>
                <w:lang w:val="en-US" w:eastAsia="zh-CN"/>
                <w14:textFill>
                  <w14:solidFill>
                    <w14:schemeClr w14:val="tx1"/>
                  </w14:solidFill>
                </w14:textFill>
              </w:rPr>
              <w:t>/</w:t>
            </w:r>
          </w:p>
        </w:tc>
      </w:tr>
    </w:tbl>
    <w:p w14:paraId="0586B1B2">
      <w:pPr>
        <w:pStyle w:val="47"/>
        <w:ind w:firstLine="48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2</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评价工作等级判定</w:t>
      </w:r>
    </w:p>
    <w:p w14:paraId="6E841691">
      <w:pPr>
        <w:pStyle w:val="47"/>
        <w:ind w:firstLine="48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《环境影响评价技术导则 大气环境》（HJ2.2-2018）的大气评价工作分级依据见下表。</w:t>
      </w:r>
    </w:p>
    <w:p w14:paraId="24184D44">
      <w:pPr>
        <w:pStyle w:val="94"/>
        <w:bidi w:val="0"/>
        <w:ind w:left="0" w:leftChars="0" w:firstLine="0" w:firstLineChars="0"/>
      </w:pPr>
      <w:r>
        <w:rPr>
          <w:rFonts w:hint="eastAsia"/>
        </w:rPr>
        <w:t>大气评价工作分级判据</w:t>
      </w:r>
    </w:p>
    <w:tbl>
      <w:tblPr>
        <w:tblStyle w:val="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65"/>
        <w:gridCol w:w="6123"/>
      </w:tblGrid>
      <w:tr w14:paraId="3A736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1704" w:type="pct"/>
            <w:vAlign w:val="center"/>
          </w:tcPr>
          <w:p w14:paraId="56479EBB">
            <w:pPr>
              <w:pStyle w:val="55"/>
              <w:rPr>
                <w:color w:val="000000" w:themeColor="text1"/>
                <w14:textFill>
                  <w14:solidFill>
                    <w14:schemeClr w14:val="tx1"/>
                  </w14:solidFill>
                </w14:textFill>
              </w:rPr>
            </w:pPr>
            <w:r>
              <w:rPr>
                <w:rFonts w:hint="eastAsia"/>
                <w:color w:val="000000" w:themeColor="text1"/>
                <w14:textFill>
                  <w14:solidFill>
                    <w14:schemeClr w14:val="tx1"/>
                  </w14:solidFill>
                </w14:textFill>
              </w:rPr>
              <w:t>评价工作等级</w:t>
            </w:r>
          </w:p>
        </w:tc>
        <w:tc>
          <w:tcPr>
            <w:tcW w:w="3296" w:type="pct"/>
            <w:vAlign w:val="center"/>
          </w:tcPr>
          <w:p w14:paraId="1788D761">
            <w:pPr>
              <w:pStyle w:val="55"/>
              <w:rPr>
                <w:color w:val="000000" w:themeColor="text1"/>
                <w14:textFill>
                  <w14:solidFill>
                    <w14:schemeClr w14:val="tx1"/>
                  </w14:solidFill>
                </w14:textFill>
              </w:rPr>
            </w:pPr>
            <w:r>
              <w:rPr>
                <w:rFonts w:hint="eastAsia"/>
                <w:color w:val="000000" w:themeColor="text1"/>
                <w14:textFill>
                  <w14:solidFill>
                    <w14:schemeClr w14:val="tx1"/>
                  </w14:solidFill>
                </w14:textFill>
              </w:rPr>
              <w:t>评价工作分级判据</w:t>
            </w:r>
          </w:p>
        </w:tc>
      </w:tr>
      <w:tr w14:paraId="776C5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04" w:type="pct"/>
            <w:vAlign w:val="center"/>
          </w:tcPr>
          <w:p w14:paraId="753FA0B8">
            <w:pPr>
              <w:pStyle w:val="55"/>
              <w:rPr>
                <w:color w:val="000000" w:themeColor="text1"/>
                <w14:textFill>
                  <w14:solidFill>
                    <w14:schemeClr w14:val="tx1"/>
                  </w14:solidFill>
                </w14:textFill>
              </w:rPr>
            </w:pPr>
            <w:r>
              <w:rPr>
                <w:color w:val="000000" w:themeColor="text1"/>
                <w14:textFill>
                  <w14:solidFill>
                    <w14:schemeClr w14:val="tx1"/>
                  </w14:solidFill>
                </w14:textFill>
              </w:rPr>
              <w:t>一级</w:t>
            </w:r>
          </w:p>
        </w:tc>
        <w:tc>
          <w:tcPr>
            <w:tcW w:w="3296" w:type="pct"/>
            <w:vAlign w:val="center"/>
          </w:tcPr>
          <w:p w14:paraId="766E02F0">
            <w:pPr>
              <w:pStyle w:val="55"/>
              <w:rPr>
                <w:color w:val="000000" w:themeColor="text1"/>
                <w14:textFill>
                  <w14:solidFill>
                    <w14:schemeClr w14:val="tx1"/>
                  </w14:solidFill>
                </w14:textFill>
              </w:rPr>
            </w:pPr>
            <w:r>
              <w:rPr>
                <w:color w:val="000000" w:themeColor="text1"/>
                <w14:textFill>
                  <w14:solidFill>
                    <w14:schemeClr w14:val="tx1"/>
                  </w14:solidFill>
                </w14:textFill>
              </w:rPr>
              <w:t>P</w:t>
            </w:r>
            <w:r>
              <w:rPr>
                <w:color w:val="000000" w:themeColor="text1"/>
                <w:vertAlign w:val="subscript"/>
                <w14:textFill>
                  <w14:solidFill>
                    <w14:schemeClr w14:val="tx1"/>
                  </w14:solidFill>
                </w14:textFill>
              </w:rPr>
              <w:t>max</w:t>
            </w:r>
            <w:r>
              <w:rPr>
                <w:color w:val="000000" w:themeColor="text1"/>
                <w14:textFill>
                  <w14:solidFill>
                    <w14:schemeClr w14:val="tx1"/>
                  </w14:solidFill>
                </w14:textFill>
              </w:rPr>
              <w:t>≥10%</w:t>
            </w:r>
          </w:p>
        </w:tc>
      </w:tr>
      <w:tr w14:paraId="6E7BB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04" w:type="pct"/>
            <w:vAlign w:val="center"/>
          </w:tcPr>
          <w:p w14:paraId="63B37629">
            <w:pPr>
              <w:pStyle w:val="55"/>
              <w:rPr>
                <w:color w:val="000000" w:themeColor="text1"/>
                <w14:textFill>
                  <w14:solidFill>
                    <w14:schemeClr w14:val="tx1"/>
                  </w14:solidFill>
                </w14:textFill>
              </w:rPr>
            </w:pPr>
            <w:r>
              <w:rPr>
                <w:color w:val="000000" w:themeColor="text1"/>
                <w14:textFill>
                  <w14:solidFill>
                    <w14:schemeClr w14:val="tx1"/>
                  </w14:solidFill>
                </w14:textFill>
              </w:rPr>
              <w:t>二级</w:t>
            </w:r>
          </w:p>
        </w:tc>
        <w:tc>
          <w:tcPr>
            <w:tcW w:w="3296" w:type="pct"/>
            <w:vAlign w:val="center"/>
          </w:tcPr>
          <w:p w14:paraId="2F62E607">
            <w:pPr>
              <w:pStyle w:val="55"/>
              <w:rPr>
                <w:color w:val="000000" w:themeColor="text1"/>
                <w14:textFill>
                  <w14:solidFill>
                    <w14:schemeClr w14:val="tx1"/>
                  </w14:solidFill>
                </w14:textFill>
              </w:rPr>
            </w:pPr>
            <w:r>
              <w:rPr>
                <w:rFonts w:hint="eastAsia"/>
                <w:color w:val="000000" w:themeColor="text1"/>
                <w14:textFill>
                  <w14:solidFill>
                    <w14:schemeClr w14:val="tx1"/>
                  </w14:solidFill>
                </w14:textFill>
              </w:rPr>
              <w:t>1</w:t>
            </w:r>
            <w:r>
              <w:rPr>
                <w:color w:val="000000" w:themeColor="text1"/>
                <w14:textFill>
                  <w14:solidFill>
                    <w14:schemeClr w14:val="tx1"/>
                  </w14:solidFill>
                </w14:textFill>
              </w:rPr>
              <w:t>%≤P</w:t>
            </w:r>
            <w:r>
              <w:rPr>
                <w:color w:val="000000" w:themeColor="text1"/>
                <w:vertAlign w:val="subscript"/>
                <w14:textFill>
                  <w14:solidFill>
                    <w14:schemeClr w14:val="tx1"/>
                  </w14:solidFill>
                </w14:textFill>
              </w:rPr>
              <w:t>max</w:t>
            </w:r>
            <w:r>
              <w:rPr>
                <w:rFonts w:hint="eastAsia"/>
                <w:color w:val="000000" w:themeColor="text1"/>
                <w14:textFill>
                  <w14:solidFill>
                    <w14:schemeClr w14:val="tx1"/>
                  </w14:solidFill>
                </w14:textFill>
              </w:rPr>
              <w:t>&lt;</w:t>
            </w:r>
            <w:r>
              <w:rPr>
                <w:color w:val="000000" w:themeColor="text1"/>
                <w14:textFill>
                  <w14:solidFill>
                    <w14:schemeClr w14:val="tx1"/>
                  </w14:solidFill>
                </w14:textFill>
              </w:rPr>
              <w:t>10%</w:t>
            </w:r>
          </w:p>
        </w:tc>
      </w:tr>
      <w:tr w14:paraId="0EABA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04" w:type="pct"/>
            <w:vAlign w:val="center"/>
          </w:tcPr>
          <w:p w14:paraId="3FD3F87F">
            <w:pPr>
              <w:pStyle w:val="55"/>
              <w:rPr>
                <w:color w:val="000000" w:themeColor="text1"/>
                <w14:textFill>
                  <w14:solidFill>
                    <w14:schemeClr w14:val="tx1"/>
                  </w14:solidFill>
                </w14:textFill>
              </w:rPr>
            </w:pPr>
            <w:r>
              <w:rPr>
                <w:color w:val="000000" w:themeColor="text1"/>
                <w14:textFill>
                  <w14:solidFill>
                    <w14:schemeClr w14:val="tx1"/>
                  </w14:solidFill>
                </w14:textFill>
              </w:rPr>
              <w:t>三级</w:t>
            </w:r>
          </w:p>
        </w:tc>
        <w:tc>
          <w:tcPr>
            <w:tcW w:w="3296" w:type="pct"/>
            <w:vAlign w:val="center"/>
          </w:tcPr>
          <w:p w14:paraId="28245903">
            <w:pPr>
              <w:pStyle w:val="55"/>
              <w:rPr>
                <w:color w:val="000000" w:themeColor="text1"/>
                <w14:textFill>
                  <w14:solidFill>
                    <w14:schemeClr w14:val="tx1"/>
                  </w14:solidFill>
                </w14:textFill>
              </w:rPr>
            </w:pPr>
            <w:r>
              <w:rPr>
                <w:color w:val="000000" w:themeColor="text1"/>
                <w14:textFill>
                  <w14:solidFill>
                    <w14:schemeClr w14:val="tx1"/>
                  </w14:solidFill>
                </w14:textFill>
              </w:rPr>
              <w:t>P</w:t>
            </w:r>
            <w:r>
              <w:rPr>
                <w:color w:val="000000" w:themeColor="text1"/>
                <w:vertAlign w:val="subscript"/>
                <w14:textFill>
                  <w14:solidFill>
                    <w14:schemeClr w14:val="tx1"/>
                  </w14:solidFill>
                </w14:textFill>
              </w:rPr>
              <w:t>max</w:t>
            </w:r>
            <w:r>
              <w:rPr>
                <w:rFonts w:hint="eastAsia"/>
                <w:color w:val="000000" w:themeColor="text1"/>
                <w14:textFill>
                  <w14:solidFill>
                    <w14:schemeClr w14:val="tx1"/>
                  </w14:solidFill>
                </w14:textFill>
              </w:rPr>
              <w:t>&lt;</w:t>
            </w:r>
            <w:r>
              <w:rPr>
                <w:color w:val="000000" w:themeColor="text1"/>
                <w14:textFill>
                  <w14:solidFill>
                    <w14:schemeClr w14:val="tx1"/>
                  </w14:solidFill>
                </w14:textFill>
              </w:rPr>
              <w:t>1%</w:t>
            </w:r>
          </w:p>
        </w:tc>
      </w:tr>
    </w:tbl>
    <w:p w14:paraId="1A62C115">
      <w:pPr>
        <w:pStyle w:val="47"/>
        <w:ind w:firstLine="482"/>
        <w:rPr>
          <w:color w:val="000000" w:themeColor="text1"/>
          <w:u w:val="none"/>
          <w14:textFill>
            <w14:solidFill>
              <w14:schemeClr w14:val="tx1"/>
            </w14:solidFill>
          </w14:textFill>
        </w:rPr>
      </w:pPr>
      <w:r>
        <w:rPr>
          <w:rFonts w:hint="eastAsia"/>
          <w:color w:val="000000" w:themeColor="text1"/>
          <w:u w:val="none"/>
          <w14:textFill>
            <w14:solidFill>
              <w14:schemeClr w14:val="tx1"/>
            </w14:solidFill>
          </w14:textFill>
        </w:rPr>
        <w:t>根据以上预测结果可知，经估算模式预测，</w:t>
      </w:r>
      <w:r>
        <w:rPr>
          <w:rFonts w:hint="eastAsia"/>
          <w:color w:val="000000" w:themeColor="text1"/>
          <w:u w:val="none"/>
          <w:lang w:eastAsia="zh-CN"/>
          <w14:textFill>
            <w14:solidFill>
              <w14:schemeClr w14:val="tx1"/>
            </w14:solidFill>
          </w14:textFill>
        </w:rPr>
        <w:t>项目</w:t>
      </w:r>
      <w:r>
        <w:rPr>
          <w:rFonts w:hint="eastAsia"/>
          <w:color w:val="000000" w:themeColor="text1"/>
          <w:u w:val="none"/>
          <w14:textFill>
            <w14:solidFill>
              <w14:schemeClr w14:val="tx1"/>
            </w14:solidFill>
          </w14:textFill>
        </w:rPr>
        <w:t>大气污染源排放的污染物最大落地浓度值占标率中最大值P</w:t>
      </w:r>
      <w:r>
        <w:rPr>
          <w:rFonts w:hint="eastAsia"/>
          <w:color w:val="000000" w:themeColor="text1"/>
          <w:u w:val="none"/>
          <w:vertAlign w:val="subscript"/>
          <w14:textFill>
            <w14:solidFill>
              <w14:schemeClr w14:val="tx1"/>
            </w14:solidFill>
          </w14:textFill>
        </w:rPr>
        <w:t xml:space="preserve">max </w:t>
      </w:r>
      <w:r>
        <w:rPr>
          <w:rFonts w:hint="eastAsia"/>
          <w:color w:val="000000" w:themeColor="text1"/>
          <w:u w:val="none"/>
          <w14:textFill>
            <w14:solidFill>
              <w14:schemeClr w14:val="tx1"/>
            </w14:solidFill>
          </w14:textFill>
        </w:rPr>
        <w:t>=</w:t>
      </w:r>
      <w:r>
        <w:rPr>
          <w:rFonts w:hint="eastAsia"/>
          <w:color w:val="000000" w:themeColor="text1"/>
          <w:u w:val="none"/>
          <w:lang w:val="en-US" w:eastAsia="zh-CN"/>
          <w14:textFill>
            <w14:solidFill>
              <w14:schemeClr w14:val="tx1"/>
            </w14:solidFill>
          </w14:textFill>
        </w:rPr>
        <w:t>7.71</w:t>
      </w:r>
      <w:r>
        <w:rPr>
          <w:rFonts w:hint="eastAsia"/>
          <w:color w:val="000000" w:themeColor="text1"/>
          <w:u w:val="none"/>
          <w14:textFill>
            <w14:solidFill>
              <w14:schemeClr w14:val="tx1"/>
            </w14:solidFill>
          </w14:textFill>
        </w:rPr>
        <w:t>%，1</w:t>
      </w:r>
      <w:r>
        <w:rPr>
          <w:color w:val="000000" w:themeColor="text1"/>
          <w:u w:val="none"/>
          <w14:textFill>
            <w14:solidFill>
              <w14:schemeClr w14:val="tx1"/>
            </w14:solidFill>
          </w14:textFill>
        </w:rPr>
        <w:t>%≤P</w:t>
      </w:r>
      <w:r>
        <w:rPr>
          <w:color w:val="000000" w:themeColor="text1"/>
          <w:u w:val="none"/>
          <w:vertAlign w:val="subscript"/>
          <w14:textFill>
            <w14:solidFill>
              <w14:schemeClr w14:val="tx1"/>
            </w14:solidFill>
          </w14:textFill>
        </w:rPr>
        <w:t>max</w:t>
      </w:r>
      <w:r>
        <w:rPr>
          <w:rFonts w:hint="eastAsia"/>
          <w:color w:val="000000" w:themeColor="text1"/>
          <w:u w:val="none"/>
          <w14:textFill>
            <w14:solidFill>
              <w14:schemeClr w14:val="tx1"/>
            </w14:solidFill>
          </w14:textFill>
        </w:rPr>
        <w:t>&lt;</w:t>
      </w:r>
      <w:r>
        <w:rPr>
          <w:color w:val="000000" w:themeColor="text1"/>
          <w:u w:val="none"/>
          <w14:textFill>
            <w14:solidFill>
              <w14:schemeClr w14:val="tx1"/>
            </w14:solidFill>
          </w14:textFill>
        </w:rPr>
        <w:t>10%</w:t>
      </w:r>
      <w:r>
        <w:rPr>
          <w:rFonts w:hint="eastAsia"/>
          <w:color w:val="000000" w:themeColor="text1"/>
          <w:u w:val="none"/>
          <w14:textFill>
            <w14:solidFill>
              <w14:schemeClr w14:val="tx1"/>
            </w14:solidFill>
          </w14:textFill>
        </w:rPr>
        <w:t>，故</w:t>
      </w:r>
      <w:r>
        <w:rPr>
          <w:rFonts w:hint="eastAsia"/>
          <w:color w:val="000000" w:themeColor="text1"/>
          <w:u w:val="none"/>
          <w:lang w:eastAsia="zh-CN"/>
          <w14:textFill>
            <w14:solidFill>
              <w14:schemeClr w14:val="tx1"/>
            </w14:solidFill>
          </w14:textFill>
        </w:rPr>
        <w:t>项目</w:t>
      </w:r>
      <w:r>
        <w:rPr>
          <w:rFonts w:hint="eastAsia"/>
          <w:color w:val="000000" w:themeColor="text1"/>
          <w:u w:val="none"/>
          <w14:textFill>
            <w14:solidFill>
              <w14:schemeClr w14:val="tx1"/>
            </w14:solidFill>
          </w14:textFill>
        </w:rPr>
        <w:t>大气评价等级应为二级。</w:t>
      </w:r>
    </w:p>
    <w:p w14:paraId="2D284944">
      <w:pPr>
        <w:pStyle w:val="92"/>
        <w:bidi w:val="0"/>
        <w:ind w:left="0" w:leftChars="0" w:firstLine="0" w:firstLineChars="0"/>
      </w:pPr>
      <w:r>
        <w:rPr>
          <w:rFonts w:hint="eastAsia"/>
        </w:rPr>
        <w:t>地表水</w:t>
      </w:r>
      <w:r>
        <w:t>环境</w:t>
      </w:r>
      <w:r>
        <w:rPr>
          <w:rFonts w:hint="eastAsia"/>
        </w:rPr>
        <w:t>影响</w:t>
      </w:r>
      <w:r>
        <w:t>评价工作等级</w:t>
      </w:r>
    </w:p>
    <w:p w14:paraId="52F3AB9E">
      <w:pPr>
        <w:pStyle w:val="47"/>
        <w:ind w:firstLine="482"/>
        <w:rPr>
          <w:rFonts w:hint="eastAsia"/>
        </w:rPr>
      </w:pPr>
      <w:r>
        <w:rPr>
          <w:rFonts w:hint="eastAsia"/>
        </w:rPr>
        <w:t>项目</w:t>
      </w:r>
      <w:r>
        <w:rPr>
          <w:rFonts w:hint="eastAsia"/>
          <w:lang w:val="en-US" w:eastAsia="zh-CN"/>
        </w:rPr>
        <w:t>生产废水</w:t>
      </w:r>
      <w:r>
        <w:rPr>
          <w:rFonts w:hint="eastAsia"/>
        </w:rPr>
        <w:t>循环使用，不外排</w:t>
      </w:r>
      <w:r>
        <w:rPr>
          <w:rFonts w:hint="eastAsia"/>
          <w:lang w:eastAsia="zh-CN"/>
        </w:rPr>
        <w:t>；</w:t>
      </w:r>
      <w:r>
        <w:rPr>
          <w:rFonts w:hint="eastAsia"/>
        </w:rPr>
        <w:t>生活污水主要为职工盥洗废水，泼洒地面抑尘，厂区设防渗旱厕，定期清掏作农肥，不外排。</w:t>
      </w:r>
      <w:r>
        <w:rPr>
          <w:rFonts w:hint="eastAsia"/>
          <w:lang w:val="en-US" w:eastAsia="zh-CN"/>
        </w:rPr>
        <w:t>因此</w:t>
      </w:r>
      <w:r>
        <w:rPr>
          <w:rFonts w:hint="default"/>
          <w:lang w:val="en-US" w:eastAsia="zh-CN"/>
        </w:rPr>
        <w:t>项目不需要开展</w:t>
      </w:r>
      <w:r>
        <w:rPr>
          <w:rFonts w:hint="eastAsia"/>
          <w:lang w:val="en-US" w:eastAsia="zh-CN"/>
        </w:rPr>
        <w:t>地表水</w:t>
      </w:r>
      <w:r>
        <w:rPr>
          <w:rFonts w:hint="default"/>
          <w:lang w:val="en-US" w:eastAsia="zh-CN"/>
        </w:rPr>
        <w:t>环境影响评价。</w:t>
      </w:r>
    </w:p>
    <w:p w14:paraId="415111A7">
      <w:pPr>
        <w:pStyle w:val="92"/>
        <w:bidi w:val="0"/>
        <w:ind w:left="0" w:leftChars="0" w:firstLine="0" w:firstLineChars="0"/>
      </w:pPr>
      <w:r>
        <w:rPr>
          <w:rFonts w:hint="eastAsia"/>
        </w:rPr>
        <w:t>地下水</w:t>
      </w:r>
      <w:r>
        <w:t>环境</w:t>
      </w:r>
      <w:r>
        <w:rPr>
          <w:rFonts w:hint="eastAsia"/>
        </w:rPr>
        <w:t>影响</w:t>
      </w:r>
      <w:r>
        <w:t>评价工作等级</w:t>
      </w:r>
    </w:p>
    <w:p w14:paraId="1C88F590">
      <w:pPr>
        <w:pStyle w:val="47"/>
        <w:bidi w:val="0"/>
      </w:pPr>
      <w:r>
        <w:t>根据《环境影响评价技术导则</w:t>
      </w:r>
      <w:r>
        <w:rPr>
          <w:rFonts w:hint="eastAsia"/>
          <w:lang w:val="en-US" w:eastAsia="zh-CN"/>
        </w:rPr>
        <w:t xml:space="preserve"> </w:t>
      </w:r>
      <w:r>
        <w:t>地下水环境》（HJ610-2016）、《建设项目环境影响评价分类管理名录》，建设项目地下水环境影响评价工作等级的划分应依据建设项目行业分类和地下水环境敏感程度分级进行判定：</w:t>
      </w:r>
    </w:p>
    <w:p w14:paraId="3A912FE4">
      <w:pPr>
        <w:pStyle w:val="47"/>
        <w:bidi w:val="0"/>
        <w:rPr>
          <w:rFonts w:hint="default" w:ascii="Times New Roman" w:hAnsi="Times New Roman" w:eastAsia="楷体" w:cs="Times New Roman"/>
          <w:highlight w:val="none"/>
          <w:lang w:eastAsia="zh-CN"/>
        </w:rPr>
      </w:pPr>
      <w:r>
        <w:rPr>
          <w:rFonts w:hint="default" w:ascii="Times New Roman" w:hAnsi="Times New Roman" w:eastAsia="楷体" w:cs="Times New Roman"/>
          <w:highlight w:val="none"/>
        </w:rPr>
        <w:t>项目属于“U城镇基础设施及房地产”类别中“第155项中废塑料再生利用项目”，地下水环境影响评价项目类别为Ⅲ类</w:t>
      </w:r>
      <w:r>
        <w:rPr>
          <w:rFonts w:hint="default" w:ascii="Times New Roman" w:hAnsi="Times New Roman" w:eastAsia="楷体" w:cs="Times New Roman"/>
          <w:highlight w:val="none"/>
          <w:lang w:eastAsia="zh-CN"/>
        </w:rPr>
        <w:t>。</w:t>
      </w:r>
    </w:p>
    <w:p w14:paraId="2DBE1182">
      <w:pPr>
        <w:pStyle w:val="47"/>
        <w:bidi w:val="0"/>
        <w:rPr>
          <w:highlight w:val="none"/>
        </w:rPr>
      </w:pPr>
      <w:r>
        <w:rPr>
          <w:highlight w:val="none"/>
        </w:rPr>
        <w:t>根据《环境影响评价技术导则·地下水环境》（HJ610-2016），地下水环境敏感程度分级表见表2.4-</w:t>
      </w:r>
      <w:r>
        <w:rPr>
          <w:rFonts w:hint="eastAsia"/>
          <w:highlight w:val="none"/>
          <w:lang w:val="en-US" w:eastAsia="zh-CN"/>
        </w:rPr>
        <w:t>7</w:t>
      </w:r>
      <w:r>
        <w:rPr>
          <w:highlight w:val="none"/>
        </w:rPr>
        <w:t>。地下水评价工作等级分级表见表2.4-</w:t>
      </w:r>
      <w:r>
        <w:rPr>
          <w:rFonts w:hint="eastAsia"/>
          <w:highlight w:val="none"/>
          <w:lang w:val="en-US" w:eastAsia="zh-CN"/>
        </w:rPr>
        <w:t>8</w:t>
      </w:r>
      <w:r>
        <w:rPr>
          <w:highlight w:val="none"/>
        </w:rPr>
        <w:t>。</w:t>
      </w:r>
    </w:p>
    <w:p w14:paraId="3AB4B981">
      <w:pPr>
        <w:pStyle w:val="94"/>
        <w:bidi w:val="0"/>
        <w:ind w:left="0" w:leftChars="0" w:firstLine="0" w:firstLineChars="0"/>
        <w:rPr>
          <w:rFonts w:hint="eastAsia"/>
          <w:lang w:val="en-US" w:eastAsia="zh-CN"/>
        </w:rPr>
      </w:pPr>
      <w:r>
        <w:rPr>
          <w:rFonts w:hint="eastAsia"/>
          <w:lang w:val="en-US" w:eastAsia="zh-CN"/>
        </w:rPr>
        <w:t>地下水环境敏感程度分级表</w:t>
      </w:r>
    </w:p>
    <w:tbl>
      <w:tblPr>
        <w:tblStyle w:val="32"/>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50"/>
        <w:gridCol w:w="7936"/>
      </w:tblGrid>
      <w:tr w14:paraId="08157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27" w:type="pct"/>
            <w:tcBorders>
              <w:tl2br w:val="nil"/>
              <w:tr2bl w:val="nil"/>
            </w:tcBorders>
            <w:noWrap w:val="0"/>
            <w:vAlign w:val="center"/>
          </w:tcPr>
          <w:p w14:paraId="3D47DB44">
            <w:pPr>
              <w:pStyle w:val="55"/>
              <w:bidi w:val="0"/>
              <w:rPr>
                <w:sz w:val="24"/>
                <w:szCs w:val="24"/>
              </w:rPr>
            </w:pPr>
            <w:r>
              <w:rPr>
                <w:sz w:val="24"/>
                <w:szCs w:val="24"/>
              </w:rPr>
              <w:t>敏感程度</w:t>
            </w:r>
          </w:p>
        </w:tc>
        <w:tc>
          <w:tcPr>
            <w:tcW w:w="4272" w:type="pct"/>
            <w:tcBorders>
              <w:tl2br w:val="nil"/>
              <w:tr2bl w:val="nil"/>
            </w:tcBorders>
            <w:noWrap w:val="0"/>
            <w:vAlign w:val="center"/>
          </w:tcPr>
          <w:p w14:paraId="009B3E51">
            <w:pPr>
              <w:pStyle w:val="55"/>
              <w:bidi w:val="0"/>
              <w:rPr>
                <w:sz w:val="24"/>
                <w:szCs w:val="24"/>
              </w:rPr>
            </w:pPr>
            <w:r>
              <w:rPr>
                <w:sz w:val="24"/>
                <w:szCs w:val="24"/>
              </w:rPr>
              <w:t>地下水环境敏感特征</w:t>
            </w:r>
          </w:p>
        </w:tc>
      </w:tr>
      <w:tr w14:paraId="5F299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27" w:type="pct"/>
            <w:tcBorders>
              <w:tl2br w:val="nil"/>
              <w:tr2bl w:val="nil"/>
            </w:tcBorders>
            <w:noWrap w:val="0"/>
            <w:vAlign w:val="center"/>
          </w:tcPr>
          <w:p w14:paraId="75CEDC05">
            <w:pPr>
              <w:pStyle w:val="55"/>
              <w:bidi w:val="0"/>
              <w:rPr>
                <w:sz w:val="24"/>
                <w:szCs w:val="24"/>
              </w:rPr>
            </w:pPr>
            <w:r>
              <w:rPr>
                <w:sz w:val="24"/>
                <w:szCs w:val="24"/>
              </w:rPr>
              <w:t>敏感</w:t>
            </w:r>
          </w:p>
        </w:tc>
        <w:tc>
          <w:tcPr>
            <w:tcW w:w="4272" w:type="pct"/>
            <w:tcBorders>
              <w:tl2br w:val="nil"/>
              <w:tr2bl w:val="nil"/>
            </w:tcBorders>
            <w:noWrap w:val="0"/>
            <w:vAlign w:val="center"/>
          </w:tcPr>
          <w:p w14:paraId="5B219930">
            <w:pPr>
              <w:pStyle w:val="55"/>
              <w:bidi w:val="0"/>
              <w:rPr>
                <w:sz w:val="24"/>
                <w:szCs w:val="24"/>
              </w:rPr>
            </w:pPr>
            <w:r>
              <w:rPr>
                <w:sz w:val="24"/>
                <w:szCs w:val="24"/>
              </w:rPr>
              <w:t>集中式饮用水水源（包括已建成的在用、备用、应急水源，在建和规划的饮用水水源）准保护区；除集中式饮用水水源以外的国家或地方政府设定的与地下水环境相关的其他保护区，如热水、矿泉水、温泉等特殊地下水资源保护区。</w:t>
            </w:r>
          </w:p>
        </w:tc>
      </w:tr>
      <w:tr w14:paraId="03853D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27" w:type="pct"/>
            <w:tcBorders>
              <w:tl2br w:val="nil"/>
              <w:tr2bl w:val="nil"/>
            </w:tcBorders>
            <w:noWrap w:val="0"/>
            <w:vAlign w:val="center"/>
          </w:tcPr>
          <w:p w14:paraId="29F9B3BF">
            <w:pPr>
              <w:pStyle w:val="55"/>
              <w:bidi w:val="0"/>
              <w:rPr>
                <w:sz w:val="24"/>
                <w:szCs w:val="24"/>
              </w:rPr>
            </w:pPr>
            <w:r>
              <w:rPr>
                <w:sz w:val="24"/>
                <w:szCs w:val="24"/>
              </w:rPr>
              <w:t>较敏感</w:t>
            </w:r>
          </w:p>
        </w:tc>
        <w:tc>
          <w:tcPr>
            <w:tcW w:w="4272" w:type="pct"/>
            <w:tcBorders>
              <w:tl2br w:val="nil"/>
              <w:tr2bl w:val="nil"/>
            </w:tcBorders>
            <w:noWrap w:val="0"/>
            <w:vAlign w:val="center"/>
          </w:tcPr>
          <w:p w14:paraId="15CE6C4D">
            <w:pPr>
              <w:pStyle w:val="55"/>
              <w:bidi w:val="0"/>
              <w:rPr>
                <w:sz w:val="24"/>
                <w:szCs w:val="24"/>
              </w:rPr>
            </w:pPr>
            <w:r>
              <w:rPr>
                <w:sz w:val="24"/>
                <w:szCs w:val="24"/>
              </w:rPr>
              <w:t>集中式饮用水水源（包括已建成的在用、备用、应急水源，在建和规划的饮用水水源）准保护区以外的补给径流区；未划定准保护区的集中水式饮用水水源，其保护区以外的补给径流区；分散式饮用水水源地；特殊地下水资源（如矿泉水、温泉等）保护区以外的分布区等其他未列入上述敏感分级的环境敏感区。</w:t>
            </w:r>
          </w:p>
        </w:tc>
      </w:tr>
      <w:tr w14:paraId="2E30B1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27" w:type="pct"/>
            <w:tcBorders>
              <w:tl2br w:val="nil"/>
              <w:tr2bl w:val="nil"/>
            </w:tcBorders>
            <w:noWrap w:val="0"/>
            <w:vAlign w:val="center"/>
          </w:tcPr>
          <w:p w14:paraId="1CFCAA2A">
            <w:pPr>
              <w:pStyle w:val="55"/>
              <w:bidi w:val="0"/>
              <w:rPr>
                <w:sz w:val="24"/>
                <w:szCs w:val="24"/>
              </w:rPr>
            </w:pPr>
            <w:r>
              <w:rPr>
                <w:sz w:val="24"/>
                <w:szCs w:val="24"/>
              </w:rPr>
              <w:t>不敏感</w:t>
            </w:r>
          </w:p>
        </w:tc>
        <w:tc>
          <w:tcPr>
            <w:tcW w:w="4272" w:type="pct"/>
            <w:tcBorders>
              <w:tl2br w:val="nil"/>
              <w:tr2bl w:val="nil"/>
            </w:tcBorders>
            <w:noWrap w:val="0"/>
            <w:vAlign w:val="center"/>
          </w:tcPr>
          <w:p w14:paraId="01B2CC66">
            <w:pPr>
              <w:pStyle w:val="55"/>
              <w:bidi w:val="0"/>
              <w:rPr>
                <w:sz w:val="24"/>
                <w:szCs w:val="24"/>
              </w:rPr>
            </w:pPr>
            <w:r>
              <w:rPr>
                <w:sz w:val="24"/>
                <w:szCs w:val="24"/>
              </w:rPr>
              <w:t>上述地区之外的其它地区。</w:t>
            </w:r>
          </w:p>
        </w:tc>
      </w:tr>
      <w:tr w14:paraId="5A6CE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000" w:type="pct"/>
            <w:gridSpan w:val="2"/>
            <w:tcBorders>
              <w:tl2br w:val="nil"/>
              <w:tr2bl w:val="nil"/>
            </w:tcBorders>
            <w:noWrap w:val="0"/>
            <w:vAlign w:val="center"/>
          </w:tcPr>
          <w:p w14:paraId="5C178F5E">
            <w:pPr>
              <w:pStyle w:val="55"/>
              <w:bidi w:val="0"/>
              <w:jc w:val="left"/>
              <w:rPr>
                <w:sz w:val="24"/>
                <w:szCs w:val="24"/>
              </w:rPr>
            </w:pPr>
            <w:r>
              <w:rPr>
                <w:sz w:val="24"/>
                <w:szCs w:val="24"/>
              </w:rPr>
              <w:t>注：a</w:t>
            </w:r>
            <w:r>
              <w:rPr>
                <w:rFonts w:hint="eastAsia"/>
                <w:sz w:val="24"/>
                <w:szCs w:val="24"/>
              </w:rPr>
              <w:t>“</w:t>
            </w:r>
            <w:r>
              <w:rPr>
                <w:sz w:val="24"/>
                <w:szCs w:val="24"/>
              </w:rPr>
              <w:t>环境敏感区</w:t>
            </w:r>
            <w:r>
              <w:rPr>
                <w:rFonts w:hint="eastAsia"/>
                <w:sz w:val="24"/>
                <w:szCs w:val="24"/>
              </w:rPr>
              <w:t>”</w:t>
            </w:r>
            <w:r>
              <w:rPr>
                <w:sz w:val="24"/>
                <w:szCs w:val="24"/>
              </w:rPr>
              <w:t>是指《建设项目环境影响评价分类管理名录》中所界定的涉及地下水的环境敏感区。</w:t>
            </w:r>
          </w:p>
        </w:tc>
      </w:tr>
    </w:tbl>
    <w:p w14:paraId="43B98FB0">
      <w:pPr>
        <w:pStyle w:val="94"/>
        <w:bidi w:val="0"/>
        <w:ind w:left="0" w:leftChars="0" w:firstLine="0" w:firstLineChars="0"/>
        <w:rPr>
          <w:rFonts w:hint="eastAsia"/>
          <w:lang w:val="en-US" w:eastAsia="zh-CN"/>
        </w:rPr>
      </w:pPr>
      <w:r>
        <w:rPr>
          <w:rFonts w:hint="eastAsia"/>
          <w:lang w:val="en-US" w:eastAsia="zh-CN"/>
        </w:rPr>
        <w:t>评价工作等级分级表</w:t>
      </w:r>
    </w:p>
    <w:tbl>
      <w:tblPr>
        <w:tblStyle w:val="3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967"/>
        <w:gridCol w:w="1795"/>
        <w:gridCol w:w="2261"/>
        <w:gridCol w:w="2261"/>
      </w:tblGrid>
      <w:tr w14:paraId="3CB478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597" w:type="pct"/>
            <w:tcBorders>
              <w:tl2br w:val="nil"/>
              <w:tr2bl w:val="nil"/>
            </w:tcBorders>
            <w:noWrap w:val="0"/>
            <w:vAlign w:val="center"/>
          </w:tcPr>
          <w:p w14:paraId="75718A56">
            <w:pPr>
              <w:pStyle w:val="55"/>
              <w:bidi w:val="0"/>
              <w:rPr>
                <w:sz w:val="24"/>
                <w:szCs w:val="24"/>
              </w:rPr>
            </w:pPr>
            <w:r>
              <w:rPr>
                <w:sz w:val="24"/>
                <w:szCs w:val="24"/>
              </w:rPr>
              <w:t>项目类别</w:t>
            </w:r>
          </w:p>
          <w:p w14:paraId="22651611">
            <w:pPr>
              <w:pStyle w:val="55"/>
              <w:bidi w:val="0"/>
              <w:rPr>
                <w:sz w:val="24"/>
                <w:szCs w:val="24"/>
              </w:rPr>
            </w:pPr>
            <w:r>
              <w:rPr>
                <w:sz w:val="24"/>
                <w:szCs w:val="24"/>
              </w:rPr>
              <w:t>环境敏感程度</w:t>
            </w:r>
          </w:p>
        </w:tc>
        <w:tc>
          <w:tcPr>
            <w:tcW w:w="966" w:type="pct"/>
            <w:tcBorders>
              <w:tl2br w:val="nil"/>
              <w:tr2bl w:val="nil"/>
            </w:tcBorders>
            <w:noWrap w:val="0"/>
            <w:vAlign w:val="center"/>
          </w:tcPr>
          <w:p w14:paraId="36693785">
            <w:pPr>
              <w:pStyle w:val="55"/>
              <w:bidi w:val="0"/>
              <w:rPr>
                <w:sz w:val="24"/>
                <w:szCs w:val="24"/>
              </w:rPr>
            </w:pPr>
            <w:r>
              <w:rPr>
                <w:sz w:val="24"/>
                <w:szCs w:val="24"/>
              </w:rPr>
              <w:t>Ⅰ类项目</w:t>
            </w:r>
          </w:p>
        </w:tc>
        <w:tc>
          <w:tcPr>
            <w:tcW w:w="1217" w:type="pct"/>
            <w:tcBorders>
              <w:tl2br w:val="nil"/>
              <w:tr2bl w:val="nil"/>
            </w:tcBorders>
            <w:noWrap w:val="0"/>
            <w:vAlign w:val="center"/>
          </w:tcPr>
          <w:p w14:paraId="6F8BFED9">
            <w:pPr>
              <w:pStyle w:val="55"/>
              <w:bidi w:val="0"/>
              <w:rPr>
                <w:sz w:val="24"/>
                <w:szCs w:val="24"/>
              </w:rPr>
            </w:pPr>
            <w:r>
              <w:rPr>
                <w:sz w:val="24"/>
                <w:szCs w:val="24"/>
              </w:rPr>
              <w:t>Ⅱ类项目</w:t>
            </w:r>
          </w:p>
        </w:tc>
        <w:tc>
          <w:tcPr>
            <w:tcW w:w="1217" w:type="pct"/>
            <w:tcBorders>
              <w:tl2br w:val="nil"/>
              <w:tr2bl w:val="nil"/>
            </w:tcBorders>
            <w:noWrap w:val="0"/>
            <w:vAlign w:val="center"/>
          </w:tcPr>
          <w:p w14:paraId="25CC97DB">
            <w:pPr>
              <w:pStyle w:val="55"/>
              <w:bidi w:val="0"/>
              <w:rPr>
                <w:sz w:val="24"/>
                <w:szCs w:val="24"/>
              </w:rPr>
            </w:pPr>
            <w:r>
              <w:rPr>
                <w:sz w:val="24"/>
                <w:szCs w:val="24"/>
              </w:rPr>
              <w:t>Ⅲ类项目</w:t>
            </w:r>
          </w:p>
        </w:tc>
      </w:tr>
      <w:tr w14:paraId="21D0C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597" w:type="pct"/>
            <w:tcBorders>
              <w:tl2br w:val="nil"/>
              <w:tr2bl w:val="nil"/>
            </w:tcBorders>
            <w:noWrap w:val="0"/>
            <w:vAlign w:val="center"/>
          </w:tcPr>
          <w:p w14:paraId="791A3476">
            <w:pPr>
              <w:pStyle w:val="55"/>
              <w:bidi w:val="0"/>
              <w:rPr>
                <w:sz w:val="24"/>
                <w:szCs w:val="24"/>
              </w:rPr>
            </w:pPr>
            <w:r>
              <w:rPr>
                <w:sz w:val="24"/>
                <w:szCs w:val="24"/>
              </w:rPr>
              <w:t>敏感</w:t>
            </w:r>
          </w:p>
        </w:tc>
        <w:tc>
          <w:tcPr>
            <w:tcW w:w="966" w:type="pct"/>
            <w:tcBorders>
              <w:tl2br w:val="nil"/>
              <w:tr2bl w:val="nil"/>
            </w:tcBorders>
            <w:noWrap w:val="0"/>
            <w:vAlign w:val="center"/>
          </w:tcPr>
          <w:p w14:paraId="48081D3C">
            <w:pPr>
              <w:pStyle w:val="55"/>
              <w:bidi w:val="0"/>
              <w:rPr>
                <w:sz w:val="24"/>
                <w:szCs w:val="24"/>
              </w:rPr>
            </w:pPr>
            <w:r>
              <w:rPr>
                <w:sz w:val="24"/>
                <w:szCs w:val="24"/>
              </w:rPr>
              <w:t>一</w:t>
            </w:r>
          </w:p>
        </w:tc>
        <w:tc>
          <w:tcPr>
            <w:tcW w:w="1217" w:type="pct"/>
            <w:tcBorders>
              <w:tl2br w:val="nil"/>
              <w:tr2bl w:val="nil"/>
            </w:tcBorders>
            <w:noWrap w:val="0"/>
            <w:vAlign w:val="center"/>
          </w:tcPr>
          <w:p w14:paraId="2C02AD60">
            <w:pPr>
              <w:pStyle w:val="55"/>
              <w:bidi w:val="0"/>
              <w:rPr>
                <w:sz w:val="24"/>
                <w:szCs w:val="24"/>
              </w:rPr>
            </w:pPr>
            <w:r>
              <w:rPr>
                <w:sz w:val="24"/>
                <w:szCs w:val="24"/>
              </w:rPr>
              <w:t>一</w:t>
            </w:r>
          </w:p>
        </w:tc>
        <w:tc>
          <w:tcPr>
            <w:tcW w:w="1217" w:type="pct"/>
            <w:tcBorders>
              <w:tl2br w:val="nil"/>
              <w:tr2bl w:val="nil"/>
            </w:tcBorders>
            <w:noWrap w:val="0"/>
            <w:vAlign w:val="center"/>
          </w:tcPr>
          <w:p w14:paraId="0D4FF20F">
            <w:pPr>
              <w:pStyle w:val="55"/>
              <w:bidi w:val="0"/>
              <w:rPr>
                <w:sz w:val="24"/>
                <w:szCs w:val="24"/>
              </w:rPr>
            </w:pPr>
            <w:r>
              <w:rPr>
                <w:sz w:val="24"/>
                <w:szCs w:val="24"/>
              </w:rPr>
              <w:t>二</w:t>
            </w:r>
          </w:p>
        </w:tc>
      </w:tr>
      <w:tr w14:paraId="20A9E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597" w:type="pct"/>
            <w:tcBorders>
              <w:tl2br w:val="nil"/>
              <w:tr2bl w:val="nil"/>
            </w:tcBorders>
            <w:noWrap w:val="0"/>
            <w:vAlign w:val="center"/>
          </w:tcPr>
          <w:p w14:paraId="6481E45E">
            <w:pPr>
              <w:pStyle w:val="55"/>
              <w:bidi w:val="0"/>
              <w:rPr>
                <w:sz w:val="24"/>
                <w:szCs w:val="24"/>
              </w:rPr>
            </w:pPr>
            <w:r>
              <w:rPr>
                <w:sz w:val="24"/>
                <w:szCs w:val="24"/>
              </w:rPr>
              <w:t>较敏感</w:t>
            </w:r>
          </w:p>
        </w:tc>
        <w:tc>
          <w:tcPr>
            <w:tcW w:w="966" w:type="pct"/>
            <w:tcBorders>
              <w:tl2br w:val="nil"/>
              <w:tr2bl w:val="nil"/>
            </w:tcBorders>
            <w:noWrap w:val="0"/>
            <w:vAlign w:val="center"/>
          </w:tcPr>
          <w:p w14:paraId="2B5452A7">
            <w:pPr>
              <w:pStyle w:val="55"/>
              <w:bidi w:val="0"/>
              <w:rPr>
                <w:sz w:val="24"/>
                <w:szCs w:val="24"/>
              </w:rPr>
            </w:pPr>
            <w:r>
              <w:rPr>
                <w:sz w:val="24"/>
                <w:szCs w:val="24"/>
              </w:rPr>
              <w:t>一</w:t>
            </w:r>
          </w:p>
        </w:tc>
        <w:tc>
          <w:tcPr>
            <w:tcW w:w="1217" w:type="pct"/>
            <w:tcBorders>
              <w:tl2br w:val="nil"/>
              <w:tr2bl w:val="nil"/>
            </w:tcBorders>
            <w:noWrap w:val="0"/>
            <w:vAlign w:val="center"/>
          </w:tcPr>
          <w:p w14:paraId="45270413">
            <w:pPr>
              <w:pStyle w:val="55"/>
              <w:bidi w:val="0"/>
              <w:rPr>
                <w:sz w:val="24"/>
                <w:szCs w:val="24"/>
              </w:rPr>
            </w:pPr>
            <w:r>
              <w:rPr>
                <w:sz w:val="24"/>
                <w:szCs w:val="24"/>
              </w:rPr>
              <w:t>二</w:t>
            </w:r>
          </w:p>
        </w:tc>
        <w:tc>
          <w:tcPr>
            <w:tcW w:w="1217" w:type="pct"/>
            <w:tcBorders>
              <w:tl2br w:val="nil"/>
              <w:tr2bl w:val="nil"/>
            </w:tcBorders>
            <w:noWrap w:val="0"/>
            <w:vAlign w:val="center"/>
          </w:tcPr>
          <w:p w14:paraId="3F6F30BB">
            <w:pPr>
              <w:pStyle w:val="55"/>
              <w:bidi w:val="0"/>
              <w:rPr>
                <w:sz w:val="24"/>
                <w:szCs w:val="24"/>
              </w:rPr>
            </w:pPr>
            <w:r>
              <w:rPr>
                <w:sz w:val="24"/>
                <w:szCs w:val="24"/>
              </w:rPr>
              <w:t>三</w:t>
            </w:r>
          </w:p>
        </w:tc>
      </w:tr>
      <w:tr w14:paraId="79DFE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597" w:type="pct"/>
            <w:tcBorders>
              <w:tl2br w:val="nil"/>
              <w:tr2bl w:val="nil"/>
            </w:tcBorders>
            <w:noWrap w:val="0"/>
            <w:vAlign w:val="center"/>
          </w:tcPr>
          <w:p w14:paraId="1B25D6EE">
            <w:pPr>
              <w:pStyle w:val="55"/>
              <w:bidi w:val="0"/>
              <w:rPr>
                <w:sz w:val="24"/>
                <w:szCs w:val="24"/>
              </w:rPr>
            </w:pPr>
            <w:r>
              <w:rPr>
                <w:sz w:val="24"/>
                <w:szCs w:val="24"/>
              </w:rPr>
              <w:t>不敏感</w:t>
            </w:r>
          </w:p>
        </w:tc>
        <w:tc>
          <w:tcPr>
            <w:tcW w:w="966" w:type="pct"/>
            <w:tcBorders>
              <w:tl2br w:val="nil"/>
              <w:tr2bl w:val="nil"/>
            </w:tcBorders>
            <w:noWrap w:val="0"/>
            <w:vAlign w:val="center"/>
          </w:tcPr>
          <w:p w14:paraId="4C118F25">
            <w:pPr>
              <w:pStyle w:val="55"/>
              <w:bidi w:val="0"/>
              <w:rPr>
                <w:sz w:val="24"/>
                <w:szCs w:val="24"/>
              </w:rPr>
            </w:pPr>
            <w:r>
              <w:rPr>
                <w:sz w:val="24"/>
                <w:szCs w:val="24"/>
              </w:rPr>
              <w:t>二</w:t>
            </w:r>
          </w:p>
        </w:tc>
        <w:tc>
          <w:tcPr>
            <w:tcW w:w="1217" w:type="pct"/>
            <w:tcBorders>
              <w:tl2br w:val="nil"/>
              <w:tr2bl w:val="nil"/>
            </w:tcBorders>
            <w:noWrap w:val="0"/>
            <w:vAlign w:val="center"/>
          </w:tcPr>
          <w:p w14:paraId="32000B0A">
            <w:pPr>
              <w:pStyle w:val="55"/>
              <w:bidi w:val="0"/>
              <w:rPr>
                <w:sz w:val="24"/>
                <w:szCs w:val="24"/>
              </w:rPr>
            </w:pPr>
            <w:r>
              <w:rPr>
                <w:sz w:val="24"/>
                <w:szCs w:val="24"/>
              </w:rPr>
              <w:t>三</w:t>
            </w:r>
          </w:p>
        </w:tc>
        <w:tc>
          <w:tcPr>
            <w:tcW w:w="1217" w:type="pct"/>
            <w:tcBorders>
              <w:tl2br w:val="nil"/>
              <w:tr2bl w:val="nil"/>
            </w:tcBorders>
            <w:noWrap w:val="0"/>
            <w:vAlign w:val="center"/>
          </w:tcPr>
          <w:p w14:paraId="35C7B7A6">
            <w:pPr>
              <w:pStyle w:val="55"/>
              <w:bidi w:val="0"/>
              <w:rPr>
                <w:sz w:val="24"/>
                <w:szCs w:val="24"/>
              </w:rPr>
            </w:pPr>
            <w:r>
              <w:rPr>
                <w:sz w:val="24"/>
                <w:szCs w:val="24"/>
              </w:rPr>
              <w:t>三</w:t>
            </w:r>
          </w:p>
        </w:tc>
      </w:tr>
    </w:tbl>
    <w:p w14:paraId="1197BB6E">
      <w:pPr>
        <w:pStyle w:val="47"/>
        <w:bidi w:val="0"/>
        <w:rPr>
          <w:rFonts w:hint="default" w:ascii="Times New Roman" w:hAnsi="Times New Roman" w:eastAsia="楷体" w:cs="Times New Roman"/>
        </w:rPr>
      </w:pPr>
      <w:r>
        <w:rPr>
          <w:rFonts w:hint="default" w:ascii="Times New Roman" w:hAnsi="Times New Roman" w:eastAsia="楷体" w:cs="Times New Roman"/>
        </w:rPr>
        <w:t>项目属于Ⅲ类项目，</w:t>
      </w:r>
      <w:r>
        <w:rPr>
          <w:rFonts w:hint="eastAsia" w:ascii="Times New Roman" w:hAnsi="Times New Roman" w:cs="Times New Roman"/>
          <w:lang w:val="en-US" w:eastAsia="zh-CN"/>
        </w:rPr>
        <w:t>评价范围内村庄居民饮用水源为地下水，存在分散式饮用水井，故项目地下水环境敏感程度属于较敏感</w:t>
      </w:r>
      <w:r>
        <w:rPr>
          <w:rFonts w:hint="eastAsia" w:ascii="Times New Roman" w:hAnsi="Times New Roman" w:cs="Times New Roman"/>
          <w:lang w:eastAsia="zh-CN"/>
        </w:rPr>
        <w:t>，</w:t>
      </w:r>
      <w:r>
        <w:rPr>
          <w:rFonts w:hint="default" w:ascii="Times New Roman" w:hAnsi="Times New Roman" w:eastAsia="楷体" w:cs="Times New Roman"/>
        </w:rPr>
        <w:t>地下水评价等级为三级。</w:t>
      </w:r>
    </w:p>
    <w:p w14:paraId="3E69BC9D">
      <w:pPr>
        <w:pStyle w:val="92"/>
        <w:bidi w:val="0"/>
        <w:ind w:left="0" w:leftChars="0" w:firstLine="0" w:firstLineChars="0"/>
      </w:pPr>
      <w:r>
        <w:rPr>
          <w:rFonts w:hint="eastAsia"/>
        </w:rPr>
        <w:t>声</w:t>
      </w:r>
      <w:r>
        <w:t>环境</w:t>
      </w:r>
      <w:r>
        <w:rPr>
          <w:rFonts w:hint="eastAsia"/>
        </w:rPr>
        <w:t>影响</w:t>
      </w:r>
      <w:r>
        <w:t>评价工作等级</w:t>
      </w:r>
    </w:p>
    <w:p w14:paraId="33FC9170">
      <w:pPr>
        <w:pStyle w:val="47"/>
        <w:bidi w:val="0"/>
        <w:rPr>
          <w:rFonts w:hint="default"/>
          <w:lang w:val="en-US" w:eastAsia="zh-CN"/>
        </w:rPr>
      </w:pPr>
      <w:r>
        <w:rPr>
          <w:rFonts w:hint="default"/>
          <w:lang w:eastAsia="zh-CN"/>
        </w:rPr>
        <w:t>（</w:t>
      </w:r>
      <w:r>
        <w:rPr>
          <w:rFonts w:hint="default"/>
          <w:lang w:val="en-US" w:eastAsia="zh-CN"/>
        </w:rPr>
        <w:t>1</w:t>
      </w:r>
      <w:r>
        <w:rPr>
          <w:rFonts w:hint="default"/>
          <w:lang w:eastAsia="zh-CN"/>
        </w:rPr>
        <w:t>）</w:t>
      </w:r>
      <w:r>
        <w:rPr>
          <w:rFonts w:hint="default"/>
          <w:lang w:val="en-US" w:eastAsia="zh-CN"/>
        </w:rPr>
        <w:t>评价等级</w:t>
      </w:r>
    </w:p>
    <w:p w14:paraId="2DD04160">
      <w:pPr>
        <w:pStyle w:val="47"/>
        <w:bidi w:val="0"/>
        <w:rPr>
          <w:rFonts w:hint="default"/>
        </w:rPr>
      </w:pPr>
      <w:r>
        <w:rPr>
          <w:rFonts w:hint="default"/>
        </w:rPr>
        <w:t>按照《环境影响评价技术导则</w:t>
      </w:r>
      <w:r>
        <w:rPr>
          <w:rFonts w:hint="eastAsia"/>
          <w:lang w:val="en-US" w:eastAsia="zh-CN"/>
        </w:rPr>
        <w:t xml:space="preserve"> </w:t>
      </w:r>
      <w:r>
        <w:rPr>
          <w:rFonts w:hint="default"/>
        </w:rPr>
        <w:t>声环境》</w:t>
      </w:r>
      <w:r>
        <w:rPr>
          <w:rFonts w:hint="default"/>
          <w:lang w:eastAsia="zh-CN"/>
        </w:rPr>
        <w:t>（</w:t>
      </w:r>
      <w:r>
        <w:rPr>
          <w:rFonts w:hint="default"/>
        </w:rPr>
        <w:t>HJ2.4-2021</w:t>
      </w:r>
      <w:r>
        <w:rPr>
          <w:rFonts w:hint="default"/>
          <w:lang w:eastAsia="zh-CN"/>
        </w:rPr>
        <w:t>）</w:t>
      </w:r>
      <w:r>
        <w:rPr>
          <w:rFonts w:hint="default"/>
        </w:rPr>
        <w:t>的</w:t>
      </w:r>
      <w:r>
        <w:rPr>
          <w:rFonts w:hint="eastAsia"/>
          <w:lang w:val="en-US" w:eastAsia="zh-CN"/>
        </w:rPr>
        <w:t>5.1</w:t>
      </w:r>
      <w:r>
        <w:rPr>
          <w:rFonts w:hint="default"/>
        </w:rPr>
        <w:t>规定：</w:t>
      </w:r>
      <w:r>
        <w:rPr>
          <w:rFonts w:hint="eastAsia"/>
          <w:lang w:eastAsia="zh-CN"/>
        </w:rPr>
        <w:t>“</w:t>
      </w:r>
      <w:r>
        <w:rPr>
          <w:rFonts w:hint="default"/>
        </w:rPr>
        <w:t>建设项目所处的声环境功能区为GB3096规定的1类、2类地区，或建设项目建设前后评价范围内声环境保护目标噪声级增量达3dB（A）～5dB（A），或受噪声影响人口数量增加较多时，按二级评价。</w:t>
      </w:r>
      <w:r>
        <w:rPr>
          <w:rFonts w:hint="eastAsia"/>
          <w:lang w:eastAsia="zh-CN"/>
        </w:rPr>
        <w:t>”</w:t>
      </w:r>
    </w:p>
    <w:p w14:paraId="2BB500F0">
      <w:pPr>
        <w:pStyle w:val="47"/>
        <w:bidi w:val="0"/>
        <w:rPr>
          <w:rFonts w:hint="default"/>
        </w:rPr>
      </w:pPr>
      <w:r>
        <w:rPr>
          <w:rFonts w:hint="default"/>
        </w:rPr>
        <w:t>根据项目所处的声环境功能区、建设前后噪声级的增加量以及受影响人口变化情况等，按《环境影响评价技术导则声环境》</w:t>
      </w:r>
      <w:r>
        <w:rPr>
          <w:rFonts w:hint="default"/>
          <w:lang w:eastAsia="zh-CN"/>
        </w:rPr>
        <w:t>（</w:t>
      </w:r>
      <w:r>
        <w:rPr>
          <w:rFonts w:hint="default"/>
        </w:rPr>
        <w:t>HJ2.4-2021</w:t>
      </w:r>
      <w:r>
        <w:rPr>
          <w:rFonts w:hint="default"/>
          <w:lang w:eastAsia="zh-CN"/>
        </w:rPr>
        <w:t>）</w:t>
      </w:r>
      <w:r>
        <w:rPr>
          <w:rFonts w:hint="default"/>
        </w:rPr>
        <w:t>中评价工作分级的规定，确定本次声环境影响评价工作等级为</w:t>
      </w:r>
      <w:r>
        <w:rPr>
          <w:rFonts w:hint="eastAsia"/>
          <w:lang w:val="en-US" w:eastAsia="zh-CN"/>
        </w:rPr>
        <w:t>二</w:t>
      </w:r>
      <w:r>
        <w:rPr>
          <w:rFonts w:hint="default"/>
        </w:rPr>
        <w:t>级，见</w:t>
      </w:r>
      <w:r>
        <w:rPr>
          <w:rFonts w:hint="eastAsia"/>
          <w:lang w:val="en-US" w:eastAsia="zh-CN"/>
        </w:rPr>
        <w:t>下</w:t>
      </w:r>
      <w:r>
        <w:rPr>
          <w:rFonts w:hint="default"/>
        </w:rPr>
        <w:t>表。</w:t>
      </w:r>
    </w:p>
    <w:p w14:paraId="621AF6F5">
      <w:pPr>
        <w:pStyle w:val="94"/>
        <w:bidi w:val="0"/>
        <w:ind w:left="0" w:leftChars="0" w:firstLine="0" w:firstLineChars="0"/>
        <w:rPr>
          <w:rFonts w:hint="default"/>
        </w:rPr>
      </w:pPr>
      <w:r>
        <w:rPr>
          <w:rFonts w:hint="default"/>
        </w:rPr>
        <w:t>声环境评价工作等级判定表</w:t>
      </w:r>
    </w:p>
    <w:tbl>
      <w:tblPr>
        <w:tblStyle w:val="3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89"/>
        <w:gridCol w:w="1478"/>
        <w:gridCol w:w="3670"/>
        <w:gridCol w:w="2344"/>
      </w:tblGrid>
      <w:tr w14:paraId="01C191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549" w:type="dxa"/>
            <w:tcBorders>
              <w:tl2br w:val="nil"/>
              <w:tr2bl w:val="nil"/>
            </w:tcBorders>
            <w:vAlign w:val="top"/>
          </w:tcPr>
          <w:p w14:paraId="15248A45">
            <w:pPr>
              <w:pStyle w:val="55"/>
              <w:bidi w:val="0"/>
              <w:rPr>
                <w:rFonts w:hint="default"/>
                <w:lang w:val="en-US" w:eastAsia="zh-CN"/>
              </w:rPr>
            </w:pPr>
            <w:r>
              <w:rPr>
                <w:rFonts w:hint="default"/>
                <w:lang w:val="en-US" w:eastAsia="zh-CN"/>
              </w:rPr>
              <w:t>判别依据</w:t>
            </w:r>
          </w:p>
        </w:tc>
        <w:tc>
          <w:tcPr>
            <w:tcW w:w="1441" w:type="dxa"/>
            <w:tcBorders>
              <w:tl2br w:val="nil"/>
              <w:tr2bl w:val="nil"/>
            </w:tcBorders>
            <w:vAlign w:val="top"/>
          </w:tcPr>
          <w:p w14:paraId="2D1ADF65">
            <w:pPr>
              <w:pStyle w:val="55"/>
              <w:bidi w:val="0"/>
              <w:rPr>
                <w:rFonts w:hint="default"/>
                <w:lang w:val="en-US" w:eastAsia="zh-CN"/>
              </w:rPr>
            </w:pPr>
            <w:r>
              <w:rPr>
                <w:rFonts w:hint="default"/>
                <w:lang w:val="en-US" w:eastAsia="zh-CN"/>
              </w:rPr>
              <w:t>声环境</w:t>
            </w:r>
          </w:p>
          <w:p w14:paraId="4AD2099C">
            <w:pPr>
              <w:pStyle w:val="55"/>
              <w:bidi w:val="0"/>
              <w:rPr>
                <w:rFonts w:hint="default"/>
                <w:lang w:val="en-US" w:eastAsia="zh-CN"/>
              </w:rPr>
            </w:pPr>
            <w:r>
              <w:rPr>
                <w:rFonts w:hint="default"/>
                <w:lang w:val="en-US" w:eastAsia="zh-CN"/>
              </w:rPr>
              <w:t>功能区类别</w:t>
            </w:r>
          </w:p>
        </w:tc>
        <w:tc>
          <w:tcPr>
            <w:tcW w:w="3575" w:type="dxa"/>
            <w:tcBorders>
              <w:tl2br w:val="nil"/>
              <w:tr2bl w:val="nil"/>
            </w:tcBorders>
            <w:vAlign w:val="top"/>
          </w:tcPr>
          <w:p w14:paraId="0140266B">
            <w:pPr>
              <w:pStyle w:val="55"/>
              <w:bidi w:val="0"/>
              <w:rPr>
                <w:rFonts w:hint="default"/>
                <w:lang w:val="en-US" w:eastAsia="zh-CN"/>
              </w:rPr>
            </w:pPr>
            <w:r>
              <w:rPr>
                <w:rFonts w:hint="default"/>
                <w:lang w:val="en-US" w:eastAsia="zh-CN"/>
              </w:rPr>
              <w:t>项目建设前后评价范围内敏感目标</w:t>
            </w:r>
          </w:p>
          <w:p w14:paraId="38A5A64D">
            <w:pPr>
              <w:pStyle w:val="55"/>
              <w:bidi w:val="0"/>
              <w:rPr>
                <w:rFonts w:hint="default"/>
                <w:lang w:val="en-US" w:eastAsia="zh-CN"/>
              </w:rPr>
            </w:pPr>
            <w:r>
              <w:rPr>
                <w:rFonts w:hint="default"/>
                <w:lang w:val="en-US" w:eastAsia="zh-CN"/>
              </w:rPr>
              <w:t>噪声级的增加量</w:t>
            </w:r>
          </w:p>
        </w:tc>
        <w:tc>
          <w:tcPr>
            <w:tcW w:w="2283" w:type="dxa"/>
            <w:tcBorders>
              <w:tl2br w:val="nil"/>
              <w:tr2bl w:val="nil"/>
            </w:tcBorders>
            <w:vAlign w:val="top"/>
          </w:tcPr>
          <w:p w14:paraId="56B6075E">
            <w:pPr>
              <w:pStyle w:val="55"/>
              <w:bidi w:val="0"/>
              <w:rPr>
                <w:rFonts w:hint="default"/>
                <w:lang w:val="en-US" w:eastAsia="zh-CN"/>
              </w:rPr>
            </w:pPr>
            <w:r>
              <w:rPr>
                <w:rFonts w:hint="default"/>
                <w:lang w:val="en-US" w:eastAsia="zh-CN"/>
              </w:rPr>
              <w:t>受噪声影响范围内人</w:t>
            </w:r>
          </w:p>
          <w:p w14:paraId="13ABBF76">
            <w:pPr>
              <w:pStyle w:val="55"/>
              <w:bidi w:val="0"/>
              <w:rPr>
                <w:rFonts w:hint="default"/>
                <w:lang w:val="en-US" w:eastAsia="zh-CN"/>
              </w:rPr>
            </w:pPr>
            <w:r>
              <w:rPr>
                <w:rFonts w:hint="default"/>
                <w:lang w:val="en-US" w:eastAsia="zh-CN"/>
              </w:rPr>
              <w:t>口数量</w:t>
            </w:r>
          </w:p>
        </w:tc>
      </w:tr>
      <w:tr w14:paraId="5CD3A7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549" w:type="dxa"/>
            <w:tcBorders>
              <w:tl2br w:val="nil"/>
              <w:tr2bl w:val="nil"/>
            </w:tcBorders>
            <w:vAlign w:val="top"/>
          </w:tcPr>
          <w:p w14:paraId="0D1B3B34">
            <w:pPr>
              <w:pStyle w:val="55"/>
              <w:bidi w:val="0"/>
              <w:rPr>
                <w:rFonts w:hint="default"/>
                <w:lang w:val="en-US" w:eastAsia="zh-CN"/>
              </w:rPr>
            </w:pPr>
            <w:r>
              <w:rPr>
                <w:rFonts w:hint="eastAsia"/>
                <w:lang w:val="en-US" w:eastAsia="zh-CN"/>
              </w:rPr>
              <w:t>二</w:t>
            </w:r>
            <w:r>
              <w:rPr>
                <w:rFonts w:hint="default"/>
                <w:lang w:val="en-US" w:eastAsia="zh-CN"/>
              </w:rPr>
              <w:t>级评价</w:t>
            </w:r>
          </w:p>
        </w:tc>
        <w:tc>
          <w:tcPr>
            <w:tcW w:w="1441" w:type="dxa"/>
            <w:tcBorders>
              <w:tl2br w:val="nil"/>
              <w:tr2bl w:val="nil"/>
            </w:tcBorders>
            <w:vAlign w:val="top"/>
          </w:tcPr>
          <w:p w14:paraId="2043C017">
            <w:pPr>
              <w:pStyle w:val="55"/>
              <w:bidi w:val="0"/>
              <w:rPr>
                <w:rFonts w:hint="default"/>
                <w:lang w:val="en-US" w:eastAsia="zh-CN"/>
              </w:rPr>
            </w:pPr>
            <w:r>
              <w:rPr>
                <w:rFonts w:hint="eastAsia"/>
                <w:lang w:val="en-US" w:eastAsia="zh-CN"/>
              </w:rPr>
              <w:t>1</w:t>
            </w:r>
            <w:r>
              <w:rPr>
                <w:rFonts w:hint="default"/>
                <w:lang w:val="en-US" w:eastAsia="zh-CN"/>
              </w:rPr>
              <w:t>类、</w:t>
            </w:r>
            <w:r>
              <w:rPr>
                <w:rFonts w:hint="eastAsia"/>
                <w:lang w:val="en-US" w:eastAsia="zh-CN"/>
              </w:rPr>
              <w:t>2</w:t>
            </w:r>
            <w:r>
              <w:rPr>
                <w:rFonts w:hint="default"/>
                <w:lang w:val="en-US" w:eastAsia="zh-CN"/>
              </w:rPr>
              <w:t>类区</w:t>
            </w:r>
          </w:p>
        </w:tc>
        <w:tc>
          <w:tcPr>
            <w:tcW w:w="3575" w:type="dxa"/>
            <w:tcBorders>
              <w:tl2br w:val="nil"/>
              <w:tr2bl w:val="nil"/>
            </w:tcBorders>
            <w:vAlign w:val="top"/>
          </w:tcPr>
          <w:p w14:paraId="0815B394">
            <w:pPr>
              <w:pStyle w:val="55"/>
              <w:bidi w:val="0"/>
              <w:rPr>
                <w:rFonts w:hint="default"/>
                <w:lang w:val="en-US" w:eastAsia="zh-CN"/>
              </w:rPr>
            </w:pPr>
            <w:r>
              <w:rPr>
                <w:rFonts w:hint="default"/>
              </w:rPr>
              <w:t>3dB（A）～5dB（A）</w:t>
            </w:r>
          </w:p>
        </w:tc>
        <w:tc>
          <w:tcPr>
            <w:tcW w:w="2283" w:type="dxa"/>
            <w:tcBorders>
              <w:tl2br w:val="nil"/>
              <w:tr2bl w:val="nil"/>
            </w:tcBorders>
            <w:vAlign w:val="top"/>
          </w:tcPr>
          <w:p w14:paraId="6171F0A4">
            <w:pPr>
              <w:pStyle w:val="55"/>
              <w:bidi w:val="0"/>
              <w:rPr>
                <w:rFonts w:hint="default"/>
                <w:lang w:val="en-US" w:eastAsia="zh-CN"/>
              </w:rPr>
            </w:pPr>
            <w:r>
              <w:rPr>
                <w:rFonts w:hint="default"/>
                <w:lang w:val="en-US" w:eastAsia="zh-CN"/>
              </w:rPr>
              <w:t>变化不大</w:t>
            </w:r>
          </w:p>
        </w:tc>
      </w:tr>
      <w:tr w14:paraId="3D6E6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549" w:type="dxa"/>
            <w:tcBorders>
              <w:tl2br w:val="nil"/>
              <w:tr2bl w:val="nil"/>
            </w:tcBorders>
            <w:vAlign w:val="top"/>
          </w:tcPr>
          <w:p w14:paraId="4DB28D64">
            <w:pPr>
              <w:pStyle w:val="55"/>
              <w:bidi w:val="0"/>
              <w:rPr>
                <w:rFonts w:hint="default"/>
                <w:lang w:val="en-US" w:eastAsia="zh-CN"/>
              </w:rPr>
            </w:pPr>
            <w:r>
              <w:rPr>
                <w:rFonts w:hint="default"/>
                <w:lang w:val="en-US" w:eastAsia="zh-CN"/>
              </w:rPr>
              <w:t>本项目</w:t>
            </w:r>
          </w:p>
        </w:tc>
        <w:tc>
          <w:tcPr>
            <w:tcW w:w="1441" w:type="dxa"/>
            <w:tcBorders>
              <w:tl2br w:val="nil"/>
              <w:tr2bl w:val="nil"/>
            </w:tcBorders>
            <w:vAlign w:val="top"/>
          </w:tcPr>
          <w:p w14:paraId="14C18F90">
            <w:pPr>
              <w:pStyle w:val="55"/>
              <w:bidi w:val="0"/>
              <w:rPr>
                <w:rFonts w:hint="default"/>
                <w:lang w:val="en-US" w:eastAsia="zh-CN"/>
              </w:rPr>
            </w:pPr>
            <w:r>
              <w:rPr>
                <w:rFonts w:hint="eastAsia"/>
                <w:lang w:val="en-US" w:eastAsia="zh-CN"/>
              </w:rPr>
              <w:t>2</w:t>
            </w:r>
            <w:r>
              <w:rPr>
                <w:rFonts w:hint="default"/>
                <w:lang w:val="en-US" w:eastAsia="zh-CN"/>
              </w:rPr>
              <w:t>类区</w:t>
            </w:r>
          </w:p>
        </w:tc>
        <w:tc>
          <w:tcPr>
            <w:tcW w:w="3575" w:type="dxa"/>
            <w:tcBorders>
              <w:tl2br w:val="nil"/>
              <w:tr2bl w:val="nil"/>
            </w:tcBorders>
            <w:vAlign w:val="top"/>
          </w:tcPr>
          <w:p w14:paraId="004A5D27">
            <w:pPr>
              <w:pStyle w:val="55"/>
              <w:bidi w:val="0"/>
              <w:rPr>
                <w:rFonts w:hint="default"/>
                <w:lang w:val="en-US" w:eastAsia="zh-CN"/>
              </w:rPr>
            </w:pPr>
            <w:r>
              <w:rPr>
                <w:rFonts w:hint="default"/>
              </w:rPr>
              <w:t>3dB（A）～5dB（A）</w:t>
            </w:r>
          </w:p>
        </w:tc>
        <w:tc>
          <w:tcPr>
            <w:tcW w:w="2283" w:type="dxa"/>
            <w:tcBorders>
              <w:tl2br w:val="nil"/>
              <w:tr2bl w:val="nil"/>
            </w:tcBorders>
            <w:vAlign w:val="top"/>
          </w:tcPr>
          <w:p w14:paraId="21038B82">
            <w:pPr>
              <w:pStyle w:val="55"/>
              <w:bidi w:val="0"/>
              <w:rPr>
                <w:rFonts w:hint="default"/>
                <w:lang w:val="en-US" w:eastAsia="zh-CN"/>
              </w:rPr>
            </w:pPr>
            <w:r>
              <w:rPr>
                <w:rFonts w:hint="default"/>
                <w:lang w:val="en-US" w:eastAsia="zh-CN"/>
              </w:rPr>
              <w:t>变化不大</w:t>
            </w:r>
          </w:p>
        </w:tc>
      </w:tr>
      <w:tr w14:paraId="626AF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549" w:type="dxa"/>
            <w:tcBorders>
              <w:tl2br w:val="nil"/>
              <w:tr2bl w:val="nil"/>
            </w:tcBorders>
            <w:vAlign w:val="top"/>
          </w:tcPr>
          <w:p w14:paraId="32866D93">
            <w:pPr>
              <w:pStyle w:val="55"/>
              <w:bidi w:val="0"/>
              <w:rPr>
                <w:rFonts w:hint="default"/>
                <w:lang w:val="en-US" w:eastAsia="zh-CN"/>
              </w:rPr>
            </w:pPr>
            <w:r>
              <w:rPr>
                <w:rFonts w:hint="default"/>
                <w:lang w:val="en-US" w:eastAsia="zh-CN"/>
              </w:rPr>
              <w:t>评价等级</w:t>
            </w:r>
          </w:p>
        </w:tc>
        <w:tc>
          <w:tcPr>
            <w:tcW w:w="7299" w:type="dxa"/>
            <w:gridSpan w:val="3"/>
            <w:tcBorders>
              <w:tl2br w:val="nil"/>
              <w:tr2bl w:val="nil"/>
            </w:tcBorders>
            <w:vAlign w:val="top"/>
          </w:tcPr>
          <w:p w14:paraId="65348A80">
            <w:pPr>
              <w:pStyle w:val="55"/>
              <w:bidi w:val="0"/>
              <w:rPr>
                <w:rFonts w:hint="default"/>
                <w:lang w:val="en-US" w:eastAsia="zh-CN"/>
              </w:rPr>
            </w:pPr>
            <w:r>
              <w:rPr>
                <w:rFonts w:hint="eastAsia"/>
                <w:lang w:val="en-US" w:eastAsia="zh-CN"/>
              </w:rPr>
              <w:t>二</w:t>
            </w:r>
            <w:r>
              <w:rPr>
                <w:rFonts w:hint="default"/>
                <w:lang w:val="en-US" w:eastAsia="zh-CN"/>
              </w:rPr>
              <w:t>级评价</w:t>
            </w:r>
          </w:p>
        </w:tc>
      </w:tr>
    </w:tbl>
    <w:p w14:paraId="20B5D0C1">
      <w:pPr>
        <w:pStyle w:val="92"/>
        <w:bidi w:val="0"/>
        <w:ind w:left="0" w:leftChars="0" w:firstLine="0" w:firstLineChars="0"/>
      </w:pPr>
      <w:r>
        <w:rPr>
          <w:rFonts w:hint="eastAsia"/>
        </w:rPr>
        <w:t>土壤环境影响</w:t>
      </w:r>
      <w:r>
        <w:t>评价工作等级</w:t>
      </w:r>
    </w:p>
    <w:p w14:paraId="14E9DE8D">
      <w:pPr>
        <w:pStyle w:val="47"/>
        <w:bidi w:val="0"/>
        <w:rPr>
          <w:rFonts w:hint="default"/>
          <w:highlight w:val="none"/>
          <w:lang w:val="en-US" w:eastAsia="zh-CN"/>
        </w:rPr>
      </w:pPr>
      <w:r>
        <w:rPr>
          <w:rFonts w:hint="default"/>
          <w:highlight w:val="none"/>
          <w:lang w:val="en-US" w:eastAsia="zh-CN"/>
        </w:rPr>
        <w:t>对照《环境影响评价技术导则</w:t>
      </w:r>
      <w:r>
        <w:rPr>
          <w:rFonts w:hint="eastAsia"/>
          <w:highlight w:val="none"/>
          <w:lang w:val="en-US" w:eastAsia="zh-CN"/>
        </w:rPr>
        <w:t xml:space="preserve"> </w:t>
      </w:r>
      <w:r>
        <w:rPr>
          <w:rFonts w:hint="default"/>
          <w:highlight w:val="none"/>
          <w:lang w:val="en-US" w:eastAsia="zh-CN"/>
        </w:rPr>
        <w:t>土壤环境（试行）》附录A，项目为环境和公共设施管理业中的废旧资源加工、再生利用，为Ⅲ类建设项目。</w:t>
      </w:r>
    </w:p>
    <w:p w14:paraId="6F58823E">
      <w:pPr>
        <w:pStyle w:val="94"/>
        <w:bidi w:val="0"/>
        <w:ind w:left="0" w:leftChars="0" w:firstLine="0" w:firstLineChars="0"/>
        <w:rPr>
          <w:rFonts w:hint="default"/>
          <w:lang w:val="en-US" w:eastAsia="zh-CN"/>
        </w:rPr>
      </w:pPr>
      <w:r>
        <w:rPr>
          <w:rFonts w:hint="default"/>
          <w:lang w:val="en-US" w:eastAsia="zh-CN"/>
        </w:rPr>
        <w:t>土壤环境影响评价分类</w:t>
      </w:r>
    </w:p>
    <w:tbl>
      <w:tblPr>
        <w:tblStyle w:val="3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44"/>
        <w:gridCol w:w="850"/>
        <w:gridCol w:w="3434"/>
        <w:gridCol w:w="3183"/>
        <w:gridCol w:w="676"/>
      </w:tblGrid>
      <w:tr w14:paraId="198C0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144" w:type="dxa"/>
            <w:vMerge w:val="restart"/>
            <w:noWrap w:val="0"/>
            <w:vAlign w:val="center"/>
          </w:tcPr>
          <w:p w14:paraId="7B1577FA">
            <w:pPr>
              <w:pStyle w:val="55"/>
              <w:bidi w:val="0"/>
              <w:rPr>
                <w:rFonts w:hint="default"/>
                <w:highlight w:val="none"/>
                <w:lang w:val="en-US" w:eastAsia="zh-CN"/>
              </w:rPr>
            </w:pPr>
            <w:r>
              <w:rPr>
                <w:rFonts w:hint="default"/>
                <w:highlight w:val="none"/>
                <w:lang w:val="en-US" w:eastAsia="zh-CN"/>
              </w:rPr>
              <w:t>行业类别</w:t>
            </w:r>
          </w:p>
        </w:tc>
        <w:tc>
          <w:tcPr>
            <w:tcW w:w="8143" w:type="dxa"/>
            <w:gridSpan w:val="4"/>
            <w:noWrap w:val="0"/>
            <w:vAlign w:val="center"/>
          </w:tcPr>
          <w:p w14:paraId="44EE06BC">
            <w:pPr>
              <w:pStyle w:val="55"/>
              <w:bidi w:val="0"/>
              <w:rPr>
                <w:rFonts w:hint="default"/>
                <w:highlight w:val="none"/>
                <w:lang w:val="en-US" w:eastAsia="zh-CN"/>
              </w:rPr>
            </w:pPr>
            <w:r>
              <w:rPr>
                <w:rFonts w:hint="default"/>
                <w:highlight w:val="none"/>
                <w:lang w:val="en-US" w:eastAsia="zh-CN"/>
              </w:rPr>
              <w:t>环境影响评价类别</w:t>
            </w:r>
          </w:p>
        </w:tc>
      </w:tr>
      <w:tr w14:paraId="6EB85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144" w:type="dxa"/>
            <w:vMerge w:val="continue"/>
            <w:noWrap w:val="0"/>
            <w:vAlign w:val="center"/>
          </w:tcPr>
          <w:p w14:paraId="4644F452">
            <w:pPr>
              <w:pStyle w:val="55"/>
              <w:bidi w:val="0"/>
              <w:rPr>
                <w:rFonts w:hint="default"/>
                <w:highlight w:val="none"/>
                <w:lang w:val="en-US" w:eastAsia="zh-CN"/>
              </w:rPr>
            </w:pPr>
          </w:p>
        </w:tc>
        <w:tc>
          <w:tcPr>
            <w:tcW w:w="850" w:type="dxa"/>
            <w:noWrap w:val="0"/>
            <w:vAlign w:val="center"/>
          </w:tcPr>
          <w:p w14:paraId="3345E997">
            <w:pPr>
              <w:pStyle w:val="55"/>
              <w:bidi w:val="0"/>
              <w:rPr>
                <w:rFonts w:hint="default"/>
                <w:highlight w:val="none"/>
                <w:lang w:val="en-US" w:eastAsia="zh-CN"/>
              </w:rPr>
            </w:pPr>
            <w:r>
              <w:rPr>
                <w:rFonts w:hint="default"/>
                <w:highlight w:val="none"/>
                <w:lang w:val="en-US" w:eastAsia="zh-CN"/>
              </w:rPr>
              <w:t>I</w:t>
            </w:r>
          </w:p>
        </w:tc>
        <w:tc>
          <w:tcPr>
            <w:tcW w:w="3434" w:type="dxa"/>
            <w:noWrap w:val="0"/>
            <w:vAlign w:val="center"/>
          </w:tcPr>
          <w:p w14:paraId="7244A096">
            <w:pPr>
              <w:pStyle w:val="55"/>
              <w:bidi w:val="0"/>
              <w:rPr>
                <w:rFonts w:hint="default"/>
                <w:highlight w:val="none"/>
                <w:lang w:val="en-US" w:eastAsia="zh-CN"/>
              </w:rPr>
            </w:pPr>
            <w:r>
              <w:rPr>
                <w:rFonts w:hint="default"/>
                <w:highlight w:val="none"/>
                <w:lang w:val="en-US" w:eastAsia="zh-CN"/>
              </w:rPr>
              <w:t>II</w:t>
            </w:r>
          </w:p>
        </w:tc>
        <w:tc>
          <w:tcPr>
            <w:tcW w:w="3183" w:type="dxa"/>
            <w:noWrap w:val="0"/>
            <w:vAlign w:val="center"/>
          </w:tcPr>
          <w:p w14:paraId="00498013">
            <w:pPr>
              <w:pStyle w:val="55"/>
              <w:bidi w:val="0"/>
              <w:rPr>
                <w:rFonts w:hint="default"/>
                <w:highlight w:val="none"/>
                <w:lang w:val="en-US" w:eastAsia="zh-CN"/>
              </w:rPr>
            </w:pPr>
            <w:r>
              <w:rPr>
                <w:rFonts w:hint="default"/>
                <w:highlight w:val="none"/>
                <w:lang w:val="en-US" w:eastAsia="zh-CN"/>
              </w:rPr>
              <w:t>Ⅲ</w:t>
            </w:r>
          </w:p>
        </w:tc>
        <w:tc>
          <w:tcPr>
            <w:tcW w:w="676" w:type="dxa"/>
            <w:noWrap w:val="0"/>
            <w:vAlign w:val="center"/>
          </w:tcPr>
          <w:p w14:paraId="20E87384">
            <w:pPr>
              <w:pStyle w:val="55"/>
              <w:bidi w:val="0"/>
              <w:rPr>
                <w:rFonts w:hint="default"/>
                <w:highlight w:val="none"/>
                <w:lang w:val="en-US" w:eastAsia="zh-CN"/>
              </w:rPr>
            </w:pPr>
            <w:r>
              <w:rPr>
                <w:rFonts w:hint="default"/>
                <w:highlight w:val="none"/>
                <w:lang w:val="en-US" w:eastAsia="zh-CN"/>
              </w:rPr>
              <w:t>IV</w:t>
            </w:r>
          </w:p>
        </w:tc>
      </w:tr>
      <w:tr w14:paraId="521BD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144" w:type="dxa"/>
            <w:noWrap w:val="0"/>
            <w:vAlign w:val="center"/>
          </w:tcPr>
          <w:p w14:paraId="2911EA54">
            <w:pPr>
              <w:pStyle w:val="55"/>
              <w:bidi w:val="0"/>
              <w:rPr>
                <w:rFonts w:hint="default"/>
                <w:highlight w:val="none"/>
                <w:lang w:val="en-US" w:eastAsia="zh-CN"/>
              </w:rPr>
            </w:pPr>
            <w:r>
              <w:rPr>
                <w:rFonts w:hint="default"/>
                <w:highlight w:val="none"/>
                <w:lang w:val="en-US" w:eastAsia="zh-CN"/>
              </w:rPr>
              <w:t>环境和公共设施管理业</w:t>
            </w:r>
          </w:p>
        </w:tc>
        <w:tc>
          <w:tcPr>
            <w:tcW w:w="850" w:type="dxa"/>
            <w:noWrap w:val="0"/>
            <w:vAlign w:val="center"/>
          </w:tcPr>
          <w:p w14:paraId="25C3FA2F">
            <w:pPr>
              <w:pStyle w:val="55"/>
              <w:bidi w:val="0"/>
              <w:rPr>
                <w:rFonts w:hint="default"/>
                <w:highlight w:val="none"/>
                <w:lang w:val="en-US" w:eastAsia="zh-CN"/>
              </w:rPr>
            </w:pPr>
            <w:r>
              <w:rPr>
                <w:rFonts w:hint="default"/>
                <w:highlight w:val="none"/>
                <w:lang w:val="en-US" w:eastAsia="zh-CN"/>
              </w:rPr>
              <w:t>危险废物利用及处置</w:t>
            </w:r>
          </w:p>
        </w:tc>
        <w:tc>
          <w:tcPr>
            <w:tcW w:w="3434" w:type="dxa"/>
            <w:noWrap w:val="0"/>
            <w:vAlign w:val="center"/>
          </w:tcPr>
          <w:p w14:paraId="6353CCE3">
            <w:pPr>
              <w:pStyle w:val="55"/>
              <w:bidi w:val="0"/>
              <w:rPr>
                <w:rFonts w:hint="default"/>
                <w:highlight w:val="none"/>
                <w:lang w:val="en-US" w:eastAsia="zh-CN"/>
              </w:rPr>
            </w:pPr>
            <w:r>
              <w:rPr>
                <w:rFonts w:hint="default"/>
                <w:highlight w:val="none"/>
                <w:lang w:val="en-US" w:eastAsia="zh-CN"/>
              </w:rPr>
              <w:t>采取填埋和焚烧方式的一般工业固体废物处置及综合利用；城镇生活垃圾（不含餐厨废弃物）集中处置</w:t>
            </w:r>
          </w:p>
        </w:tc>
        <w:tc>
          <w:tcPr>
            <w:tcW w:w="3183" w:type="dxa"/>
            <w:noWrap w:val="0"/>
            <w:vAlign w:val="center"/>
          </w:tcPr>
          <w:p w14:paraId="0D10187D">
            <w:pPr>
              <w:pStyle w:val="55"/>
              <w:bidi w:val="0"/>
              <w:rPr>
                <w:rFonts w:hint="default"/>
                <w:highlight w:val="none"/>
                <w:lang w:val="en-US" w:eastAsia="zh-CN"/>
              </w:rPr>
            </w:pPr>
            <w:r>
              <w:rPr>
                <w:rFonts w:hint="default"/>
                <w:highlight w:val="none"/>
                <w:lang w:val="en-US" w:eastAsia="zh-CN"/>
              </w:rPr>
              <w:t>一般工业固体废物处置及综合利用（除采取填埋和焚烧方式以外的）；废旧资源加工、再生利用</w:t>
            </w:r>
          </w:p>
        </w:tc>
        <w:tc>
          <w:tcPr>
            <w:tcW w:w="676" w:type="dxa"/>
            <w:noWrap w:val="0"/>
            <w:vAlign w:val="center"/>
          </w:tcPr>
          <w:p w14:paraId="1E6DADDC">
            <w:pPr>
              <w:pStyle w:val="55"/>
              <w:bidi w:val="0"/>
              <w:rPr>
                <w:rFonts w:hint="default"/>
                <w:highlight w:val="none"/>
                <w:lang w:val="en-US" w:eastAsia="zh-CN"/>
              </w:rPr>
            </w:pPr>
            <w:r>
              <w:rPr>
                <w:rFonts w:hint="default"/>
                <w:highlight w:val="none"/>
                <w:lang w:val="en-US" w:eastAsia="zh-CN"/>
              </w:rPr>
              <w:t>其它</w:t>
            </w:r>
          </w:p>
        </w:tc>
      </w:tr>
    </w:tbl>
    <w:p w14:paraId="1A227149">
      <w:pPr>
        <w:pStyle w:val="47"/>
        <w:bidi w:val="0"/>
        <w:rPr>
          <w:rFonts w:hint="default"/>
          <w:highlight w:val="none"/>
          <w:lang w:val="en-US" w:eastAsia="zh-CN"/>
        </w:rPr>
      </w:pPr>
      <w:r>
        <w:rPr>
          <w:rFonts w:hint="default"/>
          <w:highlight w:val="none"/>
          <w:lang w:val="en-US" w:eastAsia="zh-CN"/>
        </w:rPr>
        <w:t>项目占地面积为</w:t>
      </w:r>
      <w:r>
        <w:rPr>
          <w:rFonts w:hint="eastAsia"/>
          <w:highlight w:val="none"/>
          <w:lang w:val="en-US" w:eastAsia="zh-CN"/>
        </w:rPr>
        <w:t>9000</w:t>
      </w:r>
      <w:r>
        <w:rPr>
          <w:rFonts w:hint="default"/>
          <w:highlight w:val="none"/>
          <w:lang w:val="en-US" w:eastAsia="zh-CN"/>
        </w:rPr>
        <w:t>m</w:t>
      </w:r>
      <w:r>
        <w:rPr>
          <w:rFonts w:hint="default"/>
          <w:highlight w:val="none"/>
          <w:vertAlign w:val="superscript"/>
          <w:lang w:val="en-US" w:eastAsia="zh-CN"/>
        </w:rPr>
        <w:t>2</w:t>
      </w:r>
      <w:r>
        <w:rPr>
          <w:rFonts w:hint="default"/>
          <w:highlight w:val="none"/>
          <w:lang w:val="en-US" w:eastAsia="zh-CN"/>
        </w:rPr>
        <w:t>&lt;5hm</w:t>
      </w:r>
      <w:r>
        <w:rPr>
          <w:rFonts w:hint="default"/>
          <w:highlight w:val="none"/>
          <w:vertAlign w:val="superscript"/>
          <w:lang w:val="en-US" w:eastAsia="zh-CN"/>
        </w:rPr>
        <w:t>2</w:t>
      </w:r>
      <w:r>
        <w:rPr>
          <w:rFonts w:hint="default"/>
          <w:highlight w:val="none"/>
          <w:lang w:val="en-US" w:eastAsia="zh-CN"/>
        </w:rPr>
        <w:t>，占地规模为小型。项目位于</w:t>
      </w:r>
      <w:r>
        <w:rPr>
          <w:rFonts w:hint="eastAsia"/>
          <w:lang w:val="en-US" w:eastAsia="zh-CN"/>
        </w:rPr>
        <w:t>顺平县塑料产业循环经济园区（北区）</w:t>
      </w:r>
      <w:r>
        <w:rPr>
          <w:rFonts w:hint="default"/>
          <w:highlight w:val="none"/>
          <w:lang w:val="en-US" w:eastAsia="zh-CN"/>
        </w:rPr>
        <w:t>，占地属于工业用地，</w:t>
      </w:r>
      <w:r>
        <w:rPr>
          <w:rFonts w:hint="eastAsia"/>
        </w:rPr>
        <w:t>东侧为顺平县职业技术教育中心（</w:t>
      </w:r>
      <w:r>
        <w:rPr>
          <w:rFonts w:hint="eastAsia"/>
          <w:lang w:eastAsia="zh-CN"/>
        </w:rPr>
        <w:t>现已闲置</w:t>
      </w:r>
      <w:r>
        <w:rPr>
          <w:rFonts w:hint="eastAsia"/>
        </w:rPr>
        <w:t>），南侧隔顺高线为塑料机械厂，西侧为农田，</w:t>
      </w:r>
      <w:r>
        <w:rPr>
          <w:rFonts w:hint="default"/>
          <w:highlight w:val="none"/>
          <w:lang w:val="en-US" w:eastAsia="zh-CN"/>
        </w:rPr>
        <w:t>土壤环境敏感程度为敏感。</w:t>
      </w:r>
    </w:p>
    <w:p w14:paraId="42BEF272">
      <w:pPr>
        <w:pStyle w:val="94"/>
        <w:bidi w:val="0"/>
        <w:ind w:left="0" w:leftChars="0" w:firstLine="0" w:firstLineChars="0"/>
        <w:rPr>
          <w:rFonts w:hint="default"/>
          <w:lang w:val="en-US" w:eastAsia="zh-CN"/>
        </w:rPr>
      </w:pPr>
      <w:r>
        <w:rPr>
          <w:rFonts w:hint="default"/>
          <w:lang w:val="en-US" w:eastAsia="zh-CN"/>
        </w:rPr>
        <w:t>污染影响型评价工作等级划分表</w:t>
      </w:r>
    </w:p>
    <w:tbl>
      <w:tblPr>
        <w:tblStyle w:val="32"/>
        <w:tblW w:w="4998"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667"/>
        <w:gridCol w:w="734"/>
        <w:gridCol w:w="734"/>
        <w:gridCol w:w="735"/>
        <w:gridCol w:w="735"/>
        <w:gridCol w:w="735"/>
        <w:gridCol w:w="737"/>
        <w:gridCol w:w="735"/>
        <w:gridCol w:w="735"/>
        <w:gridCol w:w="737"/>
      </w:tblGrid>
      <w:tr w14:paraId="4F26DC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1439" w:type="pct"/>
            <w:vMerge w:val="restart"/>
            <w:noWrap w:val="0"/>
            <w:vAlign w:val="center"/>
          </w:tcPr>
          <w:p w14:paraId="1722B66E">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敏感程度</w:t>
            </w:r>
          </w:p>
          <w:p w14:paraId="29E59846">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评价工作等级</w:t>
            </w:r>
          </w:p>
          <w:p w14:paraId="0D455F8E">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占地规模</w:t>
            </w:r>
          </w:p>
        </w:tc>
        <w:tc>
          <w:tcPr>
            <w:tcW w:w="1185" w:type="pct"/>
            <w:gridSpan w:val="3"/>
            <w:noWrap w:val="0"/>
            <w:vAlign w:val="center"/>
          </w:tcPr>
          <w:p w14:paraId="0701F899">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I类</w:t>
            </w:r>
          </w:p>
        </w:tc>
        <w:tc>
          <w:tcPr>
            <w:tcW w:w="1187" w:type="pct"/>
            <w:gridSpan w:val="3"/>
            <w:noWrap w:val="0"/>
            <w:vAlign w:val="center"/>
          </w:tcPr>
          <w:p w14:paraId="6BBB5A2F">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Ⅱ类</w:t>
            </w:r>
          </w:p>
        </w:tc>
        <w:tc>
          <w:tcPr>
            <w:tcW w:w="1187" w:type="pct"/>
            <w:gridSpan w:val="3"/>
            <w:noWrap w:val="0"/>
            <w:vAlign w:val="center"/>
          </w:tcPr>
          <w:p w14:paraId="2CEF683E">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Ⅲ类</w:t>
            </w:r>
          </w:p>
        </w:tc>
      </w:tr>
      <w:tr w14:paraId="70D97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1439" w:type="pct"/>
            <w:vMerge w:val="continue"/>
            <w:noWrap w:val="0"/>
            <w:vAlign w:val="center"/>
          </w:tcPr>
          <w:p w14:paraId="294DC097">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p>
        </w:tc>
        <w:tc>
          <w:tcPr>
            <w:tcW w:w="394" w:type="pct"/>
            <w:noWrap w:val="0"/>
            <w:vAlign w:val="center"/>
          </w:tcPr>
          <w:p w14:paraId="05D2DFD8">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大</w:t>
            </w:r>
          </w:p>
        </w:tc>
        <w:tc>
          <w:tcPr>
            <w:tcW w:w="394" w:type="pct"/>
            <w:noWrap w:val="0"/>
            <w:vAlign w:val="center"/>
          </w:tcPr>
          <w:p w14:paraId="1ABD8D7B">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中</w:t>
            </w:r>
          </w:p>
        </w:tc>
        <w:tc>
          <w:tcPr>
            <w:tcW w:w="395" w:type="pct"/>
            <w:noWrap w:val="0"/>
            <w:vAlign w:val="center"/>
          </w:tcPr>
          <w:p w14:paraId="636940FC">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小</w:t>
            </w:r>
          </w:p>
        </w:tc>
        <w:tc>
          <w:tcPr>
            <w:tcW w:w="395" w:type="pct"/>
            <w:noWrap w:val="0"/>
            <w:vAlign w:val="center"/>
          </w:tcPr>
          <w:p w14:paraId="64BD10DC">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大</w:t>
            </w:r>
          </w:p>
        </w:tc>
        <w:tc>
          <w:tcPr>
            <w:tcW w:w="395" w:type="pct"/>
            <w:noWrap w:val="0"/>
            <w:vAlign w:val="center"/>
          </w:tcPr>
          <w:p w14:paraId="142AD4F7">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中</w:t>
            </w:r>
          </w:p>
        </w:tc>
        <w:tc>
          <w:tcPr>
            <w:tcW w:w="397" w:type="pct"/>
            <w:noWrap w:val="0"/>
            <w:vAlign w:val="center"/>
          </w:tcPr>
          <w:p w14:paraId="552760D4">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小</w:t>
            </w:r>
          </w:p>
        </w:tc>
        <w:tc>
          <w:tcPr>
            <w:tcW w:w="395" w:type="pct"/>
            <w:noWrap w:val="0"/>
            <w:vAlign w:val="center"/>
          </w:tcPr>
          <w:p w14:paraId="2A84D70B">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大</w:t>
            </w:r>
          </w:p>
        </w:tc>
        <w:tc>
          <w:tcPr>
            <w:tcW w:w="395" w:type="pct"/>
            <w:noWrap w:val="0"/>
            <w:vAlign w:val="center"/>
          </w:tcPr>
          <w:p w14:paraId="4BBA8DA7">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中</w:t>
            </w:r>
          </w:p>
        </w:tc>
        <w:tc>
          <w:tcPr>
            <w:tcW w:w="397" w:type="pct"/>
            <w:noWrap w:val="0"/>
            <w:vAlign w:val="center"/>
          </w:tcPr>
          <w:p w14:paraId="28A265E3">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小</w:t>
            </w:r>
          </w:p>
        </w:tc>
      </w:tr>
      <w:tr w14:paraId="7BCA6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1439" w:type="pct"/>
            <w:noWrap w:val="0"/>
            <w:vAlign w:val="center"/>
          </w:tcPr>
          <w:p w14:paraId="6942DCCE">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敏感</w:t>
            </w:r>
          </w:p>
        </w:tc>
        <w:tc>
          <w:tcPr>
            <w:tcW w:w="394" w:type="pct"/>
            <w:noWrap w:val="0"/>
            <w:vAlign w:val="center"/>
          </w:tcPr>
          <w:p w14:paraId="494967C6">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一级</w:t>
            </w:r>
          </w:p>
        </w:tc>
        <w:tc>
          <w:tcPr>
            <w:tcW w:w="394" w:type="pct"/>
            <w:noWrap w:val="0"/>
            <w:vAlign w:val="center"/>
          </w:tcPr>
          <w:p w14:paraId="27AAA700">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一级</w:t>
            </w:r>
          </w:p>
        </w:tc>
        <w:tc>
          <w:tcPr>
            <w:tcW w:w="395" w:type="pct"/>
            <w:noWrap w:val="0"/>
            <w:vAlign w:val="center"/>
          </w:tcPr>
          <w:p w14:paraId="72C2ED80">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一级</w:t>
            </w:r>
          </w:p>
        </w:tc>
        <w:tc>
          <w:tcPr>
            <w:tcW w:w="395" w:type="pct"/>
            <w:noWrap w:val="0"/>
            <w:vAlign w:val="center"/>
          </w:tcPr>
          <w:p w14:paraId="0E20A89A">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二级</w:t>
            </w:r>
          </w:p>
        </w:tc>
        <w:tc>
          <w:tcPr>
            <w:tcW w:w="395" w:type="pct"/>
            <w:noWrap w:val="0"/>
            <w:vAlign w:val="center"/>
          </w:tcPr>
          <w:p w14:paraId="576D3C2A">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二级</w:t>
            </w:r>
          </w:p>
        </w:tc>
        <w:tc>
          <w:tcPr>
            <w:tcW w:w="397" w:type="pct"/>
            <w:noWrap w:val="0"/>
            <w:vAlign w:val="center"/>
          </w:tcPr>
          <w:p w14:paraId="5C9341AD">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二级</w:t>
            </w:r>
          </w:p>
        </w:tc>
        <w:tc>
          <w:tcPr>
            <w:tcW w:w="395" w:type="pct"/>
            <w:noWrap w:val="0"/>
            <w:vAlign w:val="center"/>
          </w:tcPr>
          <w:p w14:paraId="4C28A7E4">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三级</w:t>
            </w:r>
          </w:p>
        </w:tc>
        <w:tc>
          <w:tcPr>
            <w:tcW w:w="395" w:type="pct"/>
            <w:noWrap w:val="0"/>
            <w:vAlign w:val="center"/>
          </w:tcPr>
          <w:p w14:paraId="2A648769">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三级</w:t>
            </w:r>
          </w:p>
        </w:tc>
        <w:tc>
          <w:tcPr>
            <w:tcW w:w="397" w:type="pct"/>
            <w:noWrap w:val="0"/>
            <w:vAlign w:val="center"/>
          </w:tcPr>
          <w:p w14:paraId="08C6F646">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三级</w:t>
            </w:r>
          </w:p>
        </w:tc>
      </w:tr>
      <w:tr w14:paraId="6339CA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1439" w:type="pct"/>
            <w:noWrap w:val="0"/>
            <w:vAlign w:val="center"/>
          </w:tcPr>
          <w:p w14:paraId="06720E6C">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较敏感</w:t>
            </w:r>
          </w:p>
        </w:tc>
        <w:tc>
          <w:tcPr>
            <w:tcW w:w="394" w:type="pct"/>
            <w:noWrap w:val="0"/>
            <w:vAlign w:val="center"/>
          </w:tcPr>
          <w:p w14:paraId="4824762E">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一级</w:t>
            </w:r>
          </w:p>
        </w:tc>
        <w:tc>
          <w:tcPr>
            <w:tcW w:w="394" w:type="pct"/>
            <w:noWrap w:val="0"/>
            <w:vAlign w:val="center"/>
          </w:tcPr>
          <w:p w14:paraId="4876A6F7">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一级</w:t>
            </w:r>
          </w:p>
        </w:tc>
        <w:tc>
          <w:tcPr>
            <w:tcW w:w="395" w:type="pct"/>
            <w:noWrap w:val="0"/>
            <w:vAlign w:val="center"/>
          </w:tcPr>
          <w:p w14:paraId="1DACF463">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二级</w:t>
            </w:r>
          </w:p>
        </w:tc>
        <w:tc>
          <w:tcPr>
            <w:tcW w:w="395" w:type="pct"/>
            <w:noWrap w:val="0"/>
            <w:vAlign w:val="center"/>
          </w:tcPr>
          <w:p w14:paraId="364E7CE6">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二级</w:t>
            </w:r>
          </w:p>
        </w:tc>
        <w:tc>
          <w:tcPr>
            <w:tcW w:w="395" w:type="pct"/>
            <w:noWrap w:val="0"/>
            <w:vAlign w:val="center"/>
          </w:tcPr>
          <w:p w14:paraId="5FDD586B">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二级</w:t>
            </w:r>
          </w:p>
        </w:tc>
        <w:tc>
          <w:tcPr>
            <w:tcW w:w="397" w:type="pct"/>
            <w:noWrap w:val="0"/>
            <w:vAlign w:val="center"/>
          </w:tcPr>
          <w:p w14:paraId="365C5DED">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三级</w:t>
            </w:r>
          </w:p>
        </w:tc>
        <w:tc>
          <w:tcPr>
            <w:tcW w:w="395" w:type="pct"/>
            <w:noWrap w:val="0"/>
            <w:vAlign w:val="center"/>
          </w:tcPr>
          <w:p w14:paraId="20730663">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三级</w:t>
            </w:r>
          </w:p>
        </w:tc>
        <w:tc>
          <w:tcPr>
            <w:tcW w:w="395" w:type="pct"/>
            <w:noWrap w:val="0"/>
            <w:vAlign w:val="center"/>
          </w:tcPr>
          <w:p w14:paraId="62DF835C">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三级</w:t>
            </w:r>
          </w:p>
        </w:tc>
        <w:tc>
          <w:tcPr>
            <w:tcW w:w="397" w:type="pct"/>
            <w:noWrap w:val="0"/>
            <w:vAlign w:val="center"/>
          </w:tcPr>
          <w:p w14:paraId="67A7FA3C">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eastAsia"/>
                <w:highlight w:val="none"/>
                <w:lang w:val="en-US" w:eastAsia="zh-CN"/>
              </w:rPr>
              <w:t>--</w:t>
            </w:r>
          </w:p>
        </w:tc>
      </w:tr>
      <w:tr w14:paraId="0E4D4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1439" w:type="pct"/>
            <w:noWrap w:val="0"/>
            <w:vAlign w:val="center"/>
          </w:tcPr>
          <w:p w14:paraId="5F58DF08">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不敏感</w:t>
            </w:r>
          </w:p>
        </w:tc>
        <w:tc>
          <w:tcPr>
            <w:tcW w:w="394" w:type="pct"/>
            <w:noWrap w:val="0"/>
            <w:vAlign w:val="center"/>
          </w:tcPr>
          <w:p w14:paraId="5A3EECDB">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一级</w:t>
            </w:r>
          </w:p>
        </w:tc>
        <w:tc>
          <w:tcPr>
            <w:tcW w:w="394" w:type="pct"/>
            <w:noWrap w:val="0"/>
            <w:vAlign w:val="center"/>
          </w:tcPr>
          <w:p w14:paraId="7598E812">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二级</w:t>
            </w:r>
          </w:p>
        </w:tc>
        <w:tc>
          <w:tcPr>
            <w:tcW w:w="395" w:type="pct"/>
            <w:noWrap w:val="0"/>
            <w:vAlign w:val="center"/>
          </w:tcPr>
          <w:p w14:paraId="59BE4286">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二级</w:t>
            </w:r>
          </w:p>
        </w:tc>
        <w:tc>
          <w:tcPr>
            <w:tcW w:w="395" w:type="pct"/>
            <w:noWrap w:val="0"/>
            <w:vAlign w:val="center"/>
          </w:tcPr>
          <w:p w14:paraId="27E7BB23">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二级</w:t>
            </w:r>
          </w:p>
        </w:tc>
        <w:tc>
          <w:tcPr>
            <w:tcW w:w="395" w:type="pct"/>
            <w:noWrap w:val="0"/>
            <w:vAlign w:val="center"/>
          </w:tcPr>
          <w:p w14:paraId="45A104B1">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三级</w:t>
            </w:r>
          </w:p>
        </w:tc>
        <w:tc>
          <w:tcPr>
            <w:tcW w:w="397" w:type="pct"/>
            <w:noWrap w:val="0"/>
            <w:vAlign w:val="center"/>
          </w:tcPr>
          <w:p w14:paraId="754D2AC1">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三级</w:t>
            </w:r>
          </w:p>
        </w:tc>
        <w:tc>
          <w:tcPr>
            <w:tcW w:w="395" w:type="pct"/>
            <w:noWrap w:val="0"/>
            <w:vAlign w:val="center"/>
          </w:tcPr>
          <w:p w14:paraId="30AFDF0A">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default"/>
                <w:highlight w:val="none"/>
                <w:lang w:val="en-US" w:eastAsia="zh-CN"/>
              </w:rPr>
              <w:t>三级</w:t>
            </w:r>
          </w:p>
        </w:tc>
        <w:tc>
          <w:tcPr>
            <w:tcW w:w="395" w:type="pct"/>
            <w:noWrap w:val="0"/>
            <w:vAlign w:val="center"/>
          </w:tcPr>
          <w:p w14:paraId="76E108A5">
            <w:pPr>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eastAsia"/>
                <w:highlight w:val="none"/>
                <w:lang w:val="en-US" w:eastAsia="zh-CN"/>
              </w:rPr>
              <w:t>--</w:t>
            </w:r>
          </w:p>
        </w:tc>
        <w:tc>
          <w:tcPr>
            <w:tcW w:w="397" w:type="pct"/>
            <w:noWrap w:val="0"/>
            <w:vAlign w:val="center"/>
          </w:tcPr>
          <w:p w14:paraId="2BAAB18D">
            <w:pPr>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default"/>
                <w:highlight w:val="none"/>
                <w:lang w:val="en-US" w:eastAsia="zh-CN"/>
              </w:rPr>
            </w:pPr>
            <w:r>
              <w:rPr>
                <w:rFonts w:hint="eastAsia"/>
                <w:highlight w:val="none"/>
                <w:lang w:val="en-US" w:eastAsia="zh-CN"/>
              </w:rPr>
              <w:t>--</w:t>
            </w:r>
          </w:p>
        </w:tc>
      </w:tr>
      <w:tr w14:paraId="49429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5000" w:type="pct"/>
            <w:gridSpan w:val="10"/>
            <w:noWrap w:val="0"/>
            <w:vAlign w:val="center"/>
          </w:tcPr>
          <w:p w14:paraId="447F29C0">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both"/>
              <w:textAlignment w:val="auto"/>
              <w:rPr>
                <w:rFonts w:hint="default"/>
                <w:highlight w:val="none"/>
                <w:lang w:val="en-US" w:eastAsia="zh-CN"/>
              </w:rPr>
            </w:pPr>
            <w:r>
              <w:rPr>
                <w:rFonts w:hint="default"/>
                <w:highlight w:val="none"/>
                <w:lang w:val="en-US" w:eastAsia="zh-CN"/>
              </w:rPr>
              <w:t>注：“----”表示可不开展土壤环境影响评价工作</w:t>
            </w:r>
          </w:p>
        </w:tc>
      </w:tr>
    </w:tbl>
    <w:p w14:paraId="173B8F76">
      <w:pPr>
        <w:pStyle w:val="47"/>
        <w:bidi w:val="0"/>
        <w:rPr>
          <w:rFonts w:hint="eastAsia"/>
          <w:highlight w:val="none"/>
        </w:rPr>
      </w:pPr>
      <w:r>
        <w:rPr>
          <w:rFonts w:hint="default"/>
          <w:highlight w:val="none"/>
          <w:lang w:val="en-US" w:eastAsia="zh-CN"/>
        </w:rPr>
        <w:t>项目土壤环境影响类别为Ⅲ类，占地规模为小型，土壤环境敏感程度为敏感，</w:t>
      </w:r>
      <w:r>
        <w:rPr>
          <w:rFonts w:hint="eastAsia" w:ascii="Times New Roman" w:hAnsi="Times New Roman" w:cs="Times New Roman"/>
          <w:lang w:val="en-US" w:eastAsia="zh-CN"/>
        </w:rPr>
        <w:t>土壤</w:t>
      </w:r>
      <w:r>
        <w:rPr>
          <w:rFonts w:hint="default" w:ascii="Times New Roman" w:hAnsi="Times New Roman" w:eastAsia="楷体" w:cs="Times New Roman"/>
        </w:rPr>
        <w:t>评价等级为三级</w:t>
      </w:r>
      <w:r>
        <w:rPr>
          <w:rFonts w:hint="default"/>
          <w:highlight w:val="none"/>
          <w:lang w:val="en-US" w:eastAsia="zh-CN"/>
        </w:rPr>
        <w:t>。</w:t>
      </w:r>
    </w:p>
    <w:p w14:paraId="0DBE50A8">
      <w:pPr>
        <w:pStyle w:val="92"/>
        <w:bidi w:val="0"/>
        <w:ind w:left="0" w:leftChars="0" w:firstLine="0" w:firstLineChars="0"/>
      </w:pPr>
      <w:r>
        <w:rPr>
          <w:rFonts w:hint="eastAsia"/>
        </w:rPr>
        <w:t>环境风险</w:t>
      </w:r>
      <w:r>
        <w:t>评价工作等级</w:t>
      </w:r>
    </w:p>
    <w:p w14:paraId="5B4E6019">
      <w:pPr>
        <w:pStyle w:val="47"/>
        <w:bidi w:val="0"/>
        <w:rPr>
          <w:rFonts w:hint="default"/>
          <w:lang w:val="en-US" w:eastAsia="zh-CN"/>
        </w:rPr>
      </w:pPr>
      <w:r>
        <w:rPr>
          <w:rFonts w:hint="default"/>
          <w:lang w:val="en-US" w:eastAsia="zh-CN"/>
        </w:rPr>
        <w:t>根据《建设项目环境风险评价技术导则》（HJ/T169-2018），环境风险评价工作等级划分为一级、二级、三级。根据建设项目涉及的物质及工艺系统危险性和所在地的环境敏感性确定环境风险潜势，按照表2.</w:t>
      </w:r>
      <w:r>
        <w:rPr>
          <w:rFonts w:hint="eastAsia"/>
          <w:lang w:val="en-US" w:eastAsia="zh-CN"/>
        </w:rPr>
        <w:t>4</w:t>
      </w:r>
      <w:r>
        <w:rPr>
          <w:rFonts w:hint="default"/>
          <w:lang w:val="en-US" w:eastAsia="zh-CN"/>
        </w:rPr>
        <w:t>-1</w:t>
      </w:r>
      <w:r>
        <w:rPr>
          <w:rFonts w:hint="eastAsia"/>
          <w:lang w:val="en-US" w:eastAsia="zh-CN"/>
        </w:rPr>
        <w:t>2</w:t>
      </w:r>
      <w:r>
        <w:rPr>
          <w:rFonts w:hint="default"/>
          <w:lang w:val="en-US" w:eastAsia="zh-CN"/>
        </w:rPr>
        <w:t>确定评价工作等级。风险潜势为Ⅳ及以上，进行一级评价；风险潜势为Ⅲ，进行二级评价；风险潜势为Ⅱ，进行三级评价；风险潜势为Ⅰ，可开展简单分析。</w:t>
      </w:r>
    </w:p>
    <w:p w14:paraId="7DFF3BF9">
      <w:pPr>
        <w:pStyle w:val="94"/>
        <w:bidi w:val="0"/>
        <w:ind w:left="0" w:leftChars="0" w:firstLine="0" w:firstLineChars="0"/>
        <w:rPr>
          <w:rFonts w:hint="default"/>
          <w:lang w:val="en-US" w:eastAsia="zh-CN"/>
        </w:rPr>
      </w:pPr>
      <w:r>
        <w:rPr>
          <w:rFonts w:hint="default"/>
          <w:lang w:val="en-US" w:eastAsia="zh-CN"/>
        </w:rPr>
        <w:t>评价工作等级划分</w:t>
      </w:r>
    </w:p>
    <w:tbl>
      <w:tblPr>
        <w:tblStyle w:val="3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2"/>
        <w:gridCol w:w="1878"/>
        <w:gridCol w:w="1852"/>
        <w:gridCol w:w="1852"/>
        <w:gridCol w:w="1854"/>
      </w:tblGrid>
      <w:tr w14:paraId="2E75B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2013" w:type="dxa"/>
            <w:vAlign w:val="center"/>
          </w:tcPr>
          <w:p w14:paraId="6420543F">
            <w:pPr>
              <w:pStyle w:val="55"/>
              <w:bidi w:val="0"/>
              <w:rPr>
                <w:rFonts w:hint="default"/>
                <w:sz w:val="24"/>
                <w:szCs w:val="24"/>
                <w:lang w:val="en-US" w:eastAsia="zh-CN"/>
              </w:rPr>
            </w:pPr>
            <w:r>
              <w:rPr>
                <w:rFonts w:hint="default"/>
                <w:sz w:val="24"/>
                <w:szCs w:val="24"/>
                <w:lang w:val="en-US" w:eastAsia="zh-CN"/>
              </w:rPr>
              <w:t>环境风险潜势</w:t>
            </w:r>
          </w:p>
        </w:tc>
        <w:tc>
          <w:tcPr>
            <w:tcW w:w="2013" w:type="dxa"/>
            <w:vAlign w:val="center"/>
          </w:tcPr>
          <w:p w14:paraId="585F505E">
            <w:pPr>
              <w:pStyle w:val="55"/>
              <w:bidi w:val="0"/>
              <w:rPr>
                <w:rFonts w:hint="default"/>
                <w:sz w:val="24"/>
                <w:szCs w:val="24"/>
                <w:lang w:val="en-US" w:eastAsia="zh-CN"/>
              </w:rPr>
            </w:pPr>
            <w:r>
              <w:rPr>
                <w:rFonts w:hint="default"/>
                <w:sz w:val="24"/>
                <w:szCs w:val="24"/>
                <w:lang w:val="en-US" w:eastAsia="zh-CN"/>
              </w:rPr>
              <w:t>Ⅳ、Ⅳ+</w:t>
            </w:r>
          </w:p>
        </w:tc>
        <w:tc>
          <w:tcPr>
            <w:tcW w:w="2013" w:type="dxa"/>
            <w:vAlign w:val="center"/>
          </w:tcPr>
          <w:p w14:paraId="7708A26E">
            <w:pPr>
              <w:pStyle w:val="55"/>
              <w:bidi w:val="0"/>
              <w:rPr>
                <w:rFonts w:hint="default"/>
                <w:sz w:val="24"/>
                <w:szCs w:val="24"/>
                <w:lang w:val="en-US" w:eastAsia="zh-CN"/>
              </w:rPr>
            </w:pPr>
            <w:r>
              <w:rPr>
                <w:rFonts w:hint="default"/>
                <w:sz w:val="24"/>
                <w:szCs w:val="24"/>
                <w:lang w:val="en-US" w:eastAsia="zh-CN"/>
              </w:rPr>
              <w:t>Ⅲ</w:t>
            </w:r>
          </w:p>
        </w:tc>
        <w:tc>
          <w:tcPr>
            <w:tcW w:w="2013" w:type="dxa"/>
            <w:vAlign w:val="center"/>
          </w:tcPr>
          <w:p w14:paraId="234D6214">
            <w:pPr>
              <w:pStyle w:val="55"/>
              <w:bidi w:val="0"/>
              <w:rPr>
                <w:rFonts w:hint="default"/>
                <w:sz w:val="24"/>
                <w:szCs w:val="24"/>
                <w:lang w:val="en-US" w:eastAsia="zh-CN"/>
              </w:rPr>
            </w:pPr>
            <w:r>
              <w:rPr>
                <w:rFonts w:hint="default"/>
                <w:sz w:val="24"/>
                <w:szCs w:val="24"/>
                <w:lang w:val="en-US" w:eastAsia="zh-CN"/>
              </w:rPr>
              <w:t>Ⅱ</w:t>
            </w:r>
          </w:p>
        </w:tc>
        <w:tc>
          <w:tcPr>
            <w:tcW w:w="2014" w:type="dxa"/>
            <w:vAlign w:val="center"/>
          </w:tcPr>
          <w:p w14:paraId="313498FC">
            <w:pPr>
              <w:pStyle w:val="55"/>
              <w:bidi w:val="0"/>
              <w:rPr>
                <w:rFonts w:hint="default"/>
                <w:sz w:val="24"/>
                <w:szCs w:val="24"/>
                <w:lang w:val="en-US" w:eastAsia="zh-CN"/>
              </w:rPr>
            </w:pPr>
            <w:r>
              <w:rPr>
                <w:rFonts w:hint="default"/>
                <w:sz w:val="24"/>
                <w:szCs w:val="24"/>
                <w:lang w:val="en-US" w:eastAsia="zh-CN"/>
              </w:rPr>
              <w:t>Ⅰ</w:t>
            </w:r>
          </w:p>
        </w:tc>
      </w:tr>
      <w:tr w14:paraId="4D96D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13" w:type="dxa"/>
            <w:vAlign w:val="center"/>
          </w:tcPr>
          <w:p w14:paraId="332E4D4D">
            <w:pPr>
              <w:pStyle w:val="55"/>
              <w:bidi w:val="0"/>
              <w:rPr>
                <w:rFonts w:hint="default"/>
                <w:sz w:val="24"/>
                <w:szCs w:val="24"/>
                <w:lang w:val="en-US" w:eastAsia="zh-CN"/>
              </w:rPr>
            </w:pPr>
            <w:r>
              <w:rPr>
                <w:rFonts w:hint="default"/>
                <w:sz w:val="24"/>
                <w:szCs w:val="24"/>
                <w:lang w:val="en-US" w:eastAsia="zh-CN"/>
              </w:rPr>
              <w:t>评价工作等级</w:t>
            </w:r>
          </w:p>
        </w:tc>
        <w:tc>
          <w:tcPr>
            <w:tcW w:w="2013" w:type="dxa"/>
            <w:vAlign w:val="center"/>
          </w:tcPr>
          <w:p w14:paraId="2719EDDB">
            <w:pPr>
              <w:pStyle w:val="55"/>
              <w:bidi w:val="0"/>
              <w:rPr>
                <w:rFonts w:hint="default"/>
                <w:sz w:val="24"/>
                <w:szCs w:val="24"/>
                <w:lang w:val="en-US" w:eastAsia="zh-CN"/>
              </w:rPr>
            </w:pPr>
            <w:r>
              <w:rPr>
                <w:rFonts w:hint="default"/>
                <w:sz w:val="24"/>
                <w:szCs w:val="24"/>
                <w:lang w:val="en-US" w:eastAsia="zh-CN"/>
              </w:rPr>
              <w:t>一</w:t>
            </w:r>
          </w:p>
        </w:tc>
        <w:tc>
          <w:tcPr>
            <w:tcW w:w="2013" w:type="dxa"/>
            <w:vAlign w:val="center"/>
          </w:tcPr>
          <w:p w14:paraId="67F1691C">
            <w:pPr>
              <w:pStyle w:val="55"/>
              <w:bidi w:val="0"/>
              <w:rPr>
                <w:rFonts w:hint="default"/>
                <w:sz w:val="24"/>
                <w:szCs w:val="24"/>
                <w:lang w:val="en-US" w:eastAsia="zh-CN"/>
              </w:rPr>
            </w:pPr>
            <w:r>
              <w:rPr>
                <w:rFonts w:hint="default"/>
                <w:sz w:val="24"/>
                <w:szCs w:val="24"/>
                <w:lang w:val="en-US" w:eastAsia="zh-CN"/>
              </w:rPr>
              <w:t>二</w:t>
            </w:r>
          </w:p>
        </w:tc>
        <w:tc>
          <w:tcPr>
            <w:tcW w:w="2013" w:type="dxa"/>
            <w:vAlign w:val="center"/>
          </w:tcPr>
          <w:p w14:paraId="1CE6D901">
            <w:pPr>
              <w:pStyle w:val="55"/>
              <w:bidi w:val="0"/>
              <w:rPr>
                <w:rFonts w:hint="default"/>
                <w:sz w:val="24"/>
                <w:szCs w:val="24"/>
                <w:lang w:val="en-US" w:eastAsia="zh-CN"/>
              </w:rPr>
            </w:pPr>
            <w:r>
              <w:rPr>
                <w:rFonts w:hint="default"/>
                <w:sz w:val="24"/>
                <w:szCs w:val="24"/>
                <w:lang w:val="en-US" w:eastAsia="zh-CN"/>
              </w:rPr>
              <w:t>三</w:t>
            </w:r>
          </w:p>
        </w:tc>
        <w:tc>
          <w:tcPr>
            <w:tcW w:w="2014" w:type="dxa"/>
            <w:vAlign w:val="center"/>
          </w:tcPr>
          <w:p w14:paraId="71A42759">
            <w:pPr>
              <w:pStyle w:val="55"/>
              <w:bidi w:val="0"/>
              <w:rPr>
                <w:rFonts w:hint="default"/>
                <w:sz w:val="24"/>
                <w:szCs w:val="24"/>
                <w:lang w:val="en-US" w:eastAsia="zh-CN"/>
              </w:rPr>
            </w:pPr>
            <w:r>
              <w:rPr>
                <w:rFonts w:hint="default"/>
                <w:sz w:val="24"/>
                <w:szCs w:val="24"/>
                <w:lang w:val="en-US" w:eastAsia="zh-CN"/>
              </w:rPr>
              <w:t>简单分析a</w:t>
            </w:r>
          </w:p>
        </w:tc>
      </w:tr>
      <w:tr w14:paraId="178E5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66" w:type="dxa"/>
            <w:gridSpan w:val="5"/>
            <w:vAlign w:val="center"/>
          </w:tcPr>
          <w:p w14:paraId="3672219A">
            <w:pPr>
              <w:pStyle w:val="55"/>
              <w:bidi w:val="0"/>
              <w:jc w:val="both"/>
              <w:rPr>
                <w:rFonts w:hint="default"/>
                <w:sz w:val="24"/>
                <w:szCs w:val="24"/>
                <w:lang w:val="en-US" w:eastAsia="zh-CN"/>
              </w:rPr>
            </w:pPr>
            <w:r>
              <w:rPr>
                <w:rFonts w:hint="default"/>
                <w:sz w:val="24"/>
                <w:szCs w:val="24"/>
                <w:lang w:val="en-US" w:eastAsia="zh-CN"/>
              </w:rPr>
              <w:t>注：a是相对于详细评价工作内容而言，在描述危险物质、环境影响途径、环境危害后果、风险防范措施等方面给出定性的说明。见HJ/T169-2018附录A。</w:t>
            </w:r>
          </w:p>
        </w:tc>
      </w:tr>
    </w:tbl>
    <w:p w14:paraId="397339E2">
      <w:pPr>
        <w:pStyle w:val="47"/>
        <w:bidi w:val="0"/>
        <w:rPr>
          <w:rFonts w:hint="default"/>
          <w:lang w:val="en-US" w:eastAsia="zh-CN"/>
        </w:rPr>
      </w:pPr>
      <w:r>
        <w:rPr>
          <w:rFonts w:hint="default"/>
          <w:lang w:val="en-US" w:eastAsia="zh-CN"/>
        </w:rPr>
        <w:t>风险潜势初判：根据《建设项目环境风险评价技术导则》（HJ169-2018）附录C，计算项目所涉及的每种危险物质在厂界内的最大存在总量与其在附录B中对应临界量的比值Q。当只涉及一种危险物质时，计算该物质的总量与其临界量比值，即为Q；当存在多种危险物质时，则按式（C.1）计算物质总量与其临界量比值（Q）；</w:t>
      </w:r>
    </w:p>
    <w:p w14:paraId="01F81B5A">
      <w:pPr>
        <w:pStyle w:val="47"/>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lang w:val="en-US" w:eastAsia="zh-CN"/>
        </w:rPr>
      </w:pPr>
      <w:r>
        <w:rPr>
          <w:rFonts w:hint="default" w:ascii="Times New Roman" w:hAnsi="Times New Roman" w:eastAsia="宋体" w:cs="Times New Roman"/>
          <w:color w:val="auto"/>
          <w:position w:val="-38"/>
          <w:highlight w:val="none"/>
          <w:lang w:eastAsia="zh-CN"/>
        </w:rPr>
        <w:object>
          <v:shape id="_x0000_i1025" o:spt="75" type="#_x0000_t75" style="height:39.55pt;width:105.95pt;" o:ole="t" filled="f" o:preferrelative="t" stroked="f" coordsize="21600,21600">
            <v:path/>
            <v:fill on="f" focussize="0,0"/>
            <v:stroke on="f"/>
            <v:imagedata r:id="rId17" o:title=""/>
            <o:lock v:ext="edit" aspectratio="t"/>
            <w10:wrap type="none"/>
            <w10:anchorlock/>
          </v:shape>
          <o:OLEObject Type="Embed" ProgID="Equation.KSEE3" ShapeID="_x0000_i1025" DrawAspect="Content" ObjectID="_1468075725" r:id="rId16">
            <o:LockedField>false</o:LockedField>
          </o:OLEObject>
        </w:object>
      </w:r>
      <w:r>
        <w:rPr>
          <w:rFonts w:hint="default"/>
          <w:lang w:val="en-US" w:eastAsia="zh-CN"/>
        </w:rPr>
        <w:t>（C.1）</w:t>
      </w:r>
    </w:p>
    <w:p w14:paraId="2FA6EDF4">
      <w:pPr>
        <w:pStyle w:val="47"/>
        <w:bidi w:val="0"/>
        <w:rPr>
          <w:rFonts w:hint="default"/>
          <w:lang w:val="en-US" w:eastAsia="zh-CN"/>
        </w:rPr>
      </w:pPr>
      <w:r>
        <w:rPr>
          <w:rFonts w:hint="default"/>
          <w:lang w:val="en-US" w:eastAsia="zh-CN"/>
        </w:rPr>
        <w:t>式中：q</w:t>
      </w:r>
      <w:r>
        <w:rPr>
          <w:rFonts w:hint="default"/>
          <w:vertAlign w:val="subscript"/>
          <w:lang w:val="en-US" w:eastAsia="zh-CN"/>
        </w:rPr>
        <w:t>1</w:t>
      </w:r>
      <w:r>
        <w:rPr>
          <w:rFonts w:hint="default"/>
          <w:lang w:val="en-US" w:eastAsia="zh-CN"/>
        </w:rPr>
        <w:t>，q</w:t>
      </w:r>
      <w:r>
        <w:rPr>
          <w:rFonts w:hint="default"/>
          <w:vertAlign w:val="subscript"/>
          <w:lang w:val="en-US" w:eastAsia="zh-CN"/>
        </w:rPr>
        <w:t>2</w:t>
      </w:r>
      <w:r>
        <w:rPr>
          <w:rFonts w:hint="default"/>
          <w:lang w:val="en-US" w:eastAsia="zh-CN"/>
        </w:rPr>
        <w:t>，...，q</w:t>
      </w:r>
      <w:r>
        <w:rPr>
          <w:rFonts w:hint="default"/>
          <w:vertAlign w:val="subscript"/>
          <w:lang w:val="en-US" w:eastAsia="zh-CN"/>
        </w:rPr>
        <w:t>n</w:t>
      </w:r>
      <w:r>
        <w:rPr>
          <w:rFonts w:hint="default"/>
          <w:lang w:val="en-US" w:eastAsia="zh-CN"/>
        </w:rPr>
        <w:t>——每种危险物质的最大存在总量，t；</w:t>
      </w:r>
    </w:p>
    <w:p w14:paraId="285BFF40">
      <w:pPr>
        <w:pStyle w:val="47"/>
        <w:bidi w:val="0"/>
        <w:rPr>
          <w:rFonts w:hint="default"/>
          <w:lang w:val="en-US" w:eastAsia="zh-CN"/>
        </w:rPr>
      </w:pPr>
      <w:r>
        <w:rPr>
          <w:rFonts w:hint="default"/>
          <w:lang w:val="en-US" w:eastAsia="zh-CN"/>
        </w:rPr>
        <w:t>Q</w:t>
      </w:r>
      <w:r>
        <w:rPr>
          <w:rFonts w:hint="default"/>
          <w:vertAlign w:val="subscript"/>
          <w:lang w:val="en-US" w:eastAsia="zh-CN"/>
        </w:rPr>
        <w:t>1</w:t>
      </w:r>
      <w:r>
        <w:rPr>
          <w:rFonts w:hint="default"/>
          <w:lang w:val="en-US" w:eastAsia="zh-CN"/>
        </w:rPr>
        <w:t>，Q</w:t>
      </w:r>
      <w:r>
        <w:rPr>
          <w:rFonts w:hint="default"/>
          <w:vertAlign w:val="subscript"/>
          <w:lang w:val="en-US" w:eastAsia="zh-CN"/>
        </w:rPr>
        <w:t>2</w:t>
      </w:r>
      <w:r>
        <w:rPr>
          <w:rFonts w:hint="default"/>
          <w:lang w:val="en-US" w:eastAsia="zh-CN"/>
        </w:rPr>
        <w:t>，...，Q</w:t>
      </w:r>
      <w:r>
        <w:rPr>
          <w:rFonts w:hint="default"/>
          <w:vertAlign w:val="subscript"/>
          <w:lang w:val="en-US" w:eastAsia="zh-CN"/>
        </w:rPr>
        <w:t>n</w:t>
      </w:r>
      <w:r>
        <w:rPr>
          <w:rFonts w:hint="default"/>
          <w:lang w:val="en-US" w:eastAsia="zh-CN"/>
        </w:rPr>
        <w:t>——每种危险物质的临界量，t。</w:t>
      </w:r>
    </w:p>
    <w:p w14:paraId="326B0589">
      <w:pPr>
        <w:pStyle w:val="47"/>
        <w:bidi w:val="0"/>
        <w:rPr>
          <w:rFonts w:hint="default"/>
          <w:lang w:val="en-US" w:eastAsia="zh-CN"/>
        </w:rPr>
      </w:pPr>
      <w:r>
        <w:rPr>
          <w:rFonts w:hint="default"/>
          <w:lang w:val="en-US" w:eastAsia="zh-CN"/>
        </w:rPr>
        <w:t>当Q＜1时，本项目环境风险潜势为1。</w:t>
      </w:r>
    </w:p>
    <w:p w14:paraId="71A0B542">
      <w:pPr>
        <w:pStyle w:val="47"/>
        <w:bidi w:val="0"/>
        <w:rPr>
          <w:rFonts w:hint="default"/>
          <w:lang w:val="en-US" w:eastAsia="zh-CN"/>
        </w:rPr>
      </w:pPr>
      <w:r>
        <w:rPr>
          <w:rFonts w:hint="default"/>
          <w:lang w:val="en-US" w:eastAsia="zh-CN"/>
        </w:rPr>
        <w:t>当Q≥1时，将Q值划分为：（1）1≤Q＜10；（2）10≤Q＜100；（3）Q≥100。</w:t>
      </w:r>
    </w:p>
    <w:p w14:paraId="3FF004ED">
      <w:pPr>
        <w:pStyle w:val="47"/>
        <w:bidi w:val="0"/>
        <w:rPr>
          <w:rFonts w:hint="eastAsia"/>
          <w:highlight w:val="none"/>
        </w:rPr>
      </w:pPr>
      <w:r>
        <w:rPr>
          <w:rFonts w:hint="default"/>
          <w:highlight w:val="none"/>
        </w:rPr>
        <w:t>项目环境风险评价工作级别确定为简单分析。详细判别过程详见第6</w:t>
      </w:r>
      <w:r>
        <w:rPr>
          <w:rFonts w:hint="eastAsia"/>
          <w:highlight w:val="none"/>
          <w:lang w:val="en-US" w:eastAsia="zh-CN"/>
        </w:rPr>
        <w:t>.7</w:t>
      </w:r>
      <w:r>
        <w:rPr>
          <w:rFonts w:hint="default"/>
          <w:highlight w:val="none"/>
        </w:rPr>
        <w:t>章节。根据评价导则要求对危险物质、环境影响途径、环境危害后果、风险防范措施等方面给出定性的说明。</w:t>
      </w:r>
    </w:p>
    <w:p w14:paraId="13C6928A">
      <w:pPr>
        <w:pStyle w:val="92"/>
        <w:bidi w:val="0"/>
        <w:ind w:left="0" w:leftChars="0" w:firstLine="0" w:firstLineChars="0"/>
      </w:pPr>
      <w:r>
        <w:rPr>
          <w:rFonts w:hint="eastAsia"/>
        </w:rPr>
        <w:t>生态环境影响</w:t>
      </w:r>
      <w:r>
        <w:t>评价工作等级</w:t>
      </w:r>
    </w:p>
    <w:p w14:paraId="269DFC49">
      <w:pPr>
        <w:pStyle w:val="47"/>
        <w:bidi w:val="0"/>
        <w:rPr>
          <w:rFonts w:hint="default"/>
          <w:lang w:val="en-US" w:eastAsia="zh-CN"/>
        </w:rPr>
      </w:pPr>
      <w:r>
        <w:rPr>
          <w:rFonts w:hint="default"/>
          <w:lang w:val="zh-CN"/>
        </w:rPr>
        <w:t>（</w:t>
      </w:r>
      <w:r>
        <w:rPr>
          <w:rFonts w:hint="default"/>
          <w:lang w:val="en-US" w:eastAsia="zh-CN"/>
        </w:rPr>
        <w:t>1</w:t>
      </w:r>
      <w:r>
        <w:rPr>
          <w:rFonts w:hint="default"/>
          <w:lang w:val="zh-CN"/>
        </w:rPr>
        <w:t>）</w:t>
      </w:r>
      <w:r>
        <w:rPr>
          <w:rFonts w:hint="default"/>
          <w:lang w:val="en-US" w:eastAsia="zh-CN"/>
        </w:rPr>
        <w:t>评价等级</w:t>
      </w:r>
    </w:p>
    <w:p w14:paraId="22170B0C">
      <w:pPr>
        <w:pStyle w:val="47"/>
        <w:bidi w:val="0"/>
        <w:rPr>
          <w:rFonts w:hint="default"/>
          <w:lang w:val="zh-CN"/>
        </w:rPr>
      </w:pPr>
      <w:r>
        <w:rPr>
          <w:rFonts w:hint="default"/>
          <w:lang w:val="zh-CN"/>
        </w:rPr>
        <w:t>根据《环境影响评价技术导则—生态环境》（HJ19-2022）评价工作级别划分规定，见表2.</w:t>
      </w:r>
      <w:r>
        <w:rPr>
          <w:rFonts w:hint="eastAsia"/>
          <w:lang w:val="en-US" w:eastAsia="zh-CN"/>
        </w:rPr>
        <w:t>4</w:t>
      </w:r>
      <w:r>
        <w:rPr>
          <w:rFonts w:hint="default"/>
          <w:lang w:val="zh-CN"/>
        </w:rPr>
        <w:t>-1</w:t>
      </w:r>
      <w:r>
        <w:rPr>
          <w:rFonts w:hint="default"/>
          <w:lang w:val="en-US" w:eastAsia="zh-CN"/>
        </w:rPr>
        <w:t>3</w:t>
      </w:r>
      <w:r>
        <w:rPr>
          <w:rFonts w:hint="default"/>
          <w:lang w:val="zh-CN"/>
        </w:rPr>
        <w:t>。</w:t>
      </w:r>
    </w:p>
    <w:p w14:paraId="7DD76E27">
      <w:pPr>
        <w:pStyle w:val="94"/>
        <w:bidi w:val="0"/>
        <w:ind w:left="0" w:leftChars="0" w:firstLine="0" w:firstLineChars="0"/>
        <w:rPr>
          <w:rFonts w:hint="default"/>
          <w:lang w:val="zh-CN"/>
        </w:rPr>
      </w:pPr>
      <w:r>
        <w:rPr>
          <w:rFonts w:hint="default"/>
          <w:lang w:val="zh-CN"/>
        </w:rPr>
        <w:t>评价工作等级的判别依据</w:t>
      </w:r>
    </w:p>
    <w:tbl>
      <w:tblPr>
        <w:tblStyle w:val="32"/>
        <w:tblW w:w="50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438"/>
        <w:gridCol w:w="1660"/>
      </w:tblGrid>
      <w:tr w14:paraId="405999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blHeader/>
          <w:jc w:val="center"/>
        </w:trPr>
        <w:tc>
          <w:tcPr>
            <w:tcW w:w="4087" w:type="pct"/>
            <w:tcBorders>
              <w:tl2br w:val="nil"/>
              <w:tr2bl w:val="nil"/>
            </w:tcBorders>
            <w:noWrap w:val="0"/>
            <w:vAlign w:val="center"/>
          </w:tcPr>
          <w:p w14:paraId="7F39B90E">
            <w:pPr>
              <w:pStyle w:val="126"/>
              <w:keepNext w:val="0"/>
              <w:keepLines w:val="0"/>
              <w:pageBreakBefore w:val="0"/>
              <w:widowControl w:val="0"/>
              <w:kinsoku/>
              <w:wordWrap/>
              <w:overflowPunct w:val="0"/>
              <w:topLinePunct w:val="0"/>
              <w:autoSpaceDE w:val="0"/>
              <w:autoSpaceDN w:val="0"/>
              <w:bidi w:val="0"/>
              <w:adjustRightInd w:val="0"/>
              <w:snapToGrid w:val="0"/>
              <w:jc w:val="center"/>
              <w:textAlignment w:val="baseline"/>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评价等级判定原则</w:t>
            </w:r>
          </w:p>
        </w:tc>
        <w:tc>
          <w:tcPr>
            <w:tcW w:w="912" w:type="pct"/>
            <w:tcBorders>
              <w:tl2br w:val="nil"/>
              <w:tr2bl w:val="nil"/>
            </w:tcBorders>
            <w:noWrap w:val="0"/>
            <w:vAlign w:val="center"/>
          </w:tcPr>
          <w:p w14:paraId="23E6838E">
            <w:pPr>
              <w:pStyle w:val="126"/>
              <w:keepNext w:val="0"/>
              <w:keepLines w:val="0"/>
              <w:pageBreakBefore w:val="0"/>
              <w:widowControl w:val="0"/>
              <w:kinsoku/>
              <w:wordWrap/>
              <w:overflowPunct w:val="0"/>
              <w:topLinePunct w:val="0"/>
              <w:autoSpaceDE w:val="0"/>
              <w:autoSpaceDN w:val="0"/>
              <w:bidi w:val="0"/>
              <w:adjustRightInd w:val="0"/>
              <w:snapToGrid w:val="0"/>
              <w:jc w:val="center"/>
              <w:textAlignment w:val="baseline"/>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项目情况</w:t>
            </w:r>
          </w:p>
        </w:tc>
      </w:tr>
      <w:tr w14:paraId="307A9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4087" w:type="pct"/>
            <w:tcBorders>
              <w:tl2br w:val="nil"/>
              <w:tr2bl w:val="nil"/>
            </w:tcBorders>
            <w:noWrap w:val="0"/>
            <w:vAlign w:val="center"/>
          </w:tcPr>
          <w:p w14:paraId="552283CC">
            <w:pPr>
              <w:pStyle w:val="126"/>
              <w:keepNext w:val="0"/>
              <w:keepLines w:val="0"/>
              <w:pageBreakBefore w:val="0"/>
              <w:widowControl w:val="0"/>
              <w:kinsoku/>
              <w:wordWrap/>
              <w:overflowPunct w:val="0"/>
              <w:topLinePunct w:val="0"/>
              <w:autoSpaceDE w:val="0"/>
              <w:autoSpaceDN w:val="0"/>
              <w:bidi w:val="0"/>
              <w:adjustRightInd w:val="0"/>
              <w:snapToGrid w:val="0"/>
              <w:jc w:val="both"/>
              <w:textAlignment w:val="baseline"/>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a）涉及国家公园、自然保护区、世界自然遗产、重要生境时，评价等级为一级；</w:t>
            </w:r>
          </w:p>
        </w:tc>
        <w:tc>
          <w:tcPr>
            <w:tcW w:w="912" w:type="pct"/>
            <w:tcBorders>
              <w:tl2br w:val="nil"/>
              <w:tr2bl w:val="nil"/>
            </w:tcBorders>
            <w:noWrap w:val="0"/>
            <w:vAlign w:val="center"/>
          </w:tcPr>
          <w:p w14:paraId="1AAB22A4">
            <w:pPr>
              <w:pStyle w:val="126"/>
              <w:keepNext w:val="0"/>
              <w:keepLines w:val="0"/>
              <w:pageBreakBefore w:val="0"/>
              <w:widowControl w:val="0"/>
              <w:kinsoku/>
              <w:wordWrap/>
              <w:overflowPunct w:val="0"/>
              <w:topLinePunct w:val="0"/>
              <w:autoSpaceDE w:val="0"/>
              <w:autoSpaceDN w:val="0"/>
              <w:bidi w:val="0"/>
              <w:adjustRightInd w:val="0"/>
              <w:snapToGrid w:val="0"/>
              <w:jc w:val="center"/>
              <w:textAlignment w:val="baseline"/>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不涉及</w:t>
            </w:r>
          </w:p>
        </w:tc>
      </w:tr>
      <w:tr w14:paraId="73DE7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4087" w:type="pct"/>
            <w:tcBorders>
              <w:tl2br w:val="nil"/>
              <w:tr2bl w:val="nil"/>
            </w:tcBorders>
            <w:noWrap w:val="0"/>
            <w:vAlign w:val="center"/>
          </w:tcPr>
          <w:p w14:paraId="1BBED290">
            <w:pPr>
              <w:pStyle w:val="126"/>
              <w:keepNext w:val="0"/>
              <w:keepLines w:val="0"/>
              <w:pageBreakBefore w:val="0"/>
              <w:widowControl w:val="0"/>
              <w:kinsoku/>
              <w:wordWrap/>
              <w:overflowPunct w:val="0"/>
              <w:topLinePunct w:val="0"/>
              <w:autoSpaceDE w:val="0"/>
              <w:autoSpaceDN w:val="0"/>
              <w:bidi w:val="0"/>
              <w:adjustRightInd w:val="0"/>
              <w:snapToGrid w:val="0"/>
              <w:jc w:val="both"/>
              <w:textAlignment w:val="baseline"/>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b）涉及自然公园时，评价等级为二级；</w:t>
            </w:r>
          </w:p>
        </w:tc>
        <w:tc>
          <w:tcPr>
            <w:tcW w:w="912" w:type="pct"/>
            <w:tcBorders>
              <w:tl2br w:val="nil"/>
              <w:tr2bl w:val="nil"/>
            </w:tcBorders>
            <w:noWrap w:val="0"/>
            <w:vAlign w:val="center"/>
          </w:tcPr>
          <w:p w14:paraId="2464F84F">
            <w:pPr>
              <w:pStyle w:val="126"/>
              <w:keepNext w:val="0"/>
              <w:keepLines w:val="0"/>
              <w:pageBreakBefore w:val="0"/>
              <w:widowControl w:val="0"/>
              <w:kinsoku/>
              <w:wordWrap/>
              <w:overflowPunct w:val="0"/>
              <w:topLinePunct w:val="0"/>
              <w:autoSpaceDE w:val="0"/>
              <w:autoSpaceDN w:val="0"/>
              <w:bidi w:val="0"/>
              <w:adjustRightInd w:val="0"/>
              <w:snapToGrid w:val="0"/>
              <w:jc w:val="center"/>
              <w:textAlignment w:val="baseline"/>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不涉及</w:t>
            </w:r>
          </w:p>
        </w:tc>
      </w:tr>
      <w:tr w14:paraId="051CB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4087" w:type="pct"/>
            <w:tcBorders>
              <w:tl2br w:val="nil"/>
              <w:tr2bl w:val="nil"/>
            </w:tcBorders>
            <w:noWrap w:val="0"/>
            <w:vAlign w:val="center"/>
          </w:tcPr>
          <w:p w14:paraId="4705C925">
            <w:pPr>
              <w:pStyle w:val="126"/>
              <w:keepNext w:val="0"/>
              <w:keepLines w:val="0"/>
              <w:pageBreakBefore w:val="0"/>
              <w:widowControl w:val="0"/>
              <w:kinsoku/>
              <w:wordWrap/>
              <w:overflowPunct w:val="0"/>
              <w:topLinePunct w:val="0"/>
              <w:autoSpaceDE w:val="0"/>
              <w:autoSpaceDN w:val="0"/>
              <w:bidi w:val="0"/>
              <w:adjustRightInd w:val="0"/>
              <w:snapToGrid w:val="0"/>
              <w:jc w:val="both"/>
              <w:textAlignment w:val="baseline"/>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c）涉及生态保护红线时，评价等级不低于二级；</w:t>
            </w:r>
          </w:p>
        </w:tc>
        <w:tc>
          <w:tcPr>
            <w:tcW w:w="912" w:type="pct"/>
            <w:tcBorders>
              <w:tl2br w:val="nil"/>
              <w:tr2bl w:val="nil"/>
            </w:tcBorders>
            <w:noWrap w:val="0"/>
            <w:vAlign w:val="center"/>
          </w:tcPr>
          <w:p w14:paraId="716957A7">
            <w:pPr>
              <w:pStyle w:val="126"/>
              <w:keepNext w:val="0"/>
              <w:keepLines w:val="0"/>
              <w:pageBreakBefore w:val="0"/>
              <w:widowControl w:val="0"/>
              <w:kinsoku/>
              <w:wordWrap/>
              <w:overflowPunct w:val="0"/>
              <w:topLinePunct w:val="0"/>
              <w:autoSpaceDE w:val="0"/>
              <w:autoSpaceDN w:val="0"/>
              <w:bidi w:val="0"/>
              <w:adjustRightInd w:val="0"/>
              <w:snapToGrid w:val="0"/>
              <w:jc w:val="center"/>
              <w:textAlignment w:val="baseline"/>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不涉及</w:t>
            </w:r>
          </w:p>
        </w:tc>
      </w:tr>
      <w:tr w14:paraId="68BD4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4087" w:type="pct"/>
            <w:tcBorders>
              <w:tl2br w:val="nil"/>
              <w:tr2bl w:val="nil"/>
            </w:tcBorders>
            <w:noWrap w:val="0"/>
            <w:vAlign w:val="center"/>
          </w:tcPr>
          <w:p w14:paraId="2F853AFA">
            <w:pPr>
              <w:pStyle w:val="126"/>
              <w:keepNext w:val="0"/>
              <w:keepLines w:val="0"/>
              <w:pageBreakBefore w:val="0"/>
              <w:widowControl w:val="0"/>
              <w:kinsoku/>
              <w:wordWrap/>
              <w:overflowPunct w:val="0"/>
              <w:topLinePunct w:val="0"/>
              <w:autoSpaceDE w:val="0"/>
              <w:autoSpaceDN w:val="0"/>
              <w:bidi w:val="0"/>
              <w:adjustRightInd w:val="0"/>
              <w:snapToGrid w:val="0"/>
              <w:jc w:val="both"/>
              <w:textAlignment w:val="baseline"/>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d）根据HJ2.3判断属于水文要素影响型且地表水评价等级不低于二级的建设项目，生态影响评价等级不低于二级；</w:t>
            </w:r>
          </w:p>
        </w:tc>
        <w:tc>
          <w:tcPr>
            <w:tcW w:w="912" w:type="pct"/>
            <w:tcBorders>
              <w:tl2br w:val="nil"/>
              <w:tr2bl w:val="nil"/>
            </w:tcBorders>
            <w:noWrap w:val="0"/>
            <w:vAlign w:val="center"/>
          </w:tcPr>
          <w:p w14:paraId="4F135F78">
            <w:pPr>
              <w:pStyle w:val="126"/>
              <w:keepNext w:val="0"/>
              <w:keepLines w:val="0"/>
              <w:pageBreakBefore w:val="0"/>
              <w:widowControl w:val="0"/>
              <w:kinsoku/>
              <w:wordWrap/>
              <w:overflowPunct w:val="0"/>
              <w:topLinePunct w:val="0"/>
              <w:autoSpaceDE w:val="0"/>
              <w:autoSpaceDN w:val="0"/>
              <w:bidi w:val="0"/>
              <w:adjustRightInd w:val="0"/>
              <w:snapToGrid w:val="0"/>
              <w:jc w:val="center"/>
              <w:textAlignment w:val="baseline"/>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不涉及</w:t>
            </w:r>
          </w:p>
        </w:tc>
      </w:tr>
      <w:tr w14:paraId="6C3E5B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4087" w:type="pct"/>
            <w:tcBorders>
              <w:tl2br w:val="nil"/>
              <w:tr2bl w:val="nil"/>
            </w:tcBorders>
            <w:noWrap w:val="0"/>
            <w:vAlign w:val="center"/>
          </w:tcPr>
          <w:p w14:paraId="71DDF1BB">
            <w:pPr>
              <w:pStyle w:val="126"/>
              <w:keepNext w:val="0"/>
              <w:keepLines w:val="0"/>
              <w:pageBreakBefore w:val="0"/>
              <w:widowControl w:val="0"/>
              <w:kinsoku/>
              <w:wordWrap/>
              <w:overflowPunct w:val="0"/>
              <w:topLinePunct w:val="0"/>
              <w:autoSpaceDE w:val="0"/>
              <w:autoSpaceDN w:val="0"/>
              <w:bidi w:val="0"/>
              <w:adjustRightInd w:val="0"/>
              <w:snapToGrid w:val="0"/>
              <w:jc w:val="both"/>
              <w:textAlignment w:val="baseline"/>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e）根据HJ610、HJ964判断地下水水位或土壤影响范围内分布有天然林、公益林、湿地等生态保护目标的建设项目，生态影响评价等级不低于二级；</w:t>
            </w:r>
          </w:p>
        </w:tc>
        <w:tc>
          <w:tcPr>
            <w:tcW w:w="912" w:type="pct"/>
            <w:tcBorders>
              <w:tl2br w:val="nil"/>
              <w:tr2bl w:val="nil"/>
            </w:tcBorders>
            <w:noWrap w:val="0"/>
            <w:vAlign w:val="center"/>
          </w:tcPr>
          <w:p w14:paraId="12778141">
            <w:pPr>
              <w:pStyle w:val="126"/>
              <w:keepNext w:val="0"/>
              <w:keepLines w:val="0"/>
              <w:pageBreakBefore w:val="0"/>
              <w:widowControl w:val="0"/>
              <w:kinsoku/>
              <w:wordWrap/>
              <w:overflowPunct w:val="0"/>
              <w:topLinePunct w:val="0"/>
              <w:autoSpaceDE w:val="0"/>
              <w:autoSpaceDN w:val="0"/>
              <w:bidi w:val="0"/>
              <w:adjustRightInd w:val="0"/>
              <w:snapToGrid w:val="0"/>
              <w:jc w:val="center"/>
              <w:textAlignment w:val="baseline"/>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不涉及</w:t>
            </w:r>
          </w:p>
        </w:tc>
      </w:tr>
      <w:tr w14:paraId="11F6EC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4087" w:type="pct"/>
            <w:tcBorders>
              <w:tl2br w:val="nil"/>
              <w:tr2bl w:val="nil"/>
            </w:tcBorders>
            <w:noWrap w:val="0"/>
            <w:vAlign w:val="center"/>
          </w:tcPr>
          <w:p w14:paraId="1FB0618A">
            <w:pPr>
              <w:pStyle w:val="126"/>
              <w:keepNext w:val="0"/>
              <w:keepLines w:val="0"/>
              <w:pageBreakBefore w:val="0"/>
              <w:widowControl w:val="0"/>
              <w:kinsoku/>
              <w:wordWrap/>
              <w:overflowPunct w:val="0"/>
              <w:topLinePunct w:val="0"/>
              <w:autoSpaceDE w:val="0"/>
              <w:autoSpaceDN w:val="0"/>
              <w:bidi w:val="0"/>
              <w:adjustRightInd w:val="0"/>
              <w:snapToGrid w:val="0"/>
              <w:jc w:val="both"/>
              <w:textAlignment w:val="baseline"/>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f）当工程占地规模大于20</w:t>
            </w:r>
            <w:r>
              <w:rPr>
                <w:rFonts w:hint="eastAsia" w:ascii="Times New Roman" w:hAnsi="Times New Roman" w:eastAsia="楷体" w:cs="Times New Roman"/>
                <w:sz w:val="24"/>
                <w:szCs w:val="24"/>
                <w:lang w:val="en-US" w:eastAsia="zh-CN"/>
              </w:rPr>
              <w:t>km</w:t>
            </w:r>
            <w:r>
              <w:rPr>
                <w:rFonts w:hint="eastAsia" w:ascii="Times New Roman" w:hAnsi="Times New Roman" w:eastAsia="楷体" w:cs="Times New Roman"/>
                <w:sz w:val="24"/>
                <w:szCs w:val="24"/>
                <w:vertAlign w:val="superscript"/>
                <w:lang w:val="en-US" w:eastAsia="zh-CN"/>
              </w:rPr>
              <w:t>2</w:t>
            </w:r>
            <w:r>
              <w:rPr>
                <w:rFonts w:hint="default" w:ascii="Times New Roman" w:hAnsi="Times New Roman" w:eastAsia="楷体" w:cs="Times New Roman"/>
                <w:sz w:val="24"/>
                <w:szCs w:val="24"/>
                <w:lang w:val="en-US" w:eastAsia="zh-CN"/>
              </w:rPr>
              <w:t>时（包括永久和临时占用陆域和水域），评价等级不低于二级；改扩建项目的占地范围以新增占地（包括陆域和水域）确定；</w:t>
            </w:r>
          </w:p>
        </w:tc>
        <w:tc>
          <w:tcPr>
            <w:tcW w:w="912" w:type="pct"/>
            <w:tcBorders>
              <w:tl2br w:val="nil"/>
              <w:tr2bl w:val="nil"/>
            </w:tcBorders>
            <w:noWrap w:val="0"/>
            <w:vAlign w:val="center"/>
          </w:tcPr>
          <w:p w14:paraId="79A774AC">
            <w:pPr>
              <w:pStyle w:val="126"/>
              <w:keepNext w:val="0"/>
              <w:keepLines w:val="0"/>
              <w:pageBreakBefore w:val="0"/>
              <w:widowControl w:val="0"/>
              <w:kinsoku/>
              <w:wordWrap/>
              <w:overflowPunct w:val="0"/>
              <w:topLinePunct w:val="0"/>
              <w:autoSpaceDE w:val="0"/>
              <w:autoSpaceDN w:val="0"/>
              <w:bidi w:val="0"/>
              <w:adjustRightInd w:val="0"/>
              <w:snapToGrid w:val="0"/>
              <w:jc w:val="center"/>
              <w:textAlignment w:val="baseline"/>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不属于</w:t>
            </w:r>
          </w:p>
        </w:tc>
      </w:tr>
      <w:tr w14:paraId="3D29C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4087" w:type="pct"/>
            <w:tcBorders>
              <w:tl2br w:val="nil"/>
              <w:tr2bl w:val="nil"/>
            </w:tcBorders>
            <w:noWrap w:val="0"/>
            <w:vAlign w:val="center"/>
          </w:tcPr>
          <w:p w14:paraId="0EE61FD8">
            <w:pPr>
              <w:pStyle w:val="126"/>
              <w:keepNext w:val="0"/>
              <w:keepLines w:val="0"/>
              <w:pageBreakBefore w:val="0"/>
              <w:widowControl w:val="0"/>
              <w:kinsoku/>
              <w:wordWrap/>
              <w:overflowPunct w:val="0"/>
              <w:topLinePunct w:val="0"/>
              <w:autoSpaceDE w:val="0"/>
              <w:autoSpaceDN w:val="0"/>
              <w:bidi w:val="0"/>
              <w:adjustRightInd w:val="0"/>
              <w:snapToGrid w:val="0"/>
              <w:jc w:val="both"/>
              <w:textAlignment w:val="baseline"/>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g）除本条a）、b）、c）、d）、e）、f）以外的情况，评价等级为三级；</w:t>
            </w:r>
          </w:p>
        </w:tc>
        <w:tc>
          <w:tcPr>
            <w:tcW w:w="912" w:type="pct"/>
            <w:tcBorders>
              <w:tl2br w:val="nil"/>
              <w:tr2bl w:val="nil"/>
            </w:tcBorders>
            <w:noWrap w:val="0"/>
            <w:vAlign w:val="center"/>
          </w:tcPr>
          <w:p w14:paraId="1E9420D3">
            <w:pPr>
              <w:pStyle w:val="126"/>
              <w:keepNext w:val="0"/>
              <w:keepLines w:val="0"/>
              <w:pageBreakBefore w:val="0"/>
              <w:widowControl w:val="0"/>
              <w:kinsoku/>
              <w:wordWrap/>
              <w:overflowPunct w:val="0"/>
              <w:topLinePunct w:val="0"/>
              <w:autoSpaceDE w:val="0"/>
              <w:autoSpaceDN w:val="0"/>
              <w:bidi w:val="0"/>
              <w:adjustRightInd w:val="0"/>
              <w:snapToGrid w:val="0"/>
              <w:jc w:val="center"/>
              <w:textAlignment w:val="baseline"/>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属于</w:t>
            </w:r>
          </w:p>
        </w:tc>
      </w:tr>
      <w:tr w14:paraId="5341C7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4087" w:type="pct"/>
            <w:tcBorders>
              <w:tl2br w:val="nil"/>
              <w:tr2bl w:val="nil"/>
            </w:tcBorders>
            <w:noWrap w:val="0"/>
            <w:vAlign w:val="center"/>
          </w:tcPr>
          <w:p w14:paraId="7C28A869">
            <w:pPr>
              <w:pStyle w:val="126"/>
              <w:keepNext w:val="0"/>
              <w:keepLines w:val="0"/>
              <w:pageBreakBefore w:val="0"/>
              <w:widowControl w:val="0"/>
              <w:kinsoku/>
              <w:wordWrap/>
              <w:overflowPunct w:val="0"/>
              <w:topLinePunct w:val="0"/>
              <w:autoSpaceDE w:val="0"/>
              <w:autoSpaceDN w:val="0"/>
              <w:bidi w:val="0"/>
              <w:adjustRightInd w:val="0"/>
              <w:snapToGrid w:val="0"/>
              <w:jc w:val="both"/>
              <w:textAlignment w:val="baseline"/>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h）当评价等级判定同时符合上述多种情况时，应采用其中最高的评价等级。</w:t>
            </w:r>
          </w:p>
        </w:tc>
        <w:tc>
          <w:tcPr>
            <w:tcW w:w="912" w:type="pct"/>
            <w:tcBorders>
              <w:tl2br w:val="nil"/>
              <w:tr2bl w:val="nil"/>
            </w:tcBorders>
            <w:noWrap w:val="0"/>
            <w:vAlign w:val="center"/>
          </w:tcPr>
          <w:p w14:paraId="7C19304B">
            <w:pPr>
              <w:pStyle w:val="126"/>
              <w:keepNext w:val="0"/>
              <w:keepLines w:val="0"/>
              <w:pageBreakBefore w:val="0"/>
              <w:widowControl w:val="0"/>
              <w:kinsoku/>
              <w:wordWrap/>
              <w:overflowPunct w:val="0"/>
              <w:topLinePunct w:val="0"/>
              <w:autoSpaceDE w:val="0"/>
              <w:autoSpaceDN w:val="0"/>
              <w:bidi w:val="0"/>
              <w:adjustRightInd w:val="0"/>
              <w:snapToGrid w:val="0"/>
              <w:jc w:val="center"/>
              <w:textAlignment w:val="baseline"/>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w:t>
            </w:r>
          </w:p>
        </w:tc>
      </w:tr>
    </w:tbl>
    <w:p w14:paraId="0509FADD">
      <w:pPr>
        <w:pStyle w:val="47"/>
        <w:bidi w:val="0"/>
        <w:rPr>
          <w:rFonts w:hint="default"/>
          <w:lang w:val="en-US" w:eastAsia="zh-CN"/>
        </w:rPr>
      </w:pPr>
      <w:r>
        <w:rPr>
          <w:rFonts w:hint="default"/>
          <w:lang w:val="en-US" w:eastAsia="zh-CN"/>
        </w:rPr>
        <w:t>由上表可知，项目总占地</w:t>
      </w:r>
      <w:r>
        <w:rPr>
          <w:rFonts w:hint="eastAsia"/>
          <w:lang w:val="en-US" w:eastAsia="zh-CN"/>
        </w:rPr>
        <w:t>9000</w:t>
      </w:r>
      <w:r>
        <w:rPr>
          <w:rFonts w:hint="default"/>
          <w:lang w:val="en-US" w:eastAsia="zh-CN"/>
        </w:rPr>
        <w:t>m</w:t>
      </w:r>
      <w:r>
        <w:rPr>
          <w:rFonts w:hint="default"/>
          <w:vertAlign w:val="superscript"/>
          <w:lang w:val="en-US" w:eastAsia="zh-CN"/>
        </w:rPr>
        <w:t>2</w:t>
      </w:r>
      <w:r>
        <w:rPr>
          <w:rFonts w:hint="default"/>
          <w:lang w:val="en-US" w:eastAsia="zh-CN"/>
        </w:rPr>
        <w:t>，生态影响评价等级为三级。</w:t>
      </w:r>
    </w:p>
    <w:p w14:paraId="45DCBE76">
      <w:pPr>
        <w:pStyle w:val="92"/>
        <w:bidi w:val="0"/>
        <w:ind w:left="0" w:leftChars="0" w:firstLine="0" w:firstLineChars="0"/>
        <w:rPr>
          <w:rFonts w:hint="eastAsia"/>
        </w:rPr>
      </w:pPr>
      <w:r>
        <w:rPr>
          <w:rFonts w:hint="eastAsia"/>
        </w:rPr>
        <w:t>评价工作重点</w:t>
      </w:r>
    </w:p>
    <w:p w14:paraId="4453EC00">
      <w:pPr>
        <w:pStyle w:val="47"/>
        <w:ind w:firstLine="482"/>
        <w:rPr>
          <w:rFonts w:hint="eastAsia"/>
        </w:rPr>
      </w:pPr>
      <w:r>
        <w:rPr>
          <w:rFonts w:hint="eastAsia"/>
        </w:rPr>
        <w:t>根据项目的工程特点和项目周边的环境特点，本次评价重点如下：</w:t>
      </w:r>
    </w:p>
    <w:p w14:paraId="24C635B3">
      <w:pPr>
        <w:pStyle w:val="47"/>
        <w:ind w:firstLine="482"/>
        <w:rPr>
          <w:rFonts w:hint="eastAsia"/>
        </w:rPr>
      </w:pPr>
      <w:r>
        <w:rPr>
          <w:rFonts w:hint="eastAsia"/>
        </w:rPr>
        <w:t>（1）施工期造成的扬尘和噪声污染对周围环境的影响分析；</w:t>
      </w:r>
    </w:p>
    <w:p w14:paraId="3C61C06E">
      <w:pPr>
        <w:pStyle w:val="47"/>
        <w:ind w:firstLine="482"/>
        <w:rPr>
          <w:rFonts w:hint="eastAsia"/>
        </w:rPr>
      </w:pPr>
      <w:r>
        <w:rPr>
          <w:rFonts w:hint="eastAsia"/>
        </w:rPr>
        <w:t>（2）项目营运期产生的废气、噪声污染防治措施可行性、达标排放可靠性及其对周围环境的影响分析；地下水、土壤环境防治措施可行性及其对周围环境的影响分析；固体废物处理处置措施合理性分析；环境风险防范措施及其对周围环境的影响分析等。</w:t>
      </w:r>
    </w:p>
    <w:p w14:paraId="1DDA0654">
      <w:pPr>
        <w:pStyle w:val="47"/>
        <w:ind w:firstLine="482"/>
        <w:rPr>
          <w:rFonts w:hint="eastAsia"/>
        </w:rPr>
      </w:pPr>
      <w:r>
        <w:rPr>
          <w:rFonts w:hint="eastAsia"/>
        </w:rPr>
        <w:t>（3）项目建设内容与相关产业政策、环保政策的相符性分析。</w:t>
      </w:r>
    </w:p>
    <w:p w14:paraId="59833B01">
      <w:pPr>
        <w:pStyle w:val="90"/>
        <w:bidi w:val="0"/>
        <w:ind w:left="0" w:leftChars="0" w:firstLine="0" w:firstLineChars="0"/>
      </w:pPr>
      <w:bookmarkStart w:id="33" w:name="_Toc10199"/>
      <w:r>
        <w:rPr>
          <w:rFonts w:hint="eastAsia"/>
        </w:rPr>
        <w:t>环境</w:t>
      </w:r>
      <w:r>
        <w:t>影响评价范围</w:t>
      </w:r>
      <w:r>
        <w:rPr>
          <w:rFonts w:hint="eastAsia"/>
          <w:lang w:val="en-US" w:eastAsia="zh-CN"/>
        </w:rPr>
        <w:t>及环境敏感目标</w:t>
      </w:r>
      <w:bookmarkEnd w:id="33"/>
    </w:p>
    <w:p w14:paraId="6871D252">
      <w:pPr>
        <w:pStyle w:val="92"/>
        <w:bidi w:val="0"/>
        <w:ind w:left="0" w:leftChars="0" w:firstLine="0" w:firstLineChars="0"/>
      </w:pPr>
      <w:r>
        <w:t>环境</w:t>
      </w:r>
      <w:r>
        <w:rPr>
          <w:rFonts w:hint="eastAsia"/>
        </w:rPr>
        <w:t>影响</w:t>
      </w:r>
      <w:r>
        <w:t>评价</w:t>
      </w:r>
      <w:r>
        <w:rPr>
          <w:rFonts w:hint="eastAsia"/>
        </w:rPr>
        <w:t>范围</w:t>
      </w:r>
    </w:p>
    <w:p w14:paraId="7D5D1A9F">
      <w:pPr>
        <w:pStyle w:val="47"/>
        <w:bidi w:val="0"/>
        <w:rPr>
          <w:highlight w:val="none"/>
          <w:lang w:val="zh-CN"/>
        </w:rPr>
      </w:pPr>
      <w:r>
        <w:rPr>
          <w:rFonts w:hint="eastAsia"/>
          <w:highlight w:val="none"/>
          <w:lang w:val="zh-CN"/>
        </w:rPr>
        <w:t>根据项目各环境要素确定的评价等级、污染源排放情形，结合区域自然环境特征，按导则中评价范围确定的相关规定，</w:t>
      </w:r>
      <w:r>
        <w:rPr>
          <w:rFonts w:hint="eastAsia"/>
          <w:highlight w:val="none"/>
          <w:lang w:val="en-US" w:eastAsia="zh-CN"/>
        </w:rPr>
        <w:t>各环境要素</w:t>
      </w:r>
      <w:r>
        <w:rPr>
          <w:highlight w:val="none"/>
          <w:lang w:val="zh-CN"/>
        </w:rPr>
        <w:t>评价范围见表2.5-1。</w:t>
      </w:r>
    </w:p>
    <w:p w14:paraId="217CBBD9">
      <w:pPr>
        <w:pStyle w:val="94"/>
        <w:bidi w:val="0"/>
        <w:ind w:left="0" w:leftChars="0" w:firstLine="0" w:firstLineChars="0"/>
        <w:rPr>
          <w:rFonts w:hint="default"/>
          <w:highlight w:val="none"/>
          <w:lang w:val="en-US" w:eastAsia="zh-CN"/>
        </w:rPr>
      </w:pPr>
      <w:r>
        <w:rPr>
          <w:rFonts w:hint="default"/>
          <w:highlight w:val="none"/>
          <w:lang w:val="en-US" w:eastAsia="zh-CN"/>
        </w:rPr>
        <w:t>评价范围一览表</w:t>
      </w:r>
    </w:p>
    <w:tbl>
      <w:tblPr>
        <w:tblStyle w:val="32"/>
        <w:tblW w:w="4996"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789"/>
        <w:gridCol w:w="1597"/>
        <w:gridCol w:w="5895"/>
      </w:tblGrid>
      <w:tr w14:paraId="771D768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64" w:type="pct"/>
            <w:tcBorders>
              <w:top w:val="single" w:color="auto" w:sz="4" w:space="0"/>
              <w:left w:val="single" w:color="auto" w:sz="4" w:space="0"/>
            </w:tcBorders>
            <w:noWrap w:val="0"/>
            <w:vAlign w:val="center"/>
          </w:tcPr>
          <w:p w14:paraId="04939EFC">
            <w:pPr>
              <w:pStyle w:val="55"/>
              <w:bidi w:val="0"/>
              <w:rPr>
                <w:rFonts w:hint="default"/>
                <w:highlight w:val="none"/>
                <w:lang w:val="en-US" w:eastAsia="zh-CN"/>
              </w:rPr>
            </w:pPr>
            <w:r>
              <w:rPr>
                <w:rFonts w:hint="eastAsia"/>
                <w:highlight w:val="none"/>
                <w:lang w:val="en-US" w:eastAsia="zh-CN"/>
              </w:rPr>
              <w:t>环境要素</w:t>
            </w:r>
          </w:p>
        </w:tc>
        <w:tc>
          <w:tcPr>
            <w:tcW w:w="860" w:type="pct"/>
            <w:tcBorders>
              <w:top w:val="single" w:color="auto" w:sz="4" w:space="0"/>
            </w:tcBorders>
            <w:noWrap w:val="0"/>
            <w:vAlign w:val="center"/>
          </w:tcPr>
          <w:p w14:paraId="6E7AE5E6">
            <w:pPr>
              <w:pStyle w:val="55"/>
              <w:bidi w:val="0"/>
              <w:rPr>
                <w:rFonts w:hint="eastAsia"/>
                <w:highlight w:val="none"/>
                <w:lang w:val="en-US" w:eastAsia="zh-CN"/>
              </w:rPr>
            </w:pPr>
            <w:r>
              <w:rPr>
                <w:rFonts w:hint="eastAsia"/>
                <w:highlight w:val="none"/>
                <w:lang w:val="en-US" w:eastAsia="zh-CN"/>
              </w:rPr>
              <w:t>评价等级</w:t>
            </w:r>
          </w:p>
        </w:tc>
        <w:tc>
          <w:tcPr>
            <w:tcW w:w="3175" w:type="pct"/>
            <w:tcBorders>
              <w:top w:val="single" w:color="auto" w:sz="4" w:space="0"/>
              <w:right w:val="single" w:color="auto" w:sz="4" w:space="0"/>
            </w:tcBorders>
            <w:noWrap w:val="0"/>
            <w:vAlign w:val="center"/>
          </w:tcPr>
          <w:p w14:paraId="62177ED9">
            <w:pPr>
              <w:pStyle w:val="55"/>
              <w:bidi w:val="0"/>
              <w:rPr>
                <w:highlight w:val="none"/>
              </w:rPr>
            </w:pPr>
            <w:r>
              <w:rPr>
                <w:highlight w:val="none"/>
              </w:rPr>
              <w:t>评价范围</w:t>
            </w:r>
          </w:p>
        </w:tc>
      </w:tr>
      <w:tr w14:paraId="7391AA8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64" w:type="pct"/>
            <w:tcBorders>
              <w:left w:val="single" w:color="auto" w:sz="4" w:space="0"/>
            </w:tcBorders>
            <w:noWrap w:val="0"/>
            <w:vAlign w:val="center"/>
          </w:tcPr>
          <w:p w14:paraId="487123C6">
            <w:pPr>
              <w:pStyle w:val="55"/>
              <w:bidi w:val="0"/>
              <w:rPr>
                <w:highlight w:val="none"/>
              </w:rPr>
            </w:pPr>
            <w:r>
              <w:rPr>
                <w:highlight w:val="none"/>
              </w:rPr>
              <w:t>环境空气</w:t>
            </w:r>
          </w:p>
        </w:tc>
        <w:tc>
          <w:tcPr>
            <w:tcW w:w="860" w:type="pct"/>
            <w:noWrap w:val="0"/>
            <w:vAlign w:val="center"/>
          </w:tcPr>
          <w:p w14:paraId="3774609C">
            <w:pPr>
              <w:pStyle w:val="55"/>
              <w:bidi w:val="0"/>
              <w:rPr>
                <w:rFonts w:hint="eastAsia"/>
                <w:highlight w:val="none"/>
                <w:lang w:val="en-US" w:eastAsia="zh-CN"/>
              </w:rPr>
            </w:pPr>
            <w:r>
              <w:rPr>
                <w:rFonts w:hint="eastAsia"/>
                <w:highlight w:val="none"/>
                <w:lang w:val="en-US" w:eastAsia="zh-CN"/>
              </w:rPr>
              <w:t>二级</w:t>
            </w:r>
          </w:p>
        </w:tc>
        <w:tc>
          <w:tcPr>
            <w:tcW w:w="3175" w:type="pct"/>
            <w:tcBorders>
              <w:right w:val="single" w:color="auto" w:sz="4" w:space="0"/>
            </w:tcBorders>
            <w:noWrap w:val="0"/>
            <w:vAlign w:val="center"/>
          </w:tcPr>
          <w:p w14:paraId="70042CDF">
            <w:pPr>
              <w:pStyle w:val="55"/>
              <w:bidi w:val="0"/>
              <w:rPr>
                <w:highlight w:val="none"/>
              </w:rPr>
            </w:pPr>
            <w:r>
              <w:rPr>
                <w:highlight w:val="none"/>
              </w:rPr>
              <w:t>以厂址为中心，边长为5km的矩形区域</w:t>
            </w:r>
          </w:p>
        </w:tc>
      </w:tr>
      <w:tr w14:paraId="6A4F3B3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64" w:type="pct"/>
            <w:tcBorders>
              <w:left w:val="single" w:color="auto" w:sz="4" w:space="0"/>
            </w:tcBorders>
            <w:noWrap w:val="0"/>
            <w:vAlign w:val="center"/>
          </w:tcPr>
          <w:p w14:paraId="6D70D792">
            <w:pPr>
              <w:pStyle w:val="55"/>
              <w:bidi w:val="0"/>
              <w:rPr>
                <w:rFonts w:hint="eastAsia"/>
                <w:highlight w:val="none"/>
                <w:lang w:val="en-US" w:eastAsia="zh-CN"/>
              </w:rPr>
            </w:pPr>
            <w:r>
              <w:rPr>
                <w:highlight w:val="none"/>
              </w:rPr>
              <w:t>地下水</w:t>
            </w:r>
            <w:r>
              <w:rPr>
                <w:rFonts w:hint="eastAsia"/>
                <w:highlight w:val="none"/>
                <w:lang w:val="en-US" w:eastAsia="zh-CN"/>
              </w:rPr>
              <w:t>环境</w:t>
            </w:r>
          </w:p>
        </w:tc>
        <w:tc>
          <w:tcPr>
            <w:tcW w:w="860" w:type="pct"/>
            <w:noWrap w:val="0"/>
            <w:vAlign w:val="center"/>
          </w:tcPr>
          <w:p w14:paraId="20837A4A">
            <w:pPr>
              <w:pStyle w:val="55"/>
              <w:bidi w:val="0"/>
              <w:rPr>
                <w:rFonts w:hint="eastAsia"/>
                <w:highlight w:val="none"/>
                <w:lang w:val="en-US" w:eastAsia="zh-CN"/>
              </w:rPr>
            </w:pPr>
            <w:r>
              <w:rPr>
                <w:rFonts w:hint="eastAsia"/>
                <w:highlight w:val="none"/>
                <w:lang w:val="en-US" w:eastAsia="zh-CN"/>
              </w:rPr>
              <w:t>三级</w:t>
            </w:r>
          </w:p>
        </w:tc>
        <w:tc>
          <w:tcPr>
            <w:tcW w:w="3175" w:type="pct"/>
            <w:tcBorders>
              <w:right w:val="single" w:color="auto" w:sz="4" w:space="0"/>
            </w:tcBorders>
            <w:noWrap w:val="0"/>
            <w:vAlign w:val="center"/>
          </w:tcPr>
          <w:p w14:paraId="70F5B418">
            <w:pPr>
              <w:pStyle w:val="55"/>
              <w:bidi w:val="0"/>
              <w:rPr>
                <w:rFonts w:hint="default"/>
                <w:highlight w:val="none"/>
                <w:lang w:val="en-US" w:eastAsia="zh-CN"/>
              </w:rPr>
            </w:pPr>
            <w:r>
              <w:rPr>
                <w:rFonts w:hint="eastAsia"/>
                <w:highlight w:val="none"/>
              </w:rPr>
              <w:t>地下水流向上游</w:t>
            </w:r>
            <w:r>
              <w:rPr>
                <w:rFonts w:hint="eastAsia"/>
                <w:highlight w:val="none"/>
                <w:lang w:val="en-US" w:eastAsia="zh-CN"/>
              </w:rPr>
              <w:t>1.76</w:t>
            </w:r>
            <w:r>
              <w:rPr>
                <w:rFonts w:hint="eastAsia"/>
                <w:highlight w:val="none"/>
              </w:rPr>
              <w:t>km，下游2</w:t>
            </w:r>
            <w:r>
              <w:rPr>
                <w:rFonts w:hint="eastAsia"/>
                <w:highlight w:val="none"/>
                <w:lang w:val="en-US" w:eastAsia="zh-CN"/>
              </w:rPr>
              <w:t>.4</w:t>
            </w:r>
            <w:r>
              <w:rPr>
                <w:rFonts w:hint="eastAsia"/>
                <w:highlight w:val="none"/>
              </w:rPr>
              <w:t>km，两侧外扩</w:t>
            </w:r>
            <w:r>
              <w:rPr>
                <w:rFonts w:hint="eastAsia"/>
                <w:highlight w:val="none"/>
                <w:lang w:val="en-US" w:eastAsia="zh-CN"/>
              </w:rPr>
              <w:t>1.2</w:t>
            </w:r>
            <w:r>
              <w:rPr>
                <w:rFonts w:hint="eastAsia"/>
                <w:highlight w:val="none"/>
              </w:rPr>
              <w:t>km的矩形区域</w:t>
            </w:r>
            <w:r>
              <w:rPr>
                <w:rFonts w:hint="eastAsia"/>
                <w:highlight w:val="none"/>
                <w:lang w:eastAsia="zh-CN"/>
              </w:rPr>
              <w:t>，</w:t>
            </w:r>
            <w:r>
              <w:rPr>
                <w:rFonts w:hint="eastAsia"/>
                <w:highlight w:val="none"/>
                <w:lang w:val="en-US" w:eastAsia="zh-CN"/>
              </w:rPr>
              <w:t>总面积9.984km</w:t>
            </w:r>
            <w:r>
              <w:rPr>
                <w:rFonts w:hint="eastAsia"/>
                <w:highlight w:val="none"/>
                <w:vertAlign w:val="superscript"/>
                <w:lang w:val="en-US" w:eastAsia="zh-CN"/>
              </w:rPr>
              <w:t>2</w:t>
            </w:r>
          </w:p>
        </w:tc>
      </w:tr>
      <w:tr w14:paraId="295CECF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64" w:type="pct"/>
            <w:tcBorders>
              <w:left w:val="single" w:color="auto" w:sz="4" w:space="0"/>
            </w:tcBorders>
            <w:noWrap w:val="0"/>
            <w:vAlign w:val="center"/>
          </w:tcPr>
          <w:p w14:paraId="7E524002">
            <w:pPr>
              <w:pStyle w:val="55"/>
              <w:bidi w:val="0"/>
              <w:rPr>
                <w:rFonts w:hint="eastAsia"/>
                <w:highlight w:val="none"/>
                <w:lang w:val="en-US" w:eastAsia="zh-CN"/>
              </w:rPr>
            </w:pPr>
            <w:r>
              <w:rPr>
                <w:rFonts w:hint="eastAsia"/>
                <w:highlight w:val="none"/>
                <w:lang w:val="en-US" w:eastAsia="zh-CN"/>
              </w:rPr>
              <w:t>声环境</w:t>
            </w:r>
          </w:p>
        </w:tc>
        <w:tc>
          <w:tcPr>
            <w:tcW w:w="860" w:type="pct"/>
            <w:noWrap w:val="0"/>
            <w:vAlign w:val="center"/>
          </w:tcPr>
          <w:p w14:paraId="03E09DEF">
            <w:pPr>
              <w:pStyle w:val="55"/>
              <w:bidi w:val="0"/>
              <w:rPr>
                <w:rFonts w:hint="eastAsia"/>
                <w:highlight w:val="none"/>
                <w:lang w:val="en-US" w:eastAsia="zh-CN"/>
              </w:rPr>
            </w:pPr>
            <w:r>
              <w:rPr>
                <w:rFonts w:hint="eastAsia"/>
                <w:highlight w:val="none"/>
                <w:lang w:val="en-US" w:eastAsia="zh-CN"/>
              </w:rPr>
              <w:t>二级</w:t>
            </w:r>
          </w:p>
        </w:tc>
        <w:tc>
          <w:tcPr>
            <w:tcW w:w="3175" w:type="pct"/>
            <w:tcBorders>
              <w:right w:val="single" w:color="auto" w:sz="4" w:space="0"/>
            </w:tcBorders>
            <w:noWrap w:val="0"/>
            <w:vAlign w:val="center"/>
          </w:tcPr>
          <w:p w14:paraId="14CC10BC">
            <w:pPr>
              <w:pStyle w:val="55"/>
              <w:bidi w:val="0"/>
              <w:rPr>
                <w:rFonts w:hint="default"/>
                <w:highlight w:val="none"/>
                <w:lang w:val="en-US" w:eastAsia="zh-CN"/>
              </w:rPr>
            </w:pPr>
            <w:r>
              <w:rPr>
                <w:highlight w:val="none"/>
              </w:rPr>
              <w:t>厂界外</w:t>
            </w:r>
            <w:r>
              <w:rPr>
                <w:rFonts w:hint="eastAsia"/>
                <w:highlight w:val="none"/>
                <w:lang w:val="en-US" w:eastAsia="zh-CN"/>
              </w:rPr>
              <w:t>200</w:t>
            </w:r>
            <w:r>
              <w:rPr>
                <w:highlight w:val="none"/>
              </w:rPr>
              <w:t>m</w:t>
            </w:r>
            <w:r>
              <w:rPr>
                <w:rFonts w:hint="eastAsia"/>
                <w:highlight w:val="none"/>
                <w:lang w:val="en-US" w:eastAsia="zh-CN"/>
              </w:rPr>
              <w:t>范围内</w:t>
            </w:r>
          </w:p>
        </w:tc>
      </w:tr>
      <w:tr w14:paraId="0FAB992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64" w:type="pct"/>
            <w:tcBorders>
              <w:left w:val="single" w:color="auto" w:sz="4" w:space="0"/>
            </w:tcBorders>
            <w:noWrap w:val="0"/>
            <w:vAlign w:val="center"/>
          </w:tcPr>
          <w:p w14:paraId="6EA5BD88">
            <w:pPr>
              <w:pStyle w:val="55"/>
              <w:bidi w:val="0"/>
              <w:rPr>
                <w:rFonts w:hint="default"/>
                <w:highlight w:val="none"/>
                <w:lang w:val="en-US" w:eastAsia="zh-CN"/>
              </w:rPr>
            </w:pPr>
            <w:r>
              <w:rPr>
                <w:rFonts w:hint="eastAsia"/>
                <w:highlight w:val="none"/>
                <w:lang w:val="en-US" w:eastAsia="zh-CN"/>
              </w:rPr>
              <w:t>土壤环境</w:t>
            </w:r>
          </w:p>
        </w:tc>
        <w:tc>
          <w:tcPr>
            <w:tcW w:w="860" w:type="pct"/>
            <w:noWrap w:val="0"/>
            <w:vAlign w:val="center"/>
          </w:tcPr>
          <w:p w14:paraId="09724068">
            <w:pPr>
              <w:pStyle w:val="55"/>
              <w:bidi w:val="0"/>
              <w:rPr>
                <w:rFonts w:hint="eastAsia"/>
                <w:highlight w:val="none"/>
                <w:lang w:val="en-US" w:eastAsia="zh-CN"/>
              </w:rPr>
            </w:pPr>
            <w:r>
              <w:rPr>
                <w:rFonts w:hint="eastAsia"/>
                <w:highlight w:val="none"/>
                <w:lang w:val="en-US" w:eastAsia="zh-CN"/>
              </w:rPr>
              <w:t>三级</w:t>
            </w:r>
          </w:p>
        </w:tc>
        <w:tc>
          <w:tcPr>
            <w:tcW w:w="3175" w:type="pct"/>
            <w:tcBorders>
              <w:right w:val="single" w:color="auto" w:sz="4" w:space="0"/>
            </w:tcBorders>
            <w:noWrap w:val="0"/>
            <w:vAlign w:val="center"/>
          </w:tcPr>
          <w:p w14:paraId="36762D3B">
            <w:pPr>
              <w:pStyle w:val="55"/>
              <w:bidi w:val="0"/>
              <w:rPr>
                <w:highlight w:val="none"/>
              </w:rPr>
            </w:pPr>
            <w:r>
              <w:rPr>
                <w:rFonts w:hint="eastAsia"/>
                <w:highlight w:val="none"/>
                <w:lang w:val="en-US" w:eastAsia="zh-CN"/>
              </w:rPr>
              <w:t>工程占地范围内及占地范围外50m范围内</w:t>
            </w:r>
          </w:p>
        </w:tc>
      </w:tr>
      <w:tr w14:paraId="6DF7AA2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64" w:type="pct"/>
            <w:tcBorders>
              <w:left w:val="single" w:color="auto" w:sz="4" w:space="0"/>
            </w:tcBorders>
            <w:noWrap w:val="0"/>
            <w:vAlign w:val="center"/>
          </w:tcPr>
          <w:p w14:paraId="551122B4">
            <w:pPr>
              <w:pStyle w:val="55"/>
              <w:bidi w:val="0"/>
              <w:rPr>
                <w:rFonts w:hint="eastAsia"/>
                <w:highlight w:val="none"/>
                <w:lang w:val="en-US" w:eastAsia="zh-CN"/>
              </w:rPr>
            </w:pPr>
            <w:r>
              <w:rPr>
                <w:rFonts w:hint="eastAsia"/>
                <w:highlight w:val="none"/>
                <w:lang w:val="en-US" w:eastAsia="zh-CN"/>
              </w:rPr>
              <w:t>生态环境</w:t>
            </w:r>
          </w:p>
        </w:tc>
        <w:tc>
          <w:tcPr>
            <w:tcW w:w="860" w:type="pct"/>
            <w:noWrap w:val="0"/>
            <w:vAlign w:val="center"/>
          </w:tcPr>
          <w:p w14:paraId="55041891">
            <w:pPr>
              <w:pStyle w:val="55"/>
              <w:bidi w:val="0"/>
              <w:rPr>
                <w:rFonts w:hint="eastAsia"/>
                <w:highlight w:val="none"/>
                <w:lang w:val="en-US" w:eastAsia="zh-CN"/>
              </w:rPr>
            </w:pPr>
            <w:r>
              <w:rPr>
                <w:rFonts w:hint="eastAsia"/>
                <w:highlight w:val="none"/>
                <w:lang w:val="en-US" w:eastAsia="zh-CN"/>
              </w:rPr>
              <w:t>三级</w:t>
            </w:r>
          </w:p>
        </w:tc>
        <w:tc>
          <w:tcPr>
            <w:tcW w:w="3175" w:type="pct"/>
            <w:tcBorders>
              <w:right w:val="single" w:color="auto" w:sz="4" w:space="0"/>
            </w:tcBorders>
            <w:noWrap w:val="0"/>
            <w:vAlign w:val="center"/>
          </w:tcPr>
          <w:p w14:paraId="5E2F6507">
            <w:pPr>
              <w:pStyle w:val="55"/>
              <w:bidi w:val="0"/>
              <w:rPr>
                <w:rFonts w:hint="default"/>
                <w:highlight w:val="none"/>
                <w:lang w:val="en-US" w:eastAsia="zh-CN"/>
              </w:rPr>
            </w:pPr>
            <w:r>
              <w:rPr>
                <w:rFonts w:hint="eastAsia"/>
                <w:highlight w:val="none"/>
                <w:lang w:val="en-US" w:eastAsia="zh-CN"/>
              </w:rPr>
              <w:t>工程占地范围内及占地范围外50m范围内</w:t>
            </w:r>
          </w:p>
        </w:tc>
      </w:tr>
      <w:tr w14:paraId="47D70D8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64" w:type="pct"/>
            <w:tcBorders>
              <w:left w:val="single" w:color="auto" w:sz="4" w:space="0"/>
              <w:bottom w:val="single" w:color="auto" w:sz="4" w:space="0"/>
            </w:tcBorders>
            <w:noWrap w:val="0"/>
            <w:vAlign w:val="center"/>
          </w:tcPr>
          <w:p w14:paraId="06B9A113">
            <w:pPr>
              <w:pStyle w:val="55"/>
              <w:bidi w:val="0"/>
              <w:rPr>
                <w:rFonts w:hint="default"/>
                <w:highlight w:val="none"/>
                <w:lang w:val="en-US" w:eastAsia="zh-CN"/>
              </w:rPr>
            </w:pPr>
            <w:r>
              <w:rPr>
                <w:rFonts w:hint="eastAsia"/>
                <w:highlight w:val="none"/>
                <w:lang w:val="en-US" w:eastAsia="zh-CN"/>
              </w:rPr>
              <w:t>环境风险</w:t>
            </w:r>
          </w:p>
        </w:tc>
        <w:tc>
          <w:tcPr>
            <w:tcW w:w="860" w:type="pct"/>
            <w:tcBorders>
              <w:bottom w:val="single" w:color="auto" w:sz="4" w:space="0"/>
            </w:tcBorders>
            <w:noWrap w:val="0"/>
            <w:vAlign w:val="center"/>
          </w:tcPr>
          <w:p w14:paraId="51985DF4">
            <w:pPr>
              <w:pStyle w:val="55"/>
              <w:bidi w:val="0"/>
              <w:rPr>
                <w:rFonts w:hint="eastAsia"/>
                <w:highlight w:val="none"/>
                <w:lang w:val="en-US" w:eastAsia="zh-CN"/>
              </w:rPr>
            </w:pPr>
            <w:r>
              <w:rPr>
                <w:rFonts w:hint="eastAsia"/>
                <w:highlight w:val="none"/>
                <w:lang w:val="en-US" w:eastAsia="zh-CN"/>
              </w:rPr>
              <w:t>简单分析</w:t>
            </w:r>
          </w:p>
        </w:tc>
        <w:tc>
          <w:tcPr>
            <w:tcW w:w="3175" w:type="pct"/>
            <w:tcBorders>
              <w:bottom w:val="single" w:color="auto" w:sz="4" w:space="0"/>
              <w:right w:val="single" w:color="auto" w:sz="4" w:space="0"/>
            </w:tcBorders>
            <w:noWrap w:val="0"/>
            <w:vAlign w:val="center"/>
          </w:tcPr>
          <w:p w14:paraId="3F6601EB">
            <w:pPr>
              <w:pStyle w:val="55"/>
              <w:bidi w:val="0"/>
              <w:rPr>
                <w:highlight w:val="none"/>
              </w:rPr>
            </w:pPr>
            <w:r>
              <w:rPr>
                <w:highlight w:val="none"/>
              </w:rPr>
              <w:t>不设评价范围</w:t>
            </w:r>
          </w:p>
        </w:tc>
      </w:tr>
    </w:tbl>
    <w:p w14:paraId="54D602A3">
      <w:pPr>
        <w:pStyle w:val="92"/>
        <w:bidi w:val="0"/>
        <w:ind w:left="0" w:leftChars="0" w:firstLine="0" w:firstLineChars="0"/>
      </w:pPr>
      <w:r>
        <w:t>环境</w:t>
      </w:r>
      <w:r>
        <w:rPr>
          <w:rFonts w:hint="eastAsia"/>
          <w:lang w:val="en-US" w:eastAsia="zh-CN"/>
        </w:rPr>
        <w:t>敏感目标</w:t>
      </w:r>
    </w:p>
    <w:p w14:paraId="17F3256C">
      <w:pPr>
        <w:pStyle w:val="47"/>
        <w:bidi w:val="0"/>
        <w:rPr>
          <w:rFonts w:hint="default"/>
          <w:highlight w:val="none"/>
        </w:rPr>
      </w:pPr>
      <w:r>
        <w:rPr>
          <w:rFonts w:hint="default"/>
          <w:highlight w:val="none"/>
        </w:rPr>
        <w:t>经现场勘查，项目环境影响评价范围内无自然保护区、风景名胜区、饮用水源保护区等保护目标，周边以居民住宅为主要环境保护目标。项目周边200m范围内</w:t>
      </w:r>
      <w:r>
        <w:rPr>
          <w:rFonts w:hint="eastAsia"/>
          <w:highlight w:val="none"/>
          <w:lang w:val="en-US" w:eastAsia="zh-CN"/>
        </w:rPr>
        <w:t>无</w:t>
      </w:r>
      <w:r>
        <w:rPr>
          <w:rFonts w:hint="default"/>
          <w:highlight w:val="none"/>
        </w:rPr>
        <w:t>声环境敏感保护目标，大气</w:t>
      </w:r>
      <w:r>
        <w:rPr>
          <w:rFonts w:hint="eastAsia"/>
          <w:highlight w:val="none"/>
          <w:lang w:eastAsia="zh-CN"/>
        </w:rPr>
        <w:t>、</w:t>
      </w:r>
      <w:r>
        <w:rPr>
          <w:rFonts w:hint="default"/>
          <w:highlight w:val="none"/>
        </w:rPr>
        <w:t>地下水</w:t>
      </w:r>
      <w:r>
        <w:rPr>
          <w:rFonts w:hint="eastAsia"/>
          <w:highlight w:val="none"/>
          <w:lang w:eastAsia="zh-CN"/>
        </w:rPr>
        <w:t>、</w:t>
      </w:r>
      <w:r>
        <w:rPr>
          <w:rFonts w:hint="default"/>
          <w:highlight w:val="none"/>
        </w:rPr>
        <w:t>土壤环境影响评价</w:t>
      </w:r>
      <w:r>
        <w:rPr>
          <w:rFonts w:hint="eastAsia"/>
          <w:highlight w:val="none"/>
          <w:lang w:eastAsia="zh-CN"/>
        </w:rPr>
        <w:t>范围内环境敏感保护目标详见表</w:t>
      </w:r>
      <w:r>
        <w:rPr>
          <w:rFonts w:hint="eastAsia"/>
          <w:highlight w:val="none"/>
          <w:lang w:val="en-US" w:eastAsia="zh-CN"/>
        </w:rPr>
        <w:t>2.5-2</w:t>
      </w:r>
      <w:r>
        <w:rPr>
          <w:rFonts w:hint="default"/>
          <w:highlight w:val="none"/>
        </w:rPr>
        <w:t>。</w:t>
      </w:r>
    </w:p>
    <w:p w14:paraId="07C934A8">
      <w:pPr>
        <w:pStyle w:val="94"/>
        <w:bidi w:val="0"/>
        <w:ind w:left="0" w:leftChars="0" w:firstLine="0" w:firstLineChars="0"/>
        <w:rPr>
          <w:rFonts w:hint="eastAsia"/>
          <w:lang w:val="en-US" w:eastAsia="zh-CN"/>
        </w:rPr>
      </w:pPr>
      <w:r>
        <w:rPr>
          <w:rFonts w:hint="eastAsia"/>
          <w:lang w:val="en-US" w:eastAsia="zh-CN"/>
        </w:rPr>
        <w:t>主要环境敏感保护目标一览表</w:t>
      </w:r>
    </w:p>
    <w:tbl>
      <w:tblPr>
        <w:tblStyle w:val="32"/>
        <w:tblW w:w="51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7" w:type="dxa"/>
          <w:bottom w:w="0" w:type="dxa"/>
          <w:right w:w="17" w:type="dxa"/>
        </w:tblCellMar>
      </w:tblPr>
      <w:tblGrid>
        <w:gridCol w:w="650"/>
        <w:gridCol w:w="454"/>
        <w:gridCol w:w="1299"/>
        <w:gridCol w:w="1609"/>
        <w:gridCol w:w="1546"/>
        <w:gridCol w:w="537"/>
        <w:gridCol w:w="552"/>
        <w:gridCol w:w="1211"/>
        <w:gridCol w:w="651"/>
        <w:gridCol w:w="947"/>
      </w:tblGrid>
      <w:tr w14:paraId="2687E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7" w:type="dxa"/>
            <w:bottom w:w="0" w:type="dxa"/>
            <w:right w:w="17" w:type="dxa"/>
          </w:tblCellMar>
        </w:tblPrEx>
        <w:trPr>
          <w:trHeight w:val="397" w:hRule="atLeast"/>
          <w:tblHeader/>
        </w:trPr>
        <w:tc>
          <w:tcPr>
            <w:tcW w:w="343" w:type="pct"/>
            <w:vMerge w:val="restart"/>
            <w:shd w:val="clear" w:color="auto" w:fill="auto"/>
            <w:vAlign w:val="center"/>
          </w:tcPr>
          <w:p w14:paraId="77DA1EA5">
            <w:pPr>
              <w:pStyle w:val="55"/>
              <w:bidi w:val="0"/>
              <w:jc w:val="center"/>
              <w:rPr>
                <w:rFonts w:hint="eastAsia" w:eastAsia="宋体"/>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环境要素</w:t>
            </w:r>
          </w:p>
        </w:tc>
        <w:tc>
          <w:tcPr>
            <w:tcW w:w="240" w:type="pct"/>
            <w:vMerge w:val="restart"/>
            <w:shd w:val="clear" w:color="auto" w:fill="auto"/>
            <w:vAlign w:val="center"/>
          </w:tcPr>
          <w:p w14:paraId="04E24A8D">
            <w:pPr>
              <w:pStyle w:val="55"/>
              <w:bidi w:val="0"/>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序号</w:t>
            </w:r>
          </w:p>
        </w:tc>
        <w:tc>
          <w:tcPr>
            <w:tcW w:w="686" w:type="pct"/>
            <w:vMerge w:val="restart"/>
            <w:shd w:val="clear" w:color="auto" w:fill="auto"/>
            <w:vAlign w:val="center"/>
          </w:tcPr>
          <w:p w14:paraId="2B2CA925">
            <w:pPr>
              <w:pStyle w:val="55"/>
              <w:bidi w:val="0"/>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名称</w:t>
            </w:r>
          </w:p>
        </w:tc>
        <w:tc>
          <w:tcPr>
            <w:tcW w:w="1668" w:type="pct"/>
            <w:gridSpan w:val="2"/>
            <w:vAlign w:val="center"/>
          </w:tcPr>
          <w:p w14:paraId="2D8205D2">
            <w:pPr>
              <w:pStyle w:val="55"/>
              <w:bidi w:val="0"/>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坐标/</w:t>
            </w:r>
            <w:r>
              <w:rPr>
                <w:color w:val="000000" w:themeColor="text1"/>
                <w:sz w:val="24"/>
                <w:szCs w:val="24"/>
                <w14:textFill>
                  <w14:solidFill>
                    <w14:schemeClr w14:val="tx1"/>
                  </w14:solidFill>
                </w14:textFill>
              </w:rPr>
              <w:t xml:space="preserve"> o</w:t>
            </w:r>
          </w:p>
        </w:tc>
        <w:tc>
          <w:tcPr>
            <w:tcW w:w="283" w:type="pct"/>
            <w:vMerge w:val="restart"/>
            <w:vAlign w:val="center"/>
          </w:tcPr>
          <w:p w14:paraId="14DA5C8B">
            <w:pPr>
              <w:pStyle w:val="55"/>
              <w:bidi w:val="0"/>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保护</w:t>
            </w:r>
            <w:r>
              <w:rPr>
                <w:rFonts w:hint="eastAsia"/>
                <w:color w:val="000000" w:themeColor="text1"/>
                <w:sz w:val="24"/>
                <w:szCs w:val="24"/>
                <w14:textFill>
                  <w14:solidFill>
                    <w14:schemeClr w14:val="tx1"/>
                  </w14:solidFill>
                </w14:textFill>
              </w:rPr>
              <w:t>对象</w:t>
            </w:r>
          </w:p>
        </w:tc>
        <w:tc>
          <w:tcPr>
            <w:tcW w:w="291" w:type="pct"/>
            <w:vMerge w:val="restart"/>
            <w:vAlign w:val="center"/>
          </w:tcPr>
          <w:p w14:paraId="38CFF2D8">
            <w:pPr>
              <w:pStyle w:val="55"/>
              <w:bidi w:val="0"/>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保护内容</w:t>
            </w:r>
          </w:p>
        </w:tc>
        <w:tc>
          <w:tcPr>
            <w:tcW w:w="640" w:type="pct"/>
            <w:vMerge w:val="restart"/>
            <w:vAlign w:val="center"/>
          </w:tcPr>
          <w:p w14:paraId="343EEF26">
            <w:pPr>
              <w:pStyle w:val="55"/>
              <w:bidi w:val="0"/>
              <w:jc w:val="center"/>
              <w:rPr>
                <w:rFonts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14:textFill>
                  <w14:solidFill>
                    <w14:schemeClr w14:val="tx1"/>
                  </w14:solidFill>
                </w14:textFill>
              </w:rPr>
              <w:t>环境</w:t>
            </w:r>
            <w:r>
              <w:rPr>
                <w:color w:val="000000" w:themeColor="text1"/>
                <w:sz w:val="24"/>
                <w:szCs w:val="24"/>
                <w14:textFill>
                  <w14:solidFill>
                    <w14:schemeClr w14:val="tx1"/>
                  </w14:solidFill>
                </w14:textFill>
              </w:rPr>
              <w:t>质量标准</w:t>
            </w:r>
          </w:p>
          <w:p w14:paraId="0C422017">
            <w:pPr>
              <w:pStyle w:val="55"/>
              <w:bidi w:val="0"/>
              <w:jc w:val="center"/>
              <w:rPr>
                <w:color w:val="000000" w:themeColor="text1"/>
                <w:sz w:val="24"/>
                <w:szCs w:val="24"/>
                <w14:textFill>
                  <w14:solidFill>
                    <w14:schemeClr w14:val="tx1"/>
                  </w14:solidFill>
                </w14:textFill>
              </w:rPr>
            </w:pPr>
          </w:p>
        </w:tc>
        <w:tc>
          <w:tcPr>
            <w:tcW w:w="344" w:type="pct"/>
            <w:vMerge w:val="restart"/>
            <w:shd w:val="clear" w:color="auto" w:fill="auto"/>
            <w:vAlign w:val="center"/>
          </w:tcPr>
          <w:p w14:paraId="1A77217C">
            <w:pPr>
              <w:pStyle w:val="55"/>
              <w:bidi w:val="0"/>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相对</w:t>
            </w:r>
            <w:r>
              <w:rPr>
                <w:color w:val="000000" w:themeColor="text1"/>
                <w:sz w:val="24"/>
                <w:szCs w:val="24"/>
                <w14:textFill>
                  <w14:solidFill>
                    <w14:schemeClr w14:val="tx1"/>
                  </w14:solidFill>
                </w14:textFill>
              </w:rPr>
              <w:t>厂界方位</w:t>
            </w:r>
          </w:p>
        </w:tc>
        <w:tc>
          <w:tcPr>
            <w:tcW w:w="500" w:type="pct"/>
            <w:vMerge w:val="restart"/>
            <w:shd w:val="clear" w:color="auto" w:fill="auto"/>
            <w:vAlign w:val="center"/>
          </w:tcPr>
          <w:p w14:paraId="6D6C4577">
            <w:pPr>
              <w:pStyle w:val="55"/>
              <w:bidi w:val="0"/>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相对厂界</w:t>
            </w:r>
            <w:r>
              <w:rPr>
                <w:color w:val="000000" w:themeColor="text1"/>
                <w:sz w:val="24"/>
                <w:szCs w:val="24"/>
                <w14:textFill>
                  <w14:solidFill>
                    <w14:schemeClr w14:val="tx1"/>
                  </w14:solidFill>
                </w14:textFill>
              </w:rPr>
              <w:t>距离</w:t>
            </w:r>
            <w:r>
              <w:rPr>
                <w:rFonts w:hint="eastAsia"/>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m</w:t>
            </w:r>
          </w:p>
        </w:tc>
      </w:tr>
      <w:tr w14:paraId="38E0F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7" w:type="dxa"/>
            <w:bottom w:w="0" w:type="dxa"/>
            <w:right w:w="17" w:type="dxa"/>
          </w:tblCellMar>
        </w:tblPrEx>
        <w:trPr>
          <w:trHeight w:val="397" w:hRule="atLeast"/>
          <w:tblHeader/>
        </w:trPr>
        <w:tc>
          <w:tcPr>
            <w:tcW w:w="343" w:type="pct"/>
            <w:vMerge w:val="continue"/>
            <w:shd w:val="clear" w:color="auto" w:fill="auto"/>
            <w:vAlign w:val="center"/>
          </w:tcPr>
          <w:p w14:paraId="48E45AC6">
            <w:pPr>
              <w:pStyle w:val="55"/>
              <w:bidi w:val="0"/>
              <w:jc w:val="center"/>
              <w:rPr>
                <w:color w:val="000000" w:themeColor="text1"/>
                <w:sz w:val="24"/>
                <w:szCs w:val="24"/>
                <w14:textFill>
                  <w14:solidFill>
                    <w14:schemeClr w14:val="tx1"/>
                  </w14:solidFill>
                </w14:textFill>
              </w:rPr>
            </w:pPr>
          </w:p>
        </w:tc>
        <w:tc>
          <w:tcPr>
            <w:tcW w:w="240" w:type="pct"/>
            <w:vMerge w:val="continue"/>
            <w:shd w:val="clear" w:color="auto" w:fill="auto"/>
            <w:vAlign w:val="center"/>
          </w:tcPr>
          <w:p w14:paraId="3BDA1ED4">
            <w:pPr>
              <w:pStyle w:val="55"/>
              <w:bidi w:val="0"/>
              <w:jc w:val="center"/>
              <w:rPr>
                <w:color w:val="000000" w:themeColor="text1"/>
                <w:sz w:val="24"/>
                <w:szCs w:val="24"/>
                <w14:textFill>
                  <w14:solidFill>
                    <w14:schemeClr w14:val="tx1"/>
                  </w14:solidFill>
                </w14:textFill>
              </w:rPr>
            </w:pPr>
          </w:p>
        </w:tc>
        <w:tc>
          <w:tcPr>
            <w:tcW w:w="686" w:type="pct"/>
            <w:vMerge w:val="continue"/>
            <w:shd w:val="clear" w:color="auto" w:fill="auto"/>
            <w:vAlign w:val="center"/>
          </w:tcPr>
          <w:p w14:paraId="4B044E9C">
            <w:pPr>
              <w:pStyle w:val="55"/>
              <w:bidi w:val="0"/>
              <w:jc w:val="center"/>
              <w:rPr>
                <w:color w:val="000000" w:themeColor="text1"/>
                <w:sz w:val="24"/>
                <w:szCs w:val="24"/>
                <w14:textFill>
                  <w14:solidFill>
                    <w14:schemeClr w14:val="tx1"/>
                  </w14:solidFill>
                </w14:textFill>
              </w:rPr>
            </w:pPr>
          </w:p>
        </w:tc>
        <w:tc>
          <w:tcPr>
            <w:tcW w:w="850" w:type="pct"/>
            <w:vAlign w:val="center"/>
          </w:tcPr>
          <w:p w14:paraId="57ED95F2">
            <w:pPr>
              <w:pStyle w:val="55"/>
              <w:bidi w:val="0"/>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E</w:t>
            </w:r>
          </w:p>
        </w:tc>
        <w:tc>
          <w:tcPr>
            <w:tcW w:w="817" w:type="pct"/>
            <w:vAlign w:val="center"/>
          </w:tcPr>
          <w:p w14:paraId="55E726F4">
            <w:pPr>
              <w:pStyle w:val="55"/>
              <w:bidi w:val="0"/>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N</w:t>
            </w:r>
          </w:p>
        </w:tc>
        <w:tc>
          <w:tcPr>
            <w:tcW w:w="283" w:type="pct"/>
            <w:vMerge w:val="continue"/>
            <w:vAlign w:val="center"/>
          </w:tcPr>
          <w:p w14:paraId="2D59AB82">
            <w:pPr>
              <w:pStyle w:val="55"/>
              <w:bidi w:val="0"/>
              <w:jc w:val="center"/>
              <w:rPr>
                <w:color w:val="000000" w:themeColor="text1"/>
                <w:sz w:val="24"/>
                <w:szCs w:val="24"/>
                <w14:textFill>
                  <w14:solidFill>
                    <w14:schemeClr w14:val="tx1"/>
                  </w14:solidFill>
                </w14:textFill>
              </w:rPr>
            </w:pPr>
          </w:p>
        </w:tc>
        <w:tc>
          <w:tcPr>
            <w:tcW w:w="291" w:type="pct"/>
            <w:vMerge w:val="continue"/>
            <w:vAlign w:val="center"/>
          </w:tcPr>
          <w:p w14:paraId="5CC00AD2">
            <w:pPr>
              <w:pStyle w:val="55"/>
              <w:bidi w:val="0"/>
              <w:jc w:val="center"/>
              <w:rPr>
                <w:color w:val="000000" w:themeColor="text1"/>
                <w:sz w:val="24"/>
                <w:szCs w:val="24"/>
                <w14:textFill>
                  <w14:solidFill>
                    <w14:schemeClr w14:val="tx1"/>
                  </w14:solidFill>
                </w14:textFill>
              </w:rPr>
            </w:pPr>
          </w:p>
        </w:tc>
        <w:tc>
          <w:tcPr>
            <w:tcW w:w="640" w:type="pct"/>
            <w:vMerge w:val="continue"/>
            <w:vAlign w:val="center"/>
          </w:tcPr>
          <w:p w14:paraId="3D3B3026">
            <w:pPr>
              <w:pStyle w:val="55"/>
              <w:bidi w:val="0"/>
              <w:jc w:val="center"/>
              <w:rPr>
                <w:color w:val="000000" w:themeColor="text1"/>
                <w:sz w:val="24"/>
                <w:szCs w:val="24"/>
                <w14:textFill>
                  <w14:solidFill>
                    <w14:schemeClr w14:val="tx1"/>
                  </w14:solidFill>
                </w14:textFill>
              </w:rPr>
            </w:pPr>
          </w:p>
        </w:tc>
        <w:tc>
          <w:tcPr>
            <w:tcW w:w="344" w:type="pct"/>
            <w:vMerge w:val="continue"/>
            <w:shd w:val="clear" w:color="auto" w:fill="auto"/>
            <w:vAlign w:val="center"/>
          </w:tcPr>
          <w:p w14:paraId="0F0BBEBB">
            <w:pPr>
              <w:pStyle w:val="55"/>
              <w:bidi w:val="0"/>
              <w:jc w:val="center"/>
              <w:rPr>
                <w:color w:val="000000" w:themeColor="text1"/>
                <w:sz w:val="24"/>
                <w:szCs w:val="24"/>
                <w14:textFill>
                  <w14:solidFill>
                    <w14:schemeClr w14:val="tx1"/>
                  </w14:solidFill>
                </w14:textFill>
              </w:rPr>
            </w:pPr>
          </w:p>
        </w:tc>
        <w:tc>
          <w:tcPr>
            <w:tcW w:w="500" w:type="pct"/>
            <w:vMerge w:val="continue"/>
            <w:shd w:val="clear" w:color="auto" w:fill="auto"/>
            <w:vAlign w:val="center"/>
          </w:tcPr>
          <w:p w14:paraId="400DEFB8">
            <w:pPr>
              <w:pStyle w:val="55"/>
              <w:bidi w:val="0"/>
              <w:jc w:val="center"/>
              <w:rPr>
                <w:color w:val="000000" w:themeColor="text1"/>
                <w:sz w:val="24"/>
                <w:szCs w:val="24"/>
                <w14:textFill>
                  <w14:solidFill>
                    <w14:schemeClr w14:val="tx1"/>
                  </w14:solidFill>
                </w14:textFill>
              </w:rPr>
            </w:pPr>
          </w:p>
        </w:tc>
      </w:tr>
      <w:tr w14:paraId="5F55A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7" w:type="dxa"/>
            <w:bottom w:w="0" w:type="dxa"/>
            <w:right w:w="17" w:type="dxa"/>
          </w:tblCellMar>
        </w:tblPrEx>
        <w:trPr>
          <w:trHeight w:val="397" w:hRule="atLeast"/>
        </w:trPr>
        <w:tc>
          <w:tcPr>
            <w:tcW w:w="343" w:type="pct"/>
            <w:vMerge w:val="restart"/>
            <w:tcBorders>
              <w:top w:val="single" w:color="000000" w:sz="4" w:space="0"/>
            </w:tcBorders>
            <w:shd w:val="clear" w:color="auto" w:fill="auto"/>
            <w:vAlign w:val="center"/>
          </w:tcPr>
          <w:p w14:paraId="737956B3">
            <w:pPr>
              <w:pStyle w:val="55"/>
              <w:bidi w:val="0"/>
              <w:jc w:val="center"/>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大气环境</w:t>
            </w:r>
          </w:p>
        </w:tc>
        <w:tc>
          <w:tcPr>
            <w:tcW w:w="240" w:type="pct"/>
            <w:shd w:val="clear" w:color="auto" w:fill="auto"/>
            <w:vAlign w:val="center"/>
          </w:tcPr>
          <w:p w14:paraId="74C8B1CD">
            <w:pPr>
              <w:pStyle w:val="55"/>
              <w:bidi w:val="0"/>
              <w:jc w:val="center"/>
              <w:rPr>
                <w:rFonts w:hint="default"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stheme="minorBidi"/>
                <w:snapToGrid w:val="0"/>
                <w:color w:val="000000" w:themeColor="text1"/>
                <w:kern w:val="0"/>
                <w:sz w:val="24"/>
                <w:szCs w:val="24"/>
                <w:lang w:val="en-US" w:eastAsia="zh-CN" w:bidi="ar-SA"/>
                <w14:textFill>
                  <w14:solidFill>
                    <w14:schemeClr w14:val="tx1"/>
                  </w14:solidFill>
                </w14:textFill>
              </w:rPr>
              <w:t>1</w:t>
            </w:r>
          </w:p>
        </w:tc>
        <w:tc>
          <w:tcPr>
            <w:tcW w:w="686" w:type="pct"/>
            <w:shd w:val="clear" w:color="auto" w:fill="auto"/>
            <w:vAlign w:val="center"/>
          </w:tcPr>
          <w:p w14:paraId="01752AB5">
            <w:pPr>
              <w:pStyle w:val="55"/>
              <w:bidi w:val="0"/>
              <w:jc w:val="center"/>
              <w:rPr>
                <w:rFonts w:hint="eastAsia"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王各庄</w:t>
            </w:r>
          </w:p>
        </w:tc>
        <w:tc>
          <w:tcPr>
            <w:tcW w:w="850" w:type="pct"/>
            <w:shd w:val="clear" w:color="auto" w:fill="auto"/>
            <w:vAlign w:val="center"/>
          </w:tcPr>
          <w:p w14:paraId="554B9610">
            <w:pPr>
              <w:pStyle w:val="55"/>
              <w:bidi w:val="0"/>
              <w:jc w:val="center"/>
              <w:rPr>
                <w:rFonts w:hint="eastAsia"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115.191259335</w:t>
            </w:r>
          </w:p>
        </w:tc>
        <w:tc>
          <w:tcPr>
            <w:tcW w:w="817" w:type="pct"/>
            <w:shd w:val="clear" w:color="auto" w:fill="auto"/>
            <w:vAlign w:val="center"/>
          </w:tcPr>
          <w:p w14:paraId="717FF27B">
            <w:pPr>
              <w:pStyle w:val="55"/>
              <w:bidi w:val="0"/>
              <w:jc w:val="center"/>
              <w:rPr>
                <w:rFonts w:hint="eastAsia"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38.787679492</w:t>
            </w:r>
          </w:p>
        </w:tc>
        <w:tc>
          <w:tcPr>
            <w:tcW w:w="283" w:type="pct"/>
            <w:shd w:val="clear" w:color="auto" w:fill="auto"/>
            <w:vAlign w:val="center"/>
          </w:tcPr>
          <w:p w14:paraId="3D4B4FFA">
            <w:pPr>
              <w:pStyle w:val="55"/>
              <w:bidi w:val="0"/>
              <w:jc w:val="center"/>
              <w:rPr>
                <w:rFonts w:hint="default"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村庄</w:t>
            </w:r>
          </w:p>
        </w:tc>
        <w:tc>
          <w:tcPr>
            <w:tcW w:w="291" w:type="pct"/>
            <w:shd w:val="clear" w:color="auto" w:fill="auto"/>
            <w:vAlign w:val="center"/>
          </w:tcPr>
          <w:p w14:paraId="4D56F928">
            <w:pPr>
              <w:pStyle w:val="55"/>
              <w:bidi w:val="0"/>
              <w:jc w:val="center"/>
              <w:rPr>
                <w:rFonts w:hint="default"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居民</w:t>
            </w:r>
          </w:p>
        </w:tc>
        <w:tc>
          <w:tcPr>
            <w:tcW w:w="640" w:type="pct"/>
            <w:vMerge w:val="restart"/>
            <w:tcBorders>
              <w:top w:val="single" w:color="000000" w:sz="4" w:space="0"/>
            </w:tcBorders>
            <w:shd w:val="clear" w:color="auto" w:fill="auto"/>
            <w:vAlign w:val="center"/>
          </w:tcPr>
          <w:p w14:paraId="67B52510">
            <w:pPr>
              <w:pStyle w:val="55"/>
              <w:bidi w:val="0"/>
              <w:jc w:val="center"/>
              <w:rPr>
                <w:rFonts w:hint="eastAsia"/>
                <w:color w:val="000000" w:themeColor="text1"/>
                <w:sz w:val="24"/>
                <w:szCs w:val="24"/>
                <w:lang w:val="en-US" w:eastAsia="zh-CN"/>
                <w14:textFill>
                  <w14:solidFill>
                    <w14:schemeClr w14:val="tx1"/>
                  </w14:solidFill>
                </w14:textFill>
              </w:rPr>
            </w:pPr>
            <w:r>
              <w:rPr>
                <w:color w:val="000000" w:themeColor="text1"/>
                <w:sz w:val="24"/>
                <w:szCs w:val="24"/>
                <w14:textFill>
                  <w14:solidFill>
                    <w14:schemeClr w14:val="tx1"/>
                  </w14:solidFill>
                </w14:textFill>
              </w:rPr>
              <w:t>《环境空气质量标准》（GB3095-2012）二级标准</w:t>
            </w:r>
            <w:r>
              <w:rPr>
                <w:rFonts w:hint="eastAsia"/>
                <w:color w:val="000000" w:themeColor="text1"/>
                <w:sz w:val="24"/>
                <w:szCs w:val="24"/>
                <w:lang w:eastAsia="zh-CN"/>
                <w14:textFill>
                  <w14:solidFill>
                    <w14:schemeClr w14:val="tx1"/>
                  </w14:solidFill>
                </w14:textFill>
              </w:rPr>
              <w:t>及其修改单</w:t>
            </w:r>
          </w:p>
          <w:p w14:paraId="360BBC67">
            <w:pPr>
              <w:pStyle w:val="55"/>
              <w:bidi w:val="0"/>
              <w:jc w:val="center"/>
              <w:rPr>
                <w:rFonts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p>
        </w:tc>
        <w:tc>
          <w:tcPr>
            <w:tcW w:w="344" w:type="pct"/>
            <w:shd w:val="clear" w:color="auto" w:fill="auto"/>
            <w:vAlign w:val="center"/>
          </w:tcPr>
          <w:p w14:paraId="1DDA398D">
            <w:pPr>
              <w:pStyle w:val="55"/>
              <w:bidi w:val="0"/>
              <w:jc w:val="center"/>
              <w:rPr>
                <w:rFonts w:hint="eastAsia"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S</w:t>
            </w:r>
          </w:p>
        </w:tc>
        <w:tc>
          <w:tcPr>
            <w:tcW w:w="500" w:type="pct"/>
            <w:shd w:val="clear" w:color="auto" w:fill="auto"/>
            <w:vAlign w:val="center"/>
          </w:tcPr>
          <w:p w14:paraId="3EF805CF">
            <w:pPr>
              <w:pStyle w:val="55"/>
              <w:bidi w:val="0"/>
              <w:jc w:val="center"/>
              <w:rPr>
                <w:rFonts w:hint="eastAsia"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210</w:t>
            </w:r>
          </w:p>
        </w:tc>
      </w:tr>
      <w:tr w14:paraId="141FA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7" w:type="dxa"/>
            <w:bottom w:w="0" w:type="dxa"/>
            <w:right w:w="17" w:type="dxa"/>
          </w:tblCellMar>
        </w:tblPrEx>
        <w:trPr>
          <w:trHeight w:val="397" w:hRule="atLeast"/>
        </w:trPr>
        <w:tc>
          <w:tcPr>
            <w:tcW w:w="343" w:type="pct"/>
            <w:vMerge w:val="continue"/>
            <w:tcBorders>
              <w:top w:val="single" w:color="000000" w:sz="4" w:space="0"/>
              <w:bottom w:val="single" w:color="000000" w:sz="4" w:space="0"/>
            </w:tcBorders>
            <w:shd w:val="clear" w:color="auto" w:fill="auto"/>
            <w:vAlign w:val="center"/>
          </w:tcPr>
          <w:p w14:paraId="053FE9DE">
            <w:pPr>
              <w:pStyle w:val="55"/>
              <w:bidi w:val="0"/>
              <w:jc w:val="center"/>
              <w:rPr>
                <w:rFonts w:hint="eastAsia"/>
                <w:color w:val="000000" w:themeColor="text1"/>
                <w:sz w:val="24"/>
                <w:szCs w:val="24"/>
                <w:lang w:val="en-US" w:eastAsia="zh-CN"/>
                <w14:textFill>
                  <w14:solidFill>
                    <w14:schemeClr w14:val="tx1"/>
                  </w14:solidFill>
                </w14:textFill>
              </w:rPr>
            </w:pPr>
          </w:p>
        </w:tc>
        <w:tc>
          <w:tcPr>
            <w:tcW w:w="240" w:type="pct"/>
            <w:shd w:val="clear" w:color="auto" w:fill="auto"/>
            <w:vAlign w:val="center"/>
          </w:tcPr>
          <w:p w14:paraId="2C49936B">
            <w:pPr>
              <w:pStyle w:val="55"/>
              <w:bidi w:val="0"/>
              <w:jc w:val="center"/>
              <w:rPr>
                <w:rFonts w:hint="default"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stheme="minorBidi"/>
                <w:snapToGrid w:val="0"/>
                <w:color w:val="000000" w:themeColor="text1"/>
                <w:kern w:val="0"/>
                <w:sz w:val="24"/>
                <w:szCs w:val="24"/>
                <w:lang w:val="en-US" w:eastAsia="zh-CN" w:bidi="ar-SA"/>
                <w14:textFill>
                  <w14:solidFill>
                    <w14:schemeClr w14:val="tx1"/>
                  </w14:solidFill>
                </w14:textFill>
              </w:rPr>
              <w:t>2</w:t>
            </w:r>
          </w:p>
        </w:tc>
        <w:tc>
          <w:tcPr>
            <w:tcW w:w="686" w:type="pct"/>
            <w:shd w:val="clear" w:color="auto" w:fill="auto"/>
            <w:vAlign w:val="center"/>
          </w:tcPr>
          <w:p w14:paraId="3FAF97D1">
            <w:pPr>
              <w:pStyle w:val="55"/>
              <w:bidi w:val="0"/>
              <w:jc w:val="center"/>
              <w:rPr>
                <w:rFonts w:hint="eastAsia"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何家庄村</w:t>
            </w:r>
          </w:p>
        </w:tc>
        <w:tc>
          <w:tcPr>
            <w:tcW w:w="850" w:type="pct"/>
            <w:shd w:val="clear" w:color="auto" w:fill="auto"/>
            <w:vAlign w:val="center"/>
          </w:tcPr>
          <w:p w14:paraId="4A1492B5">
            <w:pPr>
              <w:pStyle w:val="55"/>
              <w:bidi w:val="0"/>
              <w:jc w:val="center"/>
              <w:rPr>
                <w:rFonts w:hint="eastAsia"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115.175788353</w:t>
            </w:r>
          </w:p>
        </w:tc>
        <w:tc>
          <w:tcPr>
            <w:tcW w:w="817" w:type="pct"/>
            <w:shd w:val="clear" w:color="auto" w:fill="auto"/>
            <w:vAlign w:val="center"/>
          </w:tcPr>
          <w:p w14:paraId="69FD51F2">
            <w:pPr>
              <w:pStyle w:val="55"/>
              <w:bidi w:val="0"/>
              <w:jc w:val="center"/>
              <w:rPr>
                <w:rFonts w:hint="eastAsia"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38.792378725</w:t>
            </w:r>
          </w:p>
        </w:tc>
        <w:tc>
          <w:tcPr>
            <w:tcW w:w="283" w:type="pct"/>
            <w:shd w:val="clear" w:color="auto" w:fill="auto"/>
            <w:vAlign w:val="center"/>
          </w:tcPr>
          <w:p w14:paraId="0399AB17">
            <w:pPr>
              <w:pStyle w:val="55"/>
              <w:bidi w:val="0"/>
              <w:jc w:val="center"/>
              <w:rPr>
                <w:rFonts w:hint="default"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村庄</w:t>
            </w:r>
          </w:p>
        </w:tc>
        <w:tc>
          <w:tcPr>
            <w:tcW w:w="291" w:type="pct"/>
            <w:shd w:val="clear" w:color="auto" w:fill="auto"/>
            <w:vAlign w:val="center"/>
          </w:tcPr>
          <w:p w14:paraId="04EE8A8B">
            <w:pPr>
              <w:pStyle w:val="55"/>
              <w:bidi w:val="0"/>
              <w:jc w:val="center"/>
              <w:rPr>
                <w:rFonts w:hint="default"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居民</w:t>
            </w:r>
          </w:p>
        </w:tc>
        <w:tc>
          <w:tcPr>
            <w:tcW w:w="640" w:type="pct"/>
            <w:vMerge w:val="continue"/>
            <w:tcBorders>
              <w:top w:val="single" w:color="000000" w:sz="4" w:space="0"/>
              <w:bottom w:val="single" w:color="000000" w:sz="4" w:space="0"/>
            </w:tcBorders>
            <w:shd w:val="clear" w:color="auto" w:fill="auto"/>
            <w:vAlign w:val="center"/>
          </w:tcPr>
          <w:p w14:paraId="55B80006">
            <w:pPr>
              <w:pStyle w:val="55"/>
              <w:bidi w:val="0"/>
              <w:jc w:val="center"/>
              <w:rPr>
                <w:rFonts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p>
        </w:tc>
        <w:tc>
          <w:tcPr>
            <w:tcW w:w="344" w:type="pct"/>
            <w:shd w:val="clear" w:color="auto" w:fill="auto"/>
            <w:vAlign w:val="center"/>
          </w:tcPr>
          <w:p w14:paraId="14569EF7">
            <w:pPr>
              <w:pStyle w:val="55"/>
              <w:bidi w:val="0"/>
              <w:jc w:val="center"/>
              <w:rPr>
                <w:rFonts w:hint="eastAsia"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W</w:t>
            </w:r>
          </w:p>
        </w:tc>
        <w:tc>
          <w:tcPr>
            <w:tcW w:w="500" w:type="pct"/>
            <w:shd w:val="clear" w:color="auto" w:fill="auto"/>
            <w:vAlign w:val="center"/>
          </w:tcPr>
          <w:p w14:paraId="3A54448B">
            <w:pPr>
              <w:pStyle w:val="55"/>
              <w:bidi w:val="0"/>
              <w:jc w:val="center"/>
              <w:rPr>
                <w:rFonts w:hint="eastAsia"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757</w:t>
            </w:r>
          </w:p>
        </w:tc>
      </w:tr>
      <w:tr w14:paraId="0FE2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7" w:type="dxa"/>
            <w:bottom w:w="0" w:type="dxa"/>
            <w:right w:w="17" w:type="dxa"/>
          </w:tblCellMar>
        </w:tblPrEx>
        <w:trPr>
          <w:trHeight w:val="397" w:hRule="atLeast"/>
        </w:trPr>
        <w:tc>
          <w:tcPr>
            <w:tcW w:w="343" w:type="pct"/>
            <w:vMerge w:val="continue"/>
            <w:tcBorders>
              <w:top w:val="single" w:color="000000" w:sz="4" w:space="0"/>
              <w:bottom w:val="single" w:color="000000" w:sz="4" w:space="0"/>
            </w:tcBorders>
            <w:shd w:val="clear" w:color="auto" w:fill="auto"/>
            <w:vAlign w:val="center"/>
          </w:tcPr>
          <w:p w14:paraId="5329CCB3">
            <w:pPr>
              <w:pStyle w:val="55"/>
              <w:bidi w:val="0"/>
              <w:jc w:val="center"/>
              <w:rPr>
                <w:rFonts w:hint="eastAsia"/>
                <w:color w:val="000000" w:themeColor="text1"/>
                <w:sz w:val="24"/>
                <w:szCs w:val="24"/>
                <w:lang w:val="en-US" w:eastAsia="zh-CN"/>
                <w14:textFill>
                  <w14:solidFill>
                    <w14:schemeClr w14:val="tx1"/>
                  </w14:solidFill>
                </w14:textFill>
              </w:rPr>
            </w:pPr>
          </w:p>
        </w:tc>
        <w:tc>
          <w:tcPr>
            <w:tcW w:w="240" w:type="pct"/>
            <w:shd w:val="clear" w:color="auto" w:fill="auto"/>
            <w:vAlign w:val="center"/>
          </w:tcPr>
          <w:p w14:paraId="477030E6">
            <w:pPr>
              <w:pStyle w:val="55"/>
              <w:bidi w:val="0"/>
              <w:jc w:val="center"/>
              <w:rPr>
                <w:rFonts w:hint="default"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stheme="minorBidi"/>
                <w:snapToGrid w:val="0"/>
                <w:color w:val="000000" w:themeColor="text1"/>
                <w:kern w:val="0"/>
                <w:sz w:val="24"/>
                <w:szCs w:val="24"/>
                <w:lang w:val="en-US" w:eastAsia="zh-CN" w:bidi="ar-SA"/>
                <w14:textFill>
                  <w14:solidFill>
                    <w14:schemeClr w14:val="tx1"/>
                  </w14:solidFill>
                </w14:textFill>
              </w:rPr>
              <w:t>3</w:t>
            </w:r>
          </w:p>
        </w:tc>
        <w:tc>
          <w:tcPr>
            <w:tcW w:w="686" w:type="pct"/>
            <w:shd w:val="clear" w:color="auto" w:fill="auto"/>
            <w:vAlign w:val="center"/>
          </w:tcPr>
          <w:p w14:paraId="221F88EE">
            <w:pPr>
              <w:pStyle w:val="55"/>
              <w:bidi w:val="0"/>
              <w:jc w:val="center"/>
              <w:rPr>
                <w:rFonts w:hint="eastAsia"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西亭乡村</w:t>
            </w:r>
          </w:p>
        </w:tc>
        <w:tc>
          <w:tcPr>
            <w:tcW w:w="850" w:type="pct"/>
            <w:shd w:val="clear" w:color="auto" w:fill="auto"/>
            <w:vAlign w:val="center"/>
          </w:tcPr>
          <w:p w14:paraId="6444146C">
            <w:pPr>
              <w:pStyle w:val="55"/>
              <w:bidi w:val="0"/>
              <w:jc w:val="center"/>
              <w:rPr>
                <w:rFonts w:hint="eastAsia"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115.168986271</w:t>
            </w:r>
          </w:p>
        </w:tc>
        <w:tc>
          <w:tcPr>
            <w:tcW w:w="817" w:type="pct"/>
            <w:shd w:val="clear" w:color="auto" w:fill="auto"/>
            <w:vAlign w:val="center"/>
          </w:tcPr>
          <w:p w14:paraId="4E0D17D3">
            <w:pPr>
              <w:pStyle w:val="55"/>
              <w:bidi w:val="0"/>
              <w:jc w:val="center"/>
              <w:rPr>
                <w:rFonts w:hint="eastAsia"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38.800811590</w:t>
            </w:r>
          </w:p>
        </w:tc>
        <w:tc>
          <w:tcPr>
            <w:tcW w:w="283" w:type="pct"/>
            <w:shd w:val="clear" w:color="auto" w:fill="auto"/>
            <w:vAlign w:val="center"/>
          </w:tcPr>
          <w:p w14:paraId="58A7E8A4">
            <w:pPr>
              <w:pStyle w:val="55"/>
              <w:bidi w:val="0"/>
              <w:jc w:val="center"/>
              <w:rPr>
                <w:rFonts w:hint="default"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村庄</w:t>
            </w:r>
          </w:p>
        </w:tc>
        <w:tc>
          <w:tcPr>
            <w:tcW w:w="291" w:type="pct"/>
            <w:shd w:val="clear" w:color="auto" w:fill="auto"/>
            <w:vAlign w:val="center"/>
          </w:tcPr>
          <w:p w14:paraId="62C23EE0">
            <w:pPr>
              <w:pStyle w:val="55"/>
              <w:bidi w:val="0"/>
              <w:jc w:val="center"/>
              <w:rPr>
                <w:rFonts w:hint="default"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居民</w:t>
            </w:r>
          </w:p>
        </w:tc>
        <w:tc>
          <w:tcPr>
            <w:tcW w:w="640" w:type="pct"/>
            <w:vMerge w:val="continue"/>
            <w:tcBorders>
              <w:top w:val="single" w:color="000000" w:sz="4" w:space="0"/>
              <w:bottom w:val="single" w:color="000000" w:sz="4" w:space="0"/>
            </w:tcBorders>
            <w:shd w:val="clear" w:color="auto" w:fill="auto"/>
            <w:vAlign w:val="center"/>
          </w:tcPr>
          <w:p w14:paraId="0BCB0682">
            <w:pPr>
              <w:pStyle w:val="55"/>
              <w:bidi w:val="0"/>
              <w:jc w:val="center"/>
              <w:rPr>
                <w:rFonts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p>
        </w:tc>
        <w:tc>
          <w:tcPr>
            <w:tcW w:w="344" w:type="pct"/>
            <w:shd w:val="clear" w:color="auto" w:fill="auto"/>
            <w:vAlign w:val="center"/>
          </w:tcPr>
          <w:p w14:paraId="54ACD244">
            <w:pPr>
              <w:pStyle w:val="55"/>
              <w:bidi w:val="0"/>
              <w:jc w:val="center"/>
              <w:rPr>
                <w:rFonts w:hint="eastAsia"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NW</w:t>
            </w:r>
          </w:p>
        </w:tc>
        <w:tc>
          <w:tcPr>
            <w:tcW w:w="500" w:type="pct"/>
            <w:shd w:val="clear" w:color="auto" w:fill="auto"/>
            <w:vAlign w:val="center"/>
          </w:tcPr>
          <w:p w14:paraId="21C1E6B8">
            <w:pPr>
              <w:pStyle w:val="55"/>
              <w:bidi w:val="0"/>
              <w:jc w:val="center"/>
              <w:rPr>
                <w:rFonts w:hint="eastAsia"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758</w:t>
            </w:r>
          </w:p>
        </w:tc>
      </w:tr>
      <w:tr w14:paraId="58127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7" w:type="dxa"/>
            <w:bottom w:w="0" w:type="dxa"/>
            <w:right w:w="17" w:type="dxa"/>
          </w:tblCellMar>
        </w:tblPrEx>
        <w:trPr>
          <w:trHeight w:val="397" w:hRule="atLeast"/>
        </w:trPr>
        <w:tc>
          <w:tcPr>
            <w:tcW w:w="343" w:type="pct"/>
            <w:vMerge w:val="continue"/>
            <w:tcBorders>
              <w:top w:val="single" w:color="000000" w:sz="4" w:space="0"/>
              <w:bottom w:val="single" w:color="000000" w:sz="4" w:space="0"/>
            </w:tcBorders>
            <w:shd w:val="clear" w:color="auto" w:fill="auto"/>
            <w:vAlign w:val="center"/>
          </w:tcPr>
          <w:p w14:paraId="73BDC014">
            <w:pPr>
              <w:pStyle w:val="55"/>
              <w:bidi w:val="0"/>
              <w:jc w:val="center"/>
              <w:rPr>
                <w:rFonts w:hint="eastAsia"/>
                <w:color w:val="000000" w:themeColor="text1"/>
                <w:sz w:val="24"/>
                <w:szCs w:val="24"/>
                <w:lang w:val="en-US" w:eastAsia="zh-CN"/>
                <w14:textFill>
                  <w14:solidFill>
                    <w14:schemeClr w14:val="tx1"/>
                  </w14:solidFill>
                </w14:textFill>
              </w:rPr>
            </w:pPr>
          </w:p>
        </w:tc>
        <w:tc>
          <w:tcPr>
            <w:tcW w:w="240" w:type="pct"/>
            <w:shd w:val="clear" w:color="auto" w:fill="auto"/>
            <w:vAlign w:val="center"/>
          </w:tcPr>
          <w:p w14:paraId="70767267">
            <w:pPr>
              <w:pStyle w:val="55"/>
              <w:bidi w:val="0"/>
              <w:jc w:val="center"/>
              <w:rPr>
                <w:rFonts w:hint="default"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stheme="minorBidi"/>
                <w:snapToGrid w:val="0"/>
                <w:color w:val="000000" w:themeColor="text1"/>
                <w:kern w:val="0"/>
                <w:sz w:val="24"/>
                <w:szCs w:val="24"/>
                <w:lang w:val="en-US" w:eastAsia="zh-CN" w:bidi="ar-SA"/>
                <w14:textFill>
                  <w14:solidFill>
                    <w14:schemeClr w14:val="tx1"/>
                  </w14:solidFill>
                </w14:textFill>
              </w:rPr>
              <w:t>4</w:t>
            </w:r>
          </w:p>
        </w:tc>
        <w:tc>
          <w:tcPr>
            <w:tcW w:w="686" w:type="pct"/>
            <w:shd w:val="clear" w:color="auto" w:fill="auto"/>
            <w:vAlign w:val="center"/>
          </w:tcPr>
          <w:p w14:paraId="36B40DC3">
            <w:pPr>
              <w:pStyle w:val="55"/>
              <w:bidi w:val="0"/>
              <w:jc w:val="center"/>
              <w:rPr>
                <w:rFonts w:hint="eastAsia"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坝子口村</w:t>
            </w:r>
          </w:p>
        </w:tc>
        <w:tc>
          <w:tcPr>
            <w:tcW w:w="850" w:type="pct"/>
            <w:shd w:val="clear" w:color="auto" w:fill="auto"/>
            <w:vAlign w:val="center"/>
          </w:tcPr>
          <w:p w14:paraId="51CE9A1D">
            <w:pPr>
              <w:pStyle w:val="55"/>
              <w:bidi w:val="0"/>
              <w:jc w:val="center"/>
              <w:rPr>
                <w:rFonts w:hint="eastAsia"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115.188469837</w:t>
            </w:r>
          </w:p>
        </w:tc>
        <w:tc>
          <w:tcPr>
            <w:tcW w:w="817" w:type="pct"/>
            <w:shd w:val="clear" w:color="auto" w:fill="auto"/>
            <w:vAlign w:val="center"/>
          </w:tcPr>
          <w:p w14:paraId="5292E631">
            <w:pPr>
              <w:pStyle w:val="55"/>
              <w:bidi w:val="0"/>
              <w:jc w:val="center"/>
              <w:rPr>
                <w:rFonts w:hint="eastAsia"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38.808107198</w:t>
            </w:r>
          </w:p>
        </w:tc>
        <w:tc>
          <w:tcPr>
            <w:tcW w:w="283" w:type="pct"/>
            <w:shd w:val="clear" w:color="auto" w:fill="auto"/>
            <w:vAlign w:val="center"/>
          </w:tcPr>
          <w:p w14:paraId="4DAEB445">
            <w:pPr>
              <w:pStyle w:val="55"/>
              <w:bidi w:val="0"/>
              <w:jc w:val="center"/>
              <w:rPr>
                <w:rFonts w:hint="default"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村庄</w:t>
            </w:r>
          </w:p>
        </w:tc>
        <w:tc>
          <w:tcPr>
            <w:tcW w:w="291" w:type="pct"/>
            <w:shd w:val="clear" w:color="auto" w:fill="auto"/>
            <w:vAlign w:val="center"/>
          </w:tcPr>
          <w:p w14:paraId="0963CA49">
            <w:pPr>
              <w:pStyle w:val="55"/>
              <w:bidi w:val="0"/>
              <w:jc w:val="center"/>
              <w:rPr>
                <w:rFonts w:hint="default"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居民</w:t>
            </w:r>
          </w:p>
        </w:tc>
        <w:tc>
          <w:tcPr>
            <w:tcW w:w="640" w:type="pct"/>
            <w:vMerge w:val="continue"/>
            <w:tcBorders>
              <w:top w:val="single" w:color="000000" w:sz="4" w:space="0"/>
              <w:bottom w:val="single" w:color="000000" w:sz="4" w:space="0"/>
            </w:tcBorders>
            <w:shd w:val="clear" w:color="auto" w:fill="auto"/>
            <w:vAlign w:val="center"/>
          </w:tcPr>
          <w:p w14:paraId="524BE9E7">
            <w:pPr>
              <w:pStyle w:val="55"/>
              <w:bidi w:val="0"/>
              <w:jc w:val="center"/>
              <w:rPr>
                <w:rFonts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p>
        </w:tc>
        <w:tc>
          <w:tcPr>
            <w:tcW w:w="344" w:type="pct"/>
            <w:shd w:val="clear" w:color="auto" w:fill="auto"/>
            <w:vAlign w:val="center"/>
          </w:tcPr>
          <w:p w14:paraId="2DF9DE05">
            <w:pPr>
              <w:pStyle w:val="55"/>
              <w:bidi w:val="0"/>
              <w:jc w:val="center"/>
              <w:rPr>
                <w:rFonts w:hint="eastAsia"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N</w:t>
            </w:r>
          </w:p>
        </w:tc>
        <w:tc>
          <w:tcPr>
            <w:tcW w:w="500" w:type="pct"/>
            <w:shd w:val="clear" w:color="auto" w:fill="auto"/>
            <w:vAlign w:val="center"/>
          </w:tcPr>
          <w:p w14:paraId="73BED16D">
            <w:pPr>
              <w:pStyle w:val="55"/>
              <w:bidi w:val="0"/>
              <w:jc w:val="center"/>
              <w:rPr>
                <w:rFonts w:hint="eastAsia"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1087</w:t>
            </w:r>
          </w:p>
        </w:tc>
      </w:tr>
      <w:tr w14:paraId="3333D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7" w:type="dxa"/>
            <w:bottom w:w="0" w:type="dxa"/>
            <w:right w:w="17" w:type="dxa"/>
          </w:tblCellMar>
        </w:tblPrEx>
        <w:trPr>
          <w:trHeight w:val="397" w:hRule="atLeast"/>
        </w:trPr>
        <w:tc>
          <w:tcPr>
            <w:tcW w:w="343" w:type="pct"/>
            <w:vMerge w:val="continue"/>
            <w:tcBorders>
              <w:top w:val="single" w:color="000000" w:sz="4" w:space="0"/>
              <w:bottom w:val="single" w:color="000000" w:sz="4" w:space="0"/>
            </w:tcBorders>
            <w:shd w:val="clear" w:color="auto" w:fill="auto"/>
            <w:vAlign w:val="center"/>
          </w:tcPr>
          <w:p w14:paraId="55FDC92A">
            <w:pPr>
              <w:pStyle w:val="55"/>
              <w:bidi w:val="0"/>
              <w:jc w:val="center"/>
              <w:rPr>
                <w:rFonts w:hint="eastAsia"/>
                <w:color w:val="000000" w:themeColor="text1"/>
                <w:sz w:val="24"/>
                <w:szCs w:val="24"/>
                <w:lang w:val="en-US" w:eastAsia="zh-CN"/>
                <w14:textFill>
                  <w14:solidFill>
                    <w14:schemeClr w14:val="tx1"/>
                  </w14:solidFill>
                </w14:textFill>
              </w:rPr>
            </w:pPr>
          </w:p>
        </w:tc>
        <w:tc>
          <w:tcPr>
            <w:tcW w:w="240" w:type="pct"/>
            <w:shd w:val="clear" w:color="auto" w:fill="auto"/>
            <w:vAlign w:val="center"/>
          </w:tcPr>
          <w:p w14:paraId="5FA265F9">
            <w:pPr>
              <w:pStyle w:val="55"/>
              <w:bidi w:val="0"/>
              <w:jc w:val="center"/>
              <w:rPr>
                <w:rFonts w:hint="default"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stheme="minorBidi"/>
                <w:snapToGrid w:val="0"/>
                <w:color w:val="000000" w:themeColor="text1"/>
                <w:kern w:val="0"/>
                <w:sz w:val="24"/>
                <w:szCs w:val="24"/>
                <w:lang w:val="en-US" w:eastAsia="zh-CN" w:bidi="ar-SA"/>
                <w14:textFill>
                  <w14:solidFill>
                    <w14:schemeClr w14:val="tx1"/>
                  </w14:solidFill>
                </w14:textFill>
              </w:rPr>
              <w:t>5</w:t>
            </w:r>
          </w:p>
        </w:tc>
        <w:tc>
          <w:tcPr>
            <w:tcW w:w="686" w:type="pct"/>
            <w:shd w:val="clear" w:color="auto" w:fill="auto"/>
            <w:vAlign w:val="center"/>
          </w:tcPr>
          <w:p w14:paraId="4F21F317">
            <w:pPr>
              <w:pStyle w:val="55"/>
              <w:bidi w:val="0"/>
              <w:jc w:val="center"/>
              <w:rPr>
                <w:rFonts w:hint="eastAsia"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东闫家庄村</w:t>
            </w:r>
          </w:p>
        </w:tc>
        <w:tc>
          <w:tcPr>
            <w:tcW w:w="850" w:type="pct"/>
            <w:shd w:val="clear" w:color="auto" w:fill="auto"/>
            <w:vAlign w:val="center"/>
          </w:tcPr>
          <w:p w14:paraId="378BE6FC">
            <w:pPr>
              <w:pStyle w:val="55"/>
              <w:bidi w:val="0"/>
              <w:jc w:val="center"/>
              <w:rPr>
                <w:rFonts w:hint="eastAsia"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115.165252636</w:t>
            </w:r>
          </w:p>
        </w:tc>
        <w:tc>
          <w:tcPr>
            <w:tcW w:w="817" w:type="pct"/>
            <w:shd w:val="clear" w:color="auto" w:fill="auto"/>
            <w:vAlign w:val="center"/>
          </w:tcPr>
          <w:p w14:paraId="721F5B53">
            <w:pPr>
              <w:pStyle w:val="55"/>
              <w:bidi w:val="0"/>
              <w:jc w:val="center"/>
              <w:rPr>
                <w:rFonts w:hint="eastAsia"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38.785319151</w:t>
            </w:r>
          </w:p>
        </w:tc>
        <w:tc>
          <w:tcPr>
            <w:tcW w:w="283" w:type="pct"/>
            <w:shd w:val="clear" w:color="auto" w:fill="auto"/>
            <w:vAlign w:val="center"/>
          </w:tcPr>
          <w:p w14:paraId="559A8CAF">
            <w:pPr>
              <w:pStyle w:val="55"/>
              <w:bidi w:val="0"/>
              <w:jc w:val="center"/>
              <w:rPr>
                <w:rFonts w:hint="default"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村庄</w:t>
            </w:r>
          </w:p>
        </w:tc>
        <w:tc>
          <w:tcPr>
            <w:tcW w:w="291" w:type="pct"/>
            <w:shd w:val="clear" w:color="auto" w:fill="auto"/>
            <w:vAlign w:val="center"/>
          </w:tcPr>
          <w:p w14:paraId="113C4C74">
            <w:pPr>
              <w:pStyle w:val="55"/>
              <w:bidi w:val="0"/>
              <w:jc w:val="center"/>
              <w:rPr>
                <w:rFonts w:hint="default"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居民</w:t>
            </w:r>
          </w:p>
        </w:tc>
        <w:tc>
          <w:tcPr>
            <w:tcW w:w="640" w:type="pct"/>
            <w:vMerge w:val="continue"/>
            <w:tcBorders>
              <w:top w:val="single" w:color="000000" w:sz="4" w:space="0"/>
              <w:bottom w:val="single" w:color="000000" w:sz="4" w:space="0"/>
            </w:tcBorders>
            <w:shd w:val="clear" w:color="auto" w:fill="auto"/>
            <w:vAlign w:val="center"/>
          </w:tcPr>
          <w:p w14:paraId="15B32463">
            <w:pPr>
              <w:pStyle w:val="55"/>
              <w:bidi w:val="0"/>
              <w:jc w:val="center"/>
              <w:rPr>
                <w:rFonts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p>
        </w:tc>
        <w:tc>
          <w:tcPr>
            <w:tcW w:w="344" w:type="pct"/>
            <w:shd w:val="clear" w:color="auto" w:fill="auto"/>
            <w:vAlign w:val="center"/>
          </w:tcPr>
          <w:p w14:paraId="1D3A74AB">
            <w:pPr>
              <w:pStyle w:val="55"/>
              <w:bidi w:val="0"/>
              <w:jc w:val="center"/>
              <w:rPr>
                <w:rFonts w:hint="eastAsia"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W</w:t>
            </w:r>
          </w:p>
        </w:tc>
        <w:tc>
          <w:tcPr>
            <w:tcW w:w="500" w:type="pct"/>
            <w:shd w:val="clear" w:color="auto" w:fill="auto"/>
            <w:vAlign w:val="center"/>
          </w:tcPr>
          <w:p w14:paraId="45FDEE61">
            <w:pPr>
              <w:pStyle w:val="55"/>
              <w:bidi w:val="0"/>
              <w:jc w:val="center"/>
              <w:rPr>
                <w:rFonts w:hint="eastAsia"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1390</w:t>
            </w:r>
          </w:p>
        </w:tc>
      </w:tr>
      <w:tr w14:paraId="43145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7" w:type="dxa"/>
            <w:bottom w:w="0" w:type="dxa"/>
            <w:right w:w="17" w:type="dxa"/>
          </w:tblCellMar>
        </w:tblPrEx>
        <w:trPr>
          <w:trHeight w:val="397" w:hRule="atLeast"/>
        </w:trPr>
        <w:tc>
          <w:tcPr>
            <w:tcW w:w="343" w:type="pct"/>
            <w:vMerge w:val="continue"/>
            <w:tcBorders>
              <w:top w:val="single" w:color="000000" w:sz="4" w:space="0"/>
              <w:bottom w:val="single" w:color="000000" w:sz="4" w:space="0"/>
            </w:tcBorders>
            <w:shd w:val="clear" w:color="auto" w:fill="auto"/>
            <w:vAlign w:val="center"/>
          </w:tcPr>
          <w:p w14:paraId="6B601C5E">
            <w:pPr>
              <w:pStyle w:val="55"/>
              <w:bidi w:val="0"/>
              <w:jc w:val="center"/>
              <w:rPr>
                <w:rFonts w:hint="default"/>
                <w:color w:val="000000" w:themeColor="text1"/>
                <w:sz w:val="24"/>
                <w:szCs w:val="24"/>
                <w:lang w:val="en-US" w:eastAsia="zh-CN"/>
                <w14:textFill>
                  <w14:solidFill>
                    <w14:schemeClr w14:val="tx1"/>
                  </w14:solidFill>
                </w14:textFill>
              </w:rPr>
            </w:pPr>
          </w:p>
        </w:tc>
        <w:tc>
          <w:tcPr>
            <w:tcW w:w="240" w:type="pct"/>
            <w:shd w:val="clear" w:color="auto" w:fill="auto"/>
            <w:vAlign w:val="center"/>
          </w:tcPr>
          <w:p w14:paraId="6F6F6022">
            <w:pPr>
              <w:pStyle w:val="55"/>
              <w:bidi w:val="0"/>
              <w:jc w:val="center"/>
              <w:rPr>
                <w:rFonts w:hint="default"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stheme="minorBidi"/>
                <w:snapToGrid w:val="0"/>
                <w:color w:val="000000" w:themeColor="text1"/>
                <w:kern w:val="0"/>
                <w:sz w:val="24"/>
                <w:szCs w:val="24"/>
                <w:lang w:val="en-US" w:eastAsia="zh-CN" w:bidi="ar-SA"/>
                <w14:textFill>
                  <w14:solidFill>
                    <w14:schemeClr w14:val="tx1"/>
                  </w14:solidFill>
                </w14:textFill>
              </w:rPr>
              <w:t>6</w:t>
            </w:r>
          </w:p>
        </w:tc>
        <w:tc>
          <w:tcPr>
            <w:tcW w:w="686" w:type="pct"/>
            <w:shd w:val="clear" w:color="auto" w:fill="auto"/>
            <w:vAlign w:val="center"/>
          </w:tcPr>
          <w:p w14:paraId="6DDE1A99">
            <w:pPr>
              <w:pStyle w:val="55"/>
              <w:bidi w:val="0"/>
              <w:jc w:val="center"/>
              <w:rPr>
                <w:rFonts w:hint="default"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西庄</w:t>
            </w:r>
          </w:p>
        </w:tc>
        <w:tc>
          <w:tcPr>
            <w:tcW w:w="850" w:type="pct"/>
            <w:shd w:val="clear" w:color="auto" w:fill="auto"/>
            <w:vAlign w:val="center"/>
          </w:tcPr>
          <w:p w14:paraId="3C8DFCDA">
            <w:pPr>
              <w:pStyle w:val="55"/>
              <w:bidi w:val="0"/>
              <w:jc w:val="center"/>
              <w:rPr>
                <w:rFonts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115.209176491</w:t>
            </w:r>
          </w:p>
        </w:tc>
        <w:tc>
          <w:tcPr>
            <w:tcW w:w="817" w:type="pct"/>
            <w:shd w:val="clear" w:color="auto" w:fill="auto"/>
            <w:vAlign w:val="center"/>
          </w:tcPr>
          <w:p w14:paraId="292BD0C6">
            <w:pPr>
              <w:pStyle w:val="55"/>
              <w:bidi w:val="0"/>
              <w:jc w:val="center"/>
              <w:rPr>
                <w:rFonts w:hint="default"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38.808836759</w:t>
            </w:r>
          </w:p>
        </w:tc>
        <w:tc>
          <w:tcPr>
            <w:tcW w:w="283" w:type="pct"/>
            <w:shd w:val="clear" w:color="auto" w:fill="auto"/>
            <w:vAlign w:val="center"/>
          </w:tcPr>
          <w:p w14:paraId="681C1CA4">
            <w:pPr>
              <w:pStyle w:val="55"/>
              <w:bidi w:val="0"/>
              <w:jc w:val="center"/>
              <w:rPr>
                <w:rFonts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村庄</w:t>
            </w:r>
          </w:p>
        </w:tc>
        <w:tc>
          <w:tcPr>
            <w:tcW w:w="291" w:type="pct"/>
            <w:shd w:val="clear" w:color="auto" w:fill="auto"/>
            <w:vAlign w:val="center"/>
          </w:tcPr>
          <w:p w14:paraId="7B0D0A26">
            <w:pPr>
              <w:pStyle w:val="55"/>
              <w:bidi w:val="0"/>
              <w:jc w:val="center"/>
              <w:rPr>
                <w:rFonts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居民</w:t>
            </w:r>
          </w:p>
        </w:tc>
        <w:tc>
          <w:tcPr>
            <w:tcW w:w="640" w:type="pct"/>
            <w:vMerge w:val="continue"/>
            <w:tcBorders>
              <w:top w:val="single" w:color="000000" w:sz="4" w:space="0"/>
              <w:bottom w:val="single" w:color="000000" w:sz="4" w:space="0"/>
            </w:tcBorders>
            <w:shd w:val="clear" w:color="auto" w:fill="auto"/>
            <w:vAlign w:val="center"/>
          </w:tcPr>
          <w:p w14:paraId="73A4BAF8">
            <w:pPr>
              <w:pStyle w:val="55"/>
              <w:bidi w:val="0"/>
              <w:jc w:val="center"/>
              <w:rPr>
                <w:color w:val="000000" w:themeColor="text1"/>
                <w:sz w:val="24"/>
                <w:szCs w:val="24"/>
                <w14:textFill>
                  <w14:solidFill>
                    <w14:schemeClr w14:val="tx1"/>
                  </w14:solidFill>
                </w14:textFill>
              </w:rPr>
            </w:pPr>
          </w:p>
        </w:tc>
        <w:tc>
          <w:tcPr>
            <w:tcW w:w="344" w:type="pct"/>
            <w:shd w:val="clear" w:color="auto" w:fill="auto"/>
            <w:vAlign w:val="center"/>
          </w:tcPr>
          <w:p w14:paraId="4866641D">
            <w:pPr>
              <w:pStyle w:val="55"/>
              <w:bidi w:val="0"/>
              <w:jc w:val="center"/>
              <w:rPr>
                <w:rFonts w:hint="eastAsia"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NE</w:t>
            </w:r>
          </w:p>
        </w:tc>
        <w:tc>
          <w:tcPr>
            <w:tcW w:w="500" w:type="pct"/>
            <w:shd w:val="clear" w:color="auto" w:fill="auto"/>
            <w:vAlign w:val="center"/>
          </w:tcPr>
          <w:p w14:paraId="6A5D8413">
            <w:pPr>
              <w:pStyle w:val="55"/>
              <w:bidi w:val="0"/>
              <w:jc w:val="center"/>
              <w:rPr>
                <w:rFonts w:hint="default"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2217</w:t>
            </w:r>
          </w:p>
        </w:tc>
      </w:tr>
      <w:tr w14:paraId="1E998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7" w:type="dxa"/>
            <w:bottom w:w="0" w:type="dxa"/>
            <w:right w:w="17" w:type="dxa"/>
          </w:tblCellMar>
        </w:tblPrEx>
        <w:trPr>
          <w:trHeight w:val="397" w:hRule="atLeast"/>
        </w:trPr>
        <w:tc>
          <w:tcPr>
            <w:tcW w:w="343" w:type="pct"/>
            <w:vMerge w:val="continue"/>
            <w:tcBorders>
              <w:top w:val="single" w:color="000000" w:sz="4" w:space="0"/>
              <w:bottom w:val="single" w:color="000000" w:sz="4" w:space="0"/>
            </w:tcBorders>
            <w:shd w:val="clear" w:color="auto" w:fill="auto"/>
            <w:vAlign w:val="center"/>
          </w:tcPr>
          <w:p w14:paraId="71143D05">
            <w:pPr>
              <w:pStyle w:val="55"/>
              <w:bidi w:val="0"/>
              <w:jc w:val="center"/>
              <w:rPr>
                <w:rFonts w:hint="default"/>
                <w:color w:val="000000" w:themeColor="text1"/>
                <w:sz w:val="24"/>
                <w:szCs w:val="24"/>
                <w:lang w:val="en-US" w:eastAsia="zh-CN"/>
                <w14:textFill>
                  <w14:solidFill>
                    <w14:schemeClr w14:val="tx1"/>
                  </w14:solidFill>
                </w14:textFill>
              </w:rPr>
            </w:pPr>
          </w:p>
        </w:tc>
        <w:tc>
          <w:tcPr>
            <w:tcW w:w="240" w:type="pct"/>
            <w:shd w:val="clear" w:color="auto" w:fill="auto"/>
            <w:vAlign w:val="center"/>
          </w:tcPr>
          <w:p w14:paraId="5A7797E8">
            <w:pPr>
              <w:pStyle w:val="55"/>
              <w:bidi w:val="0"/>
              <w:jc w:val="center"/>
              <w:rPr>
                <w:rFonts w:hint="default"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stheme="minorBidi"/>
                <w:snapToGrid w:val="0"/>
                <w:color w:val="000000" w:themeColor="text1"/>
                <w:kern w:val="0"/>
                <w:sz w:val="24"/>
                <w:szCs w:val="24"/>
                <w:lang w:val="en-US" w:eastAsia="zh-CN" w:bidi="ar-SA"/>
                <w14:textFill>
                  <w14:solidFill>
                    <w14:schemeClr w14:val="tx1"/>
                  </w14:solidFill>
                </w14:textFill>
              </w:rPr>
              <w:t>7</w:t>
            </w:r>
          </w:p>
        </w:tc>
        <w:tc>
          <w:tcPr>
            <w:tcW w:w="686" w:type="pct"/>
            <w:shd w:val="clear" w:color="auto" w:fill="auto"/>
            <w:vAlign w:val="center"/>
          </w:tcPr>
          <w:p w14:paraId="75EE74D5">
            <w:pPr>
              <w:pStyle w:val="55"/>
              <w:bidi w:val="0"/>
              <w:jc w:val="center"/>
              <w:rPr>
                <w:rFonts w:hint="eastAsia"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大王村</w:t>
            </w:r>
          </w:p>
        </w:tc>
        <w:tc>
          <w:tcPr>
            <w:tcW w:w="850" w:type="pct"/>
            <w:shd w:val="clear" w:color="auto" w:fill="auto"/>
            <w:vAlign w:val="center"/>
          </w:tcPr>
          <w:p w14:paraId="534A135A">
            <w:pPr>
              <w:pStyle w:val="55"/>
              <w:bidi w:val="0"/>
              <w:jc w:val="center"/>
              <w:rPr>
                <w:rFonts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115.212202023</w:t>
            </w:r>
          </w:p>
        </w:tc>
        <w:tc>
          <w:tcPr>
            <w:tcW w:w="817" w:type="pct"/>
            <w:shd w:val="clear" w:color="auto" w:fill="auto"/>
            <w:vAlign w:val="center"/>
          </w:tcPr>
          <w:p w14:paraId="3628E8E1">
            <w:pPr>
              <w:pStyle w:val="55"/>
              <w:bidi w:val="0"/>
              <w:jc w:val="center"/>
              <w:rPr>
                <w:rFonts w:hint="default"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38.805811227</w:t>
            </w:r>
          </w:p>
        </w:tc>
        <w:tc>
          <w:tcPr>
            <w:tcW w:w="283" w:type="pct"/>
            <w:shd w:val="clear" w:color="auto" w:fill="auto"/>
            <w:vAlign w:val="center"/>
          </w:tcPr>
          <w:p w14:paraId="13C86D45">
            <w:pPr>
              <w:pStyle w:val="55"/>
              <w:bidi w:val="0"/>
              <w:jc w:val="center"/>
              <w:rPr>
                <w:rFonts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村庄</w:t>
            </w:r>
          </w:p>
        </w:tc>
        <w:tc>
          <w:tcPr>
            <w:tcW w:w="291" w:type="pct"/>
            <w:shd w:val="clear" w:color="auto" w:fill="auto"/>
            <w:vAlign w:val="center"/>
          </w:tcPr>
          <w:p w14:paraId="55935E38">
            <w:pPr>
              <w:pStyle w:val="55"/>
              <w:bidi w:val="0"/>
              <w:jc w:val="center"/>
              <w:rPr>
                <w:rFonts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居民</w:t>
            </w:r>
          </w:p>
        </w:tc>
        <w:tc>
          <w:tcPr>
            <w:tcW w:w="640" w:type="pct"/>
            <w:vMerge w:val="continue"/>
            <w:tcBorders>
              <w:top w:val="single" w:color="000000" w:sz="4" w:space="0"/>
              <w:bottom w:val="single" w:color="000000" w:sz="4" w:space="0"/>
            </w:tcBorders>
            <w:vAlign w:val="center"/>
          </w:tcPr>
          <w:p w14:paraId="666BCDD8">
            <w:pPr>
              <w:pStyle w:val="55"/>
              <w:bidi w:val="0"/>
              <w:jc w:val="center"/>
              <w:rPr>
                <w:color w:val="000000" w:themeColor="text1"/>
                <w:sz w:val="24"/>
                <w:szCs w:val="24"/>
                <w14:textFill>
                  <w14:solidFill>
                    <w14:schemeClr w14:val="tx1"/>
                  </w14:solidFill>
                </w14:textFill>
              </w:rPr>
            </w:pPr>
          </w:p>
        </w:tc>
        <w:tc>
          <w:tcPr>
            <w:tcW w:w="344" w:type="pct"/>
            <w:shd w:val="clear" w:color="auto" w:fill="auto"/>
            <w:vAlign w:val="center"/>
          </w:tcPr>
          <w:p w14:paraId="2E68AECC">
            <w:pPr>
              <w:pStyle w:val="55"/>
              <w:bidi w:val="0"/>
              <w:jc w:val="center"/>
              <w:rPr>
                <w:rFonts w:hint="eastAsia"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NE</w:t>
            </w:r>
          </w:p>
        </w:tc>
        <w:tc>
          <w:tcPr>
            <w:tcW w:w="500" w:type="pct"/>
            <w:shd w:val="clear" w:color="auto" w:fill="auto"/>
            <w:vAlign w:val="center"/>
          </w:tcPr>
          <w:p w14:paraId="0BD6B119">
            <w:pPr>
              <w:pStyle w:val="55"/>
              <w:bidi w:val="0"/>
              <w:jc w:val="center"/>
              <w:rPr>
                <w:rFonts w:hint="default"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2218</w:t>
            </w:r>
          </w:p>
        </w:tc>
      </w:tr>
      <w:tr w14:paraId="2C8A6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7" w:type="dxa"/>
            <w:bottom w:w="0" w:type="dxa"/>
            <w:right w:w="17" w:type="dxa"/>
          </w:tblCellMar>
        </w:tblPrEx>
        <w:trPr>
          <w:trHeight w:val="397" w:hRule="atLeast"/>
        </w:trPr>
        <w:tc>
          <w:tcPr>
            <w:tcW w:w="343" w:type="pct"/>
            <w:vMerge w:val="continue"/>
            <w:tcBorders>
              <w:top w:val="single" w:color="000000" w:sz="4" w:space="0"/>
              <w:bottom w:val="single" w:color="000000" w:sz="4" w:space="0"/>
            </w:tcBorders>
            <w:shd w:val="clear" w:color="auto" w:fill="auto"/>
            <w:vAlign w:val="center"/>
          </w:tcPr>
          <w:p w14:paraId="719A0B19">
            <w:pPr>
              <w:pStyle w:val="55"/>
              <w:bidi w:val="0"/>
              <w:jc w:val="center"/>
              <w:rPr>
                <w:rFonts w:hint="default"/>
                <w:color w:val="000000" w:themeColor="text1"/>
                <w:sz w:val="24"/>
                <w:szCs w:val="24"/>
                <w:lang w:val="en-US" w:eastAsia="zh-CN"/>
                <w14:textFill>
                  <w14:solidFill>
                    <w14:schemeClr w14:val="tx1"/>
                  </w14:solidFill>
                </w14:textFill>
              </w:rPr>
            </w:pPr>
          </w:p>
        </w:tc>
        <w:tc>
          <w:tcPr>
            <w:tcW w:w="240" w:type="pct"/>
            <w:shd w:val="clear" w:color="auto" w:fill="auto"/>
            <w:vAlign w:val="center"/>
          </w:tcPr>
          <w:p w14:paraId="38FE981D">
            <w:pPr>
              <w:pStyle w:val="55"/>
              <w:bidi w:val="0"/>
              <w:jc w:val="center"/>
              <w:rPr>
                <w:rFonts w:hint="default"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stheme="minorBidi"/>
                <w:snapToGrid w:val="0"/>
                <w:color w:val="000000" w:themeColor="text1"/>
                <w:kern w:val="0"/>
                <w:sz w:val="24"/>
                <w:szCs w:val="24"/>
                <w:lang w:val="en-US" w:eastAsia="zh-CN" w:bidi="ar-SA"/>
                <w14:textFill>
                  <w14:solidFill>
                    <w14:schemeClr w14:val="tx1"/>
                  </w14:solidFill>
                </w14:textFill>
              </w:rPr>
              <w:t>8</w:t>
            </w:r>
          </w:p>
        </w:tc>
        <w:tc>
          <w:tcPr>
            <w:tcW w:w="686" w:type="pct"/>
            <w:shd w:val="clear" w:color="auto" w:fill="auto"/>
            <w:vAlign w:val="center"/>
          </w:tcPr>
          <w:p w14:paraId="6E5758B4">
            <w:pPr>
              <w:pStyle w:val="55"/>
              <w:bidi w:val="0"/>
              <w:jc w:val="center"/>
              <w:rPr>
                <w:rFonts w:hint="default"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亭北庄村</w:t>
            </w:r>
          </w:p>
        </w:tc>
        <w:tc>
          <w:tcPr>
            <w:tcW w:w="850" w:type="pct"/>
            <w:shd w:val="clear" w:color="auto" w:fill="auto"/>
            <w:vAlign w:val="center"/>
          </w:tcPr>
          <w:p w14:paraId="32872F9E">
            <w:pPr>
              <w:pStyle w:val="55"/>
              <w:bidi w:val="0"/>
              <w:jc w:val="center"/>
              <w:rPr>
                <w:rFonts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115.166218231</w:t>
            </w:r>
          </w:p>
        </w:tc>
        <w:tc>
          <w:tcPr>
            <w:tcW w:w="817" w:type="pct"/>
            <w:shd w:val="clear" w:color="auto" w:fill="auto"/>
            <w:vAlign w:val="center"/>
          </w:tcPr>
          <w:p w14:paraId="7EBD9AAE">
            <w:pPr>
              <w:pStyle w:val="55"/>
              <w:bidi w:val="0"/>
              <w:jc w:val="center"/>
              <w:rPr>
                <w:rFonts w:hint="default"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38.813879312</w:t>
            </w:r>
          </w:p>
        </w:tc>
        <w:tc>
          <w:tcPr>
            <w:tcW w:w="283" w:type="pct"/>
            <w:shd w:val="clear" w:color="auto" w:fill="auto"/>
            <w:vAlign w:val="center"/>
          </w:tcPr>
          <w:p w14:paraId="5D98DD36">
            <w:pPr>
              <w:pStyle w:val="55"/>
              <w:bidi w:val="0"/>
              <w:jc w:val="center"/>
              <w:rPr>
                <w:rFonts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村庄</w:t>
            </w:r>
          </w:p>
        </w:tc>
        <w:tc>
          <w:tcPr>
            <w:tcW w:w="291" w:type="pct"/>
            <w:shd w:val="clear" w:color="auto" w:fill="auto"/>
            <w:vAlign w:val="center"/>
          </w:tcPr>
          <w:p w14:paraId="2B363CBE">
            <w:pPr>
              <w:pStyle w:val="55"/>
              <w:bidi w:val="0"/>
              <w:jc w:val="center"/>
              <w:rPr>
                <w:rFonts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居民</w:t>
            </w:r>
          </w:p>
        </w:tc>
        <w:tc>
          <w:tcPr>
            <w:tcW w:w="640" w:type="pct"/>
            <w:vMerge w:val="continue"/>
            <w:tcBorders>
              <w:top w:val="single" w:color="000000" w:sz="4" w:space="0"/>
              <w:bottom w:val="single" w:color="000000" w:sz="4" w:space="0"/>
            </w:tcBorders>
            <w:shd w:val="clear" w:color="auto" w:fill="auto"/>
            <w:vAlign w:val="center"/>
          </w:tcPr>
          <w:p w14:paraId="06CB075F">
            <w:pPr>
              <w:pStyle w:val="55"/>
              <w:bidi w:val="0"/>
              <w:jc w:val="center"/>
              <w:rPr>
                <w:rFonts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p>
        </w:tc>
        <w:tc>
          <w:tcPr>
            <w:tcW w:w="344" w:type="pct"/>
            <w:shd w:val="clear" w:color="auto" w:fill="auto"/>
            <w:vAlign w:val="center"/>
          </w:tcPr>
          <w:p w14:paraId="52110029">
            <w:pPr>
              <w:pStyle w:val="55"/>
              <w:bidi w:val="0"/>
              <w:jc w:val="center"/>
              <w:rPr>
                <w:rFonts w:hint="eastAsia"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NW</w:t>
            </w:r>
          </w:p>
        </w:tc>
        <w:tc>
          <w:tcPr>
            <w:tcW w:w="500" w:type="pct"/>
            <w:shd w:val="clear" w:color="auto" w:fill="auto"/>
            <w:vAlign w:val="center"/>
          </w:tcPr>
          <w:p w14:paraId="57F67E31">
            <w:pPr>
              <w:pStyle w:val="55"/>
              <w:bidi w:val="0"/>
              <w:jc w:val="center"/>
              <w:rPr>
                <w:rFonts w:hint="default"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2244</w:t>
            </w:r>
          </w:p>
        </w:tc>
      </w:tr>
      <w:tr w14:paraId="281A9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7" w:type="dxa"/>
            <w:bottom w:w="0" w:type="dxa"/>
            <w:right w:w="17" w:type="dxa"/>
          </w:tblCellMar>
        </w:tblPrEx>
        <w:trPr>
          <w:trHeight w:val="397" w:hRule="atLeast"/>
        </w:trPr>
        <w:tc>
          <w:tcPr>
            <w:tcW w:w="343" w:type="pct"/>
            <w:vMerge w:val="continue"/>
            <w:tcBorders>
              <w:top w:val="single" w:color="000000" w:sz="4" w:space="0"/>
              <w:bottom w:val="single" w:color="000000" w:sz="4" w:space="0"/>
            </w:tcBorders>
            <w:shd w:val="clear" w:color="auto" w:fill="auto"/>
            <w:vAlign w:val="center"/>
          </w:tcPr>
          <w:p w14:paraId="5D426C59">
            <w:pPr>
              <w:pStyle w:val="55"/>
              <w:bidi w:val="0"/>
              <w:jc w:val="center"/>
              <w:rPr>
                <w:rFonts w:hint="default"/>
                <w:color w:val="000000" w:themeColor="text1"/>
                <w:sz w:val="24"/>
                <w:szCs w:val="24"/>
                <w:lang w:val="en-US" w:eastAsia="zh-CN"/>
                <w14:textFill>
                  <w14:solidFill>
                    <w14:schemeClr w14:val="tx1"/>
                  </w14:solidFill>
                </w14:textFill>
              </w:rPr>
            </w:pPr>
          </w:p>
        </w:tc>
        <w:tc>
          <w:tcPr>
            <w:tcW w:w="240" w:type="pct"/>
            <w:shd w:val="clear" w:color="auto" w:fill="auto"/>
            <w:vAlign w:val="center"/>
          </w:tcPr>
          <w:p w14:paraId="6F6D9DA5">
            <w:pPr>
              <w:pStyle w:val="55"/>
              <w:bidi w:val="0"/>
              <w:jc w:val="center"/>
              <w:rPr>
                <w:rFonts w:hint="default"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stheme="minorBidi"/>
                <w:snapToGrid w:val="0"/>
                <w:color w:val="000000" w:themeColor="text1"/>
                <w:kern w:val="0"/>
                <w:sz w:val="24"/>
                <w:szCs w:val="24"/>
                <w:lang w:val="en-US" w:eastAsia="zh-CN" w:bidi="ar-SA"/>
                <w14:textFill>
                  <w14:solidFill>
                    <w14:schemeClr w14:val="tx1"/>
                  </w14:solidFill>
                </w14:textFill>
              </w:rPr>
              <w:t>9</w:t>
            </w:r>
          </w:p>
        </w:tc>
        <w:tc>
          <w:tcPr>
            <w:tcW w:w="686" w:type="pct"/>
            <w:shd w:val="clear" w:color="auto" w:fill="auto"/>
            <w:vAlign w:val="center"/>
          </w:tcPr>
          <w:p w14:paraId="447F821D">
            <w:pPr>
              <w:pStyle w:val="55"/>
              <w:bidi w:val="0"/>
              <w:jc w:val="center"/>
              <w:rPr>
                <w:rFonts w:hint="eastAsia"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苏辛庄村</w:t>
            </w:r>
          </w:p>
        </w:tc>
        <w:tc>
          <w:tcPr>
            <w:tcW w:w="850" w:type="pct"/>
            <w:shd w:val="clear" w:color="auto" w:fill="auto"/>
            <w:vAlign w:val="center"/>
          </w:tcPr>
          <w:p w14:paraId="0D6C14E1">
            <w:pPr>
              <w:pStyle w:val="55"/>
              <w:bidi w:val="0"/>
              <w:jc w:val="center"/>
              <w:rPr>
                <w:rFonts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115.200400303</w:t>
            </w:r>
          </w:p>
        </w:tc>
        <w:tc>
          <w:tcPr>
            <w:tcW w:w="817" w:type="pct"/>
            <w:shd w:val="clear" w:color="auto" w:fill="auto"/>
            <w:vAlign w:val="center"/>
          </w:tcPr>
          <w:p w14:paraId="1E2F84BF">
            <w:pPr>
              <w:pStyle w:val="55"/>
              <w:bidi w:val="0"/>
              <w:jc w:val="center"/>
              <w:rPr>
                <w:rFonts w:hint="default"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38.771157087</w:t>
            </w:r>
          </w:p>
        </w:tc>
        <w:tc>
          <w:tcPr>
            <w:tcW w:w="283" w:type="pct"/>
            <w:shd w:val="clear" w:color="auto" w:fill="auto"/>
            <w:vAlign w:val="center"/>
          </w:tcPr>
          <w:p w14:paraId="19FE38C5">
            <w:pPr>
              <w:pStyle w:val="55"/>
              <w:bidi w:val="0"/>
              <w:jc w:val="center"/>
              <w:rPr>
                <w:rFonts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村庄</w:t>
            </w:r>
          </w:p>
        </w:tc>
        <w:tc>
          <w:tcPr>
            <w:tcW w:w="291" w:type="pct"/>
            <w:shd w:val="clear" w:color="auto" w:fill="auto"/>
            <w:vAlign w:val="center"/>
          </w:tcPr>
          <w:p w14:paraId="0AE507DC">
            <w:pPr>
              <w:pStyle w:val="55"/>
              <w:bidi w:val="0"/>
              <w:jc w:val="center"/>
              <w:rPr>
                <w:rFonts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居民</w:t>
            </w:r>
          </w:p>
        </w:tc>
        <w:tc>
          <w:tcPr>
            <w:tcW w:w="640" w:type="pct"/>
            <w:vMerge w:val="continue"/>
            <w:tcBorders>
              <w:top w:val="single" w:color="000000" w:sz="4" w:space="0"/>
              <w:bottom w:val="single" w:color="000000" w:sz="4" w:space="0"/>
            </w:tcBorders>
            <w:vAlign w:val="center"/>
          </w:tcPr>
          <w:p w14:paraId="1F3FB2CD">
            <w:pPr>
              <w:pStyle w:val="55"/>
              <w:bidi w:val="0"/>
              <w:jc w:val="center"/>
              <w:rPr>
                <w:color w:val="000000" w:themeColor="text1"/>
                <w:sz w:val="24"/>
                <w:szCs w:val="24"/>
                <w14:textFill>
                  <w14:solidFill>
                    <w14:schemeClr w14:val="tx1"/>
                  </w14:solidFill>
                </w14:textFill>
              </w:rPr>
            </w:pPr>
          </w:p>
        </w:tc>
        <w:tc>
          <w:tcPr>
            <w:tcW w:w="344" w:type="pct"/>
            <w:shd w:val="clear" w:color="auto" w:fill="auto"/>
            <w:vAlign w:val="center"/>
          </w:tcPr>
          <w:p w14:paraId="6929CA2A">
            <w:pPr>
              <w:pStyle w:val="55"/>
              <w:bidi w:val="0"/>
              <w:jc w:val="center"/>
              <w:rPr>
                <w:rFonts w:hint="eastAsia"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SE</w:t>
            </w:r>
          </w:p>
        </w:tc>
        <w:tc>
          <w:tcPr>
            <w:tcW w:w="500" w:type="pct"/>
            <w:shd w:val="clear" w:color="auto" w:fill="auto"/>
            <w:vAlign w:val="center"/>
          </w:tcPr>
          <w:p w14:paraId="534D75CE">
            <w:pPr>
              <w:pStyle w:val="55"/>
              <w:bidi w:val="0"/>
              <w:jc w:val="center"/>
              <w:rPr>
                <w:rFonts w:hint="default"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2500</w:t>
            </w:r>
          </w:p>
        </w:tc>
      </w:tr>
      <w:tr w14:paraId="629EF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7" w:type="dxa"/>
            <w:bottom w:w="0" w:type="dxa"/>
            <w:right w:w="17" w:type="dxa"/>
          </w:tblCellMar>
        </w:tblPrEx>
        <w:trPr>
          <w:trHeight w:val="397" w:hRule="atLeast"/>
        </w:trPr>
        <w:tc>
          <w:tcPr>
            <w:tcW w:w="343" w:type="pct"/>
            <w:tcBorders>
              <w:top w:val="single" w:color="000000" w:sz="4" w:space="0"/>
            </w:tcBorders>
            <w:shd w:val="clear" w:color="auto" w:fill="auto"/>
            <w:vAlign w:val="center"/>
          </w:tcPr>
          <w:p w14:paraId="57350934">
            <w:pPr>
              <w:pStyle w:val="55"/>
              <w:bidi w:val="0"/>
              <w:jc w:val="center"/>
              <w:rPr>
                <w:color w:val="000000" w:themeColor="text1"/>
                <w:sz w:val="24"/>
                <w:szCs w:val="24"/>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地下水</w:t>
            </w:r>
            <w:r>
              <w:rPr>
                <w:rFonts w:hint="eastAsia"/>
                <w:color w:val="000000" w:themeColor="text1"/>
                <w:sz w:val="24"/>
                <w:szCs w:val="24"/>
                <w:lang w:val="en-US" w:eastAsia="zh-CN"/>
                <w14:textFill>
                  <w14:solidFill>
                    <w14:schemeClr w14:val="tx1"/>
                  </w14:solidFill>
                </w14:textFill>
              </w:rPr>
              <w:t>环境</w:t>
            </w:r>
          </w:p>
        </w:tc>
        <w:tc>
          <w:tcPr>
            <w:tcW w:w="3171" w:type="pct"/>
            <w:gridSpan w:val="6"/>
            <w:shd w:val="clear" w:color="auto" w:fill="auto"/>
            <w:vAlign w:val="center"/>
          </w:tcPr>
          <w:p w14:paraId="01BBA923">
            <w:pPr>
              <w:pStyle w:val="55"/>
              <w:bidi w:val="0"/>
              <w:jc w:val="center"/>
              <w:rPr>
                <w:color w:val="000000" w:themeColor="text1"/>
                <w:sz w:val="24"/>
                <w:szCs w:val="24"/>
                <w14:textFill>
                  <w14:solidFill>
                    <w14:schemeClr w14:val="tx1"/>
                  </w14:solidFill>
                </w14:textFill>
              </w:rPr>
            </w:pPr>
            <w:r>
              <w:rPr>
                <w:rFonts w:hint="eastAsia"/>
                <w:color w:val="000000" w:themeColor="text1"/>
                <w:sz w:val="24"/>
                <w:szCs w:val="24"/>
                <w:lang w:eastAsia="zh-CN"/>
                <w14:textFill>
                  <w14:solidFill>
                    <w14:schemeClr w14:val="tx1"/>
                  </w14:solidFill>
                </w14:textFill>
              </w:rPr>
              <w:t>项目地下水评价范围内的潜层含水层和承压含水层；分散式饮用水源井</w:t>
            </w:r>
          </w:p>
        </w:tc>
        <w:tc>
          <w:tcPr>
            <w:tcW w:w="1485" w:type="pct"/>
            <w:gridSpan w:val="3"/>
            <w:vAlign w:val="center"/>
          </w:tcPr>
          <w:p w14:paraId="5820D9E2">
            <w:pPr>
              <w:pStyle w:val="55"/>
              <w:bidi w:val="0"/>
              <w:jc w:val="center"/>
              <w:rPr>
                <w:rFonts w:hint="default"/>
                <w:color w:val="000000" w:themeColor="text1"/>
                <w:sz w:val="24"/>
                <w:szCs w:val="24"/>
                <w:lang w:val="en-US"/>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《地下水质量标准》（GB/T14848-2017）Ⅲ类标准</w:t>
            </w:r>
          </w:p>
        </w:tc>
      </w:tr>
      <w:tr w14:paraId="7DD80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7" w:type="dxa"/>
            <w:bottom w:w="0" w:type="dxa"/>
            <w:right w:w="17" w:type="dxa"/>
          </w:tblCellMar>
        </w:tblPrEx>
        <w:trPr>
          <w:trHeight w:val="397" w:hRule="atLeast"/>
        </w:trPr>
        <w:tc>
          <w:tcPr>
            <w:tcW w:w="343" w:type="pct"/>
            <w:shd w:val="clear" w:color="auto" w:fill="auto"/>
            <w:vAlign w:val="center"/>
          </w:tcPr>
          <w:p w14:paraId="4EA7DC47">
            <w:pPr>
              <w:pStyle w:val="55"/>
              <w:bidi w:val="0"/>
              <w:jc w:val="center"/>
              <w:rPr>
                <w:color w:val="000000" w:themeColor="text1"/>
                <w:sz w:val="24"/>
                <w:szCs w:val="24"/>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土壤环境</w:t>
            </w:r>
          </w:p>
        </w:tc>
        <w:tc>
          <w:tcPr>
            <w:tcW w:w="3171" w:type="pct"/>
            <w:gridSpan w:val="6"/>
            <w:shd w:val="clear" w:color="auto" w:fill="auto"/>
            <w:vAlign w:val="center"/>
          </w:tcPr>
          <w:p w14:paraId="409A6688">
            <w:pPr>
              <w:pStyle w:val="55"/>
              <w:bidi w:val="0"/>
              <w:jc w:val="center"/>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项目厂界周边50m范围内的</w:t>
            </w:r>
            <w:r>
              <w:rPr>
                <w:rFonts w:hint="default"/>
                <w:color w:val="000000" w:themeColor="text1"/>
                <w:sz w:val="24"/>
                <w:szCs w:val="24"/>
                <w:lang w:val="en-US" w:eastAsia="zh-CN"/>
                <w14:textFill>
                  <w14:solidFill>
                    <w14:schemeClr w14:val="tx1"/>
                  </w14:solidFill>
                </w14:textFill>
              </w:rPr>
              <w:t>耕地</w:t>
            </w:r>
          </w:p>
        </w:tc>
        <w:tc>
          <w:tcPr>
            <w:tcW w:w="1485" w:type="pct"/>
            <w:gridSpan w:val="3"/>
            <w:vAlign w:val="center"/>
          </w:tcPr>
          <w:p w14:paraId="3905C105">
            <w:pPr>
              <w:pStyle w:val="55"/>
              <w:bidi w:val="0"/>
              <w:jc w:val="center"/>
              <w:rPr>
                <w:color w:val="000000" w:themeColor="text1"/>
                <w:sz w:val="24"/>
                <w:szCs w:val="24"/>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《土壤环境质量</w:t>
            </w:r>
            <w:r>
              <w:rPr>
                <w:rFonts w:hint="eastAsia"/>
                <w:color w:val="000000" w:themeColor="text1"/>
                <w:sz w:val="24"/>
                <w:szCs w:val="24"/>
                <w:lang w:val="en-US" w:eastAsia="zh-CN"/>
                <w14:textFill>
                  <w14:solidFill>
                    <w14:schemeClr w14:val="tx1"/>
                  </w14:solidFill>
                </w14:textFill>
              </w:rPr>
              <w:t xml:space="preserve"> 农用地</w:t>
            </w:r>
            <w:r>
              <w:rPr>
                <w:rFonts w:hint="default"/>
                <w:color w:val="000000" w:themeColor="text1"/>
                <w:sz w:val="24"/>
                <w:szCs w:val="24"/>
                <w:lang w:val="en-US" w:eastAsia="zh-CN"/>
                <w14:textFill>
                  <w14:solidFill>
                    <w14:schemeClr w14:val="tx1"/>
                  </w14:solidFill>
                </w14:textFill>
              </w:rPr>
              <w:t>土壤污染风险管控标准（试行）》（GB</w:t>
            </w:r>
            <w:r>
              <w:rPr>
                <w:rFonts w:hint="eastAsia"/>
                <w:color w:val="000000" w:themeColor="text1"/>
                <w:sz w:val="24"/>
                <w:szCs w:val="24"/>
                <w:lang w:val="en-US" w:eastAsia="zh-CN"/>
                <w14:textFill>
                  <w14:solidFill>
                    <w14:schemeClr w14:val="tx1"/>
                  </w14:solidFill>
                </w14:textFill>
              </w:rPr>
              <w:t>15618</w:t>
            </w:r>
            <w:r>
              <w:rPr>
                <w:rFonts w:hint="default"/>
                <w:color w:val="000000" w:themeColor="text1"/>
                <w:sz w:val="24"/>
                <w:szCs w:val="24"/>
                <w:lang w:val="en-US" w:eastAsia="zh-CN"/>
                <w14:textFill>
                  <w14:solidFill>
                    <w14:schemeClr w14:val="tx1"/>
                  </w14:solidFill>
                </w14:textFill>
              </w:rPr>
              <w:t>-2018）表1中筛选值第二类用地限值要求</w:t>
            </w:r>
          </w:p>
        </w:tc>
      </w:tr>
    </w:tbl>
    <w:p w14:paraId="41340DDB">
      <w:pPr>
        <w:pStyle w:val="90"/>
        <w:bidi w:val="0"/>
        <w:ind w:left="0" w:leftChars="0" w:firstLine="0" w:firstLineChars="0"/>
      </w:pPr>
      <w:bookmarkStart w:id="34" w:name="_Toc32288"/>
      <w:r>
        <w:rPr>
          <w:rFonts w:hint="eastAsia"/>
        </w:rPr>
        <w:t>环境功能区划</w:t>
      </w:r>
      <w:bookmarkEnd w:id="34"/>
    </w:p>
    <w:p w14:paraId="6495BF17">
      <w:pPr>
        <w:pStyle w:val="47"/>
        <w:ind w:firstLine="482"/>
        <w:rPr>
          <w:rFonts w:hint="eastAsia"/>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（1）环境空气功能区划</w:t>
      </w:r>
    </w:p>
    <w:p w14:paraId="0DF2DEA9">
      <w:pPr>
        <w:pStyle w:val="47"/>
        <w:ind w:firstLine="482"/>
        <w:rPr>
          <w:rFonts w:hint="eastAsia"/>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项目选址区域环境空气功能区划为二类功能区，执行《环境空气质量标准》（GB3095-2012）</w:t>
      </w:r>
      <w:r>
        <w:rPr>
          <w:rFonts w:hint="eastAsia"/>
          <w:color w:val="000000" w:themeColor="text1"/>
          <w:highlight w:val="none"/>
          <w:lang w:val="en-US" w:eastAsia="zh-CN"/>
          <w14:textFill>
            <w14:solidFill>
              <w14:schemeClr w14:val="tx1"/>
            </w14:solidFill>
          </w14:textFill>
        </w:rPr>
        <w:t>及</w:t>
      </w:r>
      <w:r>
        <w:rPr>
          <w:rFonts w:hint="eastAsia"/>
        </w:rPr>
        <w:t>2018年修改单</w:t>
      </w:r>
      <w:r>
        <w:rPr>
          <w:rFonts w:hint="eastAsia"/>
          <w:color w:val="000000" w:themeColor="text1"/>
          <w:highlight w:val="none"/>
          <w:lang w:val="en-US"/>
          <w14:textFill>
            <w14:solidFill>
              <w14:schemeClr w14:val="tx1"/>
            </w14:solidFill>
          </w14:textFill>
        </w:rPr>
        <w:t>中的二级标准。</w:t>
      </w:r>
    </w:p>
    <w:p w14:paraId="732A9402">
      <w:pPr>
        <w:pStyle w:val="47"/>
        <w:ind w:firstLine="482"/>
        <w:rPr>
          <w:rFonts w:hint="eastAsia"/>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（2）声功能区划</w:t>
      </w:r>
    </w:p>
    <w:p w14:paraId="145D6C87">
      <w:pPr>
        <w:pStyle w:val="47"/>
        <w:ind w:firstLine="482"/>
        <w:rPr>
          <w:rFonts w:hint="eastAsia"/>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项目位于属于</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lang w:val="en-US"/>
          <w14:textFill>
            <w14:solidFill>
              <w14:schemeClr w14:val="tx1"/>
            </w14:solidFill>
          </w14:textFill>
        </w:rPr>
        <w:t>类声环境功能区，执行《声环境质量标准》（GB3096-2008）3类标准。</w:t>
      </w:r>
    </w:p>
    <w:p w14:paraId="55617BF1">
      <w:pPr>
        <w:pStyle w:val="47"/>
        <w:ind w:firstLine="482"/>
        <w:rPr>
          <w:rFonts w:hint="eastAsia"/>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（3）地下水功能区划</w:t>
      </w:r>
    </w:p>
    <w:p w14:paraId="5B9010C6">
      <w:pPr>
        <w:pStyle w:val="47"/>
        <w:ind w:firstLine="482"/>
        <w:rPr>
          <w:rFonts w:hint="default" w:ascii="Times New Roman" w:hAnsi="Times New Roman" w:eastAsia="楷体" w:cs="Times New Roman"/>
          <w:color w:val="000000" w:themeColor="text1"/>
          <w:highlight w:val="none"/>
          <w:lang w:val="en-US"/>
          <w14:textFill>
            <w14:solidFill>
              <w14:schemeClr w14:val="tx1"/>
            </w14:solidFill>
          </w14:textFill>
        </w:rPr>
      </w:pPr>
      <w:r>
        <w:rPr>
          <w:rFonts w:hint="default" w:ascii="Times New Roman" w:hAnsi="Times New Roman" w:eastAsia="楷体" w:cs="Times New Roman"/>
          <w:color w:val="000000" w:themeColor="text1"/>
          <w:highlight w:val="none"/>
          <w:lang w:val="en-US"/>
          <w14:textFill>
            <w14:solidFill>
              <w14:schemeClr w14:val="tx1"/>
            </w14:solidFill>
          </w14:textFill>
        </w:rPr>
        <w:t>项目所在区域位于属于地下水Ⅲ类功能区，执行《地下水质量标准》GB/T14848-2017）Ⅲ类标准。</w:t>
      </w:r>
    </w:p>
    <w:p w14:paraId="5A14553C">
      <w:pPr>
        <w:pStyle w:val="90"/>
        <w:bidi w:val="0"/>
        <w:ind w:left="0" w:leftChars="0" w:firstLine="0" w:firstLineChars="0"/>
      </w:pPr>
      <w:bookmarkStart w:id="35" w:name="_Toc10663"/>
      <w:r>
        <w:rPr>
          <w:rFonts w:hint="eastAsia"/>
        </w:rPr>
        <w:t>环境</w:t>
      </w:r>
      <w:r>
        <w:t>影响评价标准</w:t>
      </w:r>
      <w:bookmarkEnd w:id="35"/>
    </w:p>
    <w:p w14:paraId="78A2B667">
      <w:pPr>
        <w:pStyle w:val="92"/>
        <w:bidi w:val="0"/>
        <w:ind w:left="0" w:leftChars="0" w:firstLine="0" w:firstLineChars="0"/>
      </w:pPr>
      <w:r>
        <w:rPr>
          <w:rFonts w:hint="eastAsia"/>
        </w:rPr>
        <w:t>环境</w:t>
      </w:r>
      <w:r>
        <w:t>质量标准</w:t>
      </w:r>
    </w:p>
    <w:p w14:paraId="1ACA17DB">
      <w:pPr>
        <w:pStyle w:val="47"/>
        <w:ind w:firstLine="482"/>
      </w:pPr>
      <w:r>
        <w:t>（1）环境空气质量标准</w:t>
      </w:r>
    </w:p>
    <w:p w14:paraId="376D2E41">
      <w:pPr>
        <w:pStyle w:val="47"/>
        <w:ind w:firstLine="482"/>
        <w:rPr>
          <w:rFonts w:hint="eastAsia"/>
        </w:rPr>
      </w:pPr>
      <w:r>
        <w:rPr>
          <w:rFonts w:hint="eastAsia"/>
        </w:rPr>
        <w:t>环境空气基本污染物及TSP执行《环境空气质量标准》（GB3095-2012）及2018年修改单中二级浓度限值。</w:t>
      </w:r>
      <w:r>
        <w:rPr>
          <w:rFonts w:hint="eastAsia"/>
          <w:lang w:val="en-US" w:eastAsia="zh-CN"/>
        </w:rPr>
        <w:t>HCl</w:t>
      </w:r>
      <w:r>
        <w:rPr>
          <w:rFonts w:hint="eastAsia"/>
        </w:rPr>
        <w:t>评价标准参照执行《环境影响评价技术导则 大气环境》（HJ 2.2-2018）中“附录D-表D.1 其他污染物空气质量浓度参考限值”；非甲烷总烃执行《环境空气质量 非甲烷总烃限值》（DB13/1577-2012）表1二级标准。详见下表。</w:t>
      </w:r>
    </w:p>
    <w:p w14:paraId="57C178BA">
      <w:pPr>
        <w:pStyle w:val="94"/>
        <w:bidi w:val="0"/>
        <w:ind w:left="0" w:leftChars="0" w:firstLine="0" w:firstLineChars="0"/>
      </w:pPr>
      <w:r>
        <w:rPr>
          <w:rFonts w:hint="eastAsia"/>
        </w:rPr>
        <w:t>环境空气质量标准</w:t>
      </w:r>
    </w:p>
    <w:tbl>
      <w:tblPr>
        <w:tblStyle w:val="3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458"/>
        <w:gridCol w:w="1297"/>
        <w:gridCol w:w="1096"/>
        <w:gridCol w:w="1090"/>
        <w:gridCol w:w="1094"/>
        <w:gridCol w:w="1090"/>
        <w:gridCol w:w="3003"/>
      </w:tblGrid>
      <w:tr w14:paraId="5E79A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blHeader/>
        </w:trPr>
        <w:tc>
          <w:tcPr>
            <w:tcW w:w="251" w:type="pct"/>
            <w:vMerge w:val="restart"/>
            <w:shd w:val="clear" w:color="auto" w:fill="auto"/>
            <w:vAlign w:val="center"/>
          </w:tcPr>
          <w:p w14:paraId="4B8F533A">
            <w:pPr>
              <w:pStyle w:val="55"/>
              <w:rPr>
                <w:sz w:val="24"/>
                <w:szCs w:val="24"/>
              </w:rPr>
            </w:pPr>
            <w:r>
              <w:rPr>
                <w:sz w:val="24"/>
                <w:szCs w:val="24"/>
              </w:rPr>
              <w:t>序号</w:t>
            </w:r>
          </w:p>
        </w:tc>
        <w:tc>
          <w:tcPr>
            <w:tcW w:w="710" w:type="pct"/>
            <w:vMerge w:val="restart"/>
            <w:shd w:val="clear" w:color="auto" w:fill="auto"/>
            <w:vAlign w:val="center"/>
          </w:tcPr>
          <w:p w14:paraId="16A0087A">
            <w:pPr>
              <w:pStyle w:val="55"/>
              <w:rPr>
                <w:sz w:val="24"/>
                <w:szCs w:val="24"/>
              </w:rPr>
            </w:pPr>
            <w:r>
              <w:rPr>
                <w:sz w:val="24"/>
                <w:szCs w:val="24"/>
              </w:rPr>
              <w:t>污染物</w:t>
            </w:r>
          </w:p>
        </w:tc>
        <w:tc>
          <w:tcPr>
            <w:tcW w:w="1796" w:type="pct"/>
            <w:gridSpan w:val="3"/>
            <w:shd w:val="clear" w:color="auto" w:fill="auto"/>
            <w:vAlign w:val="center"/>
          </w:tcPr>
          <w:p w14:paraId="663EFB89">
            <w:pPr>
              <w:pStyle w:val="55"/>
              <w:rPr>
                <w:sz w:val="24"/>
                <w:szCs w:val="24"/>
              </w:rPr>
            </w:pPr>
            <w:r>
              <w:rPr>
                <w:sz w:val="24"/>
                <w:szCs w:val="24"/>
              </w:rPr>
              <w:t>浓度限值</w:t>
            </w:r>
          </w:p>
        </w:tc>
        <w:tc>
          <w:tcPr>
            <w:tcW w:w="597" w:type="pct"/>
            <w:vMerge w:val="restart"/>
            <w:vAlign w:val="center"/>
          </w:tcPr>
          <w:p w14:paraId="7D709985">
            <w:pPr>
              <w:pStyle w:val="55"/>
              <w:rPr>
                <w:sz w:val="24"/>
                <w:szCs w:val="24"/>
              </w:rPr>
            </w:pPr>
            <w:r>
              <w:rPr>
                <w:rFonts w:hint="eastAsia"/>
                <w:sz w:val="24"/>
                <w:szCs w:val="24"/>
              </w:rPr>
              <w:t>单位</w:t>
            </w:r>
          </w:p>
        </w:tc>
        <w:tc>
          <w:tcPr>
            <w:tcW w:w="1644" w:type="pct"/>
            <w:vMerge w:val="restart"/>
            <w:shd w:val="clear" w:color="auto" w:fill="auto"/>
            <w:vAlign w:val="center"/>
          </w:tcPr>
          <w:p w14:paraId="47377DC7">
            <w:pPr>
              <w:pStyle w:val="55"/>
              <w:rPr>
                <w:sz w:val="24"/>
                <w:szCs w:val="24"/>
              </w:rPr>
            </w:pPr>
            <w:r>
              <w:rPr>
                <w:sz w:val="24"/>
                <w:szCs w:val="24"/>
              </w:rPr>
              <w:t>标准来源</w:t>
            </w:r>
          </w:p>
        </w:tc>
      </w:tr>
      <w:tr w14:paraId="66C7D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blHeader/>
        </w:trPr>
        <w:tc>
          <w:tcPr>
            <w:tcW w:w="251" w:type="pct"/>
            <w:vMerge w:val="continue"/>
            <w:shd w:val="clear" w:color="auto" w:fill="auto"/>
            <w:vAlign w:val="center"/>
          </w:tcPr>
          <w:p w14:paraId="3F0D8565">
            <w:pPr>
              <w:pStyle w:val="55"/>
              <w:rPr>
                <w:sz w:val="24"/>
                <w:szCs w:val="24"/>
              </w:rPr>
            </w:pPr>
          </w:p>
        </w:tc>
        <w:tc>
          <w:tcPr>
            <w:tcW w:w="710" w:type="pct"/>
            <w:vMerge w:val="continue"/>
            <w:shd w:val="clear" w:color="auto" w:fill="auto"/>
            <w:vAlign w:val="center"/>
          </w:tcPr>
          <w:p w14:paraId="4A4EAD20">
            <w:pPr>
              <w:pStyle w:val="55"/>
              <w:rPr>
                <w:sz w:val="24"/>
                <w:szCs w:val="24"/>
              </w:rPr>
            </w:pPr>
          </w:p>
        </w:tc>
        <w:tc>
          <w:tcPr>
            <w:tcW w:w="600" w:type="pct"/>
            <w:shd w:val="clear" w:color="auto" w:fill="auto"/>
            <w:vAlign w:val="center"/>
          </w:tcPr>
          <w:p w14:paraId="4F52278F">
            <w:pPr>
              <w:pStyle w:val="55"/>
              <w:rPr>
                <w:sz w:val="24"/>
                <w:szCs w:val="24"/>
              </w:rPr>
            </w:pPr>
            <w:r>
              <w:rPr>
                <w:sz w:val="24"/>
                <w:szCs w:val="24"/>
              </w:rPr>
              <w:t>年平均</w:t>
            </w:r>
          </w:p>
        </w:tc>
        <w:tc>
          <w:tcPr>
            <w:tcW w:w="597" w:type="pct"/>
            <w:shd w:val="clear" w:color="auto" w:fill="auto"/>
            <w:vAlign w:val="center"/>
          </w:tcPr>
          <w:p w14:paraId="40609727">
            <w:pPr>
              <w:pStyle w:val="55"/>
              <w:rPr>
                <w:sz w:val="24"/>
                <w:szCs w:val="24"/>
              </w:rPr>
            </w:pPr>
            <w:r>
              <w:rPr>
                <w:sz w:val="24"/>
                <w:szCs w:val="24"/>
              </w:rPr>
              <w:t>日平均</w:t>
            </w:r>
          </w:p>
        </w:tc>
        <w:tc>
          <w:tcPr>
            <w:tcW w:w="598" w:type="pct"/>
            <w:shd w:val="clear" w:color="auto" w:fill="auto"/>
            <w:vAlign w:val="center"/>
          </w:tcPr>
          <w:p w14:paraId="5012F290">
            <w:pPr>
              <w:pStyle w:val="55"/>
              <w:rPr>
                <w:sz w:val="24"/>
                <w:szCs w:val="24"/>
              </w:rPr>
            </w:pPr>
            <w:r>
              <w:rPr>
                <w:sz w:val="24"/>
                <w:szCs w:val="24"/>
              </w:rPr>
              <w:t>小时平均</w:t>
            </w:r>
          </w:p>
        </w:tc>
        <w:tc>
          <w:tcPr>
            <w:tcW w:w="597" w:type="pct"/>
            <w:vMerge w:val="continue"/>
            <w:vAlign w:val="center"/>
          </w:tcPr>
          <w:p w14:paraId="27012C53">
            <w:pPr>
              <w:pStyle w:val="55"/>
              <w:rPr>
                <w:sz w:val="24"/>
                <w:szCs w:val="24"/>
              </w:rPr>
            </w:pPr>
          </w:p>
        </w:tc>
        <w:tc>
          <w:tcPr>
            <w:tcW w:w="1644" w:type="pct"/>
            <w:vMerge w:val="continue"/>
            <w:shd w:val="clear" w:color="auto" w:fill="auto"/>
            <w:vAlign w:val="center"/>
          </w:tcPr>
          <w:p w14:paraId="0C255DBF">
            <w:pPr>
              <w:pStyle w:val="55"/>
              <w:rPr>
                <w:sz w:val="24"/>
                <w:szCs w:val="24"/>
              </w:rPr>
            </w:pPr>
          </w:p>
        </w:tc>
      </w:tr>
      <w:tr w14:paraId="17B30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251" w:type="pct"/>
            <w:shd w:val="clear" w:color="auto" w:fill="auto"/>
            <w:vAlign w:val="center"/>
          </w:tcPr>
          <w:p w14:paraId="7097E473">
            <w:pPr>
              <w:pStyle w:val="55"/>
              <w:rPr>
                <w:sz w:val="24"/>
                <w:szCs w:val="24"/>
              </w:rPr>
            </w:pPr>
            <w:r>
              <w:rPr>
                <w:sz w:val="24"/>
                <w:szCs w:val="24"/>
              </w:rPr>
              <w:t>1</w:t>
            </w:r>
          </w:p>
        </w:tc>
        <w:tc>
          <w:tcPr>
            <w:tcW w:w="710" w:type="pct"/>
            <w:shd w:val="clear" w:color="auto" w:fill="auto"/>
            <w:vAlign w:val="center"/>
          </w:tcPr>
          <w:p w14:paraId="7CD3E5FF">
            <w:pPr>
              <w:pStyle w:val="55"/>
              <w:rPr>
                <w:sz w:val="24"/>
                <w:szCs w:val="24"/>
              </w:rPr>
            </w:pPr>
            <w:r>
              <w:rPr>
                <w:sz w:val="24"/>
                <w:szCs w:val="24"/>
              </w:rPr>
              <w:t>SO</w:t>
            </w:r>
            <w:r>
              <w:rPr>
                <w:sz w:val="24"/>
                <w:szCs w:val="24"/>
                <w:vertAlign w:val="subscript"/>
              </w:rPr>
              <w:t>2</w:t>
            </w:r>
          </w:p>
        </w:tc>
        <w:tc>
          <w:tcPr>
            <w:tcW w:w="600" w:type="pct"/>
            <w:shd w:val="clear" w:color="auto" w:fill="auto"/>
            <w:vAlign w:val="center"/>
          </w:tcPr>
          <w:p w14:paraId="0B607C87">
            <w:pPr>
              <w:pStyle w:val="55"/>
              <w:rPr>
                <w:sz w:val="24"/>
                <w:szCs w:val="24"/>
              </w:rPr>
            </w:pPr>
            <w:r>
              <w:rPr>
                <w:sz w:val="24"/>
                <w:szCs w:val="24"/>
              </w:rPr>
              <w:t>60</w:t>
            </w:r>
          </w:p>
        </w:tc>
        <w:tc>
          <w:tcPr>
            <w:tcW w:w="597" w:type="pct"/>
            <w:shd w:val="clear" w:color="auto" w:fill="auto"/>
            <w:vAlign w:val="center"/>
          </w:tcPr>
          <w:p w14:paraId="46E80C9C">
            <w:pPr>
              <w:pStyle w:val="55"/>
              <w:rPr>
                <w:sz w:val="24"/>
                <w:szCs w:val="24"/>
              </w:rPr>
            </w:pPr>
            <w:r>
              <w:rPr>
                <w:sz w:val="24"/>
                <w:szCs w:val="24"/>
              </w:rPr>
              <w:t>150</w:t>
            </w:r>
          </w:p>
        </w:tc>
        <w:tc>
          <w:tcPr>
            <w:tcW w:w="598" w:type="pct"/>
            <w:shd w:val="clear" w:color="auto" w:fill="auto"/>
            <w:vAlign w:val="center"/>
          </w:tcPr>
          <w:p w14:paraId="592864AF">
            <w:pPr>
              <w:pStyle w:val="55"/>
              <w:rPr>
                <w:sz w:val="24"/>
                <w:szCs w:val="24"/>
              </w:rPr>
            </w:pPr>
            <w:r>
              <w:rPr>
                <w:sz w:val="24"/>
                <w:szCs w:val="24"/>
              </w:rPr>
              <w:t>500</w:t>
            </w:r>
          </w:p>
        </w:tc>
        <w:tc>
          <w:tcPr>
            <w:tcW w:w="597" w:type="pct"/>
            <w:vAlign w:val="center"/>
          </w:tcPr>
          <w:p w14:paraId="2AE2DC3D">
            <w:pPr>
              <w:pStyle w:val="55"/>
              <w:rPr>
                <w:sz w:val="24"/>
                <w:szCs w:val="24"/>
              </w:rPr>
            </w:pPr>
            <w:r>
              <w:rPr>
                <w:sz w:val="24"/>
                <w:szCs w:val="24"/>
              </w:rPr>
              <w:t>μg/m</w:t>
            </w:r>
            <w:r>
              <w:rPr>
                <w:sz w:val="24"/>
                <w:szCs w:val="24"/>
                <w:vertAlign w:val="superscript"/>
              </w:rPr>
              <w:t>3</w:t>
            </w:r>
          </w:p>
        </w:tc>
        <w:tc>
          <w:tcPr>
            <w:tcW w:w="1644" w:type="pct"/>
            <w:vMerge w:val="restart"/>
            <w:shd w:val="clear" w:color="auto" w:fill="auto"/>
            <w:vAlign w:val="center"/>
          </w:tcPr>
          <w:p w14:paraId="641A8164">
            <w:pPr>
              <w:pStyle w:val="55"/>
              <w:rPr>
                <w:sz w:val="24"/>
                <w:szCs w:val="24"/>
              </w:rPr>
            </w:pPr>
            <w:r>
              <w:rPr>
                <w:sz w:val="24"/>
                <w:szCs w:val="24"/>
              </w:rPr>
              <w:t>《环境空气质量标准》（GB3095-2012）</w:t>
            </w:r>
            <w:r>
              <w:rPr>
                <w:rFonts w:hint="eastAsia"/>
              </w:rPr>
              <w:t>及2018年修改单中二级浓度限值</w:t>
            </w:r>
          </w:p>
        </w:tc>
      </w:tr>
      <w:tr w14:paraId="18966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251" w:type="pct"/>
            <w:shd w:val="clear" w:color="auto" w:fill="auto"/>
            <w:vAlign w:val="center"/>
          </w:tcPr>
          <w:p w14:paraId="526B730B">
            <w:pPr>
              <w:pStyle w:val="55"/>
              <w:rPr>
                <w:sz w:val="24"/>
                <w:szCs w:val="24"/>
              </w:rPr>
            </w:pPr>
            <w:r>
              <w:rPr>
                <w:sz w:val="24"/>
                <w:szCs w:val="24"/>
              </w:rPr>
              <w:t>2</w:t>
            </w:r>
          </w:p>
        </w:tc>
        <w:tc>
          <w:tcPr>
            <w:tcW w:w="710" w:type="pct"/>
            <w:shd w:val="clear" w:color="auto" w:fill="auto"/>
            <w:vAlign w:val="center"/>
          </w:tcPr>
          <w:p w14:paraId="603501D4">
            <w:pPr>
              <w:pStyle w:val="55"/>
              <w:rPr>
                <w:sz w:val="24"/>
                <w:szCs w:val="24"/>
              </w:rPr>
            </w:pPr>
            <w:r>
              <w:rPr>
                <w:sz w:val="24"/>
                <w:szCs w:val="24"/>
              </w:rPr>
              <w:t>NO</w:t>
            </w:r>
            <w:r>
              <w:rPr>
                <w:sz w:val="24"/>
                <w:szCs w:val="24"/>
                <w:vertAlign w:val="subscript"/>
              </w:rPr>
              <w:t>2</w:t>
            </w:r>
          </w:p>
        </w:tc>
        <w:tc>
          <w:tcPr>
            <w:tcW w:w="600" w:type="pct"/>
            <w:shd w:val="clear" w:color="auto" w:fill="auto"/>
            <w:vAlign w:val="center"/>
          </w:tcPr>
          <w:p w14:paraId="207089A2">
            <w:pPr>
              <w:pStyle w:val="55"/>
              <w:rPr>
                <w:sz w:val="24"/>
                <w:szCs w:val="24"/>
              </w:rPr>
            </w:pPr>
            <w:r>
              <w:rPr>
                <w:sz w:val="24"/>
                <w:szCs w:val="24"/>
              </w:rPr>
              <w:t>40</w:t>
            </w:r>
          </w:p>
        </w:tc>
        <w:tc>
          <w:tcPr>
            <w:tcW w:w="597" w:type="pct"/>
            <w:shd w:val="clear" w:color="auto" w:fill="auto"/>
            <w:vAlign w:val="center"/>
          </w:tcPr>
          <w:p w14:paraId="293B3C53">
            <w:pPr>
              <w:pStyle w:val="55"/>
              <w:rPr>
                <w:sz w:val="24"/>
                <w:szCs w:val="24"/>
              </w:rPr>
            </w:pPr>
            <w:r>
              <w:rPr>
                <w:sz w:val="24"/>
                <w:szCs w:val="24"/>
              </w:rPr>
              <w:t>80</w:t>
            </w:r>
          </w:p>
        </w:tc>
        <w:tc>
          <w:tcPr>
            <w:tcW w:w="598" w:type="pct"/>
            <w:shd w:val="clear" w:color="auto" w:fill="auto"/>
            <w:vAlign w:val="center"/>
          </w:tcPr>
          <w:p w14:paraId="725C3246">
            <w:pPr>
              <w:pStyle w:val="55"/>
              <w:rPr>
                <w:sz w:val="24"/>
                <w:szCs w:val="24"/>
              </w:rPr>
            </w:pPr>
            <w:r>
              <w:rPr>
                <w:sz w:val="24"/>
                <w:szCs w:val="24"/>
              </w:rPr>
              <w:t>200</w:t>
            </w:r>
          </w:p>
        </w:tc>
        <w:tc>
          <w:tcPr>
            <w:tcW w:w="597" w:type="pct"/>
            <w:vAlign w:val="center"/>
          </w:tcPr>
          <w:p w14:paraId="484BFB93">
            <w:pPr>
              <w:pStyle w:val="55"/>
              <w:rPr>
                <w:sz w:val="24"/>
                <w:szCs w:val="24"/>
              </w:rPr>
            </w:pPr>
            <w:r>
              <w:rPr>
                <w:sz w:val="24"/>
                <w:szCs w:val="24"/>
              </w:rPr>
              <w:t>μg/m</w:t>
            </w:r>
            <w:r>
              <w:rPr>
                <w:sz w:val="24"/>
                <w:szCs w:val="24"/>
                <w:vertAlign w:val="superscript"/>
              </w:rPr>
              <w:t>3</w:t>
            </w:r>
          </w:p>
        </w:tc>
        <w:tc>
          <w:tcPr>
            <w:tcW w:w="1644" w:type="pct"/>
            <w:vMerge w:val="continue"/>
            <w:shd w:val="clear" w:color="auto" w:fill="auto"/>
            <w:vAlign w:val="center"/>
          </w:tcPr>
          <w:p w14:paraId="22B758B3">
            <w:pPr>
              <w:pStyle w:val="55"/>
              <w:rPr>
                <w:sz w:val="24"/>
                <w:szCs w:val="24"/>
              </w:rPr>
            </w:pPr>
          </w:p>
        </w:tc>
      </w:tr>
      <w:tr w14:paraId="6EA65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251" w:type="pct"/>
            <w:shd w:val="clear" w:color="auto" w:fill="auto"/>
            <w:vAlign w:val="center"/>
          </w:tcPr>
          <w:p w14:paraId="60DCBA1D">
            <w:pPr>
              <w:pStyle w:val="55"/>
              <w:rPr>
                <w:sz w:val="24"/>
                <w:szCs w:val="24"/>
              </w:rPr>
            </w:pPr>
            <w:r>
              <w:rPr>
                <w:sz w:val="24"/>
                <w:szCs w:val="24"/>
              </w:rPr>
              <w:t>3</w:t>
            </w:r>
          </w:p>
        </w:tc>
        <w:tc>
          <w:tcPr>
            <w:tcW w:w="710" w:type="pct"/>
            <w:shd w:val="clear" w:color="auto" w:fill="auto"/>
            <w:vAlign w:val="center"/>
          </w:tcPr>
          <w:p w14:paraId="4F9394B8">
            <w:pPr>
              <w:pStyle w:val="55"/>
              <w:rPr>
                <w:sz w:val="24"/>
                <w:szCs w:val="24"/>
              </w:rPr>
            </w:pPr>
            <w:r>
              <w:rPr>
                <w:sz w:val="24"/>
                <w:szCs w:val="24"/>
              </w:rPr>
              <w:t>NO</w:t>
            </w:r>
            <w:r>
              <w:rPr>
                <w:sz w:val="24"/>
                <w:szCs w:val="24"/>
                <w:vertAlign w:val="subscript"/>
              </w:rPr>
              <w:t>x</w:t>
            </w:r>
          </w:p>
        </w:tc>
        <w:tc>
          <w:tcPr>
            <w:tcW w:w="600" w:type="pct"/>
            <w:shd w:val="clear" w:color="auto" w:fill="auto"/>
            <w:vAlign w:val="center"/>
          </w:tcPr>
          <w:p w14:paraId="2447C832">
            <w:pPr>
              <w:pStyle w:val="55"/>
              <w:rPr>
                <w:sz w:val="24"/>
                <w:szCs w:val="24"/>
              </w:rPr>
            </w:pPr>
            <w:r>
              <w:rPr>
                <w:sz w:val="24"/>
                <w:szCs w:val="24"/>
              </w:rPr>
              <w:t>50</w:t>
            </w:r>
          </w:p>
        </w:tc>
        <w:tc>
          <w:tcPr>
            <w:tcW w:w="597" w:type="pct"/>
            <w:shd w:val="clear" w:color="auto" w:fill="auto"/>
            <w:vAlign w:val="center"/>
          </w:tcPr>
          <w:p w14:paraId="4A0B5B3C">
            <w:pPr>
              <w:pStyle w:val="55"/>
              <w:rPr>
                <w:sz w:val="24"/>
                <w:szCs w:val="24"/>
              </w:rPr>
            </w:pPr>
            <w:r>
              <w:rPr>
                <w:sz w:val="24"/>
                <w:szCs w:val="24"/>
              </w:rPr>
              <w:t>100</w:t>
            </w:r>
          </w:p>
        </w:tc>
        <w:tc>
          <w:tcPr>
            <w:tcW w:w="598" w:type="pct"/>
            <w:shd w:val="clear" w:color="auto" w:fill="auto"/>
            <w:vAlign w:val="center"/>
          </w:tcPr>
          <w:p w14:paraId="7739FC75">
            <w:pPr>
              <w:pStyle w:val="55"/>
              <w:rPr>
                <w:sz w:val="24"/>
                <w:szCs w:val="24"/>
              </w:rPr>
            </w:pPr>
            <w:r>
              <w:rPr>
                <w:sz w:val="24"/>
                <w:szCs w:val="24"/>
              </w:rPr>
              <w:t>250</w:t>
            </w:r>
          </w:p>
        </w:tc>
        <w:tc>
          <w:tcPr>
            <w:tcW w:w="597" w:type="pct"/>
            <w:vAlign w:val="center"/>
          </w:tcPr>
          <w:p w14:paraId="44D80A59">
            <w:pPr>
              <w:pStyle w:val="55"/>
              <w:rPr>
                <w:sz w:val="24"/>
                <w:szCs w:val="24"/>
              </w:rPr>
            </w:pPr>
            <w:r>
              <w:rPr>
                <w:sz w:val="24"/>
                <w:szCs w:val="24"/>
              </w:rPr>
              <w:t>μg/m</w:t>
            </w:r>
            <w:r>
              <w:rPr>
                <w:sz w:val="24"/>
                <w:szCs w:val="24"/>
                <w:vertAlign w:val="superscript"/>
              </w:rPr>
              <w:t>3</w:t>
            </w:r>
          </w:p>
        </w:tc>
        <w:tc>
          <w:tcPr>
            <w:tcW w:w="1644" w:type="pct"/>
            <w:vMerge w:val="continue"/>
            <w:shd w:val="clear" w:color="auto" w:fill="auto"/>
            <w:vAlign w:val="center"/>
          </w:tcPr>
          <w:p w14:paraId="2793A47E">
            <w:pPr>
              <w:pStyle w:val="55"/>
              <w:rPr>
                <w:sz w:val="24"/>
                <w:szCs w:val="24"/>
              </w:rPr>
            </w:pPr>
          </w:p>
        </w:tc>
      </w:tr>
      <w:tr w14:paraId="6EE24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251" w:type="pct"/>
            <w:shd w:val="clear" w:color="auto" w:fill="auto"/>
            <w:vAlign w:val="center"/>
          </w:tcPr>
          <w:p w14:paraId="4275C844">
            <w:pPr>
              <w:pStyle w:val="55"/>
              <w:rPr>
                <w:sz w:val="24"/>
                <w:szCs w:val="24"/>
              </w:rPr>
            </w:pPr>
            <w:r>
              <w:rPr>
                <w:sz w:val="24"/>
                <w:szCs w:val="24"/>
              </w:rPr>
              <w:t>4</w:t>
            </w:r>
          </w:p>
        </w:tc>
        <w:tc>
          <w:tcPr>
            <w:tcW w:w="710" w:type="pct"/>
            <w:shd w:val="clear" w:color="auto" w:fill="auto"/>
            <w:vAlign w:val="center"/>
          </w:tcPr>
          <w:p w14:paraId="6E32181E">
            <w:pPr>
              <w:pStyle w:val="55"/>
              <w:rPr>
                <w:sz w:val="24"/>
                <w:szCs w:val="24"/>
              </w:rPr>
            </w:pPr>
            <w:r>
              <w:rPr>
                <w:rFonts w:hint="eastAsia"/>
                <w:sz w:val="24"/>
                <w:szCs w:val="24"/>
              </w:rPr>
              <w:t>CO</w:t>
            </w:r>
          </w:p>
        </w:tc>
        <w:tc>
          <w:tcPr>
            <w:tcW w:w="600" w:type="pct"/>
            <w:shd w:val="clear" w:color="auto" w:fill="auto"/>
            <w:vAlign w:val="center"/>
          </w:tcPr>
          <w:p w14:paraId="45D572FB">
            <w:pPr>
              <w:pStyle w:val="55"/>
              <w:rPr>
                <w:sz w:val="24"/>
                <w:szCs w:val="24"/>
              </w:rPr>
            </w:pPr>
            <w:r>
              <w:rPr>
                <w:sz w:val="24"/>
                <w:szCs w:val="24"/>
              </w:rPr>
              <w:t>—</w:t>
            </w:r>
          </w:p>
        </w:tc>
        <w:tc>
          <w:tcPr>
            <w:tcW w:w="597" w:type="pct"/>
            <w:shd w:val="clear" w:color="auto" w:fill="auto"/>
            <w:vAlign w:val="center"/>
          </w:tcPr>
          <w:p w14:paraId="4C4E7CF1">
            <w:pPr>
              <w:pStyle w:val="55"/>
              <w:rPr>
                <w:sz w:val="24"/>
                <w:szCs w:val="24"/>
              </w:rPr>
            </w:pPr>
            <w:r>
              <w:rPr>
                <w:rFonts w:hint="eastAsia"/>
                <w:sz w:val="24"/>
                <w:szCs w:val="24"/>
              </w:rPr>
              <w:t>4</w:t>
            </w:r>
          </w:p>
        </w:tc>
        <w:tc>
          <w:tcPr>
            <w:tcW w:w="598" w:type="pct"/>
            <w:shd w:val="clear" w:color="auto" w:fill="auto"/>
            <w:vAlign w:val="center"/>
          </w:tcPr>
          <w:p w14:paraId="3D85A65A">
            <w:pPr>
              <w:pStyle w:val="55"/>
              <w:rPr>
                <w:sz w:val="24"/>
                <w:szCs w:val="24"/>
              </w:rPr>
            </w:pPr>
            <w:r>
              <w:rPr>
                <w:sz w:val="24"/>
                <w:szCs w:val="24"/>
              </w:rPr>
              <w:t>10</w:t>
            </w:r>
          </w:p>
        </w:tc>
        <w:tc>
          <w:tcPr>
            <w:tcW w:w="597" w:type="pct"/>
            <w:vAlign w:val="center"/>
          </w:tcPr>
          <w:p w14:paraId="32096352">
            <w:pPr>
              <w:pStyle w:val="55"/>
              <w:rPr>
                <w:sz w:val="24"/>
                <w:szCs w:val="24"/>
              </w:rPr>
            </w:pPr>
            <w:r>
              <w:rPr>
                <w:rFonts w:hint="eastAsia"/>
                <w:sz w:val="24"/>
                <w:szCs w:val="24"/>
              </w:rPr>
              <w:t>mg/m</w:t>
            </w:r>
            <w:r>
              <w:rPr>
                <w:rFonts w:hint="eastAsia"/>
                <w:sz w:val="24"/>
                <w:szCs w:val="24"/>
                <w:vertAlign w:val="superscript"/>
              </w:rPr>
              <w:t>3</w:t>
            </w:r>
          </w:p>
        </w:tc>
        <w:tc>
          <w:tcPr>
            <w:tcW w:w="1644" w:type="pct"/>
            <w:vMerge w:val="continue"/>
            <w:shd w:val="clear" w:color="auto" w:fill="auto"/>
            <w:vAlign w:val="center"/>
          </w:tcPr>
          <w:p w14:paraId="657CA23B">
            <w:pPr>
              <w:pStyle w:val="55"/>
              <w:rPr>
                <w:sz w:val="24"/>
                <w:szCs w:val="24"/>
              </w:rPr>
            </w:pPr>
          </w:p>
        </w:tc>
      </w:tr>
      <w:tr w14:paraId="656C5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251" w:type="pct"/>
            <w:shd w:val="clear" w:color="auto" w:fill="auto"/>
            <w:vAlign w:val="center"/>
          </w:tcPr>
          <w:p w14:paraId="6DD38A16">
            <w:pPr>
              <w:pStyle w:val="55"/>
              <w:rPr>
                <w:sz w:val="24"/>
                <w:szCs w:val="24"/>
              </w:rPr>
            </w:pPr>
            <w:r>
              <w:rPr>
                <w:sz w:val="24"/>
                <w:szCs w:val="24"/>
              </w:rPr>
              <w:t>5</w:t>
            </w:r>
          </w:p>
        </w:tc>
        <w:tc>
          <w:tcPr>
            <w:tcW w:w="710" w:type="pct"/>
            <w:shd w:val="clear" w:color="auto" w:fill="auto"/>
            <w:vAlign w:val="center"/>
          </w:tcPr>
          <w:p w14:paraId="23D1D162">
            <w:pPr>
              <w:pStyle w:val="55"/>
              <w:rPr>
                <w:sz w:val="24"/>
                <w:szCs w:val="24"/>
              </w:rPr>
            </w:pPr>
            <w:r>
              <w:rPr>
                <w:rFonts w:hint="eastAsia"/>
                <w:sz w:val="24"/>
                <w:szCs w:val="24"/>
              </w:rPr>
              <w:t>O</w:t>
            </w:r>
            <w:r>
              <w:rPr>
                <w:rFonts w:hint="eastAsia"/>
                <w:sz w:val="24"/>
                <w:szCs w:val="24"/>
                <w:vertAlign w:val="subscript"/>
              </w:rPr>
              <w:t>3</w:t>
            </w:r>
          </w:p>
        </w:tc>
        <w:tc>
          <w:tcPr>
            <w:tcW w:w="1197" w:type="pct"/>
            <w:gridSpan w:val="2"/>
            <w:shd w:val="clear" w:color="auto" w:fill="auto"/>
            <w:vAlign w:val="center"/>
          </w:tcPr>
          <w:p w14:paraId="40B30782">
            <w:pPr>
              <w:pStyle w:val="55"/>
              <w:rPr>
                <w:sz w:val="24"/>
                <w:szCs w:val="24"/>
              </w:rPr>
            </w:pPr>
            <w:r>
              <w:rPr>
                <w:rFonts w:hint="eastAsia"/>
                <w:sz w:val="24"/>
                <w:szCs w:val="24"/>
              </w:rPr>
              <w:t>日</w:t>
            </w:r>
            <w:r>
              <w:rPr>
                <w:sz w:val="24"/>
                <w:szCs w:val="24"/>
              </w:rPr>
              <w:t>最大8h</w:t>
            </w:r>
            <w:r>
              <w:rPr>
                <w:rFonts w:hint="eastAsia"/>
                <w:sz w:val="24"/>
                <w:szCs w:val="24"/>
              </w:rPr>
              <w:t>平均160</w:t>
            </w:r>
          </w:p>
        </w:tc>
        <w:tc>
          <w:tcPr>
            <w:tcW w:w="598" w:type="pct"/>
            <w:shd w:val="clear" w:color="auto" w:fill="auto"/>
            <w:vAlign w:val="center"/>
          </w:tcPr>
          <w:p w14:paraId="7029EF72">
            <w:pPr>
              <w:pStyle w:val="55"/>
              <w:rPr>
                <w:sz w:val="24"/>
                <w:szCs w:val="24"/>
              </w:rPr>
            </w:pPr>
            <w:r>
              <w:rPr>
                <w:rFonts w:hint="eastAsia"/>
                <w:sz w:val="24"/>
                <w:szCs w:val="24"/>
              </w:rPr>
              <w:t>200</w:t>
            </w:r>
          </w:p>
        </w:tc>
        <w:tc>
          <w:tcPr>
            <w:tcW w:w="597" w:type="pct"/>
            <w:vAlign w:val="center"/>
          </w:tcPr>
          <w:p w14:paraId="666E7F12">
            <w:pPr>
              <w:pStyle w:val="55"/>
              <w:rPr>
                <w:sz w:val="24"/>
                <w:szCs w:val="24"/>
              </w:rPr>
            </w:pPr>
            <w:r>
              <w:rPr>
                <w:sz w:val="24"/>
                <w:szCs w:val="24"/>
              </w:rPr>
              <w:t>μg/m</w:t>
            </w:r>
            <w:r>
              <w:rPr>
                <w:sz w:val="24"/>
                <w:szCs w:val="24"/>
                <w:vertAlign w:val="superscript"/>
              </w:rPr>
              <w:t>3</w:t>
            </w:r>
          </w:p>
        </w:tc>
        <w:tc>
          <w:tcPr>
            <w:tcW w:w="1644" w:type="pct"/>
            <w:vMerge w:val="continue"/>
            <w:shd w:val="clear" w:color="auto" w:fill="auto"/>
            <w:vAlign w:val="center"/>
          </w:tcPr>
          <w:p w14:paraId="0972CBE5">
            <w:pPr>
              <w:pStyle w:val="55"/>
              <w:rPr>
                <w:sz w:val="24"/>
                <w:szCs w:val="24"/>
              </w:rPr>
            </w:pPr>
          </w:p>
        </w:tc>
      </w:tr>
      <w:tr w14:paraId="56139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251" w:type="pct"/>
            <w:shd w:val="clear" w:color="auto" w:fill="auto"/>
            <w:vAlign w:val="center"/>
          </w:tcPr>
          <w:p w14:paraId="5477A0EB">
            <w:pPr>
              <w:pStyle w:val="55"/>
              <w:rPr>
                <w:sz w:val="24"/>
                <w:szCs w:val="24"/>
              </w:rPr>
            </w:pPr>
            <w:r>
              <w:rPr>
                <w:sz w:val="24"/>
                <w:szCs w:val="24"/>
              </w:rPr>
              <w:t>6</w:t>
            </w:r>
          </w:p>
        </w:tc>
        <w:tc>
          <w:tcPr>
            <w:tcW w:w="710" w:type="pct"/>
            <w:shd w:val="clear" w:color="auto" w:fill="auto"/>
            <w:vAlign w:val="center"/>
          </w:tcPr>
          <w:p w14:paraId="11735168">
            <w:pPr>
              <w:pStyle w:val="55"/>
              <w:rPr>
                <w:sz w:val="24"/>
                <w:szCs w:val="24"/>
              </w:rPr>
            </w:pPr>
            <w:r>
              <w:rPr>
                <w:sz w:val="24"/>
                <w:szCs w:val="24"/>
              </w:rPr>
              <w:t>PM</w:t>
            </w:r>
            <w:r>
              <w:rPr>
                <w:sz w:val="24"/>
                <w:szCs w:val="24"/>
                <w:vertAlign w:val="subscript"/>
              </w:rPr>
              <w:t>10</w:t>
            </w:r>
          </w:p>
        </w:tc>
        <w:tc>
          <w:tcPr>
            <w:tcW w:w="600" w:type="pct"/>
            <w:shd w:val="clear" w:color="auto" w:fill="auto"/>
            <w:vAlign w:val="center"/>
          </w:tcPr>
          <w:p w14:paraId="52032FA5">
            <w:pPr>
              <w:pStyle w:val="55"/>
              <w:rPr>
                <w:sz w:val="24"/>
                <w:szCs w:val="24"/>
              </w:rPr>
            </w:pPr>
            <w:r>
              <w:rPr>
                <w:sz w:val="24"/>
                <w:szCs w:val="24"/>
              </w:rPr>
              <w:t>70</w:t>
            </w:r>
          </w:p>
        </w:tc>
        <w:tc>
          <w:tcPr>
            <w:tcW w:w="597" w:type="pct"/>
            <w:shd w:val="clear" w:color="auto" w:fill="auto"/>
            <w:vAlign w:val="center"/>
          </w:tcPr>
          <w:p w14:paraId="68AE3917">
            <w:pPr>
              <w:pStyle w:val="55"/>
              <w:rPr>
                <w:sz w:val="24"/>
                <w:szCs w:val="24"/>
              </w:rPr>
            </w:pPr>
            <w:r>
              <w:rPr>
                <w:sz w:val="24"/>
                <w:szCs w:val="24"/>
              </w:rPr>
              <w:t>150</w:t>
            </w:r>
          </w:p>
        </w:tc>
        <w:tc>
          <w:tcPr>
            <w:tcW w:w="598" w:type="pct"/>
            <w:shd w:val="clear" w:color="auto" w:fill="auto"/>
            <w:vAlign w:val="center"/>
          </w:tcPr>
          <w:p w14:paraId="4F93D8FD">
            <w:pPr>
              <w:pStyle w:val="55"/>
              <w:rPr>
                <w:sz w:val="24"/>
                <w:szCs w:val="24"/>
              </w:rPr>
            </w:pPr>
            <w:r>
              <w:rPr>
                <w:sz w:val="24"/>
                <w:szCs w:val="24"/>
              </w:rPr>
              <w:t>—</w:t>
            </w:r>
          </w:p>
        </w:tc>
        <w:tc>
          <w:tcPr>
            <w:tcW w:w="597" w:type="pct"/>
            <w:vAlign w:val="center"/>
          </w:tcPr>
          <w:p w14:paraId="0941E1FD">
            <w:pPr>
              <w:pStyle w:val="55"/>
              <w:rPr>
                <w:sz w:val="24"/>
                <w:szCs w:val="24"/>
              </w:rPr>
            </w:pPr>
            <w:r>
              <w:rPr>
                <w:sz w:val="24"/>
                <w:szCs w:val="24"/>
              </w:rPr>
              <w:t>μg/m</w:t>
            </w:r>
            <w:r>
              <w:rPr>
                <w:sz w:val="24"/>
                <w:szCs w:val="24"/>
                <w:vertAlign w:val="superscript"/>
              </w:rPr>
              <w:t>3</w:t>
            </w:r>
          </w:p>
        </w:tc>
        <w:tc>
          <w:tcPr>
            <w:tcW w:w="1644" w:type="pct"/>
            <w:vMerge w:val="continue"/>
            <w:shd w:val="clear" w:color="auto" w:fill="auto"/>
            <w:vAlign w:val="center"/>
          </w:tcPr>
          <w:p w14:paraId="3EA2E812">
            <w:pPr>
              <w:pStyle w:val="55"/>
              <w:rPr>
                <w:sz w:val="24"/>
                <w:szCs w:val="24"/>
              </w:rPr>
            </w:pPr>
          </w:p>
        </w:tc>
      </w:tr>
      <w:tr w14:paraId="74DD7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251" w:type="pct"/>
            <w:shd w:val="clear" w:color="auto" w:fill="auto"/>
            <w:vAlign w:val="center"/>
          </w:tcPr>
          <w:p w14:paraId="2C966CA8">
            <w:pPr>
              <w:pStyle w:val="55"/>
              <w:rPr>
                <w:sz w:val="24"/>
                <w:szCs w:val="24"/>
              </w:rPr>
            </w:pPr>
            <w:r>
              <w:rPr>
                <w:rFonts w:hint="eastAsia"/>
                <w:sz w:val="24"/>
                <w:szCs w:val="24"/>
              </w:rPr>
              <w:t>7</w:t>
            </w:r>
          </w:p>
        </w:tc>
        <w:tc>
          <w:tcPr>
            <w:tcW w:w="710" w:type="pct"/>
            <w:shd w:val="clear" w:color="auto" w:fill="auto"/>
            <w:vAlign w:val="center"/>
          </w:tcPr>
          <w:p w14:paraId="68AD85D9">
            <w:pPr>
              <w:pStyle w:val="55"/>
              <w:rPr>
                <w:rFonts w:ascii="Times New Roman" w:hAnsi="Times New Roman" w:eastAsia="楷体" w:cstheme="minorBidi"/>
                <w:snapToGrid w:val="0"/>
                <w:kern w:val="0"/>
                <w:sz w:val="24"/>
                <w:szCs w:val="24"/>
                <w:lang w:val="en-US" w:eastAsia="zh-CN" w:bidi="ar-SA"/>
              </w:rPr>
            </w:pPr>
            <w:r>
              <w:rPr>
                <w:rFonts w:hint="eastAsia"/>
                <w:sz w:val="24"/>
                <w:szCs w:val="24"/>
              </w:rPr>
              <w:t>TSP</w:t>
            </w:r>
          </w:p>
        </w:tc>
        <w:tc>
          <w:tcPr>
            <w:tcW w:w="600" w:type="pct"/>
            <w:shd w:val="clear" w:color="auto" w:fill="auto"/>
            <w:vAlign w:val="center"/>
          </w:tcPr>
          <w:p w14:paraId="4BE163CF">
            <w:pPr>
              <w:pStyle w:val="55"/>
              <w:rPr>
                <w:rFonts w:ascii="Times New Roman" w:hAnsi="Times New Roman" w:eastAsia="楷体" w:cstheme="minorBidi"/>
                <w:snapToGrid w:val="0"/>
                <w:kern w:val="0"/>
                <w:sz w:val="24"/>
                <w:szCs w:val="24"/>
                <w:lang w:val="en-US" w:eastAsia="zh-CN" w:bidi="ar-SA"/>
              </w:rPr>
            </w:pPr>
            <w:r>
              <w:rPr>
                <w:rFonts w:hint="eastAsia"/>
                <w:sz w:val="24"/>
                <w:szCs w:val="24"/>
              </w:rPr>
              <w:t>200</w:t>
            </w:r>
          </w:p>
        </w:tc>
        <w:tc>
          <w:tcPr>
            <w:tcW w:w="597" w:type="pct"/>
            <w:shd w:val="clear" w:color="auto" w:fill="auto"/>
            <w:vAlign w:val="center"/>
          </w:tcPr>
          <w:p w14:paraId="797C3850">
            <w:pPr>
              <w:pStyle w:val="55"/>
              <w:rPr>
                <w:rFonts w:ascii="Times New Roman" w:hAnsi="Times New Roman" w:eastAsia="楷体" w:cstheme="minorBidi"/>
                <w:snapToGrid w:val="0"/>
                <w:kern w:val="0"/>
                <w:sz w:val="24"/>
                <w:szCs w:val="24"/>
                <w:lang w:val="en-US" w:eastAsia="zh-CN" w:bidi="ar-SA"/>
              </w:rPr>
            </w:pPr>
            <w:r>
              <w:rPr>
                <w:rFonts w:hint="eastAsia"/>
                <w:sz w:val="24"/>
                <w:szCs w:val="24"/>
              </w:rPr>
              <w:t>300</w:t>
            </w:r>
          </w:p>
        </w:tc>
        <w:tc>
          <w:tcPr>
            <w:tcW w:w="598" w:type="pct"/>
            <w:shd w:val="clear" w:color="auto" w:fill="auto"/>
            <w:vAlign w:val="center"/>
          </w:tcPr>
          <w:p w14:paraId="7FA46116">
            <w:pPr>
              <w:pStyle w:val="55"/>
              <w:rPr>
                <w:rFonts w:ascii="Times New Roman" w:hAnsi="Times New Roman" w:eastAsia="楷体" w:cstheme="minorBidi"/>
                <w:snapToGrid w:val="0"/>
                <w:kern w:val="0"/>
                <w:sz w:val="24"/>
                <w:szCs w:val="24"/>
                <w:lang w:val="en-US" w:eastAsia="zh-CN" w:bidi="ar-SA"/>
              </w:rPr>
            </w:pPr>
            <w:r>
              <w:rPr>
                <w:sz w:val="24"/>
                <w:szCs w:val="24"/>
              </w:rPr>
              <w:t>—</w:t>
            </w:r>
          </w:p>
        </w:tc>
        <w:tc>
          <w:tcPr>
            <w:tcW w:w="597" w:type="pct"/>
            <w:shd w:val="clear" w:color="auto" w:fill="auto"/>
            <w:vAlign w:val="center"/>
          </w:tcPr>
          <w:p w14:paraId="066EE269">
            <w:pPr>
              <w:pStyle w:val="55"/>
              <w:rPr>
                <w:rFonts w:ascii="Times New Roman" w:hAnsi="Times New Roman" w:eastAsia="楷体" w:cstheme="minorBidi"/>
                <w:snapToGrid w:val="0"/>
                <w:kern w:val="0"/>
                <w:sz w:val="24"/>
                <w:szCs w:val="24"/>
                <w:lang w:val="en-US" w:eastAsia="zh-CN" w:bidi="ar-SA"/>
              </w:rPr>
            </w:pPr>
            <w:r>
              <w:rPr>
                <w:sz w:val="24"/>
                <w:szCs w:val="24"/>
              </w:rPr>
              <w:t>μg/m</w:t>
            </w:r>
            <w:r>
              <w:rPr>
                <w:sz w:val="24"/>
                <w:szCs w:val="24"/>
                <w:vertAlign w:val="superscript"/>
              </w:rPr>
              <w:t>3</w:t>
            </w:r>
          </w:p>
        </w:tc>
        <w:tc>
          <w:tcPr>
            <w:tcW w:w="1644" w:type="pct"/>
            <w:vMerge w:val="continue"/>
            <w:shd w:val="clear" w:color="auto" w:fill="auto"/>
            <w:vAlign w:val="center"/>
          </w:tcPr>
          <w:p w14:paraId="1CC5AF18">
            <w:pPr>
              <w:pStyle w:val="55"/>
              <w:rPr>
                <w:sz w:val="24"/>
                <w:szCs w:val="24"/>
              </w:rPr>
            </w:pPr>
          </w:p>
        </w:tc>
      </w:tr>
      <w:tr w14:paraId="424E0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251" w:type="pct"/>
            <w:shd w:val="clear" w:color="auto" w:fill="auto"/>
            <w:vAlign w:val="center"/>
          </w:tcPr>
          <w:p w14:paraId="67D2DCB5">
            <w:pPr>
              <w:pStyle w:val="55"/>
              <w:rPr>
                <w:sz w:val="24"/>
                <w:szCs w:val="24"/>
              </w:rPr>
            </w:pPr>
            <w:r>
              <w:rPr>
                <w:rFonts w:hint="eastAsia"/>
                <w:sz w:val="24"/>
                <w:szCs w:val="24"/>
              </w:rPr>
              <w:t>8</w:t>
            </w:r>
          </w:p>
        </w:tc>
        <w:tc>
          <w:tcPr>
            <w:tcW w:w="710" w:type="pct"/>
            <w:shd w:val="clear" w:color="auto" w:fill="auto"/>
            <w:vAlign w:val="center"/>
          </w:tcPr>
          <w:p w14:paraId="550772CC">
            <w:pPr>
              <w:pStyle w:val="55"/>
              <w:rPr>
                <w:rFonts w:ascii="Times New Roman" w:hAnsi="Times New Roman" w:eastAsia="楷体" w:cstheme="minorBidi"/>
                <w:snapToGrid w:val="0"/>
                <w:kern w:val="0"/>
                <w:sz w:val="24"/>
                <w:szCs w:val="24"/>
                <w:lang w:val="en-US" w:eastAsia="zh-CN" w:bidi="ar-SA"/>
              </w:rPr>
            </w:pPr>
            <w:r>
              <w:rPr>
                <w:sz w:val="24"/>
                <w:szCs w:val="24"/>
              </w:rPr>
              <w:t>HCl</w:t>
            </w:r>
          </w:p>
        </w:tc>
        <w:tc>
          <w:tcPr>
            <w:tcW w:w="600" w:type="pct"/>
            <w:shd w:val="clear" w:color="auto" w:fill="auto"/>
            <w:vAlign w:val="center"/>
          </w:tcPr>
          <w:p w14:paraId="10211468">
            <w:pPr>
              <w:pStyle w:val="55"/>
              <w:rPr>
                <w:rFonts w:ascii="Times New Roman" w:hAnsi="Times New Roman" w:eastAsia="楷体" w:cstheme="minorBidi"/>
                <w:snapToGrid w:val="0"/>
                <w:kern w:val="0"/>
                <w:sz w:val="24"/>
                <w:szCs w:val="24"/>
                <w:lang w:val="en-US" w:eastAsia="zh-CN" w:bidi="ar-SA"/>
              </w:rPr>
            </w:pPr>
            <w:r>
              <w:rPr>
                <w:sz w:val="24"/>
                <w:szCs w:val="24"/>
              </w:rPr>
              <w:t>—</w:t>
            </w:r>
          </w:p>
        </w:tc>
        <w:tc>
          <w:tcPr>
            <w:tcW w:w="597" w:type="pct"/>
            <w:shd w:val="clear" w:color="auto" w:fill="auto"/>
            <w:vAlign w:val="center"/>
          </w:tcPr>
          <w:p w14:paraId="56E96DE1">
            <w:pPr>
              <w:pStyle w:val="55"/>
              <w:rPr>
                <w:rFonts w:ascii="Times New Roman" w:hAnsi="Times New Roman" w:eastAsia="楷体" w:cstheme="minorBidi"/>
                <w:snapToGrid w:val="0"/>
                <w:kern w:val="0"/>
                <w:sz w:val="24"/>
                <w:szCs w:val="24"/>
                <w:lang w:val="en-US" w:eastAsia="zh-CN" w:bidi="ar-SA"/>
              </w:rPr>
            </w:pPr>
            <w:r>
              <w:rPr>
                <w:rFonts w:hint="eastAsia"/>
                <w:sz w:val="24"/>
                <w:szCs w:val="24"/>
              </w:rPr>
              <w:t>15</w:t>
            </w:r>
          </w:p>
        </w:tc>
        <w:tc>
          <w:tcPr>
            <w:tcW w:w="598" w:type="pct"/>
            <w:shd w:val="clear" w:color="auto" w:fill="auto"/>
            <w:vAlign w:val="center"/>
          </w:tcPr>
          <w:p w14:paraId="3380436A">
            <w:pPr>
              <w:pStyle w:val="55"/>
              <w:rPr>
                <w:rFonts w:ascii="Times New Roman" w:hAnsi="Times New Roman" w:eastAsia="楷体" w:cstheme="minorBidi"/>
                <w:snapToGrid w:val="0"/>
                <w:kern w:val="0"/>
                <w:sz w:val="24"/>
                <w:szCs w:val="24"/>
                <w:lang w:val="en-US" w:eastAsia="zh-CN" w:bidi="ar-SA"/>
              </w:rPr>
            </w:pPr>
            <w:r>
              <w:rPr>
                <w:rFonts w:hint="eastAsia"/>
                <w:sz w:val="24"/>
                <w:szCs w:val="24"/>
              </w:rPr>
              <w:t>50</w:t>
            </w:r>
          </w:p>
        </w:tc>
        <w:tc>
          <w:tcPr>
            <w:tcW w:w="597" w:type="pct"/>
            <w:shd w:val="clear" w:color="auto" w:fill="auto"/>
            <w:vAlign w:val="center"/>
          </w:tcPr>
          <w:p w14:paraId="5FF9EC39">
            <w:pPr>
              <w:pStyle w:val="55"/>
              <w:rPr>
                <w:rFonts w:ascii="Times New Roman" w:hAnsi="Times New Roman" w:eastAsia="楷体" w:cstheme="minorBidi"/>
                <w:snapToGrid w:val="0"/>
                <w:kern w:val="0"/>
                <w:sz w:val="24"/>
                <w:szCs w:val="24"/>
                <w:lang w:val="en-US" w:eastAsia="zh-CN" w:bidi="ar-SA"/>
              </w:rPr>
            </w:pPr>
            <w:r>
              <w:rPr>
                <w:sz w:val="24"/>
                <w:szCs w:val="24"/>
              </w:rPr>
              <w:t>μg/m</w:t>
            </w:r>
            <w:r>
              <w:rPr>
                <w:sz w:val="24"/>
                <w:szCs w:val="24"/>
                <w:vertAlign w:val="superscript"/>
              </w:rPr>
              <w:t>3</w:t>
            </w:r>
          </w:p>
        </w:tc>
        <w:tc>
          <w:tcPr>
            <w:tcW w:w="1644" w:type="pct"/>
            <w:shd w:val="clear" w:color="auto" w:fill="auto"/>
            <w:vAlign w:val="center"/>
          </w:tcPr>
          <w:p w14:paraId="5F7451AA">
            <w:pPr>
              <w:pStyle w:val="55"/>
              <w:rPr>
                <w:sz w:val="24"/>
                <w:szCs w:val="24"/>
              </w:rPr>
            </w:pPr>
            <w:r>
              <w:rPr>
                <w:sz w:val="24"/>
                <w:szCs w:val="24"/>
              </w:rPr>
              <w:t>《环境影响评价技术导则</w:t>
            </w:r>
            <w:r>
              <w:rPr>
                <w:rFonts w:hint="eastAsia"/>
                <w:sz w:val="24"/>
                <w:szCs w:val="24"/>
              </w:rPr>
              <w:t xml:space="preserve"> </w:t>
            </w:r>
            <w:r>
              <w:rPr>
                <w:sz w:val="24"/>
                <w:szCs w:val="24"/>
              </w:rPr>
              <w:t>大气环境》</w:t>
            </w:r>
            <w:r>
              <w:rPr>
                <w:rFonts w:hint="eastAsia"/>
                <w:sz w:val="24"/>
                <w:szCs w:val="24"/>
              </w:rPr>
              <w:t>（</w:t>
            </w:r>
            <w:r>
              <w:rPr>
                <w:sz w:val="24"/>
                <w:szCs w:val="24"/>
              </w:rPr>
              <w:t>HJ 2.2-2018</w:t>
            </w:r>
            <w:r>
              <w:rPr>
                <w:rFonts w:hint="eastAsia"/>
                <w:sz w:val="24"/>
                <w:szCs w:val="24"/>
              </w:rPr>
              <w:t>）</w:t>
            </w:r>
            <w:r>
              <w:rPr>
                <w:sz w:val="24"/>
                <w:szCs w:val="24"/>
              </w:rPr>
              <w:t>附录D</w:t>
            </w:r>
          </w:p>
        </w:tc>
      </w:tr>
      <w:tr w14:paraId="28C13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251" w:type="pct"/>
            <w:shd w:val="clear" w:color="auto" w:fill="auto"/>
            <w:vAlign w:val="center"/>
          </w:tcPr>
          <w:p w14:paraId="022FFC67">
            <w:pPr>
              <w:pStyle w:val="55"/>
              <w:rPr>
                <w:sz w:val="24"/>
                <w:szCs w:val="24"/>
              </w:rPr>
            </w:pPr>
            <w:r>
              <w:rPr>
                <w:rFonts w:hint="eastAsia"/>
                <w:sz w:val="24"/>
                <w:szCs w:val="24"/>
              </w:rPr>
              <w:t>9</w:t>
            </w:r>
          </w:p>
        </w:tc>
        <w:tc>
          <w:tcPr>
            <w:tcW w:w="710" w:type="pct"/>
            <w:shd w:val="clear" w:color="auto" w:fill="auto"/>
            <w:vAlign w:val="center"/>
          </w:tcPr>
          <w:p w14:paraId="4A8CA131">
            <w:pPr>
              <w:pStyle w:val="55"/>
              <w:bidi w:val="0"/>
              <w:rPr>
                <w:sz w:val="24"/>
                <w:szCs w:val="24"/>
              </w:rPr>
            </w:pPr>
            <w:r>
              <w:rPr>
                <w:rFonts w:hint="default"/>
                <w:color w:val="000000" w:themeColor="text1"/>
                <w:sz w:val="24"/>
                <w:szCs w:val="24"/>
                <w:lang w:eastAsia="zh-CN"/>
                <w14:textFill>
                  <w14:solidFill>
                    <w14:schemeClr w14:val="tx1"/>
                  </w14:solidFill>
                </w14:textFill>
              </w:rPr>
              <w:t>非甲烷总烃</w:t>
            </w:r>
          </w:p>
        </w:tc>
        <w:tc>
          <w:tcPr>
            <w:tcW w:w="600" w:type="pct"/>
            <w:shd w:val="clear" w:color="auto" w:fill="auto"/>
            <w:vAlign w:val="center"/>
          </w:tcPr>
          <w:p w14:paraId="0EEAA27C">
            <w:pPr>
              <w:bidi w:val="0"/>
              <w:ind w:firstLine="480" w:firstLineChars="200"/>
              <w:rPr>
                <w:sz w:val="24"/>
                <w:szCs w:val="24"/>
              </w:rPr>
            </w:pPr>
            <w:r>
              <w:rPr>
                <w:sz w:val="24"/>
                <w:szCs w:val="24"/>
              </w:rPr>
              <w:t>—</w:t>
            </w:r>
          </w:p>
        </w:tc>
        <w:tc>
          <w:tcPr>
            <w:tcW w:w="597" w:type="pct"/>
            <w:shd w:val="clear" w:color="auto" w:fill="auto"/>
            <w:vAlign w:val="center"/>
          </w:tcPr>
          <w:p w14:paraId="61CC0E13">
            <w:pPr>
              <w:bidi w:val="0"/>
              <w:ind w:firstLine="480" w:firstLineChars="200"/>
              <w:rPr>
                <w:sz w:val="24"/>
                <w:szCs w:val="24"/>
              </w:rPr>
            </w:pPr>
            <w:r>
              <w:rPr>
                <w:sz w:val="24"/>
                <w:szCs w:val="24"/>
              </w:rPr>
              <w:t>—</w:t>
            </w:r>
          </w:p>
        </w:tc>
        <w:tc>
          <w:tcPr>
            <w:tcW w:w="598" w:type="pct"/>
            <w:shd w:val="clear" w:color="auto" w:fill="auto"/>
            <w:vAlign w:val="center"/>
          </w:tcPr>
          <w:p w14:paraId="50794BC4">
            <w:pPr>
              <w:pStyle w:val="55"/>
              <w:bidi w:val="0"/>
              <w:rPr>
                <w:sz w:val="24"/>
                <w:szCs w:val="24"/>
              </w:rPr>
            </w:pPr>
            <w:r>
              <w:rPr>
                <w:rFonts w:hint="eastAsia"/>
                <w:color w:val="000000" w:themeColor="text1"/>
                <w:sz w:val="24"/>
                <w:szCs w:val="24"/>
                <w:lang w:val="en-US" w:eastAsia="zh-CN"/>
                <w14:textFill>
                  <w14:solidFill>
                    <w14:schemeClr w14:val="tx1"/>
                  </w14:solidFill>
                </w14:textFill>
              </w:rPr>
              <w:t>2.0</w:t>
            </w:r>
          </w:p>
        </w:tc>
        <w:tc>
          <w:tcPr>
            <w:tcW w:w="597" w:type="pct"/>
            <w:vAlign w:val="center"/>
          </w:tcPr>
          <w:p w14:paraId="088BF06C">
            <w:pPr>
              <w:pStyle w:val="55"/>
              <w:rPr>
                <w:sz w:val="24"/>
                <w:szCs w:val="24"/>
              </w:rPr>
            </w:pPr>
            <w:r>
              <w:rPr>
                <w:rFonts w:hint="eastAsia"/>
                <w:color w:val="000000" w:themeColor="text1"/>
                <w:sz w:val="24"/>
                <w:szCs w:val="24"/>
                <w14:textFill>
                  <w14:solidFill>
                    <w14:schemeClr w14:val="tx1"/>
                  </w14:solidFill>
                </w14:textFill>
              </w:rPr>
              <w:t>mg/m</w:t>
            </w:r>
            <w:r>
              <w:rPr>
                <w:rFonts w:hint="eastAsia"/>
                <w:color w:val="000000" w:themeColor="text1"/>
                <w:sz w:val="24"/>
                <w:szCs w:val="24"/>
                <w:vertAlign w:val="superscript"/>
                <w14:textFill>
                  <w14:solidFill>
                    <w14:schemeClr w14:val="tx1"/>
                  </w14:solidFill>
                </w14:textFill>
              </w:rPr>
              <w:t>3</w:t>
            </w:r>
          </w:p>
        </w:tc>
        <w:tc>
          <w:tcPr>
            <w:tcW w:w="1644" w:type="pct"/>
            <w:shd w:val="clear" w:color="auto" w:fill="auto"/>
            <w:vAlign w:val="center"/>
          </w:tcPr>
          <w:p w14:paraId="02A5864D">
            <w:pPr>
              <w:pStyle w:val="55"/>
              <w:bidi w:val="0"/>
              <w:rPr>
                <w:rFonts w:hint="default"/>
                <w:color w:val="000000" w:themeColor="text1"/>
                <w:sz w:val="24"/>
                <w:szCs w:val="24"/>
                <w:lang w:val="en-US" w:eastAsia="zh-CN"/>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《环境空气质量 非甲烷总烃限值》（DB13/1577-2012）</w:t>
            </w:r>
          </w:p>
          <w:p w14:paraId="11391F18">
            <w:pPr>
              <w:pStyle w:val="55"/>
              <w:bidi w:val="0"/>
              <w:rPr>
                <w:sz w:val="24"/>
                <w:szCs w:val="24"/>
              </w:rPr>
            </w:pPr>
            <w:r>
              <w:rPr>
                <w:rFonts w:hint="eastAsia"/>
                <w:color w:val="000000" w:themeColor="text1"/>
                <w:sz w:val="24"/>
                <w:szCs w:val="24"/>
                <w:lang w:val="en-US" w:eastAsia="zh-CN"/>
                <w14:textFill>
                  <w14:solidFill>
                    <w14:schemeClr w14:val="tx1"/>
                  </w14:solidFill>
                </w14:textFill>
              </w:rPr>
              <w:t>表1</w:t>
            </w:r>
            <w:r>
              <w:rPr>
                <w:rFonts w:hint="default"/>
                <w:color w:val="000000" w:themeColor="text1"/>
                <w:sz w:val="24"/>
                <w:szCs w:val="24"/>
                <w:lang w:val="en-US" w:eastAsia="zh-CN"/>
                <w14:textFill>
                  <w14:solidFill>
                    <w14:schemeClr w14:val="tx1"/>
                  </w14:solidFill>
                </w14:textFill>
              </w:rPr>
              <w:t>二级标准</w:t>
            </w:r>
          </w:p>
        </w:tc>
      </w:tr>
    </w:tbl>
    <w:p w14:paraId="4B5E5403">
      <w:pPr>
        <w:pStyle w:val="47"/>
        <w:ind w:firstLine="482"/>
      </w:pPr>
      <w:r>
        <w:t>（</w:t>
      </w:r>
      <w:r>
        <w:rPr>
          <w:rFonts w:hint="eastAsia"/>
          <w:lang w:val="en-US" w:eastAsia="zh-CN"/>
        </w:rPr>
        <w:t>2</w:t>
      </w:r>
      <w:r>
        <w:t>）地下水环境质量标准</w:t>
      </w:r>
    </w:p>
    <w:p w14:paraId="11E7C0A5">
      <w:pPr>
        <w:pStyle w:val="47"/>
        <w:bidi w:val="0"/>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项目</w:t>
      </w:r>
      <w:r>
        <w:rPr>
          <w:rFonts w:hint="default"/>
          <w:color w:val="000000" w:themeColor="text1"/>
          <w14:textFill>
            <w14:solidFill>
              <w14:schemeClr w14:val="tx1"/>
            </w14:solidFill>
          </w14:textFill>
        </w:rPr>
        <w:t>地下水环境质量执行《地下水质量标准》（GB/T</w:t>
      </w:r>
      <w:r>
        <w:rPr>
          <w:rFonts w:hint="default"/>
          <w:color w:val="000000" w:themeColor="text1"/>
          <w:lang w:val="en-US" w:eastAsia="zh-CN"/>
          <w14:textFill>
            <w14:solidFill>
              <w14:schemeClr w14:val="tx1"/>
            </w14:solidFill>
          </w14:textFill>
        </w:rPr>
        <w:t xml:space="preserve"> </w:t>
      </w:r>
      <w:r>
        <w:rPr>
          <w:rFonts w:hint="default"/>
          <w:color w:val="000000" w:themeColor="text1"/>
          <w14:textFill>
            <w14:solidFill>
              <w14:schemeClr w14:val="tx1"/>
            </w14:solidFill>
          </w14:textFill>
        </w:rPr>
        <w:t>14848-</w:t>
      </w:r>
      <w:r>
        <w:rPr>
          <w:rFonts w:hint="default"/>
          <w:color w:val="000000" w:themeColor="text1"/>
          <w:lang w:val="en-US" w:eastAsia="zh-CN"/>
          <w14:textFill>
            <w14:solidFill>
              <w14:schemeClr w14:val="tx1"/>
            </w14:solidFill>
          </w14:textFill>
        </w:rPr>
        <w:t>2017</w:t>
      </w:r>
      <w:r>
        <w:rPr>
          <w:rFonts w:hint="default"/>
          <w:color w:val="000000" w:themeColor="text1"/>
          <w14:textFill>
            <w14:solidFill>
              <w14:schemeClr w14:val="tx1"/>
            </w14:solidFill>
          </w14:textFill>
        </w:rPr>
        <w:t>）</w:t>
      </w:r>
      <w:r>
        <w:rPr>
          <w:rFonts w:hint="eastAsia"/>
          <w:color w:val="000000" w:themeColor="text1"/>
          <w:lang w:val="en-US" w:eastAsia="zh-CN"/>
          <w14:textFill>
            <w14:solidFill>
              <w14:schemeClr w14:val="tx1"/>
            </w14:solidFill>
          </w14:textFill>
        </w:rPr>
        <w:t>表1</w:t>
      </w:r>
      <w:r>
        <w:rPr>
          <w:rFonts w:hint="default"/>
          <w:color w:val="000000" w:themeColor="text1"/>
          <w14:textFill>
            <w14:solidFill>
              <w14:schemeClr w14:val="tx1"/>
            </w14:solidFill>
          </w14:textFill>
        </w:rPr>
        <w:t>中Ⅲ类标准</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详见下表。</w:t>
      </w:r>
    </w:p>
    <w:p w14:paraId="49BA11E5">
      <w:pPr>
        <w:pStyle w:val="94"/>
        <w:bidi w:val="0"/>
        <w:ind w:left="0" w:leftChars="0" w:firstLine="0" w:firstLineChars="0"/>
      </w:pPr>
      <w:r>
        <w:t>地下水质量标准</w:t>
      </w:r>
    </w:p>
    <w:tbl>
      <w:tblPr>
        <w:tblStyle w:val="33"/>
        <w:tblW w:w="4996"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1144"/>
        <w:gridCol w:w="3102"/>
        <w:gridCol w:w="2015"/>
        <w:gridCol w:w="3020"/>
      </w:tblGrid>
      <w:tr w14:paraId="721217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pct"/>
            <w:tcBorders>
              <w:tl2br w:val="nil"/>
              <w:tr2bl w:val="nil"/>
            </w:tcBorders>
            <w:vAlign w:val="center"/>
          </w:tcPr>
          <w:p w14:paraId="0C496E8D">
            <w:pPr>
              <w:pStyle w:val="55"/>
              <w:bidi w:val="0"/>
              <w:rPr>
                <w:rFonts w:hint="default"/>
                <w:color w:val="000000" w:themeColor="text1"/>
                <w:lang w:eastAsia="zh-CN"/>
                <w14:textFill>
                  <w14:solidFill>
                    <w14:schemeClr w14:val="tx1"/>
                  </w14:solidFill>
                </w14:textFill>
              </w:rPr>
            </w:pPr>
            <w:r>
              <w:rPr>
                <w:rFonts w:hint="default"/>
                <w:color w:val="000000" w:themeColor="text1"/>
                <w:lang w:eastAsia="zh-CN"/>
                <w14:textFill>
                  <w14:solidFill>
                    <w14:schemeClr w14:val="tx1"/>
                  </w14:solidFill>
                </w14:textFill>
              </w:rPr>
              <w:t>环境要素</w:t>
            </w:r>
          </w:p>
        </w:tc>
        <w:tc>
          <w:tcPr>
            <w:tcW w:w="1670" w:type="pct"/>
            <w:tcBorders>
              <w:tl2br w:val="nil"/>
              <w:tr2bl w:val="nil"/>
            </w:tcBorders>
            <w:vAlign w:val="center"/>
          </w:tcPr>
          <w:p w14:paraId="59BE393B">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项目</w:t>
            </w:r>
          </w:p>
        </w:tc>
        <w:tc>
          <w:tcPr>
            <w:tcW w:w="1085" w:type="pct"/>
            <w:tcBorders>
              <w:tl2br w:val="nil"/>
              <w:tr2bl w:val="nil"/>
            </w:tcBorders>
            <w:vAlign w:val="center"/>
          </w:tcPr>
          <w:p w14:paraId="6B511AFC">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标准限值</w:t>
            </w:r>
          </w:p>
        </w:tc>
        <w:tc>
          <w:tcPr>
            <w:tcW w:w="1626" w:type="pct"/>
            <w:tcBorders>
              <w:tl2br w:val="nil"/>
              <w:tr2bl w:val="nil"/>
            </w:tcBorders>
            <w:vAlign w:val="center"/>
          </w:tcPr>
          <w:p w14:paraId="1D4268B9">
            <w:pPr>
              <w:pStyle w:val="55"/>
              <w:bidi w:val="0"/>
              <w:rPr>
                <w:rFonts w:hint="default"/>
                <w:color w:val="000000" w:themeColor="text1"/>
                <w:lang w:eastAsia="zh-CN"/>
                <w14:textFill>
                  <w14:solidFill>
                    <w14:schemeClr w14:val="tx1"/>
                  </w14:solidFill>
                </w14:textFill>
              </w:rPr>
            </w:pPr>
            <w:r>
              <w:rPr>
                <w:rFonts w:hint="default"/>
                <w:color w:val="000000" w:themeColor="text1"/>
                <w:lang w:eastAsia="zh-CN"/>
                <w14:textFill>
                  <w14:solidFill>
                    <w14:schemeClr w14:val="tx1"/>
                  </w14:solidFill>
                </w14:textFill>
              </w:rPr>
              <w:t>执行标准</w:t>
            </w:r>
          </w:p>
        </w:tc>
      </w:tr>
      <w:tr w14:paraId="56282C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pct"/>
            <w:vMerge w:val="restart"/>
            <w:tcBorders>
              <w:tl2br w:val="nil"/>
              <w:tr2bl w:val="nil"/>
            </w:tcBorders>
            <w:vAlign w:val="center"/>
          </w:tcPr>
          <w:p w14:paraId="7DFB66E0">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地下水环境</w:t>
            </w:r>
          </w:p>
        </w:tc>
        <w:tc>
          <w:tcPr>
            <w:tcW w:w="1670" w:type="pct"/>
            <w:tcBorders>
              <w:tl2br w:val="nil"/>
              <w:tr2bl w:val="nil"/>
            </w:tcBorders>
            <w:vAlign w:val="center"/>
          </w:tcPr>
          <w:p w14:paraId="0C0AE69D">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pH</w:t>
            </w:r>
          </w:p>
        </w:tc>
        <w:tc>
          <w:tcPr>
            <w:tcW w:w="1085" w:type="pct"/>
            <w:tcBorders>
              <w:tl2br w:val="nil"/>
              <w:tr2bl w:val="nil"/>
            </w:tcBorders>
            <w:vAlign w:val="center"/>
          </w:tcPr>
          <w:p w14:paraId="1CA70771">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6.5-8.5</w:t>
            </w:r>
          </w:p>
        </w:tc>
        <w:tc>
          <w:tcPr>
            <w:tcW w:w="1626" w:type="pct"/>
            <w:vMerge w:val="restart"/>
            <w:tcBorders>
              <w:tl2br w:val="nil"/>
              <w:tr2bl w:val="nil"/>
            </w:tcBorders>
            <w:vAlign w:val="center"/>
          </w:tcPr>
          <w:p w14:paraId="053896BA">
            <w:pPr>
              <w:pStyle w:val="55"/>
              <w:bidi w:val="0"/>
              <w:rPr>
                <w:rFonts w:hint="default" w:ascii="Times New Roman" w:hAnsi="Times New Roman" w:eastAsia="楷体" w:cs="Times New Roman"/>
                <w:color w:val="000000" w:themeColor="text1"/>
                <w14:textFill>
                  <w14:solidFill>
                    <w14:schemeClr w14:val="tx1"/>
                  </w14:solidFill>
                </w14:textFill>
              </w:rPr>
            </w:pPr>
            <w:r>
              <w:rPr>
                <w:rFonts w:hint="default"/>
                <w:color w:val="000000" w:themeColor="text1"/>
                <w14:textFill>
                  <w14:solidFill>
                    <w14:schemeClr w14:val="tx1"/>
                  </w14:solidFill>
                </w14:textFill>
              </w:rPr>
              <w:t>《</w:t>
            </w:r>
            <w:r>
              <w:rPr>
                <w:rFonts w:hint="default" w:ascii="Times New Roman" w:hAnsi="Times New Roman" w:eastAsia="楷体" w:cs="Times New Roman"/>
                <w:color w:val="000000" w:themeColor="text1"/>
                <w14:textFill>
                  <w14:solidFill>
                    <w14:schemeClr w14:val="tx1"/>
                  </w14:solidFill>
                </w14:textFill>
              </w:rPr>
              <w:t>地下水质量标准》（GB/T14848-</w:t>
            </w:r>
            <w:r>
              <w:rPr>
                <w:rFonts w:hint="default" w:ascii="Times New Roman" w:hAnsi="Times New Roman" w:eastAsia="楷体" w:cs="Times New Roman"/>
                <w:color w:val="000000" w:themeColor="text1"/>
                <w:lang w:val="en-US" w:eastAsia="zh-CN"/>
                <w14:textFill>
                  <w14:solidFill>
                    <w14:schemeClr w14:val="tx1"/>
                  </w14:solidFill>
                </w14:textFill>
              </w:rPr>
              <w:t>2017</w:t>
            </w:r>
            <w:r>
              <w:rPr>
                <w:rFonts w:hint="default" w:ascii="Times New Roman" w:hAnsi="Times New Roman" w:eastAsia="楷体" w:cs="Times New Roman"/>
                <w:color w:val="000000" w:themeColor="text1"/>
                <w14:textFill>
                  <w14:solidFill>
                    <w14:schemeClr w14:val="tx1"/>
                  </w14:solidFill>
                </w14:textFill>
              </w:rPr>
              <w:t>）</w:t>
            </w:r>
          </w:p>
          <w:p w14:paraId="5EF25EF6">
            <w:pPr>
              <w:pStyle w:val="55"/>
              <w:bidi w:val="0"/>
              <w:rPr>
                <w:rFonts w:hint="default"/>
                <w:color w:val="000000" w:themeColor="text1"/>
                <w14:textFill>
                  <w14:solidFill>
                    <w14:schemeClr w14:val="tx1"/>
                  </w14:solidFill>
                </w14:textFill>
              </w:rPr>
            </w:pPr>
            <w:r>
              <w:rPr>
                <w:rFonts w:hint="default" w:ascii="Times New Roman" w:hAnsi="Times New Roman" w:eastAsia="楷体" w:cs="Times New Roman"/>
                <w:color w:val="000000" w:themeColor="text1"/>
                <w:lang w:val="en-US" w:eastAsia="zh-CN"/>
                <w14:textFill>
                  <w14:solidFill>
                    <w14:schemeClr w14:val="tx1"/>
                  </w14:solidFill>
                </w14:textFill>
              </w:rPr>
              <w:t>表1</w:t>
            </w:r>
            <w:r>
              <w:rPr>
                <w:rFonts w:hint="default" w:ascii="Times New Roman" w:hAnsi="Times New Roman" w:eastAsia="楷体" w:cs="Times New Roman"/>
                <w:color w:val="000000" w:themeColor="text1"/>
                <w14:textFill>
                  <w14:solidFill>
                    <w14:schemeClr w14:val="tx1"/>
                  </w14:solidFill>
                </w14:textFill>
              </w:rPr>
              <w:t>Ⅲ类标准</w:t>
            </w:r>
          </w:p>
        </w:tc>
      </w:tr>
      <w:tr w14:paraId="247E69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pct"/>
            <w:vMerge w:val="continue"/>
            <w:tcBorders>
              <w:tl2br w:val="nil"/>
              <w:tr2bl w:val="nil"/>
            </w:tcBorders>
            <w:vAlign w:val="center"/>
          </w:tcPr>
          <w:p w14:paraId="6C73FED8">
            <w:pPr>
              <w:pStyle w:val="55"/>
              <w:bidi w:val="0"/>
              <w:rPr>
                <w:rFonts w:hint="default"/>
                <w:color w:val="000000" w:themeColor="text1"/>
                <w14:textFill>
                  <w14:solidFill>
                    <w14:schemeClr w14:val="tx1"/>
                  </w14:solidFill>
                </w14:textFill>
              </w:rPr>
            </w:pPr>
          </w:p>
        </w:tc>
        <w:tc>
          <w:tcPr>
            <w:tcW w:w="1670" w:type="pct"/>
            <w:tcBorders>
              <w:tl2br w:val="nil"/>
              <w:tr2bl w:val="nil"/>
            </w:tcBorders>
            <w:vAlign w:val="center"/>
          </w:tcPr>
          <w:p w14:paraId="68C7FE40">
            <w:pPr>
              <w:pStyle w:val="55"/>
              <w:bidi w:val="0"/>
              <w:rPr>
                <w:rFonts w:hint="default"/>
                <w:color w:val="000000" w:themeColor="text1"/>
                <w:lang w:eastAsia="zh-CN"/>
                <w14:textFill>
                  <w14:solidFill>
                    <w14:schemeClr w14:val="tx1"/>
                  </w14:solidFill>
                </w14:textFill>
              </w:rPr>
            </w:pPr>
            <w:r>
              <w:rPr>
                <w:rFonts w:hint="default"/>
                <w:color w:val="000000" w:themeColor="text1"/>
                <w14:textFill>
                  <w14:solidFill>
                    <w14:schemeClr w14:val="tx1"/>
                  </w14:solidFill>
                </w14:textFill>
              </w:rPr>
              <w:t>总硬度</w:t>
            </w:r>
            <w:r>
              <w:rPr>
                <w:rFonts w:hint="default"/>
                <w:color w:val="000000" w:themeColor="text1"/>
                <w:lang w:eastAsia="zh-CN"/>
                <w14:textFill>
                  <w14:solidFill>
                    <w14:schemeClr w14:val="tx1"/>
                  </w14:solidFill>
                </w14:textFill>
              </w:rPr>
              <w:t>（以</w:t>
            </w:r>
            <w:r>
              <w:rPr>
                <w:rFonts w:hint="default"/>
                <w:color w:val="000000" w:themeColor="text1"/>
                <w:lang w:val="en-US" w:eastAsia="zh-CN"/>
                <w14:textFill>
                  <w14:solidFill>
                    <w14:schemeClr w14:val="tx1"/>
                  </w14:solidFill>
                </w14:textFill>
              </w:rPr>
              <w:t>CaCO</w:t>
            </w:r>
            <w:r>
              <w:rPr>
                <w:rFonts w:hint="default"/>
                <w:color w:val="000000" w:themeColor="text1"/>
                <w:vertAlign w:val="subscript"/>
                <w:lang w:val="en-US" w:eastAsia="zh-CN"/>
                <w14:textFill>
                  <w14:solidFill>
                    <w14:schemeClr w14:val="tx1"/>
                  </w14:solidFill>
                </w14:textFill>
              </w:rPr>
              <w:t>3</w:t>
            </w:r>
            <w:r>
              <w:rPr>
                <w:rFonts w:hint="default"/>
                <w:color w:val="000000" w:themeColor="text1"/>
                <w:lang w:val="en-US" w:eastAsia="zh-CN"/>
                <w14:textFill>
                  <w14:solidFill>
                    <w14:schemeClr w14:val="tx1"/>
                  </w14:solidFill>
                </w14:textFill>
              </w:rPr>
              <w:t>计</w:t>
            </w:r>
            <w:r>
              <w:rPr>
                <w:rFonts w:hint="default"/>
                <w:color w:val="000000" w:themeColor="text1"/>
                <w:lang w:eastAsia="zh-CN"/>
                <w14:textFill>
                  <w14:solidFill>
                    <w14:schemeClr w14:val="tx1"/>
                  </w14:solidFill>
                </w14:textFill>
              </w:rPr>
              <w:t>）</w:t>
            </w:r>
          </w:p>
        </w:tc>
        <w:tc>
          <w:tcPr>
            <w:tcW w:w="1085" w:type="pct"/>
            <w:tcBorders>
              <w:tl2br w:val="nil"/>
              <w:tr2bl w:val="nil"/>
            </w:tcBorders>
            <w:vAlign w:val="center"/>
          </w:tcPr>
          <w:p w14:paraId="7E647B12">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≤450mg/L</w:t>
            </w:r>
          </w:p>
        </w:tc>
        <w:tc>
          <w:tcPr>
            <w:tcW w:w="1626" w:type="pct"/>
            <w:vMerge w:val="continue"/>
            <w:tcBorders>
              <w:tl2br w:val="nil"/>
              <w:tr2bl w:val="nil"/>
            </w:tcBorders>
            <w:vAlign w:val="center"/>
          </w:tcPr>
          <w:p w14:paraId="5169FA60">
            <w:pPr>
              <w:pStyle w:val="55"/>
              <w:bidi w:val="0"/>
              <w:rPr>
                <w:rFonts w:hint="default"/>
                <w:color w:val="000000" w:themeColor="text1"/>
                <w14:textFill>
                  <w14:solidFill>
                    <w14:schemeClr w14:val="tx1"/>
                  </w14:solidFill>
                </w14:textFill>
              </w:rPr>
            </w:pPr>
          </w:p>
        </w:tc>
      </w:tr>
      <w:tr w14:paraId="0FBA2B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pct"/>
            <w:vMerge w:val="continue"/>
            <w:tcBorders>
              <w:tl2br w:val="nil"/>
              <w:tr2bl w:val="nil"/>
            </w:tcBorders>
            <w:vAlign w:val="center"/>
          </w:tcPr>
          <w:p w14:paraId="51A7B6A6">
            <w:pPr>
              <w:pStyle w:val="55"/>
              <w:bidi w:val="0"/>
              <w:rPr>
                <w:rFonts w:hint="default"/>
                <w:color w:val="000000" w:themeColor="text1"/>
                <w14:textFill>
                  <w14:solidFill>
                    <w14:schemeClr w14:val="tx1"/>
                  </w14:solidFill>
                </w14:textFill>
              </w:rPr>
            </w:pPr>
          </w:p>
        </w:tc>
        <w:tc>
          <w:tcPr>
            <w:tcW w:w="1670" w:type="pct"/>
            <w:tcBorders>
              <w:tl2br w:val="nil"/>
              <w:tr2bl w:val="nil"/>
            </w:tcBorders>
            <w:vAlign w:val="center"/>
          </w:tcPr>
          <w:p w14:paraId="68E7EA61">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溶解性</w:t>
            </w:r>
            <w:r>
              <w:rPr>
                <w:rFonts w:hint="default"/>
                <w:color w:val="000000" w:themeColor="text1"/>
                <w:lang w:eastAsia="zh-CN"/>
                <w14:textFill>
                  <w14:solidFill>
                    <w14:schemeClr w14:val="tx1"/>
                  </w14:solidFill>
                </w14:textFill>
              </w:rPr>
              <w:t>总</w:t>
            </w:r>
            <w:r>
              <w:rPr>
                <w:rFonts w:hint="default"/>
                <w:color w:val="000000" w:themeColor="text1"/>
                <w14:textFill>
                  <w14:solidFill>
                    <w14:schemeClr w14:val="tx1"/>
                  </w14:solidFill>
                </w14:textFill>
              </w:rPr>
              <w:t>固体</w:t>
            </w:r>
          </w:p>
        </w:tc>
        <w:tc>
          <w:tcPr>
            <w:tcW w:w="1085" w:type="pct"/>
            <w:tcBorders>
              <w:tl2br w:val="nil"/>
              <w:tr2bl w:val="nil"/>
            </w:tcBorders>
            <w:vAlign w:val="center"/>
          </w:tcPr>
          <w:p w14:paraId="58BEF703">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≤1000mg/L</w:t>
            </w:r>
          </w:p>
        </w:tc>
        <w:tc>
          <w:tcPr>
            <w:tcW w:w="1626" w:type="pct"/>
            <w:vMerge w:val="continue"/>
            <w:tcBorders>
              <w:tl2br w:val="nil"/>
              <w:tr2bl w:val="nil"/>
            </w:tcBorders>
            <w:vAlign w:val="center"/>
          </w:tcPr>
          <w:p w14:paraId="26BF7E10">
            <w:pPr>
              <w:pStyle w:val="55"/>
              <w:bidi w:val="0"/>
              <w:rPr>
                <w:rFonts w:hint="default"/>
                <w:color w:val="000000" w:themeColor="text1"/>
                <w14:textFill>
                  <w14:solidFill>
                    <w14:schemeClr w14:val="tx1"/>
                  </w14:solidFill>
                </w14:textFill>
              </w:rPr>
            </w:pPr>
          </w:p>
        </w:tc>
      </w:tr>
      <w:tr w14:paraId="55B3FA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pct"/>
            <w:vMerge w:val="continue"/>
            <w:tcBorders>
              <w:tl2br w:val="nil"/>
              <w:tr2bl w:val="nil"/>
            </w:tcBorders>
            <w:vAlign w:val="center"/>
          </w:tcPr>
          <w:p w14:paraId="495A2052">
            <w:pPr>
              <w:pStyle w:val="55"/>
              <w:bidi w:val="0"/>
              <w:rPr>
                <w:rFonts w:hint="default"/>
                <w:color w:val="000000" w:themeColor="text1"/>
                <w14:textFill>
                  <w14:solidFill>
                    <w14:schemeClr w14:val="tx1"/>
                  </w14:solidFill>
                </w14:textFill>
              </w:rPr>
            </w:pPr>
          </w:p>
        </w:tc>
        <w:tc>
          <w:tcPr>
            <w:tcW w:w="1670" w:type="pct"/>
            <w:tcBorders>
              <w:tl2br w:val="nil"/>
              <w:tr2bl w:val="nil"/>
            </w:tcBorders>
            <w:vAlign w:val="center"/>
          </w:tcPr>
          <w:p w14:paraId="409B0E09">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硫酸盐</w:t>
            </w:r>
          </w:p>
        </w:tc>
        <w:tc>
          <w:tcPr>
            <w:tcW w:w="1085" w:type="pct"/>
            <w:tcBorders>
              <w:tl2br w:val="nil"/>
              <w:tr2bl w:val="nil"/>
            </w:tcBorders>
            <w:vAlign w:val="center"/>
          </w:tcPr>
          <w:p w14:paraId="77641DC8">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≤250mg/L</w:t>
            </w:r>
          </w:p>
        </w:tc>
        <w:tc>
          <w:tcPr>
            <w:tcW w:w="1626" w:type="pct"/>
            <w:vMerge w:val="continue"/>
            <w:tcBorders>
              <w:tl2br w:val="nil"/>
              <w:tr2bl w:val="nil"/>
            </w:tcBorders>
            <w:vAlign w:val="center"/>
          </w:tcPr>
          <w:p w14:paraId="139F82BE">
            <w:pPr>
              <w:pStyle w:val="55"/>
              <w:bidi w:val="0"/>
              <w:rPr>
                <w:rFonts w:hint="default"/>
                <w:color w:val="000000" w:themeColor="text1"/>
                <w14:textFill>
                  <w14:solidFill>
                    <w14:schemeClr w14:val="tx1"/>
                  </w14:solidFill>
                </w14:textFill>
              </w:rPr>
            </w:pPr>
          </w:p>
        </w:tc>
      </w:tr>
      <w:tr w14:paraId="782910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pct"/>
            <w:vMerge w:val="continue"/>
            <w:tcBorders>
              <w:tl2br w:val="nil"/>
              <w:tr2bl w:val="nil"/>
            </w:tcBorders>
            <w:vAlign w:val="center"/>
          </w:tcPr>
          <w:p w14:paraId="2344E9F6">
            <w:pPr>
              <w:pStyle w:val="55"/>
              <w:bidi w:val="0"/>
              <w:rPr>
                <w:rFonts w:hint="default"/>
                <w:color w:val="000000" w:themeColor="text1"/>
                <w14:textFill>
                  <w14:solidFill>
                    <w14:schemeClr w14:val="tx1"/>
                  </w14:solidFill>
                </w14:textFill>
              </w:rPr>
            </w:pPr>
          </w:p>
        </w:tc>
        <w:tc>
          <w:tcPr>
            <w:tcW w:w="1670" w:type="pct"/>
            <w:tcBorders>
              <w:tl2br w:val="nil"/>
              <w:tr2bl w:val="nil"/>
            </w:tcBorders>
            <w:vAlign w:val="center"/>
          </w:tcPr>
          <w:p w14:paraId="1DD06EF8">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氯化物</w:t>
            </w:r>
          </w:p>
        </w:tc>
        <w:tc>
          <w:tcPr>
            <w:tcW w:w="1085" w:type="pct"/>
            <w:tcBorders>
              <w:tl2br w:val="nil"/>
              <w:tr2bl w:val="nil"/>
            </w:tcBorders>
            <w:vAlign w:val="center"/>
          </w:tcPr>
          <w:p w14:paraId="2B502E2E">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≤250mg/L</w:t>
            </w:r>
          </w:p>
        </w:tc>
        <w:tc>
          <w:tcPr>
            <w:tcW w:w="1626" w:type="pct"/>
            <w:vMerge w:val="continue"/>
            <w:tcBorders>
              <w:tl2br w:val="nil"/>
              <w:tr2bl w:val="nil"/>
            </w:tcBorders>
            <w:vAlign w:val="center"/>
          </w:tcPr>
          <w:p w14:paraId="6E5B7351">
            <w:pPr>
              <w:pStyle w:val="55"/>
              <w:bidi w:val="0"/>
              <w:rPr>
                <w:rFonts w:hint="default"/>
                <w:color w:val="000000" w:themeColor="text1"/>
                <w14:textFill>
                  <w14:solidFill>
                    <w14:schemeClr w14:val="tx1"/>
                  </w14:solidFill>
                </w14:textFill>
              </w:rPr>
            </w:pPr>
          </w:p>
        </w:tc>
      </w:tr>
      <w:tr w14:paraId="2B026F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pct"/>
            <w:vMerge w:val="continue"/>
            <w:tcBorders>
              <w:tl2br w:val="nil"/>
              <w:tr2bl w:val="nil"/>
            </w:tcBorders>
            <w:vAlign w:val="center"/>
          </w:tcPr>
          <w:p w14:paraId="48FA088F">
            <w:pPr>
              <w:pStyle w:val="55"/>
              <w:bidi w:val="0"/>
              <w:rPr>
                <w:rFonts w:hint="default"/>
                <w:color w:val="000000" w:themeColor="text1"/>
                <w14:textFill>
                  <w14:solidFill>
                    <w14:schemeClr w14:val="tx1"/>
                  </w14:solidFill>
                </w14:textFill>
              </w:rPr>
            </w:pPr>
          </w:p>
        </w:tc>
        <w:tc>
          <w:tcPr>
            <w:tcW w:w="1670" w:type="pct"/>
            <w:tcBorders>
              <w:tl2br w:val="nil"/>
              <w:tr2bl w:val="nil"/>
            </w:tcBorders>
            <w:vAlign w:val="center"/>
          </w:tcPr>
          <w:p w14:paraId="1147FBA1">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铁</w:t>
            </w:r>
          </w:p>
        </w:tc>
        <w:tc>
          <w:tcPr>
            <w:tcW w:w="1085" w:type="pct"/>
            <w:tcBorders>
              <w:tl2br w:val="nil"/>
              <w:tr2bl w:val="nil"/>
            </w:tcBorders>
            <w:vAlign w:val="center"/>
          </w:tcPr>
          <w:p w14:paraId="434712C2">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≤0.3mg/L</w:t>
            </w:r>
          </w:p>
        </w:tc>
        <w:tc>
          <w:tcPr>
            <w:tcW w:w="1626" w:type="pct"/>
            <w:vMerge w:val="continue"/>
            <w:tcBorders>
              <w:tl2br w:val="nil"/>
              <w:tr2bl w:val="nil"/>
            </w:tcBorders>
            <w:vAlign w:val="center"/>
          </w:tcPr>
          <w:p w14:paraId="54CBB2BF">
            <w:pPr>
              <w:pStyle w:val="55"/>
              <w:bidi w:val="0"/>
              <w:rPr>
                <w:rFonts w:hint="default"/>
                <w:color w:val="000000" w:themeColor="text1"/>
                <w14:textFill>
                  <w14:solidFill>
                    <w14:schemeClr w14:val="tx1"/>
                  </w14:solidFill>
                </w14:textFill>
              </w:rPr>
            </w:pPr>
          </w:p>
        </w:tc>
      </w:tr>
      <w:tr w14:paraId="1964AB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pct"/>
            <w:vMerge w:val="continue"/>
            <w:tcBorders>
              <w:tl2br w:val="nil"/>
              <w:tr2bl w:val="nil"/>
            </w:tcBorders>
            <w:vAlign w:val="center"/>
          </w:tcPr>
          <w:p w14:paraId="32DAB5DC">
            <w:pPr>
              <w:pStyle w:val="55"/>
              <w:bidi w:val="0"/>
              <w:rPr>
                <w:rFonts w:hint="default"/>
                <w:color w:val="000000" w:themeColor="text1"/>
                <w14:textFill>
                  <w14:solidFill>
                    <w14:schemeClr w14:val="tx1"/>
                  </w14:solidFill>
                </w14:textFill>
              </w:rPr>
            </w:pPr>
          </w:p>
        </w:tc>
        <w:tc>
          <w:tcPr>
            <w:tcW w:w="1670" w:type="pct"/>
            <w:tcBorders>
              <w:tl2br w:val="nil"/>
              <w:tr2bl w:val="nil"/>
            </w:tcBorders>
            <w:vAlign w:val="center"/>
          </w:tcPr>
          <w:p w14:paraId="3ECEB167">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锰</w:t>
            </w:r>
          </w:p>
        </w:tc>
        <w:tc>
          <w:tcPr>
            <w:tcW w:w="1085" w:type="pct"/>
            <w:tcBorders>
              <w:tl2br w:val="nil"/>
              <w:tr2bl w:val="nil"/>
            </w:tcBorders>
            <w:vAlign w:val="center"/>
          </w:tcPr>
          <w:p w14:paraId="6230C0DC">
            <w:pPr>
              <w:pStyle w:val="55"/>
              <w:bidi w:val="0"/>
              <w:rPr>
                <w:rFonts w:hint="default"/>
                <w:color w:val="000000" w:themeColor="text1"/>
                <w:lang w:val="en-US" w:eastAsia="zh-CN"/>
                <w14:textFill>
                  <w14:solidFill>
                    <w14:schemeClr w14:val="tx1"/>
                  </w14:solidFill>
                </w14:textFill>
              </w:rPr>
            </w:pPr>
            <w:r>
              <w:rPr>
                <w:rFonts w:hint="default"/>
                <w:color w:val="000000" w:themeColor="text1"/>
                <w14:textFill>
                  <w14:solidFill>
                    <w14:schemeClr w14:val="tx1"/>
                  </w14:solidFill>
                </w14:textFill>
              </w:rPr>
              <w:t>≤0.1</w:t>
            </w:r>
            <w:r>
              <w:rPr>
                <w:rFonts w:hint="default"/>
                <w:color w:val="000000" w:themeColor="text1"/>
                <w:lang w:val="en-US" w:eastAsia="zh-CN"/>
                <w14:textFill>
                  <w14:solidFill>
                    <w14:schemeClr w14:val="tx1"/>
                  </w14:solidFill>
                </w14:textFill>
              </w:rPr>
              <w:t>0</w:t>
            </w:r>
            <w:r>
              <w:rPr>
                <w:rFonts w:hint="default"/>
                <w:color w:val="000000" w:themeColor="text1"/>
                <w14:textFill>
                  <w14:solidFill>
                    <w14:schemeClr w14:val="tx1"/>
                  </w14:solidFill>
                </w14:textFill>
              </w:rPr>
              <w:t>mg/L</w:t>
            </w:r>
          </w:p>
        </w:tc>
        <w:tc>
          <w:tcPr>
            <w:tcW w:w="1626" w:type="pct"/>
            <w:vMerge w:val="continue"/>
            <w:tcBorders>
              <w:tl2br w:val="nil"/>
              <w:tr2bl w:val="nil"/>
            </w:tcBorders>
            <w:vAlign w:val="center"/>
          </w:tcPr>
          <w:p w14:paraId="67AE0711">
            <w:pPr>
              <w:pStyle w:val="55"/>
              <w:bidi w:val="0"/>
              <w:rPr>
                <w:rFonts w:hint="default"/>
                <w:color w:val="000000" w:themeColor="text1"/>
                <w14:textFill>
                  <w14:solidFill>
                    <w14:schemeClr w14:val="tx1"/>
                  </w14:solidFill>
                </w14:textFill>
              </w:rPr>
            </w:pPr>
          </w:p>
        </w:tc>
      </w:tr>
      <w:tr w14:paraId="4FE428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pct"/>
            <w:vMerge w:val="continue"/>
            <w:tcBorders>
              <w:tl2br w:val="nil"/>
              <w:tr2bl w:val="nil"/>
            </w:tcBorders>
            <w:vAlign w:val="center"/>
          </w:tcPr>
          <w:p w14:paraId="39D86824">
            <w:pPr>
              <w:pStyle w:val="55"/>
              <w:bidi w:val="0"/>
              <w:rPr>
                <w:rFonts w:hint="default"/>
                <w:color w:val="000000" w:themeColor="text1"/>
                <w14:textFill>
                  <w14:solidFill>
                    <w14:schemeClr w14:val="tx1"/>
                  </w14:solidFill>
                </w14:textFill>
              </w:rPr>
            </w:pPr>
          </w:p>
        </w:tc>
        <w:tc>
          <w:tcPr>
            <w:tcW w:w="1670" w:type="pct"/>
            <w:tcBorders>
              <w:tl2br w:val="nil"/>
              <w:tr2bl w:val="nil"/>
            </w:tcBorders>
            <w:vAlign w:val="center"/>
          </w:tcPr>
          <w:p w14:paraId="4638D318">
            <w:pPr>
              <w:pStyle w:val="55"/>
              <w:bidi w:val="0"/>
              <w:rPr>
                <w:rFonts w:hint="default"/>
                <w:color w:val="000000" w:themeColor="text1"/>
                <w:lang w:eastAsia="zh-CN"/>
                <w14:textFill>
                  <w14:solidFill>
                    <w14:schemeClr w14:val="tx1"/>
                  </w14:solidFill>
                </w14:textFill>
              </w:rPr>
            </w:pPr>
            <w:r>
              <w:rPr>
                <w:rFonts w:hint="default"/>
                <w:color w:val="000000" w:themeColor="text1"/>
                <w14:textFill>
                  <w14:solidFill>
                    <w14:schemeClr w14:val="tx1"/>
                  </w14:solidFill>
                </w14:textFill>
              </w:rPr>
              <w:t>挥发</w:t>
            </w:r>
            <w:r>
              <w:rPr>
                <w:rFonts w:hint="default"/>
                <w:color w:val="000000" w:themeColor="text1"/>
                <w:lang w:eastAsia="zh-CN"/>
                <w14:textFill>
                  <w14:solidFill>
                    <w14:schemeClr w14:val="tx1"/>
                  </w14:solidFill>
                </w14:textFill>
              </w:rPr>
              <w:t>性</w:t>
            </w:r>
            <w:r>
              <w:rPr>
                <w:rFonts w:hint="default"/>
                <w:color w:val="000000" w:themeColor="text1"/>
                <w14:textFill>
                  <w14:solidFill>
                    <w14:schemeClr w14:val="tx1"/>
                  </w14:solidFill>
                </w14:textFill>
              </w:rPr>
              <w:t>酚</w:t>
            </w:r>
            <w:r>
              <w:rPr>
                <w:rFonts w:hint="default"/>
                <w:color w:val="000000" w:themeColor="text1"/>
                <w:lang w:eastAsia="zh-CN"/>
                <w14:textFill>
                  <w14:solidFill>
                    <w14:schemeClr w14:val="tx1"/>
                  </w14:solidFill>
                </w14:textFill>
              </w:rPr>
              <w:t>类（以苯酚计）</w:t>
            </w:r>
          </w:p>
        </w:tc>
        <w:tc>
          <w:tcPr>
            <w:tcW w:w="1085" w:type="pct"/>
            <w:tcBorders>
              <w:tl2br w:val="nil"/>
              <w:tr2bl w:val="nil"/>
            </w:tcBorders>
            <w:vAlign w:val="center"/>
          </w:tcPr>
          <w:p w14:paraId="5D15D8E4">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≤0.002mg/L</w:t>
            </w:r>
          </w:p>
        </w:tc>
        <w:tc>
          <w:tcPr>
            <w:tcW w:w="1626" w:type="pct"/>
            <w:vMerge w:val="continue"/>
            <w:tcBorders>
              <w:tl2br w:val="nil"/>
              <w:tr2bl w:val="nil"/>
            </w:tcBorders>
            <w:vAlign w:val="center"/>
          </w:tcPr>
          <w:p w14:paraId="2EF8AAC7">
            <w:pPr>
              <w:pStyle w:val="55"/>
              <w:bidi w:val="0"/>
              <w:rPr>
                <w:rFonts w:hint="default"/>
                <w:color w:val="000000" w:themeColor="text1"/>
                <w14:textFill>
                  <w14:solidFill>
                    <w14:schemeClr w14:val="tx1"/>
                  </w14:solidFill>
                </w14:textFill>
              </w:rPr>
            </w:pPr>
          </w:p>
        </w:tc>
      </w:tr>
      <w:tr w14:paraId="5B204E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pct"/>
            <w:vMerge w:val="continue"/>
            <w:tcBorders>
              <w:tl2br w:val="nil"/>
              <w:tr2bl w:val="nil"/>
            </w:tcBorders>
            <w:vAlign w:val="center"/>
          </w:tcPr>
          <w:p w14:paraId="18D8651F">
            <w:pPr>
              <w:pStyle w:val="55"/>
              <w:bidi w:val="0"/>
              <w:rPr>
                <w:rFonts w:hint="default"/>
                <w:color w:val="000000" w:themeColor="text1"/>
                <w:lang w:eastAsia="zh-CN"/>
                <w14:textFill>
                  <w14:solidFill>
                    <w14:schemeClr w14:val="tx1"/>
                  </w14:solidFill>
                </w14:textFill>
              </w:rPr>
            </w:pPr>
          </w:p>
        </w:tc>
        <w:tc>
          <w:tcPr>
            <w:tcW w:w="1670" w:type="pct"/>
            <w:tcBorders>
              <w:tl2br w:val="nil"/>
              <w:tr2bl w:val="nil"/>
            </w:tcBorders>
            <w:vAlign w:val="center"/>
          </w:tcPr>
          <w:p w14:paraId="601B4E81">
            <w:pPr>
              <w:pStyle w:val="55"/>
              <w:bidi w:val="0"/>
              <w:rPr>
                <w:rFonts w:hint="default"/>
                <w:color w:val="000000" w:themeColor="text1"/>
                <w:lang w:eastAsia="zh-CN"/>
                <w14:textFill>
                  <w14:solidFill>
                    <w14:schemeClr w14:val="tx1"/>
                  </w14:solidFill>
                </w14:textFill>
              </w:rPr>
            </w:pPr>
            <w:r>
              <w:rPr>
                <w:rFonts w:hint="default"/>
                <w:color w:val="000000" w:themeColor="text1"/>
                <w:lang w:eastAsia="zh-CN"/>
                <w14:textFill>
                  <w14:solidFill>
                    <w14:schemeClr w14:val="tx1"/>
                  </w14:solidFill>
                </w14:textFill>
              </w:rPr>
              <w:t>耗氧量（</w:t>
            </w:r>
            <w:r>
              <w:rPr>
                <w:rFonts w:hint="default"/>
                <w:color w:val="000000" w:themeColor="text1"/>
                <w:lang w:val="en-US" w:eastAsia="zh-CN"/>
                <w14:textFill>
                  <w14:solidFill>
                    <w14:schemeClr w14:val="tx1"/>
                  </w14:solidFill>
                </w14:textFill>
              </w:rPr>
              <w:t>COD</w:t>
            </w:r>
            <w:r>
              <w:rPr>
                <w:rFonts w:hint="default"/>
                <w:color w:val="000000" w:themeColor="text1"/>
                <w:vertAlign w:val="subscript"/>
                <w:lang w:val="en-US" w:eastAsia="zh-CN"/>
                <w14:textFill>
                  <w14:solidFill>
                    <w14:schemeClr w14:val="tx1"/>
                  </w14:solidFill>
                </w14:textFill>
              </w:rPr>
              <w:t>Mn</w:t>
            </w:r>
            <w:r>
              <w:rPr>
                <w:rFonts w:hint="default"/>
                <w:color w:val="000000" w:themeColor="text1"/>
                <w:lang w:val="en-US" w:eastAsia="zh-CN"/>
                <w14:textFill>
                  <w14:solidFill>
                    <w14:schemeClr w14:val="tx1"/>
                  </w14:solidFill>
                </w14:textFill>
              </w:rPr>
              <w:t>法，以O</w:t>
            </w:r>
            <w:r>
              <w:rPr>
                <w:rFonts w:hint="default"/>
                <w:color w:val="000000" w:themeColor="text1"/>
                <w:vertAlign w:val="subscript"/>
                <w:lang w:val="en-US" w:eastAsia="zh-CN"/>
                <w14:textFill>
                  <w14:solidFill>
                    <w14:schemeClr w14:val="tx1"/>
                  </w14:solidFill>
                </w14:textFill>
              </w:rPr>
              <w:t>2</w:t>
            </w:r>
            <w:r>
              <w:rPr>
                <w:rFonts w:hint="default"/>
                <w:color w:val="000000" w:themeColor="text1"/>
                <w:lang w:val="en-US" w:eastAsia="zh-CN"/>
                <w14:textFill>
                  <w14:solidFill>
                    <w14:schemeClr w14:val="tx1"/>
                  </w14:solidFill>
                </w14:textFill>
              </w:rPr>
              <w:t>计</w:t>
            </w:r>
            <w:r>
              <w:rPr>
                <w:rFonts w:hint="default"/>
                <w:color w:val="000000" w:themeColor="text1"/>
                <w:lang w:eastAsia="zh-CN"/>
                <w14:textFill>
                  <w14:solidFill>
                    <w14:schemeClr w14:val="tx1"/>
                  </w14:solidFill>
                </w14:textFill>
              </w:rPr>
              <w:t>）</w:t>
            </w:r>
          </w:p>
        </w:tc>
        <w:tc>
          <w:tcPr>
            <w:tcW w:w="1085" w:type="pct"/>
            <w:tcBorders>
              <w:tl2br w:val="nil"/>
              <w:tr2bl w:val="nil"/>
            </w:tcBorders>
            <w:vAlign w:val="center"/>
          </w:tcPr>
          <w:p w14:paraId="365DA4DE">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≤3.0mg/L</w:t>
            </w:r>
          </w:p>
        </w:tc>
        <w:tc>
          <w:tcPr>
            <w:tcW w:w="1626" w:type="pct"/>
            <w:vMerge w:val="continue"/>
            <w:tcBorders>
              <w:tl2br w:val="nil"/>
              <w:tr2bl w:val="nil"/>
            </w:tcBorders>
            <w:vAlign w:val="center"/>
          </w:tcPr>
          <w:p w14:paraId="686AFBF9">
            <w:pPr>
              <w:pStyle w:val="55"/>
              <w:bidi w:val="0"/>
              <w:rPr>
                <w:rFonts w:hint="default"/>
                <w:color w:val="000000" w:themeColor="text1"/>
                <w14:textFill>
                  <w14:solidFill>
                    <w14:schemeClr w14:val="tx1"/>
                  </w14:solidFill>
                </w14:textFill>
              </w:rPr>
            </w:pPr>
          </w:p>
        </w:tc>
      </w:tr>
      <w:tr w14:paraId="728FE9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pct"/>
            <w:vMerge w:val="continue"/>
            <w:tcBorders>
              <w:tl2br w:val="nil"/>
              <w:tr2bl w:val="nil"/>
            </w:tcBorders>
            <w:vAlign w:val="center"/>
          </w:tcPr>
          <w:p w14:paraId="48410E71">
            <w:pPr>
              <w:pStyle w:val="55"/>
              <w:bidi w:val="0"/>
              <w:rPr>
                <w:rFonts w:hint="default"/>
                <w:color w:val="000000" w:themeColor="text1"/>
                <w14:textFill>
                  <w14:solidFill>
                    <w14:schemeClr w14:val="tx1"/>
                  </w14:solidFill>
                </w14:textFill>
              </w:rPr>
            </w:pPr>
          </w:p>
        </w:tc>
        <w:tc>
          <w:tcPr>
            <w:tcW w:w="1670" w:type="pct"/>
            <w:tcBorders>
              <w:tl2br w:val="nil"/>
              <w:tr2bl w:val="nil"/>
            </w:tcBorders>
            <w:vAlign w:val="center"/>
          </w:tcPr>
          <w:p w14:paraId="09D1F8EB">
            <w:pPr>
              <w:pStyle w:val="55"/>
              <w:bidi w:val="0"/>
              <w:rPr>
                <w:rFonts w:hint="default"/>
                <w:color w:val="000000" w:themeColor="text1"/>
                <w:lang w:eastAsia="zh-CN"/>
                <w14:textFill>
                  <w14:solidFill>
                    <w14:schemeClr w14:val="tx1"/>
                  </w14:solidFill>
                </w14:textFill>
              </w:rPr>
            </w:pPr>
            <w:r>
              <w:rPr>
                <w:rFonts w:hint="default"/>
                <w:color w:val="000000" w:themeColor="text1"/>
                <w14:textFill>
                  <w14:solidFill>
                    <w14:schemeClr w14:val="tx1"/>
                  </w14:solidFill>
                </w14:textFill>
              </w:rPr>
              <w:t>氨氮</w:t>
            </w:r>
            <w:r>
              <w:rPr>
                <w:rFonts w:hint="default"/>
                <w:color w:val="000000" w:themeColor="text1"/>
                <w:lang w:eastAsia="zh-CN"/>
                <w14:textFill>
                  <w14:solidFill>
                    <w14:schemeClr w14:val="tx1"/>
                  </w14:solidFill>
                </w14:textFill>
              </w:rPr>
              <w:t>（以</w:t>
            </w:r>
            <w:r>
              <w:rPr>
                <w:rFonts w:hint="default"/>
                <w:color w:val="000000" w:themeColor="text1"/>
                <w:lang w:val="en-US" w:eastAsia="zh-CN"/>
                <w14:textFill>
                  <w14:solidFill>
                    <w14:schemeClr w14:val="tx1"/>
                  </w14:solidFill>
                </w14:textFill>
              </w:rPr>
              <w:t>N计</w:t>
            </w:r>
            <w:r>
              <w:rPr>
                <w:rFonts w:hint="default"/>
                <w:color w:val="000000" w:themeColor="text1"/>
                <w:lang w:eastAsia="zh-CN"/>
                <w14:textFill>
                  <w14:solidFill>
                    <w14:schemeClr w14:val="tx1"/>
                  </w14:solidFill>
                </w14:textFill>
              </w:rPr>
              <w:t>）</w:t>
            </w:r>
          </w:p>
        </w:tc>
        <w:tc>
          <w:tcPr>
            <w:tcW w:w="1085" w:type="pct"/>
            <w:tcBorders>
              <w:tl2br w:val="nil"/>
              <w:tr2bl w:val="nil"/>
            </w:tcBorders>
            <w:vAlign w:val="center"/>
          </w:tcPr>
          <w:p w14:paraId="1F2051F3">
            <w:pPr>
              <w:pStyle w:val="55"/>
              <w:bidi w:val="0"/>
              <w:rPr>
                <w:rFonts w:hint="default"/>
                <w:color w:val="000000" w:themeColor="text1"/>
                <w:lang w:val="en-US" w:eastAsia="zh-CN"/>
                <w14:textFill>
                  <w14:solidFill>
                    <w14:schemeClr w14:val="tx1"/>
                  </w14:solidFill>
                </w14:textFill>
              </w:rPr>
            </w:pPr>
            <w:r>
              <w:rPr>
                <w:rFonts w:hint="default"/>
                <w:color w:val="000000" w:themeColor="text1"/>
                <w14:textFill>
                  <w14:solidFill>
                    <w14:schemeClr w14:val="tx1"/>
                  </w14:solidFill>
                </w14:textFill>
              </w:rPr>
              <w:t>≤0.</w:t>
            </w:r>
            <w:r>
              <w:rPr>
                <w:rFonts w:hint="default"/>
                <w:color w:val="000000" w:themeColor="text1"/>
                <w:lang w:val="en-US" w:eastAsia="zh-CN"/>
                <w14:textFill>
                  <w14:solidFill>
                    <w14:schemeClr w14:val="tx1"/>
                  </w14:solidFill>
                </w14:textFill>
              </w:rPr>
              <w:t>50</w:t>
            </w:r>
            <w:r>
              <w:rPr>
                <w:rFonts w:hint="default"/>
                <w:color w:val="000000" w:themeColor="text1"/>
                <w14:textFill>
                  <w14:solidFill>
                    <w14:schemeClr w14:val="tx1"/>
                  </w14:solidFill>
                </w14:textFill>
              </w:rPr>
              <w:t>mg/L</w:t>
            </w:r>
          </w:p>
        </w:tc>
        <w:tc>
          <w:tcPr>
            <w:tcW w:w="1626" w:type="pct"/>
            <w:vMerge w:val="continue"/>
            <w:tcBorders>
              <w:tl2br w:val="nil"/>
              <w:tr2bl w:val="nil"/>
            </w:tcBorders>
            <w:vAlign w:val="center"/>
          </w:tcPr>
          <w:p w14:paraId="261DC725">
            <w:pPr>
              <w:pStyle w:val="55"/>
              <w:bidi w:val="0"/>
              <w:rPr>
                <w:rFonts w:hint="default"/>
                <w:color w:val="000000" w:themeColor="text1"/>
                <w14:textFill>
                  <w14:solidFill>
                    <w14:schemeClr w14:val="tx1"/>
                  </w14:solidFill>
                </w14:textFill>
              </w:rPr>
            </w:pPr>
          </w:p>
        </w:tc>
      </w:tr>
      <w:tr w14:paraId="2D47EB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pct"/>
            <w:vMerge w:val="continue"/>
            <w:tcBorders>
              <w:tl2br w:val="nil"/>
              <w:tr2bl w:val="nil"/>
            </w:tcBorders>
            <w:vAlign w:val="center"/>
          </w:tcPr>
          <w:p w14:paraId="3431D6A7">
            <w:pPr>
              <w:pStyle w:val="55"/>
              <w:bidi w:val="0"/>
              <w:rPr>
                <w:rFonts w:hint="default"/>
                <w:color w:val="000000" w:themeColor="text1"/>
                <w:lang w:eastAsia="zh-CN"/>
                <w14:textFill>
                  <w14:solidFill>
                    <w14:schemeClr w14:val="tx1"/>
                  </w14:solidFill>
                </w14:textFill>
              </w:rPr>
            </w:pPr>
          </w:p>
        </w:tc>
        <w:tc>
          <w:tcPr>
            <w:tcW w:w="1670" w:type="pct"/>
            <w:tcBorders>
              <w:tl2br w:val="nil"/>
              <w:tr2bl w:val="nil"/>
            </w:tcBorders>
            <w:vAlign w:val="center"/>
          </w:tcPr>
          <w:p w14:paraId="4FD9D956">
            <w:pPr>
              <w:pStyle w:val="55"/>
              <w:bidi w:val="0"/>
              <w:rPr>
                <w:rFonts w:hint="default"/>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色度</w:t>
            </w:r>
          </w:p>
        </w:tc>
        <w:tc>
          <w:tcPr>
            <w:tcW w:w="1085" w:type="pct"/>
            <w:tcBorders>
              <w:tl2br w:val="nil"/>
              <w:tr2bl w:val="nil"/>
            </w:tcBorders>
            <w:vAlign w:val="center"/>
          </w:tcPr>
          <w:p w14:paraId="50B13797">
            <w:pPr>
              <w:pStyle w:val="55"/>
              <w:bidi w:val="0"/>
              <w:rPr>
                <w:rFonts w:hint="default" w:eastAsia="楷体"/>
                <w:color w:val="000000" w:themeColor="text1"/>
                <w:lang w:val="en-US" w:eastAsia="zh-CN"/>
                <w14:textFill>
                  <w14:solidFill>
                    <w14:schemeClr w14:val="tx1"/>
                  </w14:solidFill>
                </w14:textFill>
              </w:rPr>
            </w:pPr>
            <w:r>
              <w:rPr>
                <w:rFonts w:hint="default"/>
                <w:color w:val="000000" w:themeColor="text1"/>
                <w14:textFill>
                  <w14:solidFill>
                    <w14:schemeClr w14:val="tx1"/>
                  </w14:solidFill>
                </w14:textFill>
              </w:rPr>
              <w:t>≤</w:t>
            </w:r>
            <w:r>
              <w:rPr>
                <w:rFonts w:hint="eastAsia"/>
                <w:color w:val="000000" w:themeColor="text1"/>
                <w:lang w:val="en-US" w:eastAsia="zh-CN"/>
                <w14:textFill>
                  <w14:solidFill>
                    <w14:schemeClr w14:val="tx1"/>
                  </w14:solidFill>
                </w14:textFill>
              </w:rPr>
              <w:t>15度</w:t>
            </w:r>
          </w:p>
        </w:tc>
        <w:tc>
          <w:tcPr>
            <w:tcW w:w="1626" w:type="pct"/>
            <w:vMerge w:val="continue"/>
            <w:tcBorders>
              <w:tl2br w:val="nil"/>
              <w:tr2bl w:val="nil"/>
            </w:tcBorders>
            <w:vAlign w:val="center"/>
          </w:tcPr>
          <w:p w14:paraId="3704BBC6">
            <w:pPr>
              <w:pStyle w:val="55"/>
              <w:bidi w:val="0"/>
              <w:rPr>
                <w:rFonts w:hint="default"/>
                <w:color w:val="000000" w:themeColor="text1"/>
                <w14:textFill>
                  <w14:solidFill>
                    <w14:schemeClr w14:val="tx1"/>
                  </w14:solidFill>
                </w14:textFill>
              </w:rPr>
            </w:pPr>
          </w:p>
        </w:tc>
      </w:tr>
      <w:tr w14:paraId="3F56ED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pct"/>
            <w:vMerge w:val="continue"/>
            <w:tcBorders>
              <w:tl2br w:val="nil"/>
              <w:tr2bl w:val="nil"/>
            </w:tcBorders>
            <w:vAlign w:val="center"/>
          </w:tcPr>
          <w:p w14:paraId="3291850C">
            <w:pPr>
              <w:pStyle w:val="55"/>
              <w:bidi w:val="0"/>
              <w:rPr>
                <w:rFonts w:hint="default"/>
                <w:color w:val="000000" w:themeColor="text1"/>
                <w14:textFill>
                  <w14:solidFill>
                    <w14:schemeClr w14:val="tx1"/>
                  </w14:solidFill>
                </w14:textFill>
              </w:rPr>
            </w:pPr>
          </w:p>
        </w:tc>
        <w:tc>
          <w:tcPr>
            <w:tcW w:w="1670" w:type="pct"/>
            <w:tcBorders>
              <w:tl2br w:val="nil"/>
              <w:tr2bl w:val="nil"/>
            </w:tcBorders>
            <w:vAlign w:val="center"/>
          </w:tcPr>
          <w:p w14:paraId="0C9090D8">
            <w:pPr>
              <w:pStyle w:val="55"/>
              <w:bidi w:val="0"/>
              <w:rPr>
                <w:rFonts w:hint="default"/>
                <w:color w:val="000000" w:themeColor="text1"/>
                <w:lang w:eastAsia="zh-CN"/>
                <w14:textFill>
                  <w14:solidFill>
                    <w14:schemeClr w14:val="tx1"/>
                  </w14:solidFill>
                </w14:textFill>
              </w:rPr>
            </w:pPr>
            <w:r>
              <w:rPr>
                <w:rFonts w:hint="default"/>
                <w:color w:val="000000" w:themeColor="text1"/>
                <w14:textFill>
                  <w14:solidFill>
                    <w14:schemeClr w14:val="tx1"/>
                  </w14:solidFill>
                </w14:textFill>
              </w:rPr>
              <w:t>总大肠菌群</w:t>
            </w:r>
          </w:p>
        </w:tc>
        <w:tc>
          <w:tcPr>
            <w:tcW w:w="1085" w:type="pct"/>
            <w:tcBorders>
              <w:tl2br w:val="nil"/>
              <w:tr2bl w:val="nil"/>
            </w:tcBorders>
            <w:vAlign w:val="center"/>
          </w:tcPr>
          <w:p w14:paraId="04F87E28">
            <w:pPr>
              <w:pStyle w:val="55"/>
              <w:bidi w:val="0"/>
              <w:rPr>
                <w:rFonts w:hint="default"/>
                <w:color w:val="000000" w:themeColor="text1"/>
                <w:lang w:val="en-US" w:eastAsia="zh-CN"/>
                <w14:textFill>
                  <w14:solidFill>
                    <w14:schemeClr w14:val="tx1"/>
                  </w14:solidFill>
                </w14:textFill>
              </w:rPr>
            </w:pPr>
            <w:r>
              <w:rPr>
                <w:rFonts w:hint="default"/>
                <w:color w:val="000000" w:themeColor="text1"/>
                <w14:textFill>
                  <w14:solidFill>
                    <w14:schemeClr w14:val="tx1"/>
                  </w14:solidFill>
                </w14:textFill>
              </w:rPr>
              <w:t>≤3.0</w:t>
            </w:r>
            <w:r>
              <w:rPr>
                <w:rFonts w:hint="default"/>
                <w:color w:val="000000" w:themeColor="text1"/>
                <w:lang w:val="en-US" w:eastAsia="zh-CN"/>
                <w14:textFill>
                  <w14:solidFill>
                    <w14:schemeClr w14:val="tx1"/>
                  </w14:solidFill>
                </w14:textFill>
              </w:rPr>
              <w:t>MPN</w:t>
            </w:r>
            <w:r>
              <w:rPr>
                <w:rFonts w:hint="default"/>
                <w:color w:val="000000" w:themeColor="text1"/>
                <w14:textFill>
                  <w14:solidFill>
                    <w14:schemeClr w14:val="tx1"/>
                  </w14:solidFill>
                </w14:textFill>
              </w:rPr>
              <w:t>/</w:t>
            </w:r>
            <w:r>
              <w:rPr>
                <w:rFonts w:hint="default"/>
                <w:color w:val="000000" w:themeColor="text1"/>
                <w:lang w:val="en-US" w:eastAsia="zh-CN"/>
                <w14:textFill>
                  <w14:solidFill>
                    <w14:schemeClr w14:val="tx1"/>
                  </w14:solidFill>
                </w14:textFill>
              </w:rPr>
              <w:t>100m</w:t>
            </w:r>
            <w:r>
              <w:rPr>
                <w:rFonts w:hint="default"/>
                <w:color w:val="000000" w:themeColor="text1"/>
                <w14:textFill>
                  <w14:solidFill>
                    <w14:schemeClr w14:val="tx1"/>
                  </w14:solidFill>
                </w14:textFill>
              </w:rPr>
              <w:t>L</w:t>
            </w:r>
          </w:p>
        </w:tc>
        <w:tc>
          <w:tcPr>
            <w:tcW w:w="1626" w:type="pct"/>
            <w:vMerge w:val="continue"/>
            <w:tcBorders>
              <w:tl2br w:val="nil"/>
              <w:tr2bl w:val="nil"/>
            </w:tcBorders>
            <w:vAlign w:val="center"/>
          </w:tcPr>
          <w:p w14:paraId="02D7422E">
            <w:pPr>
              <w:pStyle w:val="55"/>
              <w:bidi w:val="0"/>
              <w:rPr>
                <w:rFonts w:hint="default"/>
                <w:color w:val="000000" w:themeColor="text1"/>
                <w14:textFill>
                  <w14:solidFill>
                    <w14:schemeClr w14:val="tx1"/>
                  </w14:solidFill>
                </w14:textFill>
              </w:rPr>
            </w:pPr>
          </w:p>
        </w:tc>
      </w:tr>
      <w:tr w14:paraId="0163D9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pct"/>
            <w:vMerge w:val="continue"/>
            <w:tcBorders>
              <w:tl2br w:val="nil"/>
              <w:tr2bl w:val="nil"/>
            </w:tcBorders>
            <w:vAlign w:val="center"/>
          </w:tcPr>
          <w:p w14:paraId="0CB8D011">
            <w:pPr>
              <w:pStyle w:val="55"/>
              <w:bidi w:val="0"/>
              <w:rPr>
                <w:rFonts w:hint="default"/>
                <w:color w:val="000000" w:themeColor="text1"/>
                <w:lang w:eastAsia="zh-CN"/>
                <w14:textFill>
                  <w14:solidFill>
                    <w14:schemeClr w14:val="tx1"/>
                  </w14:solidFill>
                </w14:textFill>
              </w:rPr>
            </w:pPr>
          </w:p>
        </w:tc>
        <w:tc>
          <w:tcPr>
            <w:tcW w:w="1670" w:type="pct"/>
            <w:tcBorders>
              <w:tl2br w:val="nil"/>
              <w:tr2bl w:val="nil"/>
            </w:tcBorders>
            <w:vAlign w:val="center"/>
          </w:tcPr>
          <w:p w14:paraId="2F6F3F28">
            <w:pPr>
              <w:pStyle w:val="55"/>
              <w:bidi w:val="0"/>
              <w:rPr>
                <w:rFonts w:hint="default"/>
                <w:color w:val="000000" w:themeColor="text1"/>
                <w:lang w:eastAsia="zh-CN"/>
                <w14:textFill>
                  <w14:solidFill>
                    <w14:schemeClr w14:val="tx1"/>
                  </w14:solidFill>
                </w14:textFill>
              </w:rPr>
            </w:pPr>
            <w:r>
              <w:rPr>
                <w:rFonts w:hint="default"/>
                <w:color w:val="000000" w:themeColor="text1"/>
                <w:lang w:eastAsia="zh-CN"/>
                <w14:textFill>
                  <w14:solidFill>
                    <w14:schemeClr w14:val="tx1"/>
                  </w14:solidFill>
                </w14:textFill>
              </w:rPr>
              <w:t>菌落总数</w:t>
            </w:r>
          </w:p>
        </w:tc>
        <w:tc>
          <w:tcPr>
            <w:tcW w:w="1085" w:type="pct"/>
            <w:tcBorders>
              <w:tl2br w:val="nil"/>
              <w:tr2bl w:val="nil"/>
            </w:tcBorders>
            <w:vAlign w:val="center"/>
          </w:tcPr>
          <w:p w14:paraId="67EA3D97">
            <w:pPr>
              <w:pStyle w:val="55"/>
              <w:bidi w:val="0"/>
              <w:rPr>
                <w:rFonts w:hint="default"/>
                <w:color w:val="000000" w:themeColor="text1"/>
                <w:lang w:val="en-US" w:eastAsia="zh-CN"/>
                <w14:textFill>
                  <w14:solidFill>
                    <w14:schemeClr w14:val="tx1"/>
                  </w14:solidFill>
                </w14:textFill>
              </w:rPr>
            </w:pPr>
            <w:r>
              <w:rPr>
                <w:rFonts w:hint="default"/>
                <w:color w:val="000000" w:themeColor="text1"/>
                <w14:textFill>
                  <w14:solidFill>
                    <w14:schemeClr w14:val="tx1"/>
                  </w14:solidFill>
                </w14:textFill>
              </w:rPr>
              <w:t>≤</w:t>
            </w:r>
            <w:r>
              <w:rPr>
                <w:rFonts w:hint="default"/>
                <w:color w:val="000000" w:themeColor="text1"/>
                <w:lang w:val="en-US" w:eastAsia="zh-CN"/>
                <w14:textFill>
                  <w14:solidFill>
                    <w14:schemeClr w14:val="tx1"/>
                  </w14:solidFill>
                </w14:textFill>
              </w:rPr>
              <w:t>100CUF</w:t>
            </w:r>
            <w:r>
              <w:rPr>
                <w:rFonts w:hint="default"/>
                <w:color w:val="000000" w:themeColor="text1"/>
                <w14:textFill>
                  <w14:solidFill>
                    <w14:schemeClr w14:val="tx1"/>
                  </w14:solidFill>
                </w14:textFill>
              </w:rPr>
              <w:t>/</w:t>
            </w:r>
            <w:r>
              <w:rPr>
                <w:rFonts w:hint="default"/>
                <w:color w:val="000000" w:themeColor="text1"/>
                <w:lang w:val="en-US" w:eastAsia="zh-CN"/>
                <w14:textFill>
                  <w14:solidFill>
                    <w14:schemeClr w14:val="tx1"/>
                  </w14:solidFill>
                </w14:textFill>
              </w:rPr>
              <w:t>m</w:t>
            </w:r>
            <w:r>
              <w:rPr>
                <w:rFonts w:hint="default"/>
                <w:color w:val="000000" w:themeColor="text1"/>
                <w14:textFill>
                  <w14:solidFill>
                    <w14:schemeClr w14:val="tx1"/>
                  </w14:solidFill>
                </w14:textFill>
              </w:rPr>
              <w:t>L</w:t>
            </w:r>
          </w:p>
        </w:tc>
        <w:tc>
          <w:tcPr>
            <w:tcW w:w="1626" w:type="pct"/>
            <w:vMerge w:val="continue"/>
            <w:tcBorders>
              <w:tl2br w:val="nil"/>
              <w:tr2bl w:val="nil"/>
            </w:tcBorders>
            <w:vAlign w:val="center"/>
          </w:tcPr>
          <w:p w14:paraId="49715860">
            <w:pPr>
              <w:pStyle w:val="55"/>
              <w:bidi w:val="0"/>
              <w:rPr>
                <w:rFonts w:hint="default"/>
                <w:color w:val="000000" w:themeColor="text1"/>
                <w14:textFill>
                  <w14:solidFill>
                    <w14:schemeClr w14:val="tx1"/>
                  </w14:solidFill>
                </w14:textFill>
              </w:rPr>
            </w:pPr>
          </w:p>
        </w:tc>
      </w:tr>
      <w:tr w14:paraId="1714FC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pct"/>
            <w:vMerge w:val="continue"/>
            <w:tcBorders>
              <w:tl2br w:val="nil"/>
              <w:tr2bl w:val="nil"/>
            </w:tcBorders>
            <w:vAlign w:val="center"/>
          </w:tcPr>
          <w:p w14:paraId="65596012">
            <w:pPr>
              <w:pStyle w:val="55"/>
              <w:bidi w:val="0"/>
              <w:rPr>
                <w:rFonts w:hint="default"/>
                <w:color w:val="000000" w:themeColor="text1"/>
                <w14:textFill>
                  <w14:solidFill>
                    <w14:schemeClr w14:val="tx1"/>
                  </w14:solidFill>
                </w14:textFill>
              </w:rPr>
            </w:pPr>
          </w:p>
        </w:tc>
        <w:tc>
          <w:tcPr>
            <w:tcW w:w="1670" w:type="pct"/>
            <w:tcBorders>
              <w:tl2br w:val="nil"/>
              <w:tr2bl w:val="nil"/>
            </w:tcBorders>
            <w:vAlign w:val="center"/>
          </w:tcPr>
          <w:p w14:paraId="56BDB2D6">
            <w:pPr>
              <w:pStyle w:val="55"/>
              <w:bidi w:val="0"/>
              <w:rPr>
                <w:rFonts w:hint="default"/>
                <w:color w:val="000000" w:themeColor="text1"/>
                <w:lang w:eastAsia="zh-CN"/>
                <w14:textFill>
                  <w14:solidFill>
                    <w14:schemeClr w14:val="tx1"/>
                  </w14:solidFill>
                </w14:textFill>
              </w:rPr>
            </w:pPr>
            <w:r>
              <w:rPr>
                <w:rFonts w:hint="default"/>
                <w:color w:val="000000" w:themeColor="text1"/>
                <w14:textFill>
                  <w14:solidFill>
                    <w14:schemeClr w14:val="tx1"/>
                  </w14:solidFill>
                </w14:textFill>
              </w:rPr>
              <w:t>硝酸盐</w:t>
            </w:r>
            <w:r>
              <w:rPr>
                <w:rFonts w:hint="default"/>
                <w:color w:val="000000" w:themeColor="text1"/>
                <w:lang w:eastAsia="zh-CN"/>
                <w14:textFill>
                  <w14:solidFill>
                    <w14:schemeClr w14:val="tx1"/>
                  </w14:solidFill>
                </w14:textFill>
              </w:rPr>
              <w:t>（以</w:t>
            </w:r>
            <w:r>
              <w:rPr>
                <w:rFonts w:hint="default"/>
                <w:color w:val="000000" w:themeColor="text1"/>
                <w:lang w:val="en-US" w:eastAsia="zh-CN"/>
                <w14:textFill>
                  <w14:solidFill>
                    <w14:schemeClr w14:val="tx1"/>
                  </w14:solidFill>
                </w14:textFill>
              </w:rPr>
              <w:t>N计</w:t>
            </w:r>
            <w:r>
              <w:rPr>
                <w:rFonts w:hint="default"/>
                <w:color w:val="000000" w:themeColor="text1"/>
                <w:lang w:eastAsia="zh-CN"/>
                <w14:textFill>
                  <w14:solidFill>
                    <w14:schemeClr w14:val="tx1"/>
                  </w14:solidFill>
                </w14:textFill>
              </w:rPr>
              <w:t>）</w:t>
            </w:r>
          </w:p>
        </w:tc>
        <w:tc>
          <w:tcPr>
            <w:tcW w:w="1085" w:type="pct"/>
            <w:tcBorders>
              <w:tl2br w:val="nil"/>
              <w:tr2bl w:val="nil"/>
            </w:tcBorders>
            <w:vAlign w:val="center"/>
          </w:tcPr>
          <w:p w14:paraId="75255930">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≤20</w:t>
            </w:r>
            <w:r>
              <w:rPr>
                <w:rFonts w:hint="default"/>
                <w:color w:val="000000" w:themeColor="text1"/>
                <w:lang w:val="en-US" w:eastAsia="zh-CN"/>
                <w14:textFill>
                  <w14:solidFill>
                    <w14:schemeClr w14:val="tx1"/>
                  </w14:solidFill>
                </w14:textFill>
              </w:rPr>
              <w:t>.0</w:t>
            </w:r>
            <w:r>
              <w:rPr>
                <w:rFonts w:hint="default"/>
                <w:color w:val="000000" w:themeColor="text1"/>
                <w14:textFill>
                  <w14:solidFill>
                    <w14:schemeClr w14:val="tx1"/>
                  </w14:solidFill>
                </w14:textFill>
              </w:rPr>
              <w:t>mg/L</w:t>
            </w:r>
          </w:p>
        </w:tc>
        <w:tc>
          <w:tcPr>
            <w:tcW w:w="1626" w:type="pct"/>
            <w:vMerge w:val="continue"/>
            <w:tcBorders>
              <w:tl2br w:val="nil"/>
              <w:tr2bl w:val="nil"/>
            </w:tcBorders>
            <w:vAlign w:val="center"/>
          </w:tcPr>
          <w:p w14:paraId="72BD2D32">
            <w:pPr>
              <w:pStyle w:val="55"/>
              <w:bidi w:val="0"/>
              <w:rPr>
                <w:rFonts w:hint="default"/>
                <w:color w:val="000000" w:themeColor="text1"/>
                <w14:textFill>
                  <w14:solidFill>
                    <w14:schemeClr w14:val="tx1"/>
                  </w14:solidFill>
                </w14:textFill>
              </w:rPr>
            </w:pPr>
          </w:p>
        </w:tc>
      </w:tr>
      <w:tr w14:paraId="76A991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pct"/>
            <w:vMerge w:val="continue"/>
            <w:tcBorders>
              <w:tl2br w:val="nil"/>
              <w:tr2bl w:val="nil"/>
            </w:tcBorders>
            <w:vAlign w:val="center"/>
          </w:tcPr>
          <w:p w14:paraId="127C6740">
            <w:pPr>
              <w:pStyle w:val="55"/>
              <w:bidi w:val="0"/>
              <w:rPr>
                <w:rFonts w:hint="default"/>
                <w:color w:val="000000" w:themeColor="text1"/>
                <w:lang w:eastAsia="zh-CN"/>
                <w14:textFill>
                  <w14:solidFill>
                    <w14:schemeClr w14:val="tx1"/>
                  </w14:solidFill>
                </w14:textFill>
              </w:rPr>
            </w:pPr>
          </w:p>
        </w:tc>
        <w:tc>
          <w:tcPr>
            <w:tcW w:w="1670" w:type="pct"/>
            <w:tcBorders>
              <w:tl2br w:val="nil"/>
              <w:tr2bl w:val="nil"/>
            </w:tcBorders>
            <w:vAlign w:val="center"/>
          </w:tcPr>
          <w:p w14:paraId="647B83B2">
            <w:pPr>
              <w:pStyle w:val="55"/>
              <w:bidi w:val="0"/>
              <w:rPr>
                <w:rFonts w:hint="default"/>
                <w:color w:val="000000" w:themeColor="text1"/>
                <w:lang w:eastAsia="zh-CN"/>
                <w14:textFill>
                  <w14:solidFill>
                    <w14:schemeClr w14:val="tx1"/>
                  </w14:solidFill>
                </w14:textFill>
              </w:rPr>
            </w:pPr>
            <w:r>
              <w:rPr>
                <w:rFonts w:hint="default"/>
                <w:color w:val="000000" w:themeColor="text1"/>
                <w:lang w:eastAsia="zh-CN"/>
                <w14:textFill>
                  <w14:solidFill>
                    <w14:schemeClr w14:val="tx1"/>
                  </w14:solidFill>
                </w14:textFill>
              </w:rPr>
              <w:t>氟化物</w:t>
            </w:r>
          </w:p>
        </w:tc>
        <w:tc>
          <w:tcPr>
            <w:tcW w:w="1085" w:type="pct"/>
            <w:tcBorders>
              <w:tl2br w:val="nil"/>
              <w:tr2bl w:val="nil"/>
            </w:tcBorders>
            <w:vAlign w:val="center"/>
          </w:tcPr>
          <w:p w14:paraId="45D414E6">
            <w:pPr>
              <w:pStyle w:val="55"/>
              <w:bidi w:val="0"/>
              <w:rPr>
                <w:rFonts w:hint="default"/>
                <w:color w:val="000000" w:themeColor="text1"/>
                <w:lang w:val="en-US" w:eastAsia="zh-CN"/>
                <w14:textFill>
                  <w14:solidFill>
                    <w14:schemeClr w14:val="tx1"/>
                  </w14:solidFill>
                </w14:textFill>
              </w:rPr>
            </w:pPr>
            <w:r>
              <w:rPr>
                <w:rFonts w:hint="default"/>
                <w:color w:val="000000" w:themeColor="text1"/>
                <w14:textFill>
                  <w14:solidFill>
                    <w14:schemeClr w14:val="tx1"/>
                  </w14:solidFill>
                </w14:textFill>
              </w:rPr>
              <w:t>≤</w:t>
            </w:r>
            <w:r>
              <w:rPr>
                <w:rFonts w:hint="default"/>
                <w:color w:val="000000" w:themeColor="text1"/>
                <w:lang w:val="en-US" w:eastAsia="zh-CN"/>
                <w14:textFill>
                  <w14:solidFill>
                    <w14:schemeClr w14:val="tx1"/>
                  </w14:solidFill>
                </w14:textFill>
              </w:rPr>
              <w:t>1.0</w:t>
            </w:r>
            <w:r>
              <w:rPr>
                <w:rFonts w:hint="default"/>
                <w:color w:val="000000" w:themeColor="text1"/>
                <w14:textFill>
                  <w14:solidFill>
                    <w14:schemeClr w14:val="tx1"/>
                  </w14:solidFill>
                </w14:textFill>
              </w:rPr>
              <w:t>mg/L</w:t>
            </w:r>
          </w:p>
        </w:tc>
        <w:tc>
          <w:tcPr>
            <w:tcW w:w="1626" w:type="pct"/>
            <w:vMerge w:val="continue"/>
            <w:tcBorders>
              <w:tl2br w:val="nil"/>
              <w:tr2bl w:val="nil"/>
            </w:tcBorders>
            <w:vAlign w:val="center"/>
          </w:tcPr>
          <w:p w14:paraId="0EFD0429">
            <w:pPr>
              <w:pStyle w:val="55"/>
              <w:bidi w:val="0"/>
              <w:rPr>
                <w:rFonts w:hint="default"/>
                <w:color w:val="000000" w:themeColor="text1"/>
                <w14:textFill>
                  <w14:solidFill>
                    <w14:schemeClr w14:val="tx1"/>
                  </w14:solidFill>
                </w14:textFill>
              </w:rPr>
            </w:pPr>
          </w:p>
        </w:tc>
      </w:tr>
      <w:tr w14:paraId="0DC90C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pct"/>
            <w:vMerge w:val="continue"/>
            <w:tcBorders>
              <w:tl2br w:val="nil"/>
              <w:tr2bl w:val="nil"/>
            </w:tcBorders>
            <w:vAlign w:val="center"/>
          </w:tcPr>
          <w:p w14:paraId="17B93F02">
            <w:pPr>
              <w:pStyle w:val="55"/>
              <w:bidi w:val="0"/>
              <w:rPr>
                <w:rFonts w:hint="default"/>
                <w:color w:val="000000" w:themeColor="text1"/>
                <w14:textFill>
                  <w14:solidFill>
                    <w14:schemeClr w14:val="tx1"/>
                  </w14:solidFill>
                </w14:textFill>
              </w:rPr>
            </w:pPr>
          </w:p>
        </w:tc>
        <w:tc>
          <w:tcPr>
            <w:tcW w:w="1670" w:type="pct"/>
            <w:tcBorders>
              <w:tl2br w:val="nil"/>
              <w:tr2bl w:val="nil"/>
            </w:tcBorders>
            <w:vAlign w:val="center"/>
          </w:tcPr>
          <w:p w14:paraId="54E227A4">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汞</w:t>
            </w:r>
          </w:p>
        </w:tc>
        <w:tc>
          <w:tcPr>
            <w:tcW w:w="1085" w:type="pct"/>
            <w:tcBorders>
              <w:tl2br w:val="nil"/>
              <w:tr2bl w:val="nil"/>
            </w:tcBorders>
            <w:vAlign w:val="center"/>
          </w:tcPr>
          <w:p w14:paraId="59530FC2">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≤0.001mg/L</w:t>
            </w:r>
          </w:p>
        </w:tc>
        <w:tc>
          <w:tcPr>
            <w:tcW w:w="1626" w:type="pct"/>
            <w:vMerge w:val="continue"/>
            <w:tcBorders>
              <w:tl2br w:val="nil"/>
              <w:tr2bl w:val="nil"/>
            </w:tcBorders>
            <w:vAlign w:val="center"/>
          </w:tcPr>
          <w:p w14:paraId="758316A1">
            <w:pPr>
              <w:pStyle w:val="55"/>
              <w:bidi w:val="0"/>
              <w:rPr>
                <w:rFonts w:hint="default"/>
                <w:color w:val="000000" w:themeColor="text1"/>
                <w14:textFill>
                  <w14:solidFill>
                    <w14:schemeClr w14:val="tx1"/>
                  </w14:solidFill>
                </w14:textFill>
              </w:rPr>
            </w:pPr>
          </w:p>
        </w:tc>
      </w:tr>
      <w:tr w14:paraId="1FA89B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pct"/>
            <w:vMerge w:val="continue"/>
            <w:tcBorders>
              <w:tl2br w:val="nil"/>
              <w:tr2bl w:val="nil"/>
            </w:tcBorders>
            <w:vAlign w:val="center"/>
          </w:tcPr>
          <w:p w14:paraId="0E295F96">
            <w:pPr>
              <w:pStyle w:val="55"/>
              <w:bidi w:val="0"/>
              <w:rPr>
                <w:rFonts w:hint="default"/>
                <w:color w:val="000000" w:themeColor="text1"/>
                <w14:textFill>
                  <w14:solidFill>
                    <w14:schemeClr w14:val="tx1"/>
                  </w14:solidFill>
                </w14:textFill>
              </w:rPr>
            </w:pPr>
          </w:p>
        </w:tc>
        <w:tc>
          <w:tcPr>
            <w:tcW w:w="1670" w:type="pct"/>
            <w:tcBorders>
              <w:tl2br w:val="nil"/>
              <w:tr2bl w:val="nil"/>
            </w:tcBorders>
            <w:vAlign w:val="center"/>
          </w:tcPr>
          <w:p w14:paraId="43D7C8FB">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砷</w:t>
            </w:r>
          </w:p>
        </w:tc>
        <w:tc>
          <w:tcPr>
            <w:tcW w:w="1085" w:type="pct"/>
            <w:tcBorders>
              <w:tl2br w:val="nil"/>
              <w:tr2bl w:val="nil"/>
            </w:tcBorders>
            <w:vAlign w:val="center"/>
          </w:tcPr>
          <w:p w14:paraId="2FCADB3C">
            <w:pPr>
              <w:pStyle w:val="55"/>
              <w:bidi w:val="0"/>
              <w:rPr>
                <w:rFonts w:hint="default"/>
                <w:color w:val="000000" w:themeColor="text1"/>
                <w:lang w:val="en-US" w:eastAsia="zh-CN"/>
                <w14:textFill>
                  <w14:solidFill>
                    <w14:schemeClr w14:val="tx1"/>
                  </w14:solidFill>
                </w14:textFill>
              </w:rPr>
            </w:pPr>
            <w:r>
              <w:rPr>
                <w:rFonts w:hint="default"/>
                <w:color w:val="000000" w:themeColor="text1"/>
                <w14:textFill>
                  <w14:solidFill>
                    <w14:schemeClr w14:val="tx1"/>
                  </w14:solidFill>
                </w14:textFill>
              </w:rPr>
              <w:t>≤0.0</w:t>
            </w:r>
            <w:r>
              <w:rPr>
                <w:rFonts w:hint="default"/>
                <w:color w:val="000000" w:themeColor="text1"/>
                <w:lang w:val="en-US" w:eastAsia="zh-CN"/>
                <w14:textFill>
                  <w14:solidFill>
                    <w14:schemeClr w14:val="tx1"/>
                  </w14:solidFill>
                </w14:textFill>
              </w:rPr>
              <w:t>1</w:t>
            </w:r>
            <w:r>
              <w:rPr>
                <w:rFonts w:hint="default"/>
                <w:color w:val="000000" w:themeColor="text1"/>
                <w14:textFill>
                  <w14:solidFill>
                    <w14:schemeClr w14:val="tx1"/>
                  </w14:solidFill>
                </w14:textFill>
              </w:rPr>
              <w:t>mg/L</w:t>
            </w:r>
          </w:p>
        </w:tc>
        <w:tc>
          <w:tcPr>
            <w:tcW w:w="1626" w:type="pct"/>
            <w:vMerge w:val="continue"/>
            <w:tcBorders>
              <w:tl2br w:val="nil"/>
              <w:tr2bl w:val="nil"/>
            </w:tcBorders>
            <w:vAlign w:val="center"/>
          </w:tcPr>
          <w:p w14:paraId="3BED9DBB">
            <w:pPr>
              <w:pStyle w:val="55"/>
              <w:bidi w:val="0"/>
              <w:rPr>
                <w:rFonts w:hint="default"/>
                <w:color w:val="000000" w:themeColor="text1"/>
                <w14:textFill>
                  <w14:solidFill>
                    <w14:schemeClr w14:val="tx1"/>
                  </w14:solidFill>
                </w14:textFill>
              </w:rPr>
            </w:pPr>
          </w:p>
        </w:tc>
      </w:tr>
      <w:tr w14:paraId="411C19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pct"/>
            <w:vMerge w:val="continue"/>
            <w:tcBorders>
              <w:tl2br w:val="nil"/>
              <w:tr2bl w:val="nil"/>
            </w:tcBorders>
            <w:vAlign w:val="center"/>
          </w:tcPr>
          <w:p w14:paraId="6569908D">
            <w:pPr>
              <w:pStyle w:val="55"/>
              <w:bidi w:val="0"/>
              <w:rPr>
                <w:rFonts w:hint="default"/>
                <w:color w:val="000000" w:themeColor="text1"/>
                <w14:textFill>
                  <w14:solidFill>
                    <w14:schemeClr w14:val="tx1"/>
                  </w14:solidFill>
                </w14:textFill>
              </w:rPr>
            </w:pPr>
          </w:p>
        </w:tc>
        <w:tc>
          <w:tcPr>
            <w:tcW w:w="1670" w:type="pct"/>
            <w:tcBorders>
              <w:tl2br w:val="nil"/>
              <w:tr2bl w:val="nil"/>
            </w:tcBorders>
            <w:vAlign w:val="center"/>
          </w:tcPr>
          <w:p w14:paraId="6DC15545">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镉</w:t>
            </w:r>
          </w:p>
        </w:tc>
        <w:tc>
          <w:tcPr>
            <w:tcW w:w="1085" w:type="pct"/>
            <w:tcBorders>
              <w:tl2br w:val="nil"/>
              <w:tr2bl w:val="nil"/>
            </w:tcBorders>
            <w:vAlign w:val="center"/>
          </w:tcPr>
          <w:p w14:paraId="5CACE39B">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≤0.0</w:t>
            </w:r>
            <w:r>
              <w:rPr>
                <w:rFonts w:hint="default"/>
                <w:color w:val="000000" w:themeColor="text1"/>
                <w:lang w:val="en-US" w:eastAsia="zh-CN"/>
                <w14:textFill>
                  <w14:solidFill>
                    <w14:schemeClr w14:val="tx1"/>
                  </w14:solidFill>
                </w14:textFill>
              </w:rPr>
              <w:t>05</w:t>
            </w:r>
            <w:r>
              <w:rPr>
                <w:rFonts w:hint="default"/>
                <w:color w:val="000000" w:themeColor="text1"/>
                <w14:textFill>
                  <w14:solidFill>
                    <w14:schemeClr w14:val="tx1"/>
                  </w14:solidFill>
                </w14:textFill>
              </w:rPr>
              <w:t>mg/L</w:t>
            </w:r>
          </w:p>
        </w:tc>
        <w:tc>
          <w:tcPr>
            <w:tcW w:w="1626" w:type="pct"/>
            <w:vMerge w:val="continue"/>
            <w:tcBorders>
              <w:tl2br w:val="nil"/>
              <w:tr2bl w:val="nil"/>
            </w:tcBorders>
            <w:vAlign w:val="center"/>
          </w:tcPr>
          <w:p w14:paraId="6585036D">
            <w:pPr>
              <w:pStyle w:val="55"/>
              <w:bidi w:val="0"/>
              <w:rPr>
                <w:rFonts w:hint="default"/>
                <w:color w:val="000000" w:themeColor="text1"/>
                <w14:textFill>
                  <w14:solidFill>
                    <w14:schemeClr w14:val="tx1"/>
                  </w14:solidFill>
                </w14:textFill>
              </w:rPr>
            </w:pPr>
          </w:p>
        </w:tc>
      </w:tr>
      <w:tr w14:paraId="11018E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pct"/>
            <w:vMerge w:val="continue"/>
            <w:tcBorders>
              <w:tl2br w:val="nil"/>
              <w:tr2bl w:val="nil"/>
            </w:tcBorders>
            <w:vAlign w:val="center"/>
          </w:tcPr>
          <w:p w14:paraId="5956ED2A">
            <w:pPr>
              <w:pStyle w:val="55"/>
              <w:bidi w:val="0"/>
              <w:rPr>
                <w:rFonts w:hint="default"/>
                <w:color w:val="000000" w:themeColor="text1"/>
                <w14:textFill>
                  <w14:solidFill>
                    <w14:schemeClr w14:val="tx1"/>
                  </w14:solidFill>
                </w14:textFill>
              </w:rPr>
            </w:pPr>
          </w:p>
        </w:tc>
        <w:tc>
          <w:tcPr>
            <w:tcW w:w="1670" w:type="pct"/>
            <w:tcBorders>
              <w:tl2br w:val="nil"/>
              <w:tr2bl w:val="nil"/>
            </w:tcBorders>
            <w:vAlign w:val="center"/>
          </w:tcPr>
          <w:p w14:paraId="0F382824">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铬</w:t>
            </w:r>
            <w:r>
              <w:rPr>
                <w:rFonts w:hint="default"/>
                <w:color w:val="000000" w:themeColor="text1"/>
                <w:lang w:eastAsia="zh-CN"/>
                <w14:textFill>
                  <w14:solidFill>
                    <w14:schemeClr w14:val="tx1"/>
                  </w14:solidFill>
                </w14:textFill>
              </w:rPr>
              <w:t>（</w:t>
            </w:r>
            <w:r>
              <w:rPr>
                <w:rFonts w:hint="default"/>
                <w:color w:val="000000" w:themeColor="text1"/>
                <w14:textFill>
                  <w14:solidFill>
                    <w14:schemeClr w14:val="tx1"/>
                  </w14:solidFill>
                </w14:textFill>
              </w:rPr>
              <w:t>六价</w:t>
            </w:r>
            <w:r>
              <w:rPr>
                <w:rFonts w:hint="default"/>
                <w:color w:val="000000" w:themeColor="text1"/>
                <w:lang w:eastAsia="zh-CN"/>
                <w14:textFill>
                  <w14:solidFill>
                    <w14:schemeClr w14:val="tx1"/>
                  </w14:solidFill>
                </w14:textFill>
              </w:rPr>
              <w:t>）</w:t>
            </w:r>
          </w:p>
        </w:tc>
        <w:tc>
          <w:tcPr>
            <w:tcW w:w="1085" w:type="pct"/>
            <w:tcBorders>
              <w:tl2br w:val="nil"/>
              <w:tr2bl w:val="nil"/>
            </w:tcBorders>
            <w:vAlign w:val="center"/>
          </w:tcPr>
          <w:p w14:paraId="46B53550">
            <w:pPr>
              <w:pStyle w:val="55"/>
              <w:bidi w:val="0"/>
              <w:rPr>
                <w:rFonts w:hint="default"/>
                <w:color w:val="000000" w:themeColor="text1"/>
                <w:lang w:val="en-US" w:eastAsia="zh-CN"/>
                <w14:textFill>
                  <w14:solidFill>
                    <w14:schemeClr w14:val="tx1"/>
                  </w14:solidFill>
                </w14:textFill>
              </w:rPr>
            </w:pPr>
            <w:r>
              <w:rPr>
                <w:rFonts w:hint="default"/>
                <w:color w:val="000000" w:themeColor="text1"/>
                <w14:textFill>
                  <w14:solidFill>
                    <w14:schemeClr w14:val="tx1"/>
                  </w14:solidFill>
                </w14:textFill>
              </w:rPr>
              <w:t>≤0.05mg/L</w:t>
            </w:r>
          </w:p>
        </w:tc>
        <w:tc>
          <w:tcPr>
            <w:tcW w:w="1626" w:type="pct"/>
            <w:vMerge w:val="continue"/>
            <w:tcBorders>
              <w:tl2br w:val="nil"/>
              <w:tr2bl w:val="nil"/>
            </w:tcBorders>
            <w:vAlign w:val="center"/>
          </w:tcPr>
          <w:p w14:paraId="77FB92E2">
            <w:pPr>
              <w:pStyle w:val="55"/>
              <w:bidi w:val="0"/>
              <w:rPr>
                <w:rFonts w:hint="default"/>
                <w:color w:val="000000" w:themeColor="text1"/>
                <w14:textFill>
                  <w14:solidFill>
                    <w14:schemeClr w14:val="tx1"/>
                  </w14:solidFill>
                </w14:textFill>
              </w:rPr>
            </w:pPr>
          </w:p>
        </w:tc>
      </w:tr>
      <w:tr w14:paraId="42D24D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pct"/>
            <w:vMerge w:val="continue"/>
            <w:tcBorders>
              <w:tl2br w:val="nil"/>
              <w:tr2bl w:val="nil"/>
            </w:tcBorders>
            <w:vAlign w:val="center"/>
          </w:tcPr>
          <w:p w14:paraId="0E55E550">
            <w:pPr>
              <w:pStyle w:val="55"/>
              <w:bidi w:val="0"/>
              <w:rPr>
                <w:rFonts w:hint="default"/>
                <w:color w:val="000000" w:themeColor="text1"/>
                <w14:textFill>
                  <w14:solidFill>
                    <w14:schemeClr w14:val="tx1"/>
                  </w14:solidFill>
                </w14:textFill>
              </w:rPr>
            </w:pPr>
          </w:p>
        </w:tc>
        <w:tc>
          <w:tcPr>
            <w:tcW w:w="1670" w:type="pct"/>
            <w:tcBorders>
              <w:tl2br w:val="nil"/>
              <w:tr2bl w:val="nil"/>
            </w:tcBorders>
            <w:vAlign w:val="center"/>
          </w:tcPr>
          <w:p w14:paraId="08DC5F08">
            <w:pPr>
              <w:pStyle w:val="55"/>
              <w:bidi w:val="0"/>
              <w:rPr>
                <w:rFonts w:hint="default"/>
                <w:color w:val="000000" w:themeColor="text1"/>
                <w:lang w:eastAsia="zh-CN"/>
                <w14:textFill>
                  <w14:solidFill>
                    <w14:schemeClr w14:val="tx1"/>
                  </w14:solidFill>
                </w14:textFill>
              </w:rPr>
            </w:pPr>
            <w:r>
              <w:rPr>
                <w:rFonts w:hint="default"/>
                <w:color w:val="000000" w:themeColor="text1"/>
                <w14:textFill>
                  <w14:solidFill>
                    <w14:schemeClr w14:val="tx1"/>
                  </w14:solidFill>
                </w14:textFill>
              </w:rPr>
              <w:t>铅</w:t>
            </w:r>
          </w:p>
        </w:tc>
        <w:tc>
          <w:tcPr>
            <w:tcW w:w="1085" w:type="pct"/>
            <w:tcBorders>
              <w:tl2br w:val="nil"/>
              <w:tr2bl w:val="nil"/>
            </w:tcBorders>
            <w:vAlign w:val="center"/>
          </w:tcPr>
          <w:p w14:paraId="1F800180">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≤0.0</w:t>
            </w:r>
            <w:r>
              <w:rPr>
                <w:rFonts w:hint="default"/>
                <w:color w:val="000000" w:themeColor="text1"/>
                <w:lang w:val="en-US" w:eastAsia="zh-CN"/>
                <w14:textFill>
                  <w14:solidFill>
                    <w14:schemeClr w14:val="tx1"/>
                  </w14:solidFill>
                </w14:textFill>
              </w:rPr>
              <w:t>1</w:t>
            </w:r>
            <w:r>
              <w:rPr>
                <w:rFonts w:hint="default"/>
                <w:color w:val="000000" w:themeColor="text1"/>
                <w14:textFill>
                  <w14:solidFill>
                    <w14:schemeClr w14:val="tx1"/>
                  </w14:solidFill>
                </w14:textFill>
              </w:rPr>
              <w:t>mg/L</w:t>
            </w:r>
          </w:p>
        </w:tc>
        <w:tc>
          <w:tcPr>
            <w:tcW w:w="1626" w:type="pct"/>
            <w:vMerge w:val="continue"/>
            <w:tcBorders>
              <w:tl2br w:val="nil"/>
              <w:tr2bl w:val="nil"/>
            </w:tcBorders>
            <w:vAlign w:val="center"/>
          </w:tcPr>
          <w:p w14:paraId="2E1030E4">
            <w:pPr>
              <w:pStyle w:val="55"/>
              <w:bidi w:val="0"/>
              <w:rPr>
                <w:rFonts w:hint="default"/>
                <w:color w:val="000000" w:themeColor="text1"/>
                <w14:textFill>
                  <w14:solidFill>
                    <w14:schemeClr w14:val="tx1"/>
                  </w14:solidFill>
                </w14:textFill>
              </w:rPr>
            </w:pPr>
          </w:p>
        </w:tc>
      </w:tr>
    </w:tbl>
    <w:p w14:paraId="1C4E499F">
      <w:pPr>
        <w:pStyle w:val="47"/>
        <w:ind w:firstLine="482"/>
      </w:pPr>
      <w:r>
        <w:t>（4）</w:t>
      </w:r>
      <w:r>
        <w:rPr>
          <w:rFonts w:hint="eastAsia"/>
        </w:rPr>
        <w:t>声</w:t>
      </w:r>
      <w:r>
        <w:t>环境质量标准</w:t>
      </w:r>
    </w:p>
    <w:p w14:paraId="26357A29">
      <w:pPr>
        <w:pStyle w:val="47"/>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根据《声环境质量标准》（GB3096-2008），本项目所在</w:t>
      </w:r>
      <w:r>
        <w:rPr>
          <w:color w:val="000000" w:themeColor="text1"/>
          <w14:textFill>
            <w14:solidFill>
              <w14:schemeClr w14:val="tx1"/>
            </w14:solidFill>
          </w14:textFill>
        </w:rPr>
        <w:t>区域属于</w:t>
      </w:r>
      <w:r>
        <w:rPr>
          <w:rFonts w:hint="eastAsia"/>
          <w:color w:val="000000" w:themeColor="text1"/>
          <w:lang w:val="en-US" w:eastAsia="zh-CN"/>
          <w14:textFill>
            <w14:solidFill>
              <w14:schemeClr w14:val="tx1"/>
            </w14:solidFill>
          </w14:textFill>
        </w:rPr>
        <w:t>2</w:t>
      </w:r>
      <w:r>
        <w:rPr>
          <w:rFonts w:hint="eastAsia"/>
          <w:color w:val="000000" w:themeColor="text1"/>
          <w14:textFill>
            <w14:solidFill>
              <w14:schemeClr w14:val="tx1"/>
            </w14:solidFill>
          </w14:textFill>
        </w:rPr>
        <w:t>类声环境</w:t>
      </w:r>
      <w:r>
        <w:rPr>
          <w:color w:val="000000" w:themeColor="text1"/>
          <w14:textFill>
            <w14:solidFill>
              <w14:schemeClr w14:val="tx1"/>
            </w14:solidFill>
          </w14:textFill>
        </w:rPr>
        <w:t>功能区</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执行《声环境质量标准》（GB3096-2008）</w:t>
      </w:r>
      <w:r>
        <w:rPr>
          <w:rFonts w:hint="eastAsia"/>
          <w:color w:val="000000" w:themeColor="text1"/>
          <w:lang w:val="en-US" w:eastAsia="zh-CN"/>
          <w14:textFill>
            <w14:solidFill>
              <w14:schemeClr w14:val="tx1"/>
            </w14:solidFill>
          </w14:textFill>
        </w:rPr>
        <w:t>2</w:t>
      </w:r>
      <w:r>
        <w:rPr>
          <w:color w:val="000000" w:themeColor="text1"/>
          <w14:textFill>
            <w14:solidFill>
              <w14:schemeClr w14:val="tx1"/>
            </w14:solidFill>
          </w14:textFill>
        </w:rPr>
        <w:t>类标准</w:t>
      </w:r>
      <w:r>
        <w:rPr>
          <w:rFonts w:hint="eastAsia"/>
          <w:color w:val="000000" w:themeColor="text1"/>
          <w14:textFill>
            <w14:solidFill>
              <w14:schemeClr w14:val="tx1"/>
            </w14:solidFill>
          </w14:textFill>
        </w:rPr>
        <w:t>。详见下表</w:t>
      </w:r>
      <w:r>
        <w:rPr>
          <w:color w:val="000000" w:themeColor="text1"/>
          <w14:textFill>
            <w14:solidFill>
              <w14:schemeClr w14:val="tx1"/>
            </w14:solidFill>
          </w14:textFill>
        </w:rPr>
        <w:t>。</w:t>
      </w:r>
    </w:p>
    <w:p w14:paraId="523CD044">
      <w:pPr>
        <w:pStyle w:val="94"/>
        <w:bidi w:val="0"/>
        <w:ind w:left="0" w:leftChars="0" w:firstLine="0" w:firstLineChars="0"/>
        <w:rPr>
          <w:color w:val="000000" w:themeColor="text1"/>
          <w14:textFill>
            <w14:solidFill>
              <w14:schemeClr w14:val="tx1"/>
            </w14:solidFill>
          </w14:textFill>
        </w:rPr>
      </w:pPr>
      <w:r>
        <w:rPr>
          <w:color w:val="000000" w:themeColor="text1"/>
          <w14:textFill>
            <w14:solidFill>
              <w14:schemeClr w14:val="tx1"/>
            </w14:solidFill>
          </w14:textFill>
        </w:rPr>
        <w:t xml:space="preserve">声环境质量标准    </w:t>
      </w:r>
      <w:r>
        <w:rPr>
          <w:rFonts w:hint="eastAsia"/>
          <w:color w:val="000000" w:themeColor="text1"/>
          <w14:textFill>
            <w14:solidFill>
              <w14:schemeClr w14:val="tx1"/>
            </w14:solidFill>
          </w14:textFill>
        </w:rPr>
        <w:t>单位</w:t>
      </w:r>
      <w:r>
        <w:rPr>
          <w:color w:val="000000" w:themeColor="text1"/>
          <w14:textFill>
            <w14:solidFill>
              <w14:schemeClr w14:val="tx1"/>
            </w14:solidFill>
          </w14:textFill>
        </w:rPr>
        <w:t>：dB(A)</w:t>
      </w:r>
    </w:p>
    <w:tbl>
      <w:tblPr>
        <w:tblStyle w:val="3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5"/>
        <w:gridCol w:w="2252"/>
        <w:gridCol w:w="2656"/>
        <w:gridCol w:w="2955"/>
      </w:tblGrid>
      <w:tr w14:paraId="127EA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trPr>
        <w:tc>
          <w:tcPr>
            <w:tcW w:w="767" w:type="pct"/>
            <w:vMerge w:val="restart"/>
            <w:vAlign w:val="center"/>
          </w:tcPr>
          <w:p w14:paraId="46B87165">
            <w:pPr>
              <w:pStyle w:val="55"/>
              <w:rPr>
                <w:color w:val="000000" w:themeColor="text1"/>
                <w14:textFill>
                  <w14:solidFill>
                    <w14:schemeClr w14:val="tx1"/>
                  </w14:solidFill>
                </w14:textFill>
              </w:rPr>
            </w:pPr>
            <w:r>
              <w:rPr>
                <w:rFonts w:hint="eastAsia"/>
                <w:color w:val="000000" w:themeColor="text1"/>
                <w14:textFill>
                  <w14:solidFill>
                    <w14:schemeClr w14:val="tx1"/>
                  </w14:solidFill>
                </w14:textFill>
              </w:rPr>
              <w:t>厂界</w:t>
            </w:r>
          </w:p>
        </w:tc>
        <w:tc>
          <w:tcPr>
            <w:tcW w:w="1212" w:type="pct"/>
            <w:vMerge w:val="restart"/>
            <w:shd w:val="clear" w:color="auto" w:fill="auto"/>
            <w:vAlign w:val="center"/>
          </w:tcPr>
          <w:p w14:paraId="4270EF28">
            <w:pPr>
              <w:pStyle w:val="55"/>
              <w:rPr>
                <w:color w:val="000000" w:themeColor="text1"/>
                <w14:textFill>
                  <w14:solidFill>
                    <w14:schemeClr w14:val="tx1"/>
                  </w14:solidFill>
                </w14:textFill>
              </w:rPr>
            </w:pPr>
            <w:r>
              <w:rPr>
                <w:rFonts w:hint="eastAsia"/>
                <w:color w:val="000000" w:themeColor="text1"/>
                <w14:textFill>
                  <w14:solidFill>
                    <w14:schemeClr w14:val="tx1"/>
                  </w14:solidFill>
                </w14:textFill>
              </w:rPr>
              <w:t>声环境功能区</w:t>
            </w:r>
            <w:r>
              <w:rPr>
                <w:color w:val="000000" w:themeColor="text1"/>
                <w14:textFill>
                  <w14:solidFill>
                    <w14:schemeClr w14:val="tx1"/>
                  </w14:solidFill>
                </w14:textFill>
              </w:rPr>
              <w:t>类别</w:t>
            </w:r>
          </w:p>
        </w:tc>
        <w:tc>
          <w:tcPr>
            <w:tcW w:w="3019" w:type="pct"/>
            <w:gridSpan w:val="2"/>
            <w:shd w:val="clear" w:color="auto" w:fill="auto"/>
            <w:vAlign w:val="center"/>
          </w:tcPr>
          <w:p w14:paraId="1F6A6FD1">
            <w:pPr>
              <w:pStyle w:val="55"/>
              <w:rPr>
                <w:color w:val="000000" w:themeColor="text1"/>
                <w14:textFill>
                  <w14:solidFill>
                    <w14:schemeClr w14:val="tx1"/>
                  </w14:solidFill>
                </w14:textFill>
              </w:rPr>
            </w:pPr>
            <w:r>
              <w:rPr>
                <w:color w:val="000000" w:themeColor="text1"/>
                <w14:textFill>
                  <w14:solidFill>
                    <w14:schemeClr w14:val="tx1"/>
                  </w14:solidFill>
                </w14:textFill>
              </w:rPr>
              <w:t>噪声限值</w:t>
            </w:r>
          </w:p>
        </w:tc>
      </w:tr>
      <w:tr w14:paraId="02B24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trPr>
        <w:tc>
          <w:tcPr>
            <w:tcW w:w="767" w:type="pct"/>
            <w:vMerge w:val="continue"/>
            <w:vAlign w:val="center"/>
          </w:tcPr>
          <w:p w14:paraId="2B8851BB">
            <w:pPr>
              <w:pStyle w:val="55"/>
              <w:rPr>
                <w:color w:val="000000" w:themeColor="text1"/>
                <w14:textFill>
                  <w14:solidFill>
                    <w14:schemeClr w14:val="tx1"/>
                  </w14:solidFill>
                </w14:textFill>
              </w:rPr>
            </w:pPr>
          </w:p>
        </w:tc>
        <w:tc>
          <w:tcPr>
            <w:tcW w:w="1212" w:type="pct"/>
            <w:vMerge w:val="continue"/>
            <w:shd w:val="clear" w:color="auto" w:fill="auto"/>
            <w:vAlign w:val="center"/>
          </w:tcPr>
          <w:p w14:paraId="29EC4E21">
            <w:pPr>
              <w:pStyle w:val="55"/>
              <w:rPr>
                <w:color w:val="000000" w:themeColor="text1"/>
                <w14:textFill>
                  <w14:solidFill>
                    <w14:schemeClr w14:val="tx1"/>
                  </w14:solidFill>
                </w14:textFill>
              </w:rPr>
            </w:pPr>
          </w:p>
        </w:tc>
        <w:tc>
          <w:tcPr>
            <w:tcW w:w="1429" w:type="pct"/>
            <w:shd w:val="clear" w:color="auto" w:fill="auto"/>
            <w:vAlign w:val="center"/>
          </w:tcPr>
          <w:p w14:paraId="0B3901F9">
            <w:pPr>
              <w:pStyle w:val="55"/>
              <w:rPr>
                <w:color w:val="000000" w:themeColor="text1"/>
                <w14:textFill>
                  <w14:solidFill>
                    <w14:schemeClr w14:val="tx1"/>
                  </w14:solidFill>
                </w14:textFill>
              </w:rPr>
            </w:pPr>
            <w:r>
              <w:rPr>
                <w:color w:val="000000" w:themeColor="text1"/>
                <w14:textFill>
                  <w14:solidFill>
                    <w14:schemeClr w14:val="tx1"/>
                  </w14:solidFill>
                </w14:textFill>
              </w:rPr>
              <w:t>昼间</w:t>
            </w:r>
          </w:p>
        </w:tc>
        <w:tc>
          <w:tcPr>
            <w:tcW w:w="1590" w:type="pct"/>
            <w:shd w:val="clear" w:color="auto" w:fill="auto"/>
            <w:vAlign w:val="center"/>
          </w:tcPr>
          <w:p w14:paraId="04DA1158">
            <w:pPr>
              <w:pStyle w:val="55"/>
              <w:rPr>
                <w:color w:val="000000" w:themeColor="text1"/>
                <w14:textFill>
                  <w14:solidFill>
                    <w14:schemeClr w14:val="tx1"/>
                  </w14:solidFill>
                </w14:textFill>
              </w:rPr>
            </w:pPr>
            <w:r>
              <w:rPr>
                <w:color w:val="000000" w:themeColor="text1"/>
                <w14:textFill>
                  <w14:solidFill>
                    <w14:schemeClr w14:val="tx1"/>
                  </w14:solidFill>
                </w14:textFill>
              </w:rPr>
              <w:t>夜间</w:t>
            </w:r>
          </w:p>
        </w:tc>
      </w:tr>
      <w:tr w14:paraId="5AD25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7" w:type="pct"/>
            <w:vAlign w:val="center"/>
          </w:tcPr>
          <w:p w14:paraId="639DD698">
            <w:pPr>
              <w:pStyle w:val="55"/>
              <w:rPr>
                <w:color w:val="000000" w:themeColor="text1"/>
                <w14:textFill>
                  <w14:solidFill>
                    <w14:schemeClr w14:val="tx1"/>
                  </w14:solidFill>
                </w14:textFill>
              </w:rPr>
            </w:pPr>
            <w:r>
              <w:rPr>
                <w:color w:val="000000" w:themeColor="text1"/>
                <w14:textFill>
                  <w14:solidFill>
                    <w14:schemeClr w14:val="tx1"/>
                  </w14:solidFill>
                </w14:textFill>
              </w:rPr>
              <w:t>厂界</w:t>
            </w:r>
          </w:p>
        </w:tc>
        <w:tc>
          <w:tcPr>
            <w:tcW w:w="1212" w:type="pct"/>
            <w:shd w:val="clear" w:color="auto" w:fill="auto"/>
            <w:vAlign w:val="center"/>
          </w:tcPr>
          <w:p w14:paraId="542B9F55">
            <w:pPr>
              <w:pStyle w:val="55"/>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2</w:t>
            </w:r>
            <w:r>
              <w:rPr>
                <w:color w:val="000000" w:themeColor="text1"/>
                <w14:textFill>
                  <w14:solidFill>
                    <w14:schemeClr w14:val="tx1"/>
                  </w14:solidFill>
                </w14:textFill>
              </w:rPr>
              <w:t>类</w:t>
            </w:r>
          </w:p>
        </w:tc>
        <w:tc>
          <w:tcPr>
            <w:tcW w:w="1429" w:type="pct"/>
            <w:shd w:val="clear" w:color="auto" w:fill="auto"/>
            <w:vAlign w:val="center"/>
          </w:tcPr>
          <w:p w14:paraId="49963ECC">
            <w:pPr>
              <w:pStyle w:val="55"/>
              <w:rPr>
                <w:rFonts w:hint="eastAsia" w:eastAsia="楷体"/>
                <w:color w:val="000000" w:themeColor="text1"/>
                <w:lang w:eastAsia="zh-CN"/>
                <w14:textFill>
                  <w14:solidFill>
                    <w14:schemeClr w14:val="tx1"/>
                  </w14:solidFill>
                </w14:textFill>
              </w:rPr>
            </w:pPr>
            <w:r>
              <w:rPr>
                <w:color w:val="000000" w:themeColor="text1"/>
                <w14:textFill>
                  <w14:solidFill>
                    <w14:schemeClr w14:val="tx1"/>
                  </w14:solidFill>
                </w14:textFill>
              </w:rPr>
              <w:t>6</w:t>
            </w:r>
            <w:r>
              <w:rPr>
                <w:rFonts w:hint="eastAsia"/>
                <w:color w:val="000000" w:themeColor="text1"/>
                <w:lang w:val="en-US" w:eastAsia="zh-CN"/>
                <w14:textFill>
                  <w14:solidFill>
                    <w14:schemeClr w14:val="tx1"/>
                  </w14:solidFill>
                </w14:textFill>
              </w:rPr>
              <w:t>0</w:t>
            </w:r>
          </w:p>
        </w:tc>
        <w:tc>
          <w:tcPr>
            <w:tcW w:w="1590" w:type="pct"/>
            <w:shd w:val="clear" w:color="auto" w:fill="auto"/>
            <w:vAlign w:val="center"/>
          </w:tcPr>
          <w:p w14:paraId="7EEE6242">
            <w:pPr>
              <w:pStyle w:val="55"/>
              <w:rPr>
                <w:rFonts w:hint="eastAsia" w:eastAsia="楷体"/>
                <w:color w:val="000000" w:themeColor="text1"/>
                <w:lang w:eastAsia="zh-CN"/>
                <w14:textFill>
                  <w14:solidFill>
                    <w14:schemeClr w14:val="tx1"/>
                  </w14:solidFill>
                </w14:textFill>
              </w:rPr>
            </w:pPr>
            <w:r>
              <w:rPr>
                <w:color w:val="000000" w:themeColor="text1"/>
                <w14:textFill>
                  <w14:solidFill>
                    <w14:schemeClr w14:val="tx1"/>
                  </w14:solidFill>
                </w14:textFill>
              </w:rPr>
              <w:t>5</w:t>
            </w:r>
            <w:r>
              <w:rPr>
                <w:rFonts w:hint="eastAsia"/>
                <w:color w:val="000000" w:themeColor="text1"/>
                <w:lang w:val="en-US" w:eastAsia="zh-CN"/>
                <w14:textFill>
                  <w14:solidFill>
                    <w14:schemeClr w14:val="tx1"/>
                  </w14:solidFill>
                </w14:textFill>
              </w:rPr>
              <w:t>0</w:t>
            </w:r>
          </w:p>
        </w:tc>
      </w:tr>
    </w:tbl>
    <w:p w14:paraId="75AA97D1">
      <w:pPr>
        <w:pStyle w:val="47"/>
        <w:ind w:firstLine="482"/>
      </w:pPr>
      <w:r>
        <w:t>（5）土壤环境质量标准</w:t>
      </w:r>
    </w:p>
    <w:p w14:paraId="1C4FC408">
      <w:pPr>
        <w:pStyle w:val="47"/>
        <w:bidi w:val="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项目厂区内土壤环境执行《土壤环境质量 建设用地土壤污染风险管控标准（试行）》（GB36600-2018）表1建设用地土壤污染风险筛选值和管制值（基本项目）中的筛选值-第二类用地要求。详见下表。</w:t>
      </w:r>
    </w:p>
    <w:p w14:paraId="7B8BFFB5">
      <w:pPr>
        <w:pStyle w:val="94"/>
        <w:bidi w:val="0"/>
        <w:ind w:left="0" w:leftChars="0" w:firstLine="0" w:firstLineChars="0"/>
      </w:pPr>
      <w:r>
        <w:rPr>
          <w:rFonts w:hint="eastAsia"/>
        </w:rPr>
        <w:t>土壤</w:t>
      </w:r>
      <w:r>
        <w:t>质量标准</w:t>
      </w:r>
      <w:r>
        <w:rPr>
          <w:rFonts w:hint="eastAsia"/>
          <w:lang w:val="en-US" w:eastAsia="zh-CN"/>
        </w:rPr>
        <w:t>-建设用地</w:t>
      </w:r>
    </w:p>
    <w:tbl>
      <w:tblPr>
        <w:tblStyle w:val="3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6"/>
        <w:gridCol w:w="2928"/>
        <w:gridCol w:w="2128"/>
        <w:gridCol w:w="3209"/>
      </w:tblGrid>
      <w:tr w14:paraId="26F2D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547" w:type="pct"/>
            <w:noWrap w:val="0"/>
            <w:vAlign w:val="center"/>
          </w:tcPr>
          <w:p w14:paraId="5E6A0C33">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序号</w:t>
            </w:r>
          </w:p>
        </w:tc>
        <w:tc>
          <w:tcPr>
            <w:tcW w:w="1577" w:type="pct"/>
            <w:noWrap w:val="0"/>
            <w:vAlign w:val="center"/>
          </w:tcPr>
          <w:p w14:paraId="283F9A12">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污染物</w:t>
            </w:r>
          </w:p>
        </w:tc>
        <w:tc>
          <w:tcPr>
            <w:tcW w:w="1146" w:type="pct"/>
            <w:noWrap w:val="0"/>
            <w:vAlign w:val="center"/>
          </w:tcPr>
          <w:p w14:paraId="644AF01E">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标准值</w:t>
            </w:r>
          </w:p>
        </w:tc>
        <w:tc>
          <w:tcPr>
            <w:tcW w:w="1728" w:type="pct"/>
            <w:noWrap w:val="0"/>
            <w:vAlign w:val="center"/>
          </w:tcPr>
          <w:p w14:paraId="5A486140">
            <w:pPr>
              <w:pStyle w:val="55"/>
              <w:bidi w:val="0"/>
              <w:rPr>
                <w:rFonts w:hint="default"/>
                <w:color w:val="000000" w:themeColor="text1"/>
                <w14:textFill>
                  <w14:solidFill>
                    <w14:schemeClr w14:val="tx1"/>
                  </w14:solidFill>
                </w14:textFill>
              </w:rPr>
            </w:pPr>
            <w:r>
              <w:rPr>
                <w:rFonts w:hint="default"/>
                <w:color w:val="000000" w:themeColor="text1"/>
                <w:lang w:eastAsia="zh-CN"/>
                <w14:textFill>
                  <w14:solidFill>
                    <w14:schemeClr w14:val="tx1"/>
                  </w14:solidFill>
                </w14:textFill>
              </w:rPr>
              <w:t>执行标准</w:t>
            </w:r>
          </w:p>
        </w:tc>
      </w:tr>
      <w:tr w14:paraId="04ED9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75C66C2B">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w:t>
            </w:r>
          </w:p>
        </w:tc>
        <w:tc>
          <w:tcPr>
            <w:tcW w:w="1577" w:type="pct"/>
            <w:noWrap w:val="0"/>
            <w:vAlign w:val="center"/>
          </w:tcPr>
          <w:p w14:paraId="36D62C5E">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砷</w:t>
            </w:r>
          </w:p>
        </w:tc>
        <w:tc>
          <w:tcPr>
            <w:tcW w:w="1146" w:type="pct"/>
            <w:noWrap w:val="0"/>
            <w:vAlign w:val="center"/>
          </w:tcPr>
          <w:p w14:paraId="46EC1394">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≤60mg/kg</w:t>
            </w:r>
          </w:p>
        </w:tc>
        <w:tc>
          <w:tcPr>
            <w:tcW w:w="1728" w:type="pct"/>
            <w:vMerge w:val="restart"/>
            <w:noWrap w:val="0"/>
            <w:vAlign w:val="center"/>
          </w:tcPr>
          <w:p w14:paraId="241DA52A">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《土壤环境质量 建设用地土壤污染风险管控标准（试行）》（GB36600-2018）表1建设用地</w:t>
            </w:r>
            <w:r>
              <w:rPr>
                <w:rFonts w:hint="default"/>
                <w:color w:val="000000" w:themeColor="text1"/>
                <w:lang w:val="en-US" w:eastAsia="zh-CN"/>
                <w14:textFill>
                  <w14:solidFill>
                    <w14:schemeClr w14:val="tx1"/>
                  </w14:solidFill>
                </w14:textFill>
              </w:rPr>
              <w:t>土壤污染风险筛选值和管制值（基</w:t>
            </w:r>
            <w:r>
              <w:rPr>
                <w:rFonts w:hint="eastAsia"/>
                <w:color w:val="000000" w:themeColor="text1"/>
                <w:lang w:val="en-US" w:eastAsia="zh-CN"/>
                <w14:textFill>
                  <w14:solidFill>
                    <w14:schemeClr w14:val="tx1"/>
                  </w14:solidFill>
                </w14:textFill>
              </w:rPr>
              <w:t>本项目</w:t>
            </w:r>
            <w:r>
              <w:rPr>
                <w:rFonts w:hint="default"/>
                <w:color w:val="000000" w:themeColor="text1"/>
                <w:lang w:val="en-US" w:eastAsia="zh-CN"/>
                <w14:textFill>
                  <w14:solidFill>
                    <w14:schemeClr w14:val="tx1"/>
                  </w14:solidFill>
                </w14:textFill>
              </w:rPr>
              <w:t>）中的筛选值-第二类用地</w:t>
            </w:r>
          </w:p>
        </w:tc>
      </w:tr>
      <w:tr w14:paraId="221CF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7AA853E6">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2</w:t>
            </w:r>
          </w:p>
        </w:tc>
        <w:tc>
          <w:tcPr>
            <w:tcW w:w="1577" w:type="pct"/>
            <w:noWrap w:val="0"/>
            <w:vAlign w:val="center"/>
          </w:tcPr>
          <w:p w14:paraId="50A8B37D">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镉</w:t>
            </w:r>
          </w:p>
        </w:tc>
        <w:tc>
          <w:tcPr>
            <w:tcW w:w="1146" w:type="pct"/>
            <w:noWrap w:val="0"/>
            <w:vAlign w:val="center"/>
          </w:tcPr>
          <w:p w14:paraId="55B2BAF0">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≤65mg/kg</w:t>
            </w:r>
          </w:p>
        </w:tc>
        <w:tc>
          <w:tcPr>
            <w:tcW w:w="1728" w:type="pct"/>
            <w:vMerge w:val="continue"/>
            <w:noWrap w:val="0"/>
            <w:vAlign w:val="center"/>
          </w:tcPr>
          <w:p w14:paraId="53EC1331">
            <w:pPr>
              <w:pStyle w:val="55"/>
              <w:bidi w:val="0"/>
              <w:rPr>
                <w:rFonts w:hint="default"/>
                <w:color w:val="000000" w:themeColor="text1"/>
                <w14:textFill>
                  <w14:solidFill>
                    <w14:schemeClr w14:val="tx1"/>
                  </w14:solidFill>
                </w14:textFill>
              </w:rPr>
            </w:pPr>
          </w:p>
        </w:tc>
      </w:tr>
      <w:tr w14:paraId="4F908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1988BBFF">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3</w:t>
            </w:r>
          </w:p>
        </w:tc>
        <w:tc>
          <w:tcPr>
            <w:tcW w:w="1577" w:type="pct"/>
            <w:noWrap w:val="0"/>
            <w:vAlign w:val="center"/>
          </w:tcPr>
          <w:p w14:paraId="08EFEEB4">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铬（六价）</w:t>
            </w:r>
          </w:p>
        </w:tc>
        <w:tc>
          <w:tcPr>
            <w:tcW w:w="1146" w:type="pct"/>
            <w:noWrap w:val="0"/>
            <w:vAlign w:val="center"/>
          </w:tcPr>
          <w:p w14:paraId="716155F1">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≤5.7mg/kg</w:t>
            </w:r>
          </w:p>
        </w:tc>
        <w:tc>
          <w:tcPr>
            <w:tcW w:w="1728" w:type="pct"/>
            <w:vMerge w:val="continue"/>
            <w:noWrap w:val="0"/>
            <w:vAlign w:val="center"/>
          </w:tcPr>
          <w:p w14:paraId="275EA7B3">
            <w:pPr>
              <w:pStyle w:val="55"/>
              <w:bidi w:val="0"/>
              <w:rPr>
                <w:rFonts w:hint="default"/>
                <w:color w:val="000000" w:themeColor="text1"/>
                <w14:textFill>
                  <w14:solidFill>
                    <w14:schemeClr w14:val="tx1"/>
                  </w14:solidFill>
                </w14:textFill>
              </w:rPr>
            </w:pPr>
          </w:p>
        </w:tc>
      </w:tr>
      <w:tr w14:paraId="36B4F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152A236A">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4</w:t>
            </w:r>
          </w:p>
        </w:tc>
        <w:tc>
          <w:tcPr>
            <w:tcW w:w="1577" w:type="pct"/>
            <w:noWrap w:val="0"/>
            <w:vAlign w:val="center"/>
          </w:tcPr>
          <w:p w14:paraId="2422C100">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铜</w:t>
            </w:r>
          </w:p>
        </w:tc>
        <w:tc>
          <w:tcPr>
            <w:tcW w:w="1146" w:type="pct"/>
            <w:noWrap w:val="0"/>
            <w:vAlign w:val="center"/>
          </w:tcPr>
          <w:p w14:paraId="19D467DA">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≤18000mg/kg</w:t>
            </w:r>
          </w:p>
        </w:tc>
        <w:tc>
          <w:tcPr>
            <w:tcW w:w="1728" w:type="pct"/>
            <w:vMerge w:val="continue"/>
            <w:noWrap w:val="0"/>
            <w:vAlign w:val="center"/>
          </w:tcPr>
          <w:p w14:paraId="2E323113">
            <w:pPr>
              <w:pStyle w:val="55"/>
              <w:bidi w:val="0"/>
              <w:rPr>
                <w:rFonts w:hint="default"/>
                <w:color w:val="000000" w:themeColor="text1"/>
                <w14:textFill>
                  <w14:solidFill>
                    <w14:schemeClr w14:val="tx1"/>
                  </w14:solidFill>
                </w14:textFill>
              </w:rPr>
            </w:pPr>
          </w:p>
        </w:tc>
      </w:tr>
      <w:tr w14:paraId="4ED3E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364A885C">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5</w:t>
            </w:r>
          </w:p>
        </w:tc>
        <w:tc>
          <w:tcPr>
            <w:tcW w:w="1577" w:type="pct"/>
            <w:noWrap w:val="0"/>
            <w:vAlign w:val="center"/>
          </w:tcPr>
          <w:p w14:paraId="3736AFA1">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铅</w:t>
            </w:r>
          </w:p>
        </w:tc>
        <w:tc>
          <w:tcPr>
            <w:tcW w:w="1146" w:type="pct"/>
            <w:noWrap w:val="0"/>
            <w:vAlign w:val="center"/>
          </w:tcPr>
          <w:p w14:paraId="20160E8F">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≤800mg/kg</w:t>
            </w:r>
          </w:p>
        </w:tc>
        <w:tc>
          <w:tcPr>
            <w:tcW w:w="1728" w:type="pct"/>
            <w:vMerge w:val="continue"/>
            <w:noWrap w:val="0"/>
            <w:vAlign w:val="center"/>
          </w:tcPr>
          <w:p w14:paraId="34814CDE">
            <w:pPr>
              <w:pStyle w:val="55"/>
              <w:bidi w:val="0"/>
              <w:rPr>
                <w:rFonts w:hint="default"/>
                <w:color w:val="000000" w:themeColor="text1"/>
                <w14:textFill>
                  <w14:solidFill>
                    <w14:schemeClr w14:val="tx1"/>
                  </w14:solidFill>
                </w14:textFill>
              </w:rPr>
            </w:pPr>
          </w:p>
        </w:tc>
      </w:tr>
      <w:tr w14:paraId="5AE6C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067AA24A">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6</w:t>
            </w:r>
          </w:p>
        </w:tc>
        <w:tc>
          <w:tcPr>
            <w:tcW w:w="1577" w:type="pct"/>
            <w:noWrap w:val="0"/>
            <w:vAlign w:val="center"/>
          </w:tcPr>
          <w:p w14:paraId="6721F39E">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汞</w:t>
            </w:r>
          </w:p>
        </w:tc>
        <w:tc>
          <w:tcPr>
            <w:tcW w:w="1146" w:type="pct"/>
            <w:noWrap w:val="0"/>
            <w:vAlign w:val="center"/>
          </w:tcPr>
          <w:p w14:paraId="641FE5A1">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≤38 mg/kg</w:t>
            </w:r>
          </w:p>
        </w:tc>
        <w:tc>
          <w:tcPr>
            <w:tcW w:w="1728" w:type="pct"/>
            <w:vMerge w:val="continue"/>
            <w:noWrap w:val="0"/>
            <w:vAlign w:val="center"/>
          </w:tcPr>
          <w:p w14:paraId="32B44022">
            <w:pPr>
              <w:pStyle w:val="55"/>
              <w:bidi w:val="0"/>
              <w:rPr>
                <w:rFonts w:hint="default"/>
                <w:color w:val="000000" w:themeColor="text1"/>
                <w14:textFill>
                  <w14:solidFill>
                    <w14:schemeClr w14:val="tx1"/>
                  </w14:solidFill>
                </w14:textFill>
              </w:rPr>
            </w:pPr>
          </w:p>
        </w:tc>
      </w:tr>
      <w:tr w14:paraId="7799B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3742D2CA">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7</w:t>
            </w:r>
          </w:p>
        </w:tc>
        <w:tc>
          <w:tcPr>
            <w:tcW w:w="1577" w:type="pct"/>
            <w:noWrap w:val="0"/>
            <w:vAlign w:val="center"/>
          </w:tcPr>
          <w:p w14:paraId="230F45CC">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镍</w:t>
            </w:r>
          </w:p>
        </w:tc>
        <w:tc>
          <w:tcPr>
            <w:tcW w:w="1146" w:type="pct"/>
            <w:noWrap w:val="0"/>
            <w:vAlign w:val="center"/>
          </w:tcPr>
          <w:p w14:paraId="6362B1F2">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≤900mg/kg</w:t>
            </w:r>
          </w:p>
        </w:tc>
        <w:tc>
          <w:tcPr>
            <w:tcW w:w="1728" w:type="pct"/>
            <w:vMerge w:val="continue"/>
            <w:noWrap w:val="0"/>
            <w:vAlign w:val="center"/>
          </w:tcPr>
          <w:p w14:paraId="02065F35">
            <w:pPr>
              <w:pStyle w:val="55"/>
              <w:bidi w:val="0"/>
              <w:rPr>
                <w:rFonts w:hint="default"/>
                <w:color w:val="000000" w:themeColor="text1"/>
                <w14:textFill>
                  <w14:solidFill>
                    <w14:schemeClr w14:val="tx1"/>
                  </w14:solidFill>
                </w14:textFill>
              </w:rPr>
            </w:pPr>
          </w:p>
        </w:tc>
      </w:tr>
      <w:tr w14:paraId="43423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6C26E008">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8</w:t>
            </w:r>
          </w:p>
        </w:tc>
        <w:tc>
          <w:tcPr>
            <w:tcW w:w="1577" w:type="pct"/>
            <w:noWrap w:val="0"/>
            <w:vAlign w:val="center"/>
          </w:tcPr>
          <w:p w14:paraId="2385563C">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四氯化碳</w:t>
            </w:r>
          </w:p>
        </w:tc>
        <w:tc>
          <w:tcPr>
            <w:tcW w:w="1146" w:type="pct"/>
            <w:noWrap w:val="0"/>
            <w:vAlign w:val="center"/>
          </w:tcPr>
          <w:p w14:paraId="1BE083F1">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≤2.8mg/kg</w:t>
            </w:r>
          </w:p>
        </w:tc>
        <w:tc>
          <w:tcPr>
            <w:tcW w:w="1728" w:type="pct"/>
            <w:vMerge w:val="continue"/>
            <w:noWrap w:val="0"/>
            <w:vAlign w:val="center"/>
          </w:tcPr>
          <w:p w14:paraId="6B51B953">
            <w:pPr>
              <w:pStyle w:val="55"/>
              <w:bidi w:val="0"/>
              <w:rPr>
                <w:rFonts w:hint="default"/>
                <w:color w:val="000000" w:themeColor="text1"/>
                <w14:textFill>
                  <w14:solidFill>
                    <w14:schemeClr w14:val="tx1"/>
                  </w14:solidFill>
                </w14:textFill>
              </w:rPr>
            </w:pPr>
          </w:p>
        </w:tc>
      </w:tr>
      <w:tr w14:paraId="7613F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5AA653A3">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9</w:t>
            </w:r>
          </w:p>
        </w:tc>
        <w:tc>
          <w:tcPr>
            <w:tcW w:w="1577" w:type="pct"/>
            <w:noWrap w:val="0"/>
            <w:vAlign w:val="center"/>
          </w:tcPr>
          <w:p w14:paraId="6B1C39E8">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氯仿</w:t>
            </w:r>
          </w:p>
        </w:tc>
        <w:tc>
          <w:tcPr>
            <w:tcW w:w="1146" w:type="pct"/>
            <w:noWrap w:val="0"/>
            <w:vAlign w:val="center"/>
          </w:tcPr>
          <w:p w14:paraId="25D4F1EC">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≤0.9mg/kg</w:t>
            </w:r>
          </w:p>
        </w:tc>
        <w:tc>
          <w:tcPr>
            <w:tcW w:w="1728" w:type="pct"/>
            <w:vMerge w:val="continue"/>
            <w:noWrap w:val="0"/>
            <w:vAlign w:val="center"/>
          </w:tcPr>
          <w:p w14:paraId="30100B85">
            <w:pPr>
              <w:pStyle w:val="55"/>
              <w:bidi w:val="0"/>
              <w:rPr>
                <w:rFonts w:hint="default"/>
                <w:color w:val="000000" w:themeColor="text1"/>
                <w14:textFill>
                  <w14:solidFill>
                    <w14:schemeClr w14:val="tx1"/>
                  </w14:solidFill>
                </w14:textFill>
              </w:rPr>
            </w:pPr>
          </w:p>
        </w:tc>
      </w:tr>
      <w:tr w14:paraId="37FEA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10560BE4">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10</w:t>
            </w:r>
          </w:p>
        </w:tc>
        <w:tc>
          <w:tcPr>
            <w:tcW w:w="1577" w:type="pct"/>
            <w:noWrap w:val="0"/>
            <w:vAlign w:val="center"/>
          </w:tcPr>
          <w:p w14:paraId="4A752B0A">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氯甲烷</w:t>
            </w:r>
          </w:p>
        </w:tc>
        <w:tc>
          <w:tcPr>
            <w:tcW w:w="1146" w:type="pct"/>
            <w:noWrap w:val="0"/>
            <w:vAlign w:val="center"/>
          </w:tcPr>
          <w:p w14:paraId="0CF18012">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≤37mg/kg</w:t>
            </w:r>
          </w:p>
        </w:tc>
        <w:tc>
          <w:tcPr>
            <w:tcW w:w="1728" w:type="pct"/>
            <w:vMerge w:val="continue"/>
            <w:noWrap w:val="0"/>
            <w:vAlign w:val="center"/>
          </w:tcPr>
          <w:p w14:paraId="7894F910">
            <w:pPr>
              <w:pStyle w:val="55"/>
              <w:bidi w:val="0"/>
              <w:rPr>
                <w:rFonts w:hint="default"/>
                <w:color w:val="000000" w:themeColor="text1"/>
                <w14:textFill>
                  <w14:solidFill>
                    <w14:schemeClr w14:val="tx1"/>
                  </w14:solidFill>
                </w14:textFill>
              </w:rPr>
            </w:pPr>
          </w:p>
        </w:tc>
      </w:tr>
      <w:tr w14:paraId="4C252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30C9F0E9">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11</w:t>
            </w:r>
          </w:p>
        </w:tc>
        <w:tc>
          <w:tcPr>
            <w:tcW w:w="1577" w:type="pct"/>
            <w:noWrap w:val="0"/>
            <w:vAlign w:val="center"/>
          </w:tcPr>
          <w:p w14:paraId="60088841">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1，1-二氯乙烷</w:t>
            </w:r>
          </w:p>
        </w:tc>
        <w:tc>
          <w:tcPr>
            <w:tcW w:w="1146" w:type="pct"/>
            <w:noWrap w:val="0"/>
            <w:vAlign w:val="center"/>
          </w:tcPr>
          <w:p w14:paraId="30B0AFAA">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≤9mg/kg</w:t>
            </w:r>
          </w:p>
        </w:tc>
        <w:tc>
          <w:tcPr>
            <w:tcW w:w="1728" w:type="pct"/>
            <w:vMerge w:val="continue"/>
            <w:noWrap w:val="0"/>
            <w:vAlign w:val="center"/>
          </w:tcPr>
          <w:p w14:paraId="4DF99AA8">
            <w:pPr>
              <w:pStyle w:val="55"/>
              <w:bidi w:val="0"/>
              <w:rPr>
                <w:rFonts w:hint="default"/>
                <w:color w:val="000000" w:themeColor="text1"/>
                <w14:textFill>
                  <w14:solidFill>
                    <w14:schemeClr w14:val="tx1"/>
                  </w14:solidFill>
                </w14:textFill>
              </w:rPr>
            </w:pPr>
          </w:p>
        </w:tc>
      </w:tr>
      <w:tr w14:paraId="64F29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578A3EAB">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12</w:t>
            </w:r>
          </w:p>
        </w:tc>
        <w:tc>
          <w:tcPr>
            <w:tcW w:w="1577" w:type="pct"/>
            <w:noWrap w:val="0"/>
            <w:vAlign w:val="center"/>
          </w:tcPr>
          <w:p w14:paraId="0AADA366">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1，2-二氯乙烷</w:t>
            </w:r>
          </w:p>
        </w:tc>
        <w:tc>
          <w:tcPr>
            <w:tcW w:w="1146" w:type="pct"/>
            <w:noWrap w:val="0"/>
            <w:vAlign w:val="center"/>
          </w:tcPr>
          <w:p w14:paraId="0E79D6E9">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≤5mg/kg</w:t>
            </w:r>
          </w:p>
        </w:tc>
        <w:tc>
          <w:tcPr>
            <w:tcW w:w="1728" w:type="pct"/>
            <w:vMerge w:val="continue"/>
            <w:noWrap w:val="0"/>
            <w:vAlign w:val="center"/>
          </w:tcPr>
          <w:p w14:paraId="77CF3C76">
            <w:pPr>
              <w:pStyle w:val="55"/>
              <w:bidi w:val="0"/>
              <w:rPr>
                <w:rFonts w:hint="default"/>
                <w:color w:val="000000" w:themeColor="text1"/>
                <w14:textFill>
                  <w14:solidFill>
                    <w14:schemeClr w14:val="tx1"/>
                  </w14:solidFill>
                </w14:textFill>
              </w:rPr>
            </w:pPr>
          </w:p>
        </w:tc>
      </w:tr>
      <w:tr w14:paraId="51095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3A517C81">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13</w:t>
            </w:r>
          </w:p>
        </w:tc>
        <w:tc>
          <w:tcPr>
            <w:tcW w:w="1577" w:type="pct"/>
            <w:noWrap w:val="0"/>
            <w:vAlign w:val="center"/>
          </w:tcPr>
          <w:p w14:paraId="5345B794">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1，1-二氯乙烯</w:t>
            </w:r>
          </w:p>
        </w:tc>
        <w:tc>
          <w:tcPr>
            <w:tcW w:w="1146" w:type="pct"/>
            <w:noWrap w:val="0"/>
            <w:vAlign w:val="center"/>
          </w:tcPr>
          <w:p w14:paraId="7DC9A220">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≤66mg/kg</w:t>
            </w:r>
          </w:p>
        </w:tc>
        <w:tc>
          <w:tcPr>
            <w:tcW w:w="1728" w:type="pct"/>
            <w:vMerge w:val="continue"/>
            <w:noWrap w:val="0"/>
            <w:vAlign w:val="center"/>
          </w:tcPr>
          <w:p w14:paraId="224F64D3">
            <w:pPr>
              <w:pStyle w:val="55"/>
              <w:bidi w:val="0"/>
              <w:rPr>
                <w:rFonts w:hint="default"/>
                <w:color w:val="000000" w:themeColor="text1"/>
                <w14:textFill>
                  <w14:solidFill>
                    <w14:schemeClr w14:val="tx1"/>
                  </w14:solidFill>
                </w14:textFill>
              </w:rPr>
            </w:pPr>
          </w:p>
        </w:tc>
      </w:tr>
      <w:tr w14:paraId="6B249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689E2BC2">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14</w:t>
            </w:r>
          </w:p>
        </w:tc>
        <w:tc>
          <w:tcPr>
            <w:tcW w:w="1577" w:type="pct"/>
            <w:noWrap w:val="0"/>
            <w:vAlign w:val="center"/>
          </w:tcPr>
          <w:p w14:paraId="4DCFA59D">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顺-1，2-二氯乙烯</w:t>
            </w:r>
          </w:p>
        </w:tc>
        <w:tc>
          <w:tcPr>
            <w:tcW w:w="1146" w:type="pct"/>
            <w:noWrap w:val="0"/>
            <w:vAlign w:val="center"/>
          </w:tcPr>
          <w:p w14:paraId="1BBAF6DE">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≤596mg/kg</w:t>
            </w:r>
          </w:p>
        </w:tc>
        <w:tc>
          <w:tcPr>
            <w:tcW w:w="1728" w:type="pct"/>
            <w:vMerge w:val="continue"/>
            <w:noWrap w:val="0"/>
            <w:vAlign w:val="center"/>
          </w:tcPr>
          <w:p w14:paraId="0685755B">
            <w:pPr>
              <w:pStyle w:val="55"/>
              <w:bidi w:val="0"/>
              <w:rPr>
                <w:rFonts w:hint="default"/>
                <w:color w:val="000000" w:themeColor="text1"/>
                <w14:textFill>
                  <w14:solidFill>
                    <w14:schemeClr w14:val="tx1"/>
                  </w14:solidFill>
                </w14:textFill>
              </w:rPr>
            </w:pPr>
          </w:p>
        </w:tc>
      </w:tr>
      <w:tr w14:paraId="18CA7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3C4D6C3A">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15</w:t>
            </w:r>
          </w:p>
        </w:tc>
        <w:tc>
          <w:tcPr>
            <w:tcW w:w="1577" w:type="pct"/>
            <w:noWrap w:val="0"/>
            <w:vAlign w:val="center"/>
          </w:tcPr>
          <w:p w14:paraId="1CB3D828">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反-1，2-二氯乙烯</w:t>
            </w:r>
          </w:p>
        </w:tc>
        <w:tc>
          <w:tcPr>
            <w:tcW w:w="1146" w:type="pct"/>
            <w:noWrap w:val="0"/>
            <w:vAlign w:val="center"/>
          </w:tcPr>
          <w:p w14:paraId="325DB1A1">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≤54mg/kg</w:t>
            </w:r>
          </w:p>
        </w:tc>
        <w:tc>
          <w:tcPr>
            <w:tcW w:w="1728" w:type="pct"/>
            <w:vMerge w:val="continue"/>
            <w:noWrap w:val="0"/>
            <w:vAlign w:val="center"/>
          </w:tcPr>
          <w:p w14:paraId="615521C5">
            <w:pPr>
              <w:pStyle w:val="55"/>
              <w:bidi w:val="0"/>
              <w:rPr>
                <w:rFonts w:hint="default"/>
                <w:color w:val="000000" w:themeColor="text1"/>
                <w14:textFill>
                  <w14:solidFill>
                    <w14:schemeClr w14:val="tx1"/>
                  </w14:solidFill>
                </w14:textFill>
              </w:rPr>
            </w:pPr>
          </w:p>
        </w:tc>
      </w:tr>
      <w:tr w14:paraId="76183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7EE23191">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16</w:t>
            </w:r>
          </w:p>
        </w:tc>
        <w:tc>
          <w:tcPr>
            <w:tcW w:w="1577" w:type="pct"/>
            <w:noWrap w:val="0"/>
            <w:vAlign w:val="center"/>
          </w:tcPr>
          <w:p w14:paraId="7B967CC6">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二氯甲烷</w:t>
            </w:r>
          </w:p>
        </w:tc>
        <w:tc>
          <w:tcPr>
            <w:tcW w:w="1146" w:type="pct"/>
            <w:noWrap w:val="0"/>
            <w:vAlign w:val="center"/>
          </w:tcPr>
          <w:p w14:paraId="06686ACF">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≤616mg/kg</w:t>
            </w:r>
          </w:p>
        </w:tc>
        <w:tc>
          <w:tcPr>
            <w:tcW w:w="1728" w:type="pct"/>
            <w:vMerge w:val="continue"/>
            <w:noWrap w:val="0"/>
            <w:vAlign w:val="center"/>
          </w:tcPr>
          <w:p w14:paraId="15CED477">
            <w:pPr>
              <w:pStyle w:val="55"/>
              <w:bidi w:val="0"/>
              <w:rPr>
                <w:rFonts w:hint="default"/>
                <w:color w:val="000000" w:themeColor="text1"/>
                <w14:textFill>
                  <w14:solidFill>
                    <w14:schemeClr w14:val="tx1"/>
                  </w14:solidFill>
                </w14:textFill>
              </w:rPr>
            </w:pPr>
          </w:p>
        </w:tc>
      </w:tr>
      <w:tr w14:paraId="2FB71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3EFCC558">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17</w:t>
            </w:r>
          </w:p>
        </w:tc>
        <w:tc>
          <w:tcPr>
            <w:tcW w:w="1577" w:type="pct"/>
            <w:noWrap w:val="0"/>
            <w:vAlign w:val="center"/>
          </w:tcPr>
          <w:p w14:paraId="2E518485">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1，2-二氯丙烷</w:t>
            </w:r>
          </w:p>
        </w:tc>
        <w:tc>
          <w:tcPr>
            <w:tcW w:w="1146" w:type="pct"/>
            <w:noWrap w:val="0"/>
            <w:vAlign w:val="center"/>
          </w:tcPr>
          <w:p w14:paraId="0BB9A323">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≤5mg/kg</w:t>
            </w:r>
          </w:p>
        </w:tc>
        <w:tc>
          <w:tcPr>
            <w:tcW w:w="1728" w:type="pct"/>
            <w:vMerge w:val="continue"/>
            <w:noWrap w:val="0"/>
            <w:vAlign w:val="center"/>
          </w:tcPr>
          <w:p w14:paraId="4B18346E">
            <w:pPr>
              <w:pStyle w:val="55"/>
              <w:bidi w:val="0"/>
              <w:rPr>
                <w:rFonts w:hint="default"/>
                <w:color w:val="000000" w:themeColor="text1"/>
                <w14:textFill>
                  <w14:solidFill>
                    <w14:schemeClr w14:val="tx1"/>
                  </w14:solidFill>
                </w14:textFill>
              </w:rPr>
            </w:pPr>
          </w:p>
        </w:tc>
      </w:tr>
      <w:tr w14:paraId="2E117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71C6968C">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18</w:t>
            </w:r>
          </w:p>
        </w:tc>
        <w:tc>
          <w:tcPr>
            <w:tcW w:w="1577" w:type="pct"/>
            <w:noWrap w:val="0"/>
            <w:vAlign w:val="center"/>
          </w:tcPr>
          <w:p w14:paraId="01C700AE">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1，1，1，2-四氯乙烷</w:t>
            </w:r>
          </w:p>
        </w:tc>
        <w:tc>
          <w:tcPr>
            <w:tcW w:w="1146" w:type="pct"/>
            <w:noWrap w:val="0"/>
            <w:vAlign w:val="center"/>
          </w:tcPr>
          <w:p w14:paraId="127ED407">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≤10mg/kg</w:t>
            </w:r>
          </w:p>
        </w:tc>
        <w:tc>
          <w:tcPr>
            <w:tcW w:w="1728" w:type="pct"/>
            <w:vMerge w:val="continue"/>
            <w:noWrap w:val="0"/>
            <w:vAlign w:val="center"/>
          </w:tcPr>
          <w:p w14:paraId="4CD345A6">
            <w:pPr>
              <w:pStyle w:val="55"/>
              <w:bidi w:val="0"/>
              <w:rPr>
                <w:rFonts w:hint="default"/>
                <w:color w:val="000000" w:themeColor="text1"/>
                <w14:textFill>
                  <w14:solidFill>
                    <w14:schemeClr w14:val="tx1"/>
                  </w14:solidFill>
                </w14:textFill>
              </w:rPr>
            </w:pPr>
          </w:p>
        </w:tc>
      </w:tr>
      <w:tr w14:paraId="4EA2D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3BE43060">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19</w:t>
            </w:r>
          </w:p>
        </w:tc>
        <w:tc>
          <w:tcPr>
            <w:tcW w:w="1577" w:type="pct"/>
            <w:noWrap w:val="0"/>
            <w:vAlign w:val="center"/>
          </w:tcPr>
          <w:p w14:paraId="6EA75923">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1，1，2，2-四氯乙烷</w:t>
            </w:r>
          </w:p>
        </w:tc>
        <w:tc>
          <w:tcPr>
            <w:tcW w:w="1146" w:type="pct"/>
            <w:noWrap w:val="0"/>
            <w:vAlign w:val="center"/>
          </w:tcPr>
          <w:p w14:paraId="54A31AB9">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≤6.8mg/kg</w:t>
            </w:r>
          </w:p>
        </w:tc>
        <w:tc>
          <w:tcPr>
            <w:tcW w:w="1728" w:type="pct"/>
            <w:vMerge w:val="continue"/>
            <w:noWrap w:val="0"/>
            <w:vAlign w:val="center"/>
          </w:tcPr>
          <w:p w14:paraId="752F8241">
            <w:pPr>
              <w:pStyle w:val="55"/>
              <w:bidi w:val="0"/>
              <w:rPr>
                <w:rFonts w:hint="default"/>
                <w:color w:val="000000" w:themeColor="text1"/>
                <w14:textFill>
                  <w14:solidFill>
                    <w14:schemeClr w14:val="tx1"/>
                  </w14:solidFill>
                </w14:textFill>
              </w:rPr>
            </w:pPr>
          </w:p>
        </w:tc>
      </w:tr>
      <w:tr w14:paraId="71670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519316B2">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20</w:t>
            </w:r>
          </w:p>
        </w:tc>
        <w:tc>
          <w:tcPr>
            <w:tcW w:w="1577" w:type="pct"/>
            <w:noWrap w:val="0"/>
            <w:vAlign w:val="center"/>
          </w:tcPr>
          <w:p w14:paraId="2B29ACB0">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四氯乙烯</w:t>
            </w:r>
          </w:p>
        </w:tc>
        <w:tc>
          <w:tcPr>
            <w:tcW w:w="1146" w:type="pct"/>
            <w:noWrap w:val="0"/>
            <w:vAlign w:val="center"/>
          </w:tcPr>
          <w:p w14:paraId="669B8D8D">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≤53mg/kg</w:t>
            </w:r>
          </w:p>
        </w:tc>
        <w:tc>
          <w:tcPr>
            <w:tcW w:w="1728" w:type="pct"/>
            <w:vMerge w:val="continue"/>
            <w:noWrap w:val="0"/>
            <w:vAlign w:val="center"/>
          </w:tcPr>
          <w:p w14:paraId="7DE94BBE">
            <w:pPr>
              <w:pStyle w:val="55"/>
              <w:bidi w:val="0"/>
              <w:rPr>
                <w:rFonts w:hint="default"/>
                <w:color w:val="000000" w:themeColor="text1"/>
                <w14:textFill>
                  <w14:solidFill>
                    <w14:schemeClr w14:val="tx1"/>
                  </w14:solidFill>
                </w14:textFill>
              </w:rPr>
            </w:pPr>
          </w:p>
        </w:tc>
      </w:tr>
      <w:tr w14:paraId="376D8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3634862B">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21</w:t>
            </w:r>
          </w:p>
        </w:tc>
        <w:tc>
          <w:tcPr>
            <w:tcW w:w="1577" w:type="pct"/>
            <w:noWrap w:val="0"/>
            <w:vAlign w:val="center"/>
          </w:tcPr>
          <w:p w14:paraId="39B87EF6">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1，1，1-三氯乙烷</w:t>
            </w:r>
          </w:p>
        </w:tc>
        <w:tc>
          <w:tcPr>
            <w:tcW w:w="1146" w:type="pct"/>
            <w:noWrap w:val="0"/>
            <w:vAlign w:val="center"/>
          </w:tcPr>
          <w:p w14:paraId="70B9EEE0">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≤840mg/kg</w:t>
            </w:r>
          </w:p>
        </w:tc>
        <w:tc>
          <w:tcPr>
            <w:tcW w:w="1728" w:type="pct"/>
            <w:vMerge w:val="continue"/>
            <w:noWrap w:val="0"/>
            <w:vAlign w:val="center"/>
          </w:tcPr>
          <w:p w14:paraId="6DD55CEB">
            <w:pPr>
              <w:pStyle w:val="55"/>
              <w:bidi w:val="0"/>
              <w:rPr>
                <w:rFonts w:hint="default"/>
                <w:color w:val="000000" w:themeColor="text1"/>
                <w14:textFill>
                  <w14:solidFill>
                    <w14:schemeClr w14:val="tx1"/>
                  </w14:solidFill>
                </w14:textFill>
              </w:rPr>
            </w:pPr>
          </w:p>
        </w:tc>
      </w:tr>
      <w:tr w14:paraId="41835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6F2DB3D0">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22</w:t>
            </w:r>
          </w:p>
        </w:tc>
        <w:tc>
          <w:tcPr>
            <w:tcW w:w="1577" w:type="pct"/>
            <w:noWrap w:val="0"/>
            <w:vAlign w:val="center"/>
          </w:tcPr>
          <w:p w14:paraId="390D8A31">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1，1，2-三氯乙烷</w:t>
            </w:r>
          </w:p>
        </w:tc>
        <w:tc>
          <w:tcPr>
            <w:tcW w:w="1146" w:type="pct"/>
            <w:noWrap w:val="0"/>
            <w:vAlign w:val="center"/>
          </w:tcPr>
          <w:p w14:paraId="15272B4A">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≤2.8mg/kg</w:t>
            </w:r>
          </w:p>
        </w:tc>
        <w:tc>
          <w:tcPr>
            <w:tcW w:w="1728" w:type="pct"/>
            <w:vMerge w:val="continue"/>
            <w:noWrap w:val="0"/>
            <w:vAlign w:val="center"/>
          </w:tcPr>
          <w:p w14:paraId="28EEC6F2">
            <w:pPr>
              <w:pStyle w:val="55"/>
              <w:bidi w:val="0"/>
              <w:rPr>
                <w:rFonts w:hint="default"/>
                <w:color w:val="000000" w:themeColor="text1"/>
                <w14:textFill>
                  <w14:solidFill>
                    <w14:schemeClr w14:val="tx1"/>
                  </w14:solidFill>
                </w14:textFill>
              </w:rPr>
            </w:pPr>
          </w:p>
        </w:tc>
      </w:tr>
      <w:tr w14:paraId="534D9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3C1DCD88">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23</w:t>
            </w:r>
          </w:p>
        </w:tc>
        <w:tc>
          <w:tcPr>
            <w:tcW w:w="1577" w:type="pct"/>
            <w:noWrap w:val="0"/>
            <w:vAlign w:val="center"/>
          </w:tcPr>
          <w:p w14:paraId="3E3FC057">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三氯乙烯</w:t>
            </w:r>
          </w:p>
        </w:tc>
        <w:tc>
          <w:tcPr>
            <w:tcW w:w="1146" w:type="pct"/>
            <w:noWrap w:val="0"/>
            <w:vAlign w:val="center"/>
          </w:tcPr>
          <w:p w14:paraId="0A7F985C">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≤2.8mg/kg</w:t>
            </w:r>
          </w:p>
        </w:tc>
        <w:tc>
          <w:tcPr>
            <w:tcW w:w="1728" w:type="pct"/>
            <w:vMerge w:val="continue"/>
            <w:noWrap w:val="0"/>
            <w:vAlign w:val="center"/>
          </w:tcPr>
          <w:p w14:paraId="1A3E79B6">
            <w:pPr>
              <w:pStyle w:val="55"/>
              <w:bidi w:val="0"/>
              <w:rPr>
                <w:rFonts w:hint="default"/>
                <w:color w:val="000000" w:themeColor="text1"/>
                <w14:textFill>
                  <w14:solidFill>
                    <w14:schemeClr w14:val="tx1"/>
                  </w14:solidFill>
                </w14:textFill>
              </w:rPr>
            </w:pPr>
          </w:p>
        </w:tc>
      </w:tr>
      <w:tr w14:paraId="2D836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78B6A321">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24</w:t>
            </w:r>
          </w:p>
        </w:tc>
        <w:tc>
          <w:tcPr>
            <w:tcW w:w="1577" w:type="pct"/>
            <w:noWrap w:val="0"/>
            <w:vAlign w:val="center"/>
          </w:tcPr>
          <w:p w14:paraId="4086E7B4">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1，2，3-三氯丙烷</w:t>
            </w:r>
          </w:p>
        </w:tc>
        <w:tc>
          <w:tcPr>
            <w:tcW w:w="1146" w:type="pct"/>
            <w:noWrap w:val="0"/>
            <w:vAlign w:val="center"/>
          </w:tcPr>
          <w:p w14:paraId="200E3112">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≤0.5mg/kg</w:t>
            </w:r>
          </w:p>
        </w:tc>
        <w:tc>
          <w:tcPr>
            <w:tcW w:w="1728" w:type="pct"/>
            <w:vMerge w:val="continue"/>
            <w:noWrap w:val="0"/>
            <w:vAlign w:val="center"/>
          </w:tcPr>
          <w:p w14:paraId="35A41156">
            <w:pPr>
              <w:pStyle w:val="55"/>
              <w:bidi w:val="0"/>
              <w:rPr>
                <w:rFonts w:hint="default"/>
                <w:color w:val="000000" w:themeColor="text1"/>
                <w14:textFill>
                  <w14:solidFill>
                    <w14:schemeClr w14:val="tx1"/>
                  </w14:solidFill>
                </w14:textFill>
              </w:rPr>
            </w:pPr>
          </w:p>
        </w:tc>
      </w:tr>
      <w:tr w14:paraId="0B81F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48938927">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25</w:t>
            </w:r>
          </w:p>
        </w:tc>
        <w:tc>
          <w:tcPr>
            <w:tcW w:w="1577" w:type="pct"/>
            <w:noWrap w:val="0"/>
            <w:vAlign w:val="center"/>
          </w:tcPr>
          <w:p w14:paraId="41BD2E58">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氯乙烯</w:t>
            </w:r>
          </w:p>
        </w:tc>
        <w:tc>
          <w:tcPr>
            <w:tcW w:w="1146" w:type="pct"/>
            <w:noWrap w:val="0"/>
            <w:vAlign w:val="center"/>
          </w:tcPr>
          <w:p w14:paraId="14CEDBCE">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≤0.43mg/kg</w:t>
            </w:r>
          </w:p>
        </w:tc>
        <w:tc>
          <w:tcPr>
            <w:tcW w:w="1728" w:type="pct"/>
            <w:vMerge w:val="continue"/>
            <w:noWrap w:val="0"/>
            <w:vAlign w:val="center"/>
          </w:tcPr>
          <w:p w14:paraId="1612CE85">
            <w:pPr>
              <w:pStyle w:val="55"/>
              <w:bidi w:val="0"/>
              <w:rPr>
                <w:rFonts w:hint="default"/>
                <w:color w:val="000000" w:themeColor="text1"/>
                <w14:textFill>
                  <w14:solidFill>
                    <w14:schemeClr w14:val="tx1"/>
                  </w14:solidFill>
                </w14:textFill>
              </w:rPr>
            </w:pPr>
          </w:p>
        </w:tc>
      </w:tr>
      <w:tr w14:paraId="765E7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5A7B9BEC">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26</w:t>
            </w:r>
          </w:p>
        </w:tc>
        <w:tc>
          <w:tcPr>
            <w:tcW w:w="1577" w:type="pct"/>
            <w:noWrap w:val="0"/>
            <w:vAlign w:val="center"/>
          </w:tcPr>
          <w:p w14:paraId="2942CCB6">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苯</w:t>
            </w:r>
          </w:p>
        </w:tc>
        <w:tc>
          <w:tcPr>
            <w:tcW w:w="1146" w:type="pct"/>
            <w:noWrap w:val="0"/>
            <w:vAlign w:val="center"/>
          </w:tcPr>
          <w:p w14:paraId="58F3F023">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≤4mg/kg</w:t>
            </w:r>
          </w:p>
        </w:tc>
        <w:tc>
          <w:tcPr>
            <w:tcW w:w="1728" w:type="pct"/>
            <w:vMerge w:val="continue"/>
            <w:noWrap w:val="0"/>
            <w:vAlign w:val="center"/>
          </w:tcPr>
          <w:p w14:paraId="77D4F1C6">
            <w:pPr>
              <w:pStyle w:val="55"/>
              <w:bidi w:val="0"/>
              <w:rPr>
                <w:rFonts w:hint="default"/>
                <w:color w:val="000000" w:themeColor="text1"/>
                <w14:textFill>
                  <w14:solidFill>
                    <w14:schemeClr w14:val="tx1"/>
                  </w14:solidFill>
                </w14:textFill>
              </w:rPr>
            </w:pPr>
          </w:p>
        </w:tc>
      </w:tr>
      <w:tr w14:paraId="23D82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4D18F498">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27</w:t>
            </w:r>
          </w:p>
        </w:tc>
        <w:tc>
          <w:tcPr>
            <w:tcW w:w="1577" w:type="pct"/>
            <w:noWrap w:val="0"/>
            <w:vAlign w:val="center"/>
          </w:tcPr>
          <w:p w14:paraId="33740E40">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氯苯</w:t>
            </w:r>
          </w:p>
        </w:tc>
        <w:tc>
          <w:tcPr>
            <w:tcW w:w="1146" w:type="pct"/>
            <w:noWrap w:val="0"/>
            <w:vAlign w:val="center"/>
          </w:tcPr>
          <w:p w14:paraId="7BCC6CD6">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≤270mg/kg</w:t>
            </w:r>
          </w:p>
        </w:tc>
        <w:tc>
          <w:tcPr>
            <w:tcW w:w="1728" w:type="pct"/>
            <w:vMerge w:val="continue"/>
            <w:noWrap w:val="0"/>
            <w:vAlign w:val="center"/>
          </w:tcPr>
          <w:p w14:paraId="613EA96C">
            <w:pPr>
              <w:pStyle w:val="55"/>
              <w:bidi w:val="0"/>
              <w:rPr>
                <w:rFonts w:hint="default"/>
                <w:color w:val="000000" w:themeColor="text1"/>
                <w14:textFill>
                  <w14:solidFill>
                    <w14:schemeClr w14:val="tx1"/>
                  </w14:solidFill>
                </w14:textFill>
              </w:rPr>
            </w:pPr>
          </w:p>
        </w:tc>
      </w:tr>
      <w:tr w14:paraId="0C08D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38EDD36F">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28</w:t>
            </w:r>
          </w:p>
        </w:tc>
        <w:tc>
          <w:tcPr>
            <w:tcW w:w="1577" w:type="pct"/>
            <w:noWrap w:val="0"/>
            <w:vAlign w:val="center"/>
          </w:tcPr>
          <w:p w14:paraId="2B1D64E0">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1，2-二氯苯</w:t>
            </w:r>
          </w:p>
        </w:tc>
        <w:tc>
          <w:tcPr>
            <w:tcW w:w="1146" w:type="pct"/>
            <w:noWrap w:val="0"/>
            <w:vAlign w:val="center"/>
          </w:tcPr>
          <w:p w14:paraId="505F58E7">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≤560mg/kg</w:t>
            </w:r>
          </w:p>
        </w:tc>
        <w:tc>
          <w:tcPr>
            <w:tcW w:w="1728" w:type="pct"/>
            <w:vMerge w:val="continue"/>
            <w:noWrap w:val="0"/>
            <w:vAlign w:val="center"/>
          </w:tcPr>
          <w:p w14:paraId="30A3158B">
            <w:pPr>
              <w:pStyle w:val="55"/>
              <w:bidi w:val="0"/>
              <w:rPr>
                <w:rFonts w:hint="default"/>
                <w:color w:val="000000" w:themeColor="text1"/>
                <w14:textFill>
                  <w14:solidFill>
                    <w14:schemeClr w14:val="tx1"/>
                  </w14:solidFill>
                </w14:textFill>
              </w:rPr>
            </w:pPr>
          </w:p>
        </w:tc>
      </w:tr>
      <w:tr w14:paraId="2775B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202A5CB3">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29</w:t>
            </w:r>
          </w:p>
        </w:tc>
        <w:tc>
          <w:tcPr>
            <w:tcW w:w="1577" w:type="pct"/>
            <w:noWrap w:val="0"/>
            <w:vAlign w:val="center"/>
          </w:tcPr>
          <w:p w14:paraId="73EFE1FA">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1，4-二氯苯</w:t>
            </w:r>
          </w:p>
        </w:tc>
        <w:tc>
          <w:tcPr>
            <w:tcW w:w="1146" w:type="pct"/>
            <w:noWrap w:val="0"/>
            <w:vAlign w:val="center"/>
          </w:tcPr>
          <w:p w14:paraId="520FE1E1">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≤20mg/kg</w:t>
            </w:r>
          </w:p>
        </w:tc>
        <w:tc>
          <w:tcPr>
            <w:tcW w:w="1728" w:type="pct"/>
            <w:vMerge w:val="continue"/>
            <w:noWrap w:val="0"/>
            <w:vAlign w:val="center"/>
          </w:tcPr>
          <w:p w14:paraId="5A02DC0B">
            <w:pPr>
              <w:pStyle w:val="55"/>
              <w:bidi w:val="0"/>
              <w:rPr>
                <w:rFonts w:hint="default"/>
                <w:color w:val="000000" w:themeColor="text1"/>
                <w14:textFill>
                  <w14:solidFill>
                    <w14:schemeClr w14:val="tx1"/>
                  </w14:solidFill>
                </w14:textFill>
              </w:rPr>
            </w:pPr>
          </w:p>
        </w:tc>
      </w:tr>
      <w:tr w14:paraId="1D6F4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5B38AFA4">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30</w:t>
            </w:r>
          </w:p>
        </w:tc>
        <w:tc>
          <w:tcPr>
            <w:tcW w:w="1577" w:type="pct"/>
            <w:noWrap w:val="0"/>
            <w:vAlign w:val="center"/>
          </w:tcPr>
          <w:p w14:paraId="09339D75">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乙苯</w:t>
            </w:r>
          </w:p>
        </w:tc>
        <w:tc>
          <w:tcPr>
            <w:tcW w:w="1146" w:type="pct"/>
            <w:noWrap w:val="0"/>
            <w:vAlign w:val="center"/>
          </w:tcPr>
          <w:p w14:paraId="23DA3221">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≤28mg/kg</w:t>
            </w:r>
          </w:p>
        </w:tc>
        <w:tc>
          <w:tcPr>
            <w:tcW w:w="1728" w:type="pct"/>
            <w:vMerge w:val="continue"/>
            <w:noWrap w:val="0"/>
            <w:vAlign w:val="center"/>
          </w:tcPr>
          <w:p w14:paraId="36CE2F77">
            <w:pPr>
              <w:pStyle w:val="55"/>
              <w:bidi w:val="0"/>
              <w:rPr>
                <w:rFonts w:hint="default"/>
                <w:color w:val="000000" w:themeColor="text1"/>
                <w14:textFill>
                  <w14:solidFill>
                    <w14:schemeClr w14:val="tx1"/>
                  </w14:solidFill>
                </w14:textFill>
              </w:rPr>
            </w:pPr>
          </w:p>
        </w:tc>
      </w:tr>
      <w:tr w14:paraId="2C9B2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3C033C94">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31</w:t>
            </w:r>
          </w:p>
        </w:tc>
        <w:tc>
          <w:tcPr>
            <w:tcW w:w="1577" w:type="pct"/>
            <w:noWrap w:val="0"/>
            <w:vAlign w:val="center"/>
          </w:tcPr>
          <w:p w14:paraId="674EAA8B">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苯乙烯</w:t>
            </w:r>
          </w:p>
        </w:tc>
        <w:tc>
          <w:tcPr>
            <w:tcW w:w="1146" w:type="pct"/>
            <w:noWrap w:val="0"/>
            <w:vAlign w:val="center"/>
          </w:tcPr>
          <w:p w14:paraId="4A55E4EE">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≤1290mg/kg</w:t>
            </w:r>
          </w:p>
        </w:tc>
        <w:tc>
          <w:tcPr>
            <w:tcW w:w="1728" w:type="pct"/>
            <w:vMerge w:val="continue"/>
            <w:noWrap w:val="0"/>
            <w:vAlign w:val="center"/>
          </w:tcPr>
          <w:p w14:paraId="3849C7BD">
            <w:pPr>
              <w:pStyle w:val="55"/>
              <w:bidi w:val="0"/>
              <w:rPr>
                <w:rFonts w:hint="default"/>
                <w:color w:val="000000" w:themeColor="text1"/>
                <w14:textFill>
                  <w14:solidFill>
                    <w14:schemeClr w14:val="tx1"/>
                  </w14:solidFill>
                </w14:textFill>
              </w:rPr>
            </w:pPr>
          </w:p>
        </w:tc>
      </w:tr>
      <w:tr w14:paraId="00DDE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425437DF">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32</w:t>
            </w:r>
          </w:p>
        </w:tc>
        <w:tc>
          <w:tcPr>
            <w:tcW w:w="1577" w:type="pct"/>
            <w:noWrap w:val="0"/>
            <w:vAlign w:val="center"/>
          </w:tcPr>
          <w:p w14:paraId="36ECDB32">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甲苯</w:t>
            </w:r>
          </w:p>
        </w:tc>
        <w:tc>
          <w:tcPr>
            <w:tcW w:w="1146" w:type="pct"/>
            <w:noWrap w:val="0"/>
            <w:vAlign w:val="center"/>
          </w:tcPr>
          <w:p w14:paraId="00A41C0F">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≤1200mg/kg</w:t>
            </w:r>
          </w:p>
        </w:tc>
        <w:tc>
          <w:tcPr>
            <w:tcW w:w="1728" w:type="pct"/>
            <w:vMerge w:val="continue"/>
            <w:noWrap w:val="0"/>
            <w:vAlign w:val="center"/>
          </w:tcPr>
          <w:p w14:paraId="75AD33E5">
            <w:pPr>
              <w:pStyle w:val="55"/>
              <w:bidi w:val="0"/>
              <w:rPr>
                <w:rFonts w:hint="default"/>
                <w:color w:val="000000" w:themeColor="text1"/>
                <w14:textFill>
                  <w14:solidFill>
                    <w14:schemeClr w14:val="tx1"/>
                  </w14:solidFill>
                </w14:textFill>
              </w:rPr>
            </w:pPr>
          </w:p>
        </w:tc>
      </w:tr>
      <w:tr w14:paraId="0320E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3B452694">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33</w:t>
            </w:r>
          </w:p>
        </w:tc>
        <w:tc>
          <w:tcPr>
            <w:tcW w:w="1577" w:type="pct"/>
            <w:noWrap w:val="0"/>
            <w:vAlign w:val="center"/>
          </w:tcPr>
          <w:p w14:paraId="4D2E43AA">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间二甲苯+对二甲苯</w:t>
            </w:r>
          </w:p>
        </w:tc>
        <w:tc>
          <w:tcPr>
            <w:tcW w:w="1146" w:type="pct"/>
            <w:noWrap w:val="0"/>
            <w:vAlign w:val="center"/>
          </w:tcPr>
          <w:p w14:paraId="77378AA7">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≤570mg/kg</w:t>
            </w:r>
          </w:p>
        </w:tc>
        <w:tc>
          <w:tcPr>
            <w:tcW w:w="1728" w:type="pct"/>
            <w:vMerge w:val="continue"/>
            <w:noWrap w:val="0"/>
            <w:vAlign w:val="center"/>
          </w:tcPr>
          <w:p w14:paraId="405E43B0">
            <w:pPr>
              <w:pStyle w:val="55"/>
              <w:bidi w:val="0"/>
              <w:rPr>
                <w:rFonts w:hint="default"/>
                <w:color w:val="000000" w:themeColor="text1"/>
                <w14:textFill>
                  <w14:solidFill>
                    <w14:schemeClr w14:val="tx1"/>
                  </w14:solidFill>
                </w14:textFill>
              </w:rPr>
            </w:pPr>
          </w:p>
        </w:tc>
      </w:tr>
      <w:tr w14:paraId="43E16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21FD3771">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34</w:t>
            </w:r>
          </w:p>
        </w:tc>
        <w:tc>
          <w:tcPr>
            <w:tcW w:w="1577" w:type="pct"/>
            <w:noWrap w:val="0"/>
            <w:vAlign w:val="center"/>
          </w:tcPr>
          <w:p w14:paraId="2FF670FE">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邻二甲苯</w:t>
            </w:r>
          </w:p>
        </w:tc>
        <w:tc>
          <w:tcPr>
            <w:tcW w:w="1146" w:type="pct"/>
            <w:noWrap w:val="0"/>
            <w:vAlign w:val="center"/>
          </w:tcPr>
          <w:p w14:paraId="765E6690">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≤640mg/kg</w:t>
            </w:r>
          </w:p>
        </w:tc>
        <w:tc>
          <w:tcPr>
            <w:tcW w:w="1728" w:type="pct"/>
            <w:vMerge w:val="continue"/>
            <w:noWrap w:val="0"/>
            <w:vAlign w:val="center"/>
          </w:tcPr>
          <w:p w14:paraId="3602B75C">
            <w:pPr>
              <w:pStyle w:val="55"/>
              <w:bidi w:val="0"/>
              <w:rPr>
                <w:rFonts w:hint="default"/>
                <w:color w:val="000000" w:themeColor="text1"/>
                <w14:textFill>
                  <w14:solidFill>
                    <w14:schemeClr w14:val="tx1"/>
                  </w14:solidFill>
                </w14:textFill>
              </w:rPr>
            </w:pPr>
          </w:p>
        </w:tc>
      </w:tr>
      <w:tr w14:paraId="044F3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73D6A8AA">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35</w:t>
            </w:r>
          </w:p>
        </w:tc>
        <w:tc>
          <w:tcPr>
            <w:tcW w:w="1577" w:type="pct"/>
            <w:noWrap w:val="0"/>
            <w:vAlign w:val="center"/>
          </w:tcPr>
          <w:p w14:paraId="04D2E807">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硝基苯</w:t>
            </w:r>
          </w:p>
        </w:tc>
        <w:tc>
          <w:tcPr>
            <w:tcW w:w="1146" w:type="pct"/>
            <w:noWrap w:val="0"/>
            <w:vAlign w:val="center"/>
          </w:tcPr>
          <w:p w14:paraId="399290DE">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≤76mg/kg</w:t>
            </w:r>
          </w:p>
        </w:tc>
        <w:tc>
          <w:tcPr>
            <w:tcW w:w="1728" w:type="pct"/>
            <w:vMerge w:val="continue"/>
            <w:noWrap w:val="0"/>
            <w:vAlign w:val="center"/>
          </w:tcPr>
          <w:p w14:paraId="2BBBBF71">
            <w:pPr>
              <w:pStyle w:val="55"/>
              <w:bidi w:val="0"/>
              <w:rPr>
                <w:rFonts w:hint="default"/>
                <w:color w:val="000000" w:themeColor="text1"/>
                <w14:textFill>
                  <w14:solidFill>
                    <w14:schemeClr w14:val="tx1"/>
                  </w14:solidFill>
                </w14:textFill>
              </w:rPr>
            </w:pPr>
          </w:p>
        </w:tc>
      </w:tr>
      <w:tr w14:paraId="70C72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5040B756">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36</w:t>
            </w:r>
          </w:p>
        </w:tc>
        <w:tc>
          <w:tcPr>
            <w:tcW w:w="1577" w:type="pct"/>
            <w:noWrap w:val="0"/>
            <w:vAlign w:val="center"/>
          </w:tcPr>
          <w:p w14:paraId="6ED978CE">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苯胺</w:t>
            </w:r>
          </w:p>
        </w:tc>
        <w:tc>
          <w:tcPr>
            <w:tcW w:w="1146" w:type="pct"/>
            <w:noWrap w:val="0"/>
            <w:vAlign w:val="center"/>
          </w:tcPr>
          <w:p w14:paraId="5D8C1AFF">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≤260mg/kg</w:t>
            </w:r>
          </w:p>
        </w:tc>
        <w:tc>
          <w:tcPr>
            <w:tcW w:w="1728" w:type="pct"/>
            <w:vMerge w:val="continue"/>
            <w:noWrap w:val="0"/>
            <w:vAlign w:val="center"/>
          </w:tcPr>
          <w:p w14:paraId="203F2588">
            <w:pPr>
              <w:pStyle w:val="55"/>
              <w:bidi w:val="0"/>
              <w:rPr>
                <w:rFonts w:hint="default"/>
                <w:color w:val="000000" w:themeColor="text1"/>
                <w14:textFill>
                  <w14:solidFill>
                    <w14:schemeClr w14:val="tx1"/>
                  </w14:solidFill>
                </w14:textFill>
              </w:rPr>
            </w:pPr>
          </w:p>
        </w:tc>
      </w:tr>
      <w:tr w14:paraId="46DDC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64E87611">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37</w:t>
            </w:r>
          </w:p>
        </w:tc>
        <w:tc>
          <w:tcPr>
            <w:tcW w:w="1577" w:type="pct"/>
            <w:noWrap w:val="0"/>
            <w:vAlign w:val="center"/>
          </w:tcPr>
          <w:p w14:paraId="17409CAA">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2-氯酚</w:t>
            </w:r>
          </w:p>
        </w:tc>
        <w:tc>
          <w:tcPr>
            <w:tcW w:w="1146" w:type="pct"/>
            <w:noWrap w:val="0"/>
            <w:vAlign w:val="center"/>
          </w:tcPr>
          <w:p w14:paraId="23659849">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≤2256mg/kg</w:t>
            </w:r>
          </w:p>
        </w:tc>
        <w:tc>
          <w:tcPr>
            <w:tcW w:w="1728" w:type="pct"/>
            <w:vMerge w:val="continue"/>
            <w:noWrap w:val="0"/>
            <w:vAlign w:val="center"/>
          </w:tcPr>
          <w:p w14:paraId="30D554B8">
            <w:pPr>
              <w:pStyle w:val="55"/>
              <w:bidi w:val="0"/>
              <w:rPr>
                <w:rFonts w:hint="default"/>
                <w:color w:val="000000" w:themeColor="text1"/>
                <w14:textFill>
                  <w14:solidFill>
                    <w14:schemeClr w14:val="tx1"/>
                  </w14:solidFill>
                </w14:textFill>
              </w:rPr>
            </w:pPr>
          </w:p>
        </w:tc>
      </w:tr>
      <w:tr w14:paraId="7EFB2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154BE70E">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38</w:t>
            </w:r>
          </w:p>
        </w:tc>
        <w:tc>
          <w:tcPr>
            <w:tcW w:w="1577" w:type="pct"/>
            <w:noWrap w:val="0"/>
            <w:vAlign w:val="center"/>
          </w:tcPr>
          <w:p w14:paraId="28C7E8A9">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苯并[a]蒽</w:t>
            </w:r>
          </w:p>
        </w:tc>
        <w:tc>
          <w:tcPr>
            <w:tcW w:w="1146" w:type="pct"/>
            <w:noWrap w:val="0"/>
            <w:vAlign w:val="center"/>
          </w:tcPr>
          <w:p w14:paraId="70579026">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≤15mg/kg</w:t>
            </w:r>
          </w:p>
        </w:tc>
        <w:tc>
          <w:tcPr>
            <w:tcW w:w="1728" w:type="pct"/>
            <w:vMerge w:val="continue"/>
            <w:noWrap w:val="0"/>
            <w:vAlign w:val="center"/>
          </w:tcPr>
          <w:p w14:paraId="58985129">
            <w:pPr>
              <w:pStyle w:val="55"/>
              <w:bidi w:val="0"/>
              <w:rPr>
                <w:rFonts w:hint="default"/>
                <w:color w:val="000000" w:themeColor="text1"/>
                <w14:textFill>
                  <w14:solidFill>
                    <w14:schemeClr w14:val="tx1"/>
                  </w14:solidFill>
                </w14:textFill>
              </w:rPr>
            </w:pPr>
          </w:p>
        </w:tc>
      </w:tr>
      <w:tr w14:paraId="7F0E7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1450CCDD">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39</w:t>
            </w:r>
          </w:p>
        </w:tc>
        <w:tc>
          <w:tcPr>
            <w:tcW w:w="1577" w:type="pct"/>
            <w:noWrap w:val="0"/>
            <w:vAlign w:val="center"/>
          </w:tcPr>
          <w:p w14:paraId="6B576EC9">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苯并[a]芘</w:t>
            </w:r>
          </w:p>
        </w:tc>
        <w:tc>
          <w:tcPr>
            <w:tcW w:w="1146" w:type="pct"/>
            <w:noWrap w:val="0"/>
            <w:vAlign w:val="center"/>
          </w:tcPr>
          <w:p w14:paraId="4ABA99E0">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≤1.5mg/kg</w:t>
            </w:r>
          </w:p>
        </w:tc>
        <w:tc>
          <w:tcPr>
            <w:tcW w:w="1728" w:type="pct"/>
            <w:vMerge w:val="continue"/>
            <w:noWrap w:val="0"/>
            <w:vAlign w:val="center"/>
          </w:tcPr>
          <w:p w14:paraId="5854BA1E">
            <w:pPr>
              <w:pStyle w:val="55"/>
              <w:bidi w:val="0"/>
              <w:rPr>
                <w:rFonts w:hint="default"/>
                <w:color w:val="000000" w:themeColor="text1"/>
                <w14:textFill>
                  <w14:solidFill>
                    <w14:schemeClr w14:val="tx1"/>
                  </w14:solidFill>
                </w14:textFill>
              </w:rPr>
            </w:pPr>
          </w:p>
        </w:tc>
      </w:tr>
      <w:tr w14:paraId="6743D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3EBA6717">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40</w:t>
            </w:r>
          </w:p>
        </w:tc>
        <w:tc>
          <w:tcPr>
            <w:tcW w:w="1577" w:type="pct"/>
            <w:noWrap w:val="0"/>
            <w:vAlign w:val="center"/>
          </w:tcPr>
          <w:p w14:paraId="26BE2E42">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苯并[b]荧蒽</w:t>
            </w:r>
          </w:p>
        </w:tc>
        <w:tc>
          <w:tcPr>
            <w:tcW w:w="1146" w:type="pct"/>
            <w:noWrap w:val="0"/>
            <w:vAlign w:val="center"/>
          </w:tcPr>
          <w:p w14:paraId="5017897D">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≤15mg/kg</w:t>
            </w:r>
          </w:p>
        </w:tc>
        <w:tc>
          <w:tcPr>
            <w:tcW w:w="1728" w:type="pct"/>
            <w:vMerge w:val="continue"/>
            <w:noWrap w:val="0"/>
            <w:vAlign w:val="center"/>
          </w:tcPr>
          <w:p w14:paraId="22E2C8D3">
            <w:pPr>
              <w:pStyle w:val="55"/>
              <w:bidi w:val="0"/>
              <w:rPr>
                <w:rFonts w:hint="default"/>
                <w:color w:val="000000" w:themeColor="text1"/>
                <w14:textFill>
                  <w14:solidFill>
                    <w14:schemeClr w14:val="tx1"/>
                  </w14:solidFill>
                </w14:textFill>
              </w:rPr>
            </w:pPr>
          </w:p>
        </w:tc>
      </w:tr>
      <w:tr w14:paraId="7729D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5D933B34">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41</w:t>
            </w:r>
          </w:p>
        </w:tc>
        <w:tc>
          <w:tcPr>
            <w:tcW w:w="1577" w:type="pct"/>
            <w:noWrap w:val="0"/>
            <w:vAlign w:val="center"/>
          </w:tcPr>
          <w:p w14:paraId="0B33C0D4">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苯并[k]荧蒽</w:t>
            </w:r>
          </w:p>
        </w:tc>
        <w:tc>
          <w:tcPr>
            <w:tcW w:w="1146" w:type="pct"/>
            <w:noWrap w:val="0"/>
            <w:vAlign w:val="center"/>
          </w:tcPr>
          <w:p w14:paraId="2DEF0BED">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≤151mg/kg</w:t>
            </w:r>
          </w:p>
        </w:tc>
        <w:tc>
          <w:tcPr>
            <w:tcW w:w="1728" w:type="pct"/>
            <w:vMerge w:val="continue"/>
            <w:noWrap w:val="0"/>
            <w:vAlign w:val="center"/>
          </w:tcPr>
          <w:p w14:paraId="60ABDD98">
            <w:pPr>
              <w:pStyle w:val="55"/>
              <w:bidi w:val="0"/>
              <w:rPr>
                <w:rFonts w:hint="default"/>
                <w:color w:val="000000" w:themeColor="text1"/>
                <w14:textFill>
                  <w14:solidFill>
                    <w14:schemeClr w14:val="tx1"/>
                  </w14:solidFill>
                </w14:textFill>
              </w:rPr>
            </w:pPr>
          </w:p>
        </w:tc>
      </w:tr>
      <w:tr w14:paraId="6DE45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0A73A81E">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42</w:t>
            </w:r>
          </w:p>
        </w:tc>
        <w:tc>
          <w:tcPr>
            <w:tcW w:w="1577" w:type="pct"/>
            <w:noWrap w:val="0"/>
            <w:vAlign w:val="center"/>
          </w:tcPr>
          <w:p w14:paraId="11DC258C">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䓛</w:t>
            </w:r>
          </w:p>
        </w:tc>
        <w:tc>
          <w:tcPr>
            <w:tcW w:w="1146" w:type="pct"/>
            <w:noWrap w:val="0"/>
            <w:vAlign w:val="center"/>
          </w:tcPr>
          <w:p w14:paraId="00249B78">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≤1293mg/kg</w:t>
            </w:r>
          </w:p>
        </w:tc>
        <w:tc>
          <w:tcPr>
            <w:tcW w:w="1728" w:type="pct"/>
            <w:vMerge w:val="continue"/>
            <w:noWrap w:val="0"/>
            <w:vAlign w:val="center"/>
          </w:tcPr>
          <w:p w14:paraId="6A811EA5">
            <w:pPr>
              <w:pStyle w:val="55"/>
              <w:bidi w:val="0"/>
              <w:rPr>
                <w:rFonts w:hint="default"/>
                <w:color w:val="000000" w:themeColor="text1"/>
                <w14:textFill>
                  <w14:solidFill>
                    <w14:schemeClr w14:val="tx1"/>
                  </w14:solidFill>
                </w14:textFill>
              </w:rPr>
            </w:pPr>
          </w:p>
        </w:tc>
      </w:tr>
      <w:tr w14:paraId="06F50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1E38165B">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43</w:t>
            </w:r>
          </w:p>
        </w:tc>
        <w:tc>
          <w:tcPr>
            <w:tcW w:w="1577" w:type="pct"/>
            <w:noWrap w:val="0"/>
            <w:vAlign w:val="center"/>
          </w:tcPr>
          <w:p w14:paraId="53365D34">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二苯并[a，h]</w:t>
            </w:r>
          </w:p>
        </w:tc>
        <w:tc>
          <w:tcPr>
            <w:tcW w:w="1146" w:type="pct"/>
            <w:noWrap w:val="0"/>
            <w:vAlign w:val="center"/>
          </w:tcPr>
          <w:p w14:paraId="52E0B3EB">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≤1.5mg/kg</w:t>
            </w:r>
          </w:p>
        </w:tc>
        <w:tc>
          <w:tcPr>
            <w:tcW w:w="1728" w:type="pct"/>
            <w:vMerge w:val="continue"/>
            <w:noWrap w:val="0"/>
            <w:vAlign w:val="center"/>
          </w:tcPr>
          <w:p w14:paraId="44DA192F">
            <w:pPr>
              <w:pStyle w:val="55"/>
              <w:bidi w:val="0"/>
              <w:rPr>
                <w:rFonts w:hint="default"/>
                <w:color w:val="000000" w:themeColor="text1"/>
                <w14:textFill>
                  <w14:solidFill>
                    <w14:schemeClr w14:val="tx1"/>
                  </w14:solidFill>
                </w14:textFill>
              </w:rPr>
            </w:pPr>
          </w:p>
        </w:tc>
      </w:tr>
      <w:tr w14:paraId="1790E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27E24574">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44</w:t>
            </w:r>
          </w:p>
        </w:tc>
        <w:tc>
          <w:tcPr>
            <w:tcW w:w="1577" w:type="pct"/>
            <w:noWrap w:val="0"/>
            <w:vAlign w:val="center"/>
          </w:tcPr>
          <w:p w14:paraId="58DAAB60">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茚并[1，2，3-cd]芘</w:t>
            </w:r>
          </w:p>
        </w:tc>
        <w:tc>
          <w:tcPr>
            <w:tcW w:w="1146" w:type="pct"/>
            <w:noWrap w:val="0"/>
            <w:vAlign w:val="center"/>
          </w:tcPr>
          <w:p w14:paraId="0919020D">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≤15mg/kg</w:t>
            </w:r>
          </w:p>
        </w:tc>
        <w:tc>
          <w:tcPr>
            <w:tcW w:w="1728" w:type="pct"/>
            <w:vMerge w:val="continue"/>
            <w:noWrap w:val="0"/>
            <w:vAlign w:val="center"/>
          </w:tcPr>
          <w:p w14:paraId="6C694E46">
            <w:pPr>
              <w:pStyle w:val="55"/>
              <w:bidi w:val="0"/>
              <w:rPr>
                <w:rFonts w:hint="default"/>
                <w:color w:val="000000" w:themeColor="text1"/>
                <w14:textFill>
                  <w14:solidFill>
                    <w14:schemeClr w14:val="tx1"/>
                  </w14:solidFill>
                </w14:textFill>
              </w:rPr>
            </w:pPr>
          </w:p>
        </w:tc>
      </w:tr>
      <w:tr w14:paraId="1CB59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pct"/>
            <w:noWrap w:val="0"/>
            <w:vAlign w:val="center"/>
          </w:tcPr>
          <w:p w14:paraId="08C9D4DC">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45</w:t>
            </w:r>
          </w:p>
        </w:tc>
        <w:tc>
          <w:tcPr>
            <w:tcW w:w="1577" w:type="pct"/>
            <w:noWrap w:val="0"/>
            <w:vAlign w:val="center"/>
          </w:tcPr>
          <w:p w14:paraId="6454B426">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萘</w:t>
            </w:r>
          </w:p>
        </w:tc>
        <w:tc>
          <w:tcPr>
            <w:tcW w:w="1146" w:type="pct"/>
            <w:noWrap w:val="0"/>
            <w:vAlign w:val="center"/>
          </w:tcPr>
          <w:p w14:paraId="30D6E0BE">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≤70mg/kg</w:t>
            </w:r>
          </w:p>
        </w:tc>
        <w:tc>
          <w:tcPr>
            <w:tcW w:w="1728" w:type="pct"/>
            <w:vMerge w:val="continue"/>
            <w:noWrap w:val="0"/>
            <w:vAlign w:val="center"/>
          </w:tcPr>
          <w:p w14:paraId="162F1BD7">
            <w:pPr>
              <w:pStyle w:val="55"/>
              <w:bidi w:val="0"/>
              <w:rPr>
                <w:rFonts w:hint="default"/>
                <w:color w:val="000000" w:themeColor="text1"/>
                <w14:textFill>
                  <w14:solidFill>
                    <w14:schemeClr w14:val="tx1"/>
                  </w14:solidFill>
                </w14:textFill>
              </w:rPr>
            </w:pPr>
          </w:p>
        </w:tc>
      </w:tr>
    </w:tbl>
    <w:p w14:paraId="0B8E0845">
      <w:pPr>
        <w:pStyle w:val="92"/>
        <w:bidi w:val="0"/>
        <w:ind w:left="0" w:leftChars="0" w:firstLine="0" w:firstLineChars="0"/>
      </w:pPr>
      <w:r>
        <w:rPr>
          <w:rFonts w:hint="eastAsia"/>
        </w:rPr>
        <w:t>污染物</w:t>
      </w:r>
      <w:r>
        <w:t>排放标准</w:t>
      </w:r>
    </w:p>
    <w:p w14:paraId="27CF9B24">
      <w:pPr>
        <w:pStyle w:val="47"/>
        <w:numPr>
          <w:ilvl w:val="0"/>
          <w:numId w:val="8"/>
        </w:numPr>
        <w:bidi w:val="0"/>
        <w:rPr>
          <w:rFonts w:hint="eastAsia"/>
          <w:lang w:val="en-US" w:eastAsia="zh-CN"/>
        </w:rPr>
      </w:pPr>
      <w:r>
        <w:rPr>
          <w:rFonts w:hint="eastAsia"/>
          <w:lang w:val="en-US" w:eastAsia="zh-CN"/>
        </w:rPr>
        <w:t>施工期</w:t>
      </w:r>
    </w:p>
    <w:p w14:paraId="324E02CA">
      <w:pPr>
        <w:pStyle w:val="47"/>
        <w:keepNext w:val="0"/>
        <w:keepLines w:val="0"/>
        <w:pageBreakBefore w:val="0"/>
        <w:widowControl w:val="0"/>
        <w:numPr>
          <w:ilvl w:val="0"/>
          <w:numId w:val="0"/>
        </w:numPr>
        <w:kinsoku/>
        <w:wordWrap/>
        <w:overflowPunct/>
        <w:topLinePunct w:val="0"/>
        <w:autoSpaceDE/>
        <w:autoSpaceDN/>
        <w:bidi w:val="0"/>
        <w:adjustRightInd w:val="0"/>
        <w:snapToGrid w:val="0"/>
        <w:ind w:firstLine="560" w:firstLineChars="200"/>
        <w:textAlignment w:val="auto"/>
        <w:rPr>
          <w:rFonts w:hint="eastAsia"/>
          <w:lang w:val="en-US" w:eastAsia="zh-CN"/>
        </w:rPr>
      </w:pPr>
      <w:r>
        <w:rPr>
          <w:rFonts w:hint="default"/>
        </w:rPr>
        <w:t>①</w:t>
      </w:r>
      <w:r>
        <w:rPr>
          <w:rFonts w:hint="eastAsia"/>
          <w:lang w:val="en-US" w:eastAsia="zh-CN"/>
        </w:rPr>
        <w:t>废气</w:t>
      </w:r>
    </w:p>
    <w:p w14:paraId="6375D0CE">
      <w:pPr>
        <w:pStyle w:val="47"/>
        <w:keepNext w:val="0"/>
        <w:keepLines w:val="0"/>
        <w:pageBreakBefore w:val="0"/>
        <w:widowControl w:val="0"/>
        <w:numPr>
          <w:ilvl w:val="0"/>
          <w:numId w:val="0"/>
        </w:numPr>
        <w:kinsoku/>
        <w:wordWrap/>
        <w:overflowPunct/>
        <w:topLinePunct w:val="0"/>
        <w:autoSpaceDE/>
        <w:autoSpaceDN/>
        <w:bidi w:val="0"/>
        <w:adjustRightInd w:val="0"/>
        <w:snapToGrid w:val="0"/>
        <w:ind w:firstLine="560" w:firstLineChars="200"/>
        <w:textAlignment w:val="auto"/>
      </w:pPr>
      <w:r>
        <w:t>施工扬尘执行《施工场地扬尘排放标准》（DB13/2934-2019）表1扬尘排放浓度限值。</w:t>
      </w:r>
    </w:p>
    <w:p w14:paraId="63C1C397">
      <w:pPr>
        <w:pStyle w:val="94"/>
        <w:bidi w:val="0"/>
        <w:ind w:left="0" w:leftChars="0" w:firstLine="0" w:firstLineChars="0"/>
      </w:pPr>
      <w:r>
        <w:t>扬尘排放浓度标准限值</w:t>
      </w:r>
    </w:p>
    <w:tbl>
      <w:tblPr>
        <w:tblStyle w:val="3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5"/>
        <w:gridCol w:w="4134"/>
        <w:gridCol w:w="3007"/>
      </w:tblGrid>
      <w:tr w14:paraId="62128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55" w:type="pct"/>
            <w:noWrap w:val="0"/>
            <w:vAlign w:val="center"/>
          </w:tcPr>
          <w:p w14:paraId="2929399D">
            <w:pPr>
              <w:pStyle w:val="55"/>
              <w:bidi w:val="0"/>
            </w:pPr>
            <w:r>
              <w:t>控制项目</w:t>
            </w:r>
          </w:p>
        </w:tc>
        <w:tc>
          <w:tcPr>
            <w:tcW w:w="2226" w:type="pct"/>
            <w:noWrap w:val="0"/>
            <w:vAlign w:val="center"/>
          </w:tcPr>
          <w:p w14:paraId="7D7D11B7">
            <w:pPr>
              <w:pStyle w:val="55"/>
              <w:bidi w:val="0"/>
            </w:pPr>
            <w:r>
              <w:t>监测点浓度限值*（μg/m</w:t>
            </w:r>
            <w:r>
              <w:rPr>
                <w:vertAlign w:val="superscript"/>
              </w:rPr>
              <w:t>3</w:t>
            </w:r>
            <w:r>
              <w:t>）</w:t>
            </w:r>
          </w:p>
        </w:tc>
        <w:tc>
          <w:tcPr>
            <w:tcW w:w="1618" w:type="pct"/>
            <w:noWrap w:val="0"/>
            <w:vAlign w:val="center"/>
          </w:tcPr>
          <w:p w14:paraId="5138A4B3">
            <w:pPr>
              <w:pStyle w:val="55"/>
              <w:bidi w:val="0"/>
            </w:pPr>
            <w:r>
              <w:t>达标判定依据（次/天）</w:t>
            </w:r>
          </w:p>
        </w:tc>
      </w:tr>
      <w:tr w14:paraId="5B56A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55" w:type="pct"/>
            <w:noWrap w:val="0"/>
            <w:vAlign w:val="center"/>
          </w:tcPr>
          <w:p w14:paraId="0158E33A">
            <w:pPr>
              <w:pStyle w:val="55"/>
              <w:bidi w:val="0"/>
            </w:pPr>
            <w:r>
              <w:t>PM</w:t>
            </w:r>
            <w:r>
              <w:rPr>
                <w:vertAlign w:val="subscript"/>
              </w:rPr>
              <w:t>10</w:t>
            </w:r>
          </w:p>
        </w:tc>
        <w:tc>
          <w:tcPr>
            <w:tcW w:w="2226" w:type="pct"/>
            <w:noWrap w:val="0"/>
            <w:vAlign w:val="center"/>
          </w:tcPr>
          <w:p w14:paraId="27CD36DF">
            <w:pPr>
              <w:pStyle w:val="55"/>
              <w:bidi w:val="0"/>
            </w:pPr>
            <w:r>
              <w:t>80</w:t>
            </w:r>
          </w:p>
        </w:tc>
        <w:tc>
          <w:tcPr>
            <w:tcW w:w="1618" w:type="pct"/>
            <w:noWrap w:val="0"/>
            <w:vAlign w:val="center"/>
          </w:tcPr>
          <w:p w14:paraId="4D219584">
            <w:pPr>
              <w:pStyle w:val="55"/>
              <w:bidi w:val="0"/>
            </w:pPr>
            <w:r>
              <w:t>≤2</w:t>
            </w:r>
          </w:p>
        </w:tc>
      </w:tr>
      <w:tr w14:paraId="76D8A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3"/>
            <w:noWrap w:val="0"/>
            <w:vAlign w:val="center"/>
          </w:tcPr>
          <w:p w14:paraId="54D6750A">
            <w:pPr>
              <w:pStyle w:val="55"/>
              <w:bidi w:val="0"/>
              <w:jc w:val="both"/>
            </w:pPr>
            <w:r>
              <w:t>*指监测点PM</w:t>
            </w:r>
            <w:r>
              <w:rPr>
                <w:vertAlign w:val="subscript"/>
              </w:rPr>
              <w:t>10</w:t>
            </w:r>
            <w:r>
              <w:t>小时平均浓度实测值与同时段所属县（市、区）PM10小时平均浓度的差值。当县（市、区）PM</w:t>
            </w:r>
            <w:r>
              <w:rPr>
                <w:vertAlign w:val="subscript"/>
              </w:rPr>
              <w:t>10</w:t>
            </w:r>
            <w:r>
              <w:t>小时平均浓度值大于150μg/m</w:t>
            </w:r>
            <w:r>
              <w:rPr>
                <w:vertAlign w:val="superscript"/>
              </w:rPr>
              <w:t>3</w:t>
            </w:r>
            <w:r>
              <w:t>时，以150μg/m</w:t>
            </w:r>
            <w:r>
              <w:rPr>
                <w:vertAlign w:val="superscript"/>
              </w:rPr>
              <w:t>3</w:t>
            </w:r>
            <w:r>
              <w:t>计。</w:t>
            </w:r>
          </w:p>
        </w:tc>
      </w:tr>
    </w:tbl>
    <w:p w14:paraId="7B6B4C57">
      <w:pPr>
        <w:pStyle w:val="47"/>
        <w:keepNext w:val="0"/>
        <w:keepLines w:val="0"/>
        <w:pageBreakBefore w:val="0"/>
        <w:widowControl w:val="0"/>
        <w:numPr>
          <w:ilvl w:val="0"/>
          <w:numId w:val="0"/>
        </w:numPr>
        <w:kinsoku/>
        <w:wordWrap/>
        <w:overflowPunct/>
        <w:topLinePunct w:val="0"/>
        <w:autoSpaceDE/>
        <w:autoSpaceDN/>
        <w:bidi w:val="0"/>
        <w:adjustRightInd w:val="0"/>
        <w:snapToGrid w:val="0"/>
        <w:ind w:firstLine="560" w:firstLineChars="200"/>
        <w:textAlignment w:val="auto"/>
        <w:rPr>
          <w:rFonts w:hint="default"/>
          <w:lang w:val="en-US" w:eastAsia="zh-CN"/>
        </w:rPr>
      </w:pPr>
      <w:r>
        <w:rPr>
          <w:rFonts w:hint="default"/>
          <w:lang w:val="en-US" w:eastAsia="zh-CN"/>
        </w:rPr>
        <w:t>②</w:t>
      </w:r>
      <w:r>
        <w:rPr>
          <w:rFonts w:hint="eastAsia"/>
          <w:lang w:val="en-US" w:eastAsia="zh-CN"/>
        </w:rPr>
        <w:t>噪声</w:t>
      </w:r>
    </w:p>
    <w:p w14:paraId="771AB82C">
      <w:pPr>
        <w:pStyle w:val="47"/>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施工期间排放噪声执行《建筑施工场界环境噪声排放标准》（</w:t>
      </w:r>
      <w:r>
        <w:rPr>
          <w:color w:val="000000" w:themeColor="text1"/>
          <w14:textFill>
            <w14:solidFill>
              <w14:schemeClr w14:val="tx1"/>
            </w14:solidFill>
          </w14:textFill>
        </w:rPr>
        <w:t>GB12523-2011</w:t>
      </w:r>
      <w:r>
        <w:rPr>
          <w:rFonts w:hint="eastAsia"/>
          <w:color w:val="000000" w:themeColor="text1"/>
          <w14:textFill>
            <w14:solidFill>
              <w14:schemeClr w14:val="tx1"/>
            </w14:solidFill>
          </w14:textFill>
        </w:rPr>
        <w:t>），具体限值见下表。</w:t>
      </w:r>
    </w:p>
    <w:p w14:paraId="7181454C">
      <w:pPr>
        <w:pStyle w:val="94"/>
        <w:bidi w:val="0"/>
        <w:ind w:left="0" w:leftChars="0" w:firstLine="0" w:firstLineChars="0"/>
      </w:pPr>
      <w:r>
        <w:rPr>
          <w:rFonts w:hint="eastAsia"/>
        </w:rPr>
        <w:t>建筑施工场界环境噪声排放标准</w:t>
      </w:r>
      <w:r>
        <w:t xml:space="preserve">    </w:t>
      </w:r>
      <w:r>
        <w:rPr>
          <w:rFonts w:hint="eastAsia"/>
        </w:rPr>
        <w:t>单位：</w:t>
      </w:r>
      <w:r>
        <w:t>dB(A)</w:t>
      </w:r>
    </w:p>
    <w:tbl>
      <w:tblPr>
        <w:tblStyle w:val="3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3"/>
        <w:gridCol w:w="1698"/>
        <w:gridCol w:w="2206"/>
        <w:gridCol w:w="3878"/>
      </w:tblGrid>
      <w:tr w14:paraId="2BEFA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9" w:type="pct"/>
            <w:tcBorders>
              <w:tl2br w:val="nil"/>
              <w:tr2bl w:val="nil"/>
            </w:tcBorders>
            <w:noWrap w:val="0"/>
            <w:vAlign w:val="center"/>
          </w:tcPr>
          <w:p w14:paraId="6554A63F">
            <w:pPr>
              <w:pStyle w:val="55"/>
              <w:bidi w:val="0"/>
              <w:rPr>
                <w:rFonts w:hint="default"/>
                <w:lang w:val="en-US" w:eastAsia="zh-CN"/>
              </w:rPr>
            </w:pPr>
            <w:r>
              <w:rPr>
                <w:rFonts w:hint="default"/>
                <w:lang w:val="en-US" w:eastAsia="zh-CN"/>
              </w:rPr>
              <w:t>环境要素</w:t>
            </w:r>
          </w:p>
        </w:tc>
        <w:tc>
          <w:tcPr>
            <w:tcW w:w="914" w:type="pct"/>
            <w:tcBorders>
              <w:tl2br w:val="nil"/>
              <w:tr2bl w:val="nil"/>
            </w:tcBorders>
            <w:noWrap w:val="0"/>
            <w:vAlign w:val="center"/>
          </w:tcPr>
          <w:p w14:paraId="16771721">
            <w:pPr>
              <w:pStyle w:val="55"/>
              <w:bidi w:val="0"/>
              <w:rPr>
                <w:rFonts w:hint="default"/>
                <w:lang w:val="en-US" w:eastAsia="zh-CN"/>
              </w:rPr>
            </w:pPr>
            <w:r>
              <w:rPr>
                <w:rFonts w:hint="default"/>
                <w:lang w:val="en-US" w:eastAsia="zh-CN"/>
              </w:rPr>
              <w:t>评价因子</w:t>
            </w:r>
          </w:p>
        </w:tc>
        <w:tc>
          <w:tcPr>
            <w:tcW w:w="1188" w:type="pct"/>
            <w:tcBorders>
              <w:tl2br w:val="nil"/>
              <w:tr2bl w:val="nil"/>
            </w:tcBorders>
            <w:noWrap w:val="0"/>
            <w:vAlign w:val="center"/>
          </w:tcPr>
          <w:p w14:paraId="03260591">
            <w:pPr>
              <w:pStyle w:val="55"/>
              <w:bidi w:val="0"/>
              <w:rPr>
                <w:rFonts w:hint="default"/>
                <w:lang w:val="en-US" w:eastAsia="zh-CN"/>
              </w:rPr>
            </w:pPr>
            <w:r>
              <w:rPr>
                <w:rFonts w:hint="default"/>
                <w:lang w:val="en-US" w:eastAsia="zh-CN"/>
              </w:rPr>
              <w:t>标准值</w:t>
            </w:r>
          </w:p>
        </w:tc>
        <w:tc>
          <w:tcPr>
            <w:tcW w:w="2088" w:type="pct"/>
            <w:tcBorders>
              <w:tl2br w:val="nil"/>
              <w:tr2bl w:val="nil"/>
            </w:tcBorders>
            <w:noWrap w:val="0"/>
            <w:vAlign w:val="center"/>
          </w:tcPr>
          <w:p w14:paraId="68DB8DEC">
            <w:pPr>
              <w:pStyle w:val="55"/>
              <w:bidi w:val="0"/>
              <w:rPr>
                <w:rFonts w:hint="default"/>
                <w:lang w:val="en-US" w:eastAsia="zh-CN"/>
              </w:rPr>
            </w:pPr>
            <w:r>
              <w:rPr>
                <w:rFonts w:hint="default"/>
                <w:lang w:val="en-US" w:eastAsia="zh-CN"/>
              </w:rPr>
              <w:t>标准值来源</w:t>
            </w:r>
          </w:p>
        </w:tc>
      </w:tr>
      <w:tr w14:paraId="0A20E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9" w:type="pct"/>
            <w:tcBorders>
              <w:tl2br w:val="nil"/>
              <w:tr2bl w:val="nil"/>
            </w:tcBorders>
            <w:noWrap w:val="0"/>
            <w:vAlign w:val="center"/>
          </w:tcPr>
          <w:p w14:paraId="14CDEF87">
            <w:pPr>
              <w:pStyle w:val="55"/>
              <w:bidi w:val="0"/>
              <w:rPr>
                <w:rFonts w:hint="default"/>
                <w:lang w:val="en-US" w:eastAsia="zh-CN"/>
              </w:rPr>
            </w:pPr>
            <w:r>
              <w:rPr>
                <w:rFonts w:hint="default"/>
                <w:lang w:val="en-US" w:eastAsia="zh-CN"/>
              </w:rPr>
              <w:t>厂界噪声</w:t>
            </w:r>
          </w:p>
        </w:tc>
        <w:tc>
          <w:tcPr>
            <w:tcW w:w="914" w:type="pct"/>
            <w:tcBorders>
              <w:tl2br w:val="nil"/>
              <w:tr2bl w:val="nil"/>
            </w:tcBorders>
            <w:noWrap w:val="0"/>
            <w:vAlign w:val="center"/>
          </w:tcPr>
          <w:p w14:paraId="30859A4D">
            <w:pPr>
              <w:pStyle w:val="55"/>
              <w:bidi w:val="0"/>
              <w:rPr>
                <w:rFonts w:hint="default"/>
                <w:lang w:val="en-US" w:eastAsia="zh-CN"/>
              </w:rPr>
            </w:pPr>
            <w:r>
              <w:rPr>
                <w:rFonts w:hint="default"/>
                <w:lang w:val="en-US" w:eastAsia="zh-CN"/>
              </w:rPr>
              <w:t>Leq（A）</w:t>
            </w:r>
          </w:p>
        </w:tc>
        <w:tc>
          <w:tcPr>
            <w:tcW w:w="1188" w:type="pct"/>
            <w:tcBorders>
              <w:tl2br w:val="nil"/>
              <w:tr2bl w:val="nil"/>
            </w:tcBorders>
            <w:noWrap w:val="0"/>
            <w:vAlign w:val="center"/>
          </w:tcPr>
          <w:p w14:paraId="5CC09798">
            <w:pPr>
              <w:pStyle w:val="55"/>
              <w:bidi w:val="0"/>
              <w:rPr>
                <w:rFonts w:hint="default"/>
                <w:lang w:val="en-US" w:eastAsia="zh-CN"/>
              </w:rPr>
            </w:pPr>
            <w:r>
              <w:rPr>
                <w:rFonts w:hint="default"/>
                <w:lang w:val="en-US" w:eastAsia="zh-CN"/>
              </w:rPr>
              <w:t>昼间</w:t>
            </w:r>
            <w:r>
              <w:rPr>
                <w:rFonts w:hint="eastAsia"/>
                <w:lang w:val="en-US" w:eastAsia="zh-CN"/>
              </w:rPr>
              <w:t>≤</w:t>
            </w:r>
            <w:r>
              <w:rPr>
                <w:rFonts w:hint="default"/>
                <w:lang w:val="en-US" w:eastAsia="zh-CN"/>
              </w:rPr>
              <w:t>70dB（A）</w:t>
            </w:r>
          </w:p>
          <w:p w14:paraId="170D6B0B">
            <w:pPr>
              <w:pStyle w:val="55"/>
              <w:bidi w:val="0"/>
              <w:rPr>
                <w:rFonts w:hint="default"/>
                <w:lang w:val="en-US" w:eastAsia="zh-CN"/>
              </w:rPr>
            </w:pPr>
            <w:r>
              <w:rPr>
                <w:rFonts w:hint="default"/>
                <w:lang w:val="en-US" w:eastAsia="zh-CN"/>
              </w:rPr>
              <w:t>夜间</w:t>
            </w:r>
            <w:r>
              <w:rPr>
                <w:rFonts w:hint="eastAsia"/>
                <w:lang w:val="en-US" w:eastAsia="zh-CN"/>
              </w:rPr>
              <w:t>≤</w:t>
            </w:r>
            <w:r>
              <w:rPr>
                <w:rFonts w:hint="default"/>
                <w:lang w:val="en-US" w:eastAsia="zh-CN"/>
              </w:rPr>
              <w:t>55dB（A）</w:t>
            </w:r>
          </w:p>
        </w:tc>
        <w:tc>
          <w:tcPr>
            <w:tcW w:w="2088" w:type="pct"/>
            <w:tcBorders>
              <w:tl2br w:val="nil"/>
              <w:tr2bl w:val="nil"/>
            </w:tcBorders>
            <w:noWrap w:val="0"/>
            <w:vAlign w:val="center"/>
          </w:tcPr>
          <w:p w14:paraId="11920FBB">
            <w:pPr>
              <w:pStyle w:val="55"/>
              <w:bidi w:val="0"/>
              <w:rPr>
                <w:rFonts w:hint="default"/>
                <w:lang w:val="en-US" w:eastAsia="zh-CN"/>
              </w:rPr>
            </w:pPr>
            <w:r>
              <w:rPr>
                <w:rFonts w:hint="default"/>
                <w:lang w:val="en-US" w:eastAsia="zh-CN"/>
              </w:rPr>
              <w:t>《建筑施工场界环境噪声排放标准》（GB12523-2011）</w:t>
            </w:r>
          </w:p>
        </w:tc>
      </w:tr>
    </w:tbl>
    <w:p w14:paraId="1025684A">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default"/>
          <w:lang w:val="en-US" w:eastAsia="zh-CN"/>
        </w:rPr>
      </w:pPr>
      <w:r>
        <w:rPr>
          <w:rFonts w:hint="eastAsia"/>
          <w:lang w:val="en-US" w:eastAsia="zh-CN"/>
        </w:rPr>
        <w:t>（2）运营期</w:t>
      </w:r>
    </w:p>
    <w:p w14:paraId="0E844EAD">
      <w:pPr>
        <w:pStyle w:val="47"/>
        <w:keepNext w:val="0"/>
        <w:keepLines w:val="0"/>
        <w:pageBreakBefore w:val="0"/>
        <w:widowControl w:val="0"/>
        <w:numPr>
          <w:ilvl w:val="0"/>
          <w:numId w:val="0"/>
        </w:numPr>
        <w:kinsoku/>
        <w:wordWrap/>
        <w:overflowPunct/>
        <w:topLinePunct w:val="0"/>
        <w:autoSpaceDE/>
        <w:autoSpaceDN/>
        <w:bidi w:val="0"/>
        <w:adjustRightInd w:val="0"/>
        <w:snapToGrid w:val="0"/>
        <w:ind w:firstLine="560" w:firstLineChars="200"/>
        <w:textAlignment w:val="auto"/>
        <w:rPr>
          <w:rFonts w:hint="default"/>
          <w:lang w:val="en-US" w:eastAsia="zh-CN"/>
        </w:rPr>
      </w:pPr>
      <w:r>
        <w:rPr>
          <w:rFonts w:hint="default"/>
        </w:rPr>
        <w:t>①</w:t>
      </w:r>
      <w:r>
        <w:rPr>
          <w:rFonts w:hint="eastAsia"/>
          <w:lang w:val="en-US" w:eastAsia="zh-CN"/>
        </w:rPr>
        <w:t>有组织排放</w:t>
      </w:r>
    </w:p>
    <w:p w14:paraId="14F43BFC">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highlight w:val="none"/>
          <w:lang w:val="en-US" w:eastAsia="zh-CN"/>
        </w:rPr>
      </w:pPr>
      <w:r>
        <w:rPr>
          <w:rFonts w:hint="eastAsia"/>
          <w:lang w:val="en-US" w:eastAsia="zh-CN"/>
        </w:rPr>
        <w:t>项目有组织废气颗粒物、非甲烷总烃执行《合成树脂工业污染物排放标准》（GB31572-2015）及修改单表5大气污染物特别排放限值要求；排气筒高度执行标准中5.4.2条款要求，即“排气筒高度不低于15m（因安全考虑或有特殊工艺要求的，以及装置区污水池处理设施除外），具体高度以及与周围建筑物的相对高度关系应根据环境影响评价文件确定。”的要求。</w:t>
      </w:r>
      <w:r>
        <w:rPr>
          <w:rFonts w:hint="eastAsia"/>
          <w:highlight w:val="none"/>
          <w:lang w:val="en-US" w:eastAsia="zh-CN"/>
        </w:rPr>
        <w:t>氯化氢执行《大气污染物综合排放标准》（GB16297-1996）表2中的二级标准；臭气浓度执行《恶臭污染物排放标准》(GB14554-93)表2恶臭污染物排放标准值。</w:t>
      </w:r>
    </w:p>
    <w:p w14:paraId="65D40871">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lang w:val="en-US" w:eastAsia="zh-CN"/>
        </w:rPr>
      </w:pPr>
      <w:r>
        <w:rPr>
          <w:rFonts w:hint="eastAsia"/>
          <w:lang w:val="en-US" w:eastAsia="zh-CN"/>
        </w:rPr>
        <w:t>项目周边200m范围内存在高层建筑物，《合成树脂工业污染物排放标准》（GB31572-2015）及修改单未对此做出相应规定，而河北省地方标准《工业企业挥发性有机物排放控制标准》（DB13/2322-2016）中规定：排气筒高度未高出周围200m半径范围的建筑物5m以上的，非甲烷总烃按照排放限值的50%执行，即≤40mg/m</w:t>
      </w:r>
      <w:r>
        <w:rPr>
          <w:rFonts w:hint="eastAsia"/>
          <w:vertAlign w:val="superscript"/>
          <w:lang w:val="en-US" w:eastAsia="zh-CN"/>
        </w:rPr>
        <w:t>3</w:t>
      </w:r>
      <w:r>
        <w:rPr>
          <w:rFonts w:hint="eastAsia"/>
          <w:lang w:val="en-US" w:eastAsia="zh-CN"/>
        </w:rPr>
        <w:t>。按照从严执行原则考虑，有组织废气非甲烷总烃执行河北省地方标准《工业企业挥发性有机物排放控制标准》（DB13/2322-2016），排放限值执行原排放限值的50%，即≤40mg/m</w:t>
      </w:r>
      <w:r>
        <w:rPr>
          <w:rFonts w:hint="eastAsia"/>
          <w:vertAlign w:val="superscript"/>
          <w:lang w:val="en-US" w:eastAsia="zh-CN"/>
        </w:rPr>
        <w:t>3</w:t>
      </w:r>
      <w:r>
        <w:rPr>
          <w:rFonts w:hint="eastAsia"/>
          <w:lang w:val="en-US" w:eastAsia="zh-CN"/>
        </w:rPr>
        <w:t>。</w:t>
      </w:r>
    </w:p>
    <w:p w14:paraId="3A377077">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default"/>
          <w:lang w:val="en-US" w:eastAsia="zh-CN"/>
        </w:rPr>
      </w:pPr>
      <w:r>
        <w:rPr>
          <w:rFonts w:hint="eastAsia" w:ascii="楷体" w:hAnsi="楷体" w:eastAsia="楷体" w:cs="楷体"/>
          <w:lang w:val="en-US" w:eastAsia="zh-CN"/>
        </w:rPr>
        <w:t>②</w:t>
      </w:r>
      <w:r>
        <w:rPr>
          <w:rFonts w:hint="eastAsia"/>
          <w:lang w:val="en-US" w:eastAsia="zh-CN"/>
        </w:rPr>
        <w:t>无组织排放</w:t>
      </w:r>
    </w:p>
    <w:p w14:paraId="57050927">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lang w:val="en-US" w:eastAsia="zh-CN"/>
        </w:rPr>
      </w:pPr>
      <w:r>
        <w:rPr>
          <w:rFonts w:hint="eastAsia"/>
          <w:lang w:val="en-US" w:eastAsia="zh-CN"/>
        </w:rPr>
        <w:t>厂界无组织颗粒物排放执行《合成树脂工业污染物排放标准》(GB31572-2015)表9企业边界大气污染物浓度限值；厂界无组织非甲烷总烃排放执行河北省地方标准《工业企业挥发性有机物排放控制标准》（DB13/2322-2016）表2其他企业标准；</w:t>
      </w:r>
      <w:r>
        <w:rPr>
          <w:rFonts w:hint="eastAsia"/>
          <w:highlight w:val="none"/>
          <w:lang w:val="en-US" w:eastAsia="zh-CN"/>
        </w:rPr>
        <w:t>氯化氢执行《大气污染物综合排放标准》（GB16297-1996）</w:t>
      </w:r>
      <w:r>
        <w:rPr>
          <w:rFonts w:hint="default"/>
          <w:color w:val="000000" w:themeColor="text1"/>
          <w14:textFill>
            <w14:solidFill>
              <w14:schemeClr w14:val="tx1"/>
            </w14:solidFill>
          </w14:textFill>
        </w:rPr>
        <w:t>表2无组织排放监控浓度限值</w:t>
      </w:r>
      <w:r>
        <w:rPr>
          <w:rFonts w:hint="eastAsia"/>
          <w:highlight w:val="none"/>
          <w:lang w:val="en-US" w:eastAsia="zh-CN"/>
        </w:rPr>
        <w:t>；</w:t>
      </w:r>
      <w:r>
        <w:rPr>
          <w:rFonts w:hint="eastAsia"/>
          <w:lang w:val="en-US" w:eastAsia="zh-CN"/>
        </w:rPr>
        <w:t>臭气浓度执行《恶臭污染物排放标准》(GB14554-93)表1恶臭污染物厂界标准值(新扩改建)二级标准。</w:t>
      </w:r>
    </w:p>
    <w:p w14:paraId="5AFEB4CA">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lang w:val="en-US" w:eastAsia="zh-CN"/>
        </w:rPr>
      </w:pPr>
      <w:r>
        <w:rPr>
          <w:rFonts w:hint="eastAsia"/>
          <w:lang w:val="en-US" w:eastAsia="zh-CN"/>
        </w:rPr>
        <w:t>厂区内非甲烷总烃无组织排放执行《挥发性有机物无组织排放控制标准》（GB37822-2019）表 A.1 厂区内VOCs无组织特别排放限值。</w:t>
      </w:r>
    </w:p>
    <w:p w14:paraId="280CBB4C">
      <w:pPr>
        <w:pStyle w:val="94"/>
        <w:bidi w:val="0"/>
        <w:ind w:left="0" w:leftChars="0" w:firstLine="0" w:firstLineChars="0"/>
        <w:rPr>
          <w:rFonts w:hint="eastAsia"/>
          <w:lang w:val="en-US" w:eastAsia="zh-CN"/>
        </w:rPr>
      </w:pPr>
      <w:r>
        <w:rPr>
          <w:rFonts w:hint="eastAsia"/>
          <w:lang w:val="en-US" w:eastAsia="zh-CN"/>
        </w:rPr>
        <w:t>运营期</w:t>
      </w:r>
      <w:r>
        <w:rPr>
          <w:rFonts w:hint="default"/>
          <w:lang w:val="en-US" w:eastAsia="zh-CN"/>
        </w:rPr>
        <w:t>废气污染物排放执行标准</w:t>
      </w:r>
    </w:p>
    <w:tbl>
      <w:tblPr>
        <w:tblStyle w:val="32"/>
        <w:tblW w:w="4996"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88"/>
        <w:gridCol w:w="1234"/>
        <w:gridCol w:w="1416"/>
        <w:gridCol w:w="1550"/>
        <w:gridCol w:w="4093"/>
      </w:tblGrid>
      <w:tr w14:paraId="116C21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tblHeader/>
          <w:jc w:val="center"/>
        </w:trPr>
        <w:tc>
          <w:tcPr>
            <w:tcW w:w="1197" w:type="pct"/>
            <w:gridSpan w:val="2"/>
            <w:tcBorders>
              <w:tl2br w:val="nil"/>
              <w:tr2bl w:val="nil"/>
            </w:tcBorders>
            <w:vAlign w:val="center"/>
          </w:tcPr>
          <w:p w14:paraId="5456FCDE">
            <w:pPr>
              <w:pStyle w:val="55"/>
              <w:bidi w:val="0"/>
              <w:rPr>
                <w:rFonts w:hint="default"/>
                <w:color w:val="000000" w:themeColor="text1"/>
                <w14:textFill>
                  <w14:solidFill>
                    <w14:schemeClr w14:val="tx1"/>
                  </w14:solidFill>
                </w14:textFill>
              </w:rPr>
            </w:pPr>
            <w:r>
              <w:rPr>
                <w:rFonts w:hint="default"/>
                <w:color w:val="000000" w:themeColor="text1"/>
                <w:lang w:eastAsia="zh-CN"/>
                <w14:textFill>
                  <w14:solidFill>
                    <w14:schemeClr w14:val="tx1"/>
                  </w14:solidFill>
                </w14:textFill>
              </w:rPr>
              <w:t>项目</w:t>
            </w:r>
          </w:p>
        </w:tc>
        <w:tc>
          <w:tcPr>
            <w:tcW w:w="1597" w:type="pct"/>
            <w:gridSpan w:val="2"/>
            <w:tcBorders>
              <w:tl2br w:val="nil"/>
              <w:tr2bl w:val="nil"/>
            </w:tcBorders>
            <w:vAlign w:val="center"/>
          </w:tcPr>
          <w:p w14:paraId="79ADE592">
            <w:pPr>
              <w:pStyle w:val="55"/>
              <w:bidi w:val="0"/>
              <w:rPr>
                <w:rFonts w:hint="default"/>
                <w:color w:val="000000" w:themeColor="text1"/>
                <w:lang w:eastAsia="zh-CN"/>
                <w14:textFill>
                  <w14:solidFill>
                    <w14:schemeClr w14:val="tx1"/>
                  </w14:solidFill>
                </w14:textFill>
              </w:rPr>
            </w:pPr>
            <w:r>
              <w:rPr>
                <w:rFonts w:hint="default"/>
                <w:color w:val="000000" w:themeColor="text1"/>
                <w:lang w:eastAsia="zh-CN"/>
                <w14:textFill>
                  <w14:solidFill>
                    <w14:schemeClr w14:val="tx1"/>
                  </w14:solidFill>
                </w14:textFill>
              </w:rPr>
              <w:t>排放限值</w:t>
            </w:r>
          </w:p>
        </w:tc>
        <w:tc>
          <w:tcPr>
            <w:tcW w:w="2205" w:type="pct"/>
            <w:tcBorders>
              <w:tl2br w:val="nil"/>
              <w:tr2bl w:val="nil"/>
            </w:tcBorders>
            <w:vAlign w:val="center"/>
          </w:tcPr>
          <w:p w14:paraId="63B1510B">
            <w:pPr>
              <w:pStyle w:val="55"/>
              <w:bidi w:val="0"/>
              <w:rPr>
                <w:rFonts w:hint="default"/>
                <w:color w:val="000000" w:themeColor="text1"/>
                <w:lang w:eastAsia="zh-CN"/>
                <w14:textFill>
                  <w14:solidFill>
                    <w14:schemeClr w14:val="tx1"/>
                  </w14:solidFill>
                </w14:textFill>
              </w:rPr>
            </w:pPr>
            <w:r>
              <w:rPr>
                <w:rFonts w:hint="default"/>
                <w:color w:val="000000" w:themeColor="text1"/>
                <w:lang w:eastAsia="zh-CN"/>
                <w14:textFill>
                  <w14:solidFill>
                    <w14:schemeClr w14:val="tx1"/>
                  </w14:solidFill>
                </w14:textFill>
              </w:rPr>
              <w:t>标准</w:t>
            </w:r>
          </w:p>
        </w:tc>
      </w:tr>
      <w:tr w14:paraId="5B51BE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32" w:type="pct"/>
            <w:tcBorders>
              <w:right w:val="single" w:color="auto" w:sz="4" w:space="0"/>
              <w:tl2br w:val="nil"/>
              <w:tr2bl w:val="nil"/>
            </w:tcBorders>
            <w:vAlign w:val="center"/>
          </w:tcPr>
          <w:p w14:paraId="2E80A6B6">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投料搅拌工序</w:t>
            </w:r>
          </w:p>
        </w:tc>
        <w:tc>
          <w:tcPr>
            <w:tcW w:w="664" w:type="pct"/>
            <w:tcBorders>
              <w:left w:val="single" w:color="auto" w:sz="4" w:space="0"/>
              <w:tl2br w:val="nil"/>
              <w:tr2bl w:val="nil"/>
            </w:tcBorders>
            <w:vAlign w:val="center"/>
          </w:tcPr>
          <w:p w14:paraId="564A7088">
            <w:pPr>
              <w:pStyle w:val="55"/>
              <w:bidi w:val="0"/>
              <w:rPr>
                <w:rFonts w:hint="default"/>
                <w:color w:val="000000" w:themeColor="text1"/>
                <w:lang w:eastAsia="zh-CN"/>
                <w14:textFill>
                  <w14:solidFill>
                    <w14:schemeClr w14:val="tx1"/>
                  </w14:solidFill>
                </w14:textFill>
              </w:rPr>
            </w:pPr>
            <w:r>
              <w:rPr>
                <w:rFonts w:hint="default"/>
                <w:color w:val="000000" w:themeColor="text1"/>
                <w:lang w:val="en-US" w:eastAsia="zh-CN"/>
                <w14:textFill>
                  <w14:solidFill>
                    <w14:schemeClr w14:val="tx1"/>
                  </w14:solidFill>
                </w14:textFill>
              </w:rPr>
              <w:t>颗粒物</w:t>
            </w:r>
          </w:p>
        </w:tc>
        <w:tc>
          <w:tcPr>
            <w:tcW w:w="1597" w:type="pct"/>
            <w:gridSpan w:val="2"/>
            <w:vMerge w:val="restart"/>
            <w:tcBorders>
              <w:tl2br w:val="nil"/>
              <w:tr2bl w:val="nil"/>
            </w:tcBorders>
            <w:vAlign w:val="center"/>
          </w:tcPr>
          <w:p w14:paraId="705344B2">
            <w:pPr>
              <w:pStyle w:val="55"/>
              <w:bidi w:val="0"/>
              <w:rPr>
                <w:rFonts w:hint="default"/>
                <w:color w:val="000000" w:themeColor="text1"/>
                <w:lang w:val="en-US" w:eastAsia="zh-CN"/>
                <w14:textFill>
                  <w14:solidFill>
                    <w14:schemeClr w14:val="tx1"/>
                  </w14:solidFill>
                </w14:textFill>
              </w:rPr>
            </w:pPr>
            <w:r>
              <w:rPr>
                <w:rFonts w:hint="default"/>
                <w:color w:val="000000" w:themeColor="text1"/>
                <w14:textFill>
                  <w14:solidFill>
                    <w14:schemeClr w14:val="tx1"/>
                  </w14:solidFill>
                </w14:textFill>
              </w:rPr>
              <w:t>≤</w:t>
            </w:r>
            <w:r>
              <w:rPr>
                <w:rFonts w:hint="eastAsia"/>
                <w:color w:val="000000" w:themeColor="text1"/>
                <w:lang w:val="en-US" w:eastAsia="zh-CN"/>
                <w14:textFill>
                  <w14:solidFill>
                    <w14:schemeClr w14:val="tx1"/>
                  </w14:solidFill>
                </w14:textFill>
              </w:rPr>
              <w:t>20mg/m</w:t>
            </w:r>
            <w:r>
              <w:rPr>
                <w:rFonts w:hint="eastAsia"/>
                <w:color w:val="000000" w:themeColor="text1"/>
                <w:vertAlign w:val="superscript"/>
                <w:lang w:val="en-US" w:eastAsia="zh-CN"/>
                <w14:textFill>
                  <w14:solidFill>
                    <w14:schemeClr w14:val="tx1"/>
                  </w14:solidFill>
                </w14:textFill>
              </w:rPr>
              <w:t>3</w:t>
            </w:r>
          </w:p>
        </w:tc>
        <w:tc>
          <w:tcPr>
            <w:tcW w:w="2205" w:type="pct"/>
            <w:vMerge w:val="restart"/>
            <w:tcBorders>
              <w:tl2br w:val="nil"/>
              <w:tr2bl w:val="nil"/>
            </w:tcBorders>
            <w:vAlign w:val="center"/>
          </w:tcPr>
          <w:p w14:paraId="68B54A53">
            <w:pPr>
              <w:pStyle w:val="55"/>
              <w:bidi w:val="0"/>
              <w:rPr>
                <w:rFonts w:hint="default"/>
                <w:color w:val="000000" w:themeColor="text1"/>
                <w:lang w:eastAsia="zh-CN"/>
                <w14:textFill>
                  <w14:solidFill>
                    <w14:schemeClr w14:val="tx1"/>
                  </w14:solidFill>
                </w14:textFill>
              </w:rPr>
            </w:pPr>
            <w:r>
              <w:rPr>
                <w:rFonts w:hint="eastAsia"/>
                <w:lang w:val="en-US" w:eastAsia="zh-CN"/>
              </w:rPr>
              <w:t>《合成树脂工业污染物排放标准》（GB31572-2015）及修改单表5大气污染物特别排放限值</w:t>
            </w:r>
          </w:p>
        </w:tc>
      </w:tr>
      <w:tr w14:paraId="1B91EA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32" w:type="pct"/>
            <w:vMerge w:val="restart"/>
            <w:tcBorders>
              <w:top w:val="single" w:color="auto" w:sz="4" w:space="0"/>
              <w:tl2br w:val="nil"/>
              <w:tr2bl w:val="nil"/>
            </w:tcBorders>
            <w:vAlign w:val="center"/>
          </w:tcPr>
          <w:p w14:paraId="34063A66">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挤出工序</w:t>
            </w:r>
          </w:p>
        </w:tc>
        <w:tc>
          <w:tcPr>
            <w:tcW w:w="664" w:type="pct"/>
            <w:tcBorders>
              <w:top w:val="single" w:color="auto" w:sz="4" w:space="0"/>
              <w:bottom w:val="single" w:color="auto" w:sz="4" w:space="0"/>
              <w:tl2br w:val="nil"/>
              <w:tr2bl w:val="nil"/>
            </w:tcBorders>
            <w:vAlign w:val="center"/>
          </w:tcPr>
          <w:p w14:paraId="5B0936DA">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颗粒物</w:t>
            </w:r>
          </w:p>
        </w:tc>
        <w:tc>
          <w:tcPr>
            <w:tcW w:w="1597" w:type="pct"/>
            <w:gridSpan w:val="2"/>
            <w:vMerge w:val="continue"/>
            <w:tcBorders>
              <w:bottom w:val="single" w:color="auto" w:sz="4" w:space="0"/>
              <w:tl2br w:val="nil"/>
              <w:tr2bl w:val="nil"/>
            </w:tcBorders>
            <w:vAlign w:val="center"/>
          </w:tcPr>
          <w:p w14:paraId="32BAFF41">
            <w:pPr>
              <w:pStyle w:val="55"/>
              <w:bidi w:val="0"/>
              <w:rPr>
                <w:rFonts w:hint="default"/>
                <w:color w:val="000000" w:themeColor="text1"/>
                <w14:textFill>
                  <w14:solidFill>
                    <w14:schemeClr w14:val="tx1"/>
                  </w14:solidFill>
                </w14:textFill>
              </w:rPr>
            </w:pPr>
          </w:p>
        </w:tc>
        <w:tc>
          <w:tcPr>
            <w:tcW w:w="2205" w:type="pct"/>
            <w:vMerge w:val="continue"/>
            <w:tcBorders>
              <w:bottom w:val="single" w:color="auto" w:sz="4" w:space="0"/>
              <w:tl2br w:val="nil"/>
              <w:tr2bl w:val="nil"/>
            </w:tcBorders>
            <w:vAlign w:val="center"/>
          </w:tcPr>
          <w:p w14:paraId="2EAB21BE">
            <w:pPr>
              <w:pStyle w:val="55"/>
              <w:bidi w:val="0"/>
              <w:rPr>
                <w:rFonts w:hint="default"/>
                <w:color w:val="000000" w:themeColor="text1"/>
                <w14:textFill>
                  <w14:solidFill>
                    <w14:schemeClr w14:val="tx1"/>
                  </w14:solidFill>
                </w14:textFill>
              </w:rPr>
            </w:pPr>
          </w:p>
        </w:tc>
      </w:tr>
      <w:tr w14:paraId="5C0B07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32" w:type="pct"/>
            <w:vMerge w:val="continue"/>
            <w:tcBorders>
              <w:tl2br w:val="nil"/>
              <w:tr2bl w:val="nil"/>
            </w:tcBorders>
            <w:vAlign w:val="center"/>
          </w:tcPr>
          <w:p w14:paraId="4AFFA31C">
            <w:pPr>
              <w:pStyle w:val="55"/>
              <w:bidi w:val="0"/>
              <w:rPr>
                <w:rFonts w:hint="default"/>
                <w:color w:val="000000" w:themeColor="text1"/>
                <w:lang w:val="en-US" w:eastAsia="zh-CN"/>
                <w14:textFill>
                  <w14:solidFill>
                    <w14:schemeClr w14:val="tx1"/>
                  </w14:solidFill>
                </w14:textFill>
              </w:rPr>
            </w:pPr>
          </w:p>
        </w:tc>
        <w:tc>
          <w:tcPr>
            <w:tcW w:w="664" w:type="pct"/>
            <w:tcBorders>
              <w:top w:val="single" w:color="auto" w:sz="4" w:space="0"/>
              <w:tl2br w:val="nil"/>
              <w:tr2bl w:val="nil"/>
            </w:tcBorders>
            <w:vAlign w:val="center"/>
          </w:tcPr>
          <w:p w14:paraId="45869A6B">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非甲烷总烃</w:t>
            </w:r>
          </w:p>
        </w:tc>
        <w:tc>
          <w:tcPr>
            <w:tcW w:w="1597" w:type="pct"/>
            <w:gridSpan w:val="2"/>
            <w:tcBorders>
              <w:top w:val="single" w:color="auto" w:sz="4" w:space="0"/>
              <w:tl2br w:val="nil"/>
              <w:tr2bl w:val="nil"/>
            </w:tcBorders>
            <w:vAlign w:val="center"/>
          </w:tcPr>
          <w:p w14:paraId="1C89F208">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w:t>
            </w:r>
            <w:r>
              <w:rPr>
                <w:rFonts w:hint="eastAsia"/>
                <w:color w:val="000000" w:themeColor="text1"/>
                <w:lang w:val="en-US" w:eastAsia="zh-CN"/>
                <w14:textFill>
                  <w14:solidFill>
                    <w14:schemeClr w14:val="tx1"/>
                  </w14:solidFill>
                </w14:textFill>
              </w:rPr>
              <w:t>4</w:t>
            </w:r>
            <w:r>
              <w:rPr>
                <w:rFonts w:hint="default"/>
                <w:color w:val="000000" w:themeColor="text1"/>
                <w:lang w:eastAsia="zh-CN"/>
                <w14:textFill>
                  <w14:solidFill>
                    <w14:schemeClr w14:val="tx1"/>
                  </w14:solidFill>
                </w14:textFill>
              </w:rPr>
              <w:t>0</w:t>
            </w:r>
            <w:r>
              <w:rPr>
                <w:rFonts w:hint="eastAsia"/>
                <w:color w:val="000000" w:themeColor="text1"/>
                <w:lang w:val="en-US" w:eastAsia="zh-CN"/>
                <w14:textFill>
                  <w14:solidFill>
                    <w14:schemeClr w14:val="tx1"/>
                  </w14:solidFill>
                </w14:textFill>
              </w:rPr>
              <w:t>mg/m</w:t>
            </w:r>
            <w:r>
              <w:rPr>
                <w:rFonts w:hint="eastAsia"/>
                <w:color w:val="000000" w:themeColor="text1"/>
                <w:vertAlign w:val="superscript"/>
                <w:lang w:val="en-US" w:eastAsia="zh-CN"/>
                <w14:textFill>
                  <w14:solidFill>
                    <w14:schemeClr w14:val="tx1"/>
                  </w14:solidFill>
                </w14:textFill>
              </w:rPr>
              <w:t>3</w:t>
            </w:r>
          </w:p>
        </w:tc>
        <w:tc>
          <w:tcPr>
            <w:tcW w:w="2205" w:type="pct"/>
            <w:tcBorders>
              <w:top w:val="single" w:color="auto" w:sz="4" w:space="0"/>
              <w:bottom w:val="single" w:color="auto" w:sz="4" w:space="0"/>
              <w:tl2br w:val="nil"/>
              <w:tr2bl w:val="nil"/>
            </w:tcBorders>
            <w:vAlign w:val="center"/>
          </w:tcPr>
          <w:p w14:paraId="4D4174A2">
            <w:pPr>
              <w:pStyle w:val="55"/>
              <w:bidi w:val="0"/>
              <w:rPr>
                <w:rFonts w:hint="default"/>
                <w:color w:val="000000" w:themeColor="text1"/>
                <w14:textFill>
                  <w14:solidFill>
                    <w14:schemeClr w14:val="tx1"/>
                  </w14:solidFill>
                </w14:textFill>
              </w:rPr>
            </w:pPr>
            <w:r>
              <w:rPr>
                <w:rFonts w:hint="eastAsia"/>
                <w:lang w:val="en-US" w:eastAsia="zh-CN"/>
              </w:rPr>
              <w:t>河北省地方标准</w:t>
            </w:r>
            <w:r>
              <w:rPr>
                <w:rFonts w:hint="eastAsia"/>
                <w:color w:val="auto"/>
                <w:kern w:val="0"/>
                <w:szCs w:val="21"/>
              </w:rPr>
              <w:t>《工业企业挥发性有机物排放控制标准》（DB13/2322-2016）</w:t>
            </w:r>
            <w:r>
              <w:rPr>
                <w:rFonts w:hint="eastAsia"/>
                <w:color w:val="auto"/>
                <w:kern w:val="0"/>
                <w:szCs w:val="21"/>
                <w:lang w:eastAsia="zh-CN"/>
              </w:rPr>
              <w:t>表</w:t>
            </w:r>
            <w:r>
              <w:rPr>
                <w:rFonts w:hint="eastAsia"/>
                <w:color w:val="auto"/>
                <w:kern w:val="0"/>
                <w:szCs w:val="21"/>
                <w:lang w:val="en-US" w:eastAsia="zh-CN"/>
              </w:rPr>
              <w:t>1</w:t>
            </w:r>
            <w:r>
              <w:rPr>
                <w:rFonts w:hint="eastAsia"/>
                <w:color w:val="auto"/>
                <w:kern w:val="0"/>
                <w:szCs w:val="21"/>
              </w:rPr>
              <w:t>排放限值的50%</w:t>
            </w:r>
          </w:p>
        </w:tc>
      </w:tr>
      <w:tr w14:paraId="30BC2C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32" w:type="pct"/>
            <w:vMerge w:val="continue"/>
            <w:tcBorders>
              <w:tl2br w:val="nil"/>
              <w:tr2bl w:val="nil"/>
            </w:tcBorders>
            <w:vAlign w:val="center"/>
          </w:tcPr>
          <w:p w14:paraId="298EF557">
            <w:pPr>
              <w:pStyle w:val="55"/>
              <w:bidi w:val="0"/>
              <w:rPr>
                <w:rFonts w:hint="default"/>
                <w:color w:val="000000" w:themeColor="text1"/>
                <w:lang w:val="en-US" w:eastAsia="zh-CN"/>
                <w14:textFill>
                  <w14:solidFill>
                    <w14:schemeClr w14:val="tx1"/>
                  </w14:solidFill>
                </w14:textFill>
              </w:rPr>
            </w:pPr>
          </w:p>
        </w:tc>
        <w:tc>
          <w:tcPr>
            <w:tcW w:w="664" w:type="pct"/>
            <w:vMerge w:val="restart"/>
            <w:tcBorders>
              <w:top w:val="single" w:color="auto" w:sz="4" w:space="0"/>
              <w:tl2br w:val="nil"/>
              <w:tr2bl w:val="nil"/>
            </w:tcBorders>
            <w:vAlign w:val="center"/>
          </w:tcPr>
          <w:p w14:paraId="094E4940">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HCl</w:t>
            </w:r>
          </w:p>
        </w:tc>
        <w:tc>
          <w:tcPr>
            <w:tcW w:w="762" w:type="pct"/>
            <w:tcBorders>
              <w:top w:val="single" w:color="auto" w:sz="4" w:space="0"/>
              <w:bottom w:val="single" w:color="auto" w:sz="4" w:space="0"/>
              <w:right w:val="single" w:color="auto" w:sz="4" w:space="0"/>
              <w:tl2br w:val="nil"/>
              <w:tr2bl w:val="nil"/>
            </w:tcBorders>
            <w:vAlign w:val="center"/>
          </w:tcPr>
          <w:p w14:paraId="694F3453">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≤100</w:t>
            </w:r>
            <w:r>
              <w:rPr>
                <w:rFonts w:hint="eastAsia"/>
                <w:color w:val="000000" w:themeColor="text1"/>
                <w:lang w:val="en-US" w:eastAsia="zh-CN"/>
                <w14:textFill>
                  <w14:solidFill>
                    <w14:schemeClr w14:val="tx1"/>
                  </w14:solidFill>
                </w14:textFill>
              </w:rPr>
              <w:t>mg/m</w:t>
            </w:r>
            <w:r>
              <w:rPr>
                <w:rFonts w:hint="eastAsia"/>
                <w:color w:val="000000" w:themeColor="text1"/>
                <w:vertAlign w:val="superscript"/>
                <w:lang w:val="en-US" w:eastAsia="zh-CN"/>
                <w14:textFill>
                  <w14:solidFill>
                    <w14:schemeClr w14:val="tx1"/>
                  </w14:solidFill>
                </w14:textFill>
              </w:rPr>
              <w:t>3</w:t>
            </w:r>
          </w:p>
        </w:tc>
        <w:tc>
          <w:tcPr>
            <w:tcW w:w="835" w:type="pct"/>
            <w:vMerge w:val="restart"/>
            <w:tcBorders>
              <w:top w:val="single" w:color="auto" w:sz="4" w:space="0"/>
              <w:left w:val="single" w:color="auto" w:sz="4" w:space="0"/>
              <w:tl2br w:val="nil"/>
              <w:tr2bl w:val="nil"/>
            </w:tcBorders>
            <w:vAlign w:val="center"/>
          </w:tcPr>
          <w:p w14:paraId="6F0377FC">
            <w:pPr>
              <w:pStyle w:val="55"/>
              <w:bidi w:val="0"/>
              <w:rPr>
                <w:rFonts w:hint="default"/>
                <w:color w:val="000000" w:themeColor="text1"/>
                <w14:textFill>
                  <w14:solidFill>
                    <w14:schemeClr w14:val="tx1"/>
                  </w14:solidFill>
                </w14:textFill>
              </w:rPr>
            </w:pPr>
            <w:r>
              <w:rPr>
                <w:rFonts w:hint="default"/>
                <w:color w:val="000000" w:themeColor="text1"/>
                <w:lang w:val="en-US" w:eastAsia="zh-CN"/>
                <w14:textFill>
                  <w14:solidFill>
                    <w14:schemeClr w14:val="tx1"/>
                  </w14:solidFill>
                </w14:textFill>
              </w:rPr>
              <w:t>15m排气筒</w:t>
            </w:r>
          </w:p>
        </w:tc>
        <w:tc>
          <w:tcPr>
            <w:tcW w:w="2205" w:type="pct"/>
            <w:vMerge w:val="restart"/>
            <w:tcBorders>
              <w:top w:val="single" w:color="auto" w:sz="4" w:space="0"/>
              <w:tl2br w:val="nil"/>
              <w:tr2bl w:val="nil"/>
            </w:tcBorders>
            <w:vAlign w:val="center"/>
          </w:tcPr>
          <w:p w14:paraId="5C2E4B48">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《大气污染物综合排放标准》</w:t>
            </w:r>
          </w:p>
          <w:p w14:paraId="29142A4C">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（GB16297-1996）表2中的二级标准</w:t>
            </w:r>
          </w:p>
        </w:tc>
      </w:tr>
      <w:tr w14:paraId="4E7F86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32" w:type="pct"/>
            <w:vMerge w:val="continue"/>
            <w:tcBorders>
              <w:tl2br w:val="nil"/>
              <w:tr2bl w:val="nil"/>
            </w:tcBorders>
            <w:vAlign w:val="center"/>
          </w:tcPr>
          <w:p w14:paraId="158676FC">
            <w:pPr>
              <w:pStyle w:val="55"/>
              <w:bidi w:val="0"/>
              <w:rPr>
                <w:rFonts w:hint="default"/>
                <w:color w:val="000000" w:themeColor="text1"/>
                <w:lang w:val="en-US" w:eastAsia="zh-CN"/>
                <w14:textFill>
                  <w14:solidFill>
                    <w14:schemeClr w14:val="tx1"/>
                  </w14:solidFill>
                </w14:textFill>
              </w:rPr>
            </w:pPr>
          </w:p>
        </w:tc>
        <w:tc>
          <w:tcPr>
            <w:tcW w:w="664" w:type="pct"/>
            <w:vMerge w:val="continue"/>
            <w:tcBorders>
              <w:tl2br w:val="nil"/>
              <w:tr2bl w:val="nil"/>
            </w:tcBorders>
            <w:vAlign w:val="center"/>
          </w:tcPr>
          <w:p w14:paraId="1C26E354">
            <w:pPr>
              <w:pStyle w:val="55"/>
              <w:bidi w:val="0"/>
              <w:rPr>
                <w:rFonts w:hint="eastAsia"/>
                <w:color w:val="000000" w:themeColor="text1"/>
                <w:lang w:val="en-US" w:eastAsia="zh-CN"/>
                <w14:textFill>
                  <w14:solidFill>
                    <w14:schemeClr w14:val="tx1"/>
                  </w14:solidFill>
                </w14:textFill>
              </w:rPr>
            </w:pPr>
          </w:p>
        </w:tc>
        <w:tc>
          <w:tcPr>
            <w:tcW w:w="762" w:type="pct"/>
            <w:tcBorders>
              <w:top w:val="single" w:color="auto" w:sz="4" w:space="0"/>
              <w:bottom w:val="single" w:color="auto" w:sz="4" w:space="0"/>
              <w:right w:val="single" w:color="auto" w:sz="4" w:space="0"/>
              <w:tl2br w:val="nil"/>
              <w:tr2bl w:val="nil"/>
            </w:tcBorders>
            <w:vAlign w:val="center"/>
          </w:tcPr>
          <w:p w14:paraId="73EC2F16">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w:t>
            </w:r>
            <w:r>
              <w:rPr>
                <w:rFonts w:hint="eastAsia"/>
                <w:color w:val="000000" w:themeColor="text1"/>
                <w:lang w:val="en-US" w:eastAsia="zh-CN"/>
                <w14:textFill>
                  <w14:solidFill>
                    <w14:schemeClr w14:val="tx1"/>
                  </w14:solidFill>
                </w14:textFill>
              </w:rPr>
              <w:t>0.26</w:t>
            </w:r>
            <w:r>
              <w:rPr>
                <w:rFonts w:hint="default"/>
                <w:color w:val="000000" w:themeColor="text1"/>
                <w:lang w:val="en-US" w:eastAsia="zh-CN"/>
                <w14:textFill>
                  <w14:solidFill>
                    <w14:schemeClr w14:val="tx1"/>
                  </w14:solidFill>
                </w14:textFill>
              </w:rPr>
              <w:t>kg/h</w:t>
            </w:r>
          </w:p>
        </w:tc>
        <w:tc>
          <w:tcPr>
            <w:tcW w:w="835" w:type="pct"/>
            <w:vMerge w:val="continue"/>
            <w:tcBorders>
              <w:left w:val="single" w:color="auto" w:sz="4" w:space="0"/>
              <w:bottom w:val="single" w:color="auto" w:sz="4" w:space="0"/>
              <w:tl2br w:val="nil"/>
              <w:tr2bl w:val="nil"/>
            </w:tcBorders>
            <w:vAlign w:val="center"/>
          </w:tcPr>
          <w:p w14:paraId="43FED520">
            <w:pPr>
              <w:pStyle w:val="55"/>
              <w:bidi w:val="0"/>
              <w:rPr>
                <w:rFonts w:hint="default"/>
                <w:color w:val="000000" w:themeColor="text1"/>
                <w14:textFill>
                  <w14:solidFill>
                    <w14:schemeClr w14:val="tx1"/>
                  </w14:solidFill>
                </w14:textFill>
              </w:rPr>
            </w:pPr>
          </w:p>
        </w:tc>
        <w:tc>
          <w:tcPr>
            <w:tcW w:w="2205" w:type="pct"/>
            <w:vMerge w:val="continue"/>
            <w:tcBorders>
              <w:bottom w:val="single" w:color="auto" w:sz="4" w:space="0"/>
              <w:tl2br w:val="nil"/>
              <w:tr2bl w:val="nil"/>
            </w:tcBorders>
            <w:vAlign w:val="center"/>
          </w:tcPr>
          <w:p w14:paraId="594226DF">
            <w:pPr>
              <w:pStyle w:val="55"/>
              <w:bidi w:val="0"/>
              <w:rPr>
                <w:rFonts w:hint="default"/>
                <w:color w:val="000000" w:themeColor="text1"/>
                <w:lang w:val="en-US" w:eastAsia="zh-CN"/>
                <w14:textFill>
                  <w14:solidFill>
                    <w14:schemeClr w14:val="tx1"/>
                  </w14:solidFill>
                </w14:textFill>
              </w:rPr>
            </w:pPr>
          </w:p>
        </w:tc>
      </w:tr>
      <w:tr w14:paraId="038564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32" w:type="pct"/>
            <w:vMerge w:val="continue"/>
            <w:tcBorders>
              <w:tl2br w:val="nil"/>
              <w:tr2bl w:val="nil"/>
            </w:tcBorders>
            <w:vAlign w:val="center"/>
          </w:tcPr>
          <w:p w14:paraId="750A2F71">
            <w:pPr>
              <w:pStyle w:val="55"/>
              <w:bidi w:val="0"/>
              <w:rPr>
                <w:rFonts w:hint="default"/>
                <w:color w:val="000000" w:themeColor="text1"/>
                <w:lang w:val="en-US" w:eastAsia="zh-CN"/>
                <w14:textFill>
                  <w14:solidFill>
                    <w14:schemeClr w14:val="tx1"/>
                  </w14:solidFill>
                </w14:textFill>
              </w:rPr>
            </w:pPr>
          </w:p>
        </w:tc>
        <w:tc>
          <w:tcPr>
            <w:tcW w:w="664" w:type="pct"/>
            <w:tcBorders>
              <w:top w:val="single" w:color="auto" w:sz="4" w:space="0"/>
              <w:tl2br w:val="nil"/>
              <w:tr2bl w:val="nil"/>
            </w:tcBorders>
            <w:vAlign w:val="center"/>
          </w:tcPr>
          <w:p w14:paraId="5E6872B6">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臭气浓度</w:t>
            </w:r>
          </w:p>
        </w:tc>
        <w:tc>
          <w:tcPr>
            <w:tcW w:w="762" w:type="pct"/>
            <w:tcBorders>
              <w:top w:val="single" w:color="auto" w:sz="4" w:space="0"/>
              <w:bottom w:val="single" w:color="auto" w:sz="4" w:space="0"/>
              <w:right w:val="single" w:color="auto" w:sz="4" w:space="0"/>
              <w:tl2br w:val="nil"/>
              <w:tr2bl w:val="nil"/>
            </w:tcBorders>
            <w:vAlign w:val="center"/>
          </w:tcPr>
          <w:p w14:paraId="0DD92B23">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w:t>
            </w:r>
            <w:r>
              <w:rPr>
                <w:rFonts w:hint="eastAsia"/>
                <w:color w:val="000000" w:themeColor="text1"/>
                <w:lang w:val="en-US" w:eastAsia="zh-CN"/>
                <w14:textFill>
                  <w14:solidFill>
                    <w14:schemeClr w14:val="tx1"/>
                  </w14:solidFill>
                </w14:textFill>
              </w:rPr>
              <w:t>2</w:t>
            </w:r>
            <w:r>
              <w:rPr>
                <w:rFonts w:hint="default"/>
                <w:color w:val="000000" w:themeColor="text1"/>
                <w14:textFill>
                  <w14:solidFill>
                    <w14:schemeClr w14:val="tx1"/>
                  </w14:solidFill>
                </w14:textFill>
              </w:rPr>
              <w:t>0</w:t>
            </w:r>
            <w:r>
              <w:rPr>
                <w:rFonts w:hint="default"/>
                <w:color w:val="000000" w:themeColor="text1"/>
                <w:lang w:val="en-US" w:eastAsia="zh-CN"/>
                <w14:textFill>
                  <w14:solidFill>
                    <w14:schemeClr w14:val="tx1"/>
                  </w14:solidFill>
                </w14:textFill>
              </w:rPr>
              <w:t>00</w:t>
            </w:r>
            <w:r>
              <w:rPr>
                <w:rFonts w:hint="default"/>
                <w:color w:val="000000" w:themeColor="text1"/>
                <w14:textFill>
                  <w14:solidFill>
                    <w14:schemeClr w14:val="tx1"/>
                  </w14:solidFill>
                </w14:textFill>
              </w:rPr>
              <w:t>（无量纲）</w:t>
            </w:r>
          </w:p>
        </w:tc>
        <w:tc>
          <w:tcPr>
            <w:tcW w:w="835" w:type="pct"/>
            <w:tcBorders>
              <w:top w:val="single" w:color="auto" w:sz="4" w:space="0"/>
              <w:left w:val="single" w:color="auto" w:sz="4" w:space="0"/>
              <w:bottom w:val="single" w:color="auto" w:sz="4" w:space="0"/>
              <w:tl2br w:val="nil"/>
              <w:tr2bl w:val="nil"/>
            </w:tcBorders>
            <w:vAlign w:val="center"/>
          </w:tcPr>
          <w:p w14:paraId="42E689CE">
            <w:pPr>
              <w:pStyle w:val="55"/>
              <w:bidi w:val="0"/>
              <w:rPr>
                <w:rFonts w:hint="default"/>
                <w:color w:val="000000" w:themeColor="text1"/>
                <w14:textFill>
                  <w14:solidFill>
                    <w14:schemeClr w14:val="tx1"/>
                  </w14:solidFill>
                </w14:textFill>
              </w:rPr>
            </w:pPr>
            <w:r>
              <w:rPr>
                <w:rFonts w:hint="default"/>
                <w:color w:val="000000" w:themeColor="text1"/>
                <w:lang w:val="en-US" w:eastAsia="zh-CN"/>
                <w14:textFill>
                  <w14:solidFill>
                    <w14:schemeClr w14:val="tx1"/>
                  </w14:solidFill>
                </w14:textFill>
              </w:rPr>
              <w:t>15m排气筒</w:t>
            </w:r>
          </w:p>
        </w:tc>
        <w:tc>
          <w:tcPr>
            <w:tcW w:w="2205" w:type="pct"/>
            <w:tcBorders>
              <w:top w:val="single" w:color="auto" w:sz="4" w:space="0"/>
              <w:bottom w:val="single" w:color="auto" w:sz="4" w:space="0"/>
              <w:tl2br w:val="nil"/>
              <w:tr2bl w:val="nil"/>
            </w:tcBorders>
            <w:vAlign w:val="center"/>
          </w:tcPr>
          <w:p w14:paraId="1B6C91F4">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《恶臭污染物排放标准》（GB14554-1993）</w:t>
            </w:r>
          </w:p>
          <w:p w14:paraId="3C17FF41">
            <w:pPr>
              <w:pStyle w:val="55"/>
              <w:bidi w:val="0"/>
              <w:rPr>
                <w:rFonts w:hint="default"/>
                <w:color w:val="000000" w:themeColor="text1"/>
                <w14:textFill>
                  <w14:solidFill>
                    <w14:schemeClr w14:val="tx1"/>
                  </w14:solidFill>
                </w14:textFill>
              </w:rPr>
            </w:pPr>
            <w:r>
              <w:rPr>
                <w:rFonts w:hint="default"/>
                <w:color w:val="000000" w:themeColor="text1"/>
                <w:lang w:val="en-US" w:eastAsia="zh-CN"/>
                <w14:textFill>
                  <w14:solidFill>
                    <w14:schemeClr w14:val="tx1"/>
                  </w14:solidFill>
                </w14:textFill>
              </w:rPr>
              <w:t>表2恶臭污染物排放标准值</w:t>
            </w:r>
          </w:p>
        </w:tc>
      </w:tr>
      <w:tr w14:paraId="336F95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32" w:type="pct"/>
            <w:vMerge w:val="restart"/>
            <w:tcBorders>
              <w:top w:val="single" w:color="auto" w:sz="4" w:space="0"/>
              <w:bottom w:val="single" w:color="auto" w:sz="4" w:space="0"/>
              <w:tl2br w:val="nil"/>
              <w:tr2bl w:val="nil"/>
            </w:tcBorders>
            <w:vAlign w:val="center"/>
          </w:tcPr>
          <w:p w14:paraId="59B5CA08">
            <w:pPr>
              <w:pStyle w:val="55"/>
              <w:bidi w:val="0"/>
              <w:rPr>
                <w:rFonts w:hint="default"/>
                <w:color w:val="000000" w:themeColor="text1"/>
                <w:lang w:eastAsia="zh-CN"/>
                <w14:textFill>
                  <w14:solidFill>
                    <w14:schemeClr w14:val="tx1"/>
                  </w14:solidFill>
                </w14:textFill>
              </w:rPr>
            </w:pPr>
            <w:r>
              <w:rPr>
                <w:rFonts w:hint="eastAsia"/>
                <w:color w:val="000000" w:themeColor="text1"/>
                <w:lang w:val="en-US" w:eastAsia="zh-CN"/>
                <w14:textFill>
                  <w14:solidFill>
                    <w14:schemeClr w14:val="tx1"/>
                  </w14:solidFill>
                </w14:textFill>
              </w:rPr>
              <w:t>厂界</w:t>
            </w:r>
          </w:p>
        </w:tc>
        <w:tc>
          <w:tcPr>
            <w:tcW w:w="664" w:type="pct"/>
            <w:tcBorders>
              <w:bottom w:val="single" w:color="auto" w:sz="4" w:space="0"/>
              <w:tl2br w:val="nil"/>
              <w:tr2bl w:val="nil"/>
            </w:tcBorders>
            <w:vAlign w:val="center"/>
          </w:tcPr>
          <w:p w14:paraId="6B9C698A">
            <w:pPr>
              <w:pStyle w:val="55"/>
              <w:bidi w:val="0"/>
              <w:rPr>
                <w:rFonts w:hint="default"/>
                <w:color w:val="000000" w:themeColor="text1"/>
                <w:lang w:eastAsia="zh-CN"/>
                <w14:textFill>
                  <w14:solidFill>
                    <w14:schemeClr w14:val="tx1"/>
                  </w14:solidFill>
                </w14:textFill>
              </w:rPr>
            </w:pPr>
            <w:r>
              <w:rPr>
                <w:rFonts w:hint="default"/>
                <w:color w:val="000000" w:themeColor="text1"/>
                <w:lang w:val="en-US" w:eastAsia="zh-CN"/>
                <w14:textFill>
                  <w14:solidFill>
                    <w14:schemeClr w14:val="tx1"/>
                  </w14:solidFill>
                </w14:textFill>
              </w:rPr>
              <w:t>颗粒物</w:t>
            </w:r>
          </w:p>
        </w:tc>
        <w:tc>
          <w:tcPr>
            <w:tcW w:w="1597" w:type="pct"/>
            <w:gridSpan w:val="2"/>
            <w:tcBorders>
              <w:tl2br w:val="nil"/>
              <w:tr2bl w:val="nil"/>
            </w:tcBorders>
            <w:vAlign w:val="center"/>
          </w:tcPr>
          <w:p w14:paraId="07377D15">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w:t>
            </w:r>
            <w:r>
              <w:rPr>
                <w:rFonts w:hint="default"/>
                <w:color w:val="000000" w:themeColor="text1"/>
                <w:lang w:val="en-US" w:eastAsia="zh-CN"/>
                <w14:textFill>
                  <w14:solidFill>
                    <w14:schemeClr w14:val="tx1"/>
                  </w14:solidFill>
                </w14:textFill>
              </w:rPr>
              <w:t>1.0</w:t>
            </w:r>
            <w:r>
              <w:rPr>
                <w:rFonts w:hint="default"/>
                <w:color w:val="000000" w:themeColor="text1"/>
                <w14:textFill>
                  <w14:solidFill>
                    <w14:schemeClr w14:val="tx1"/>
                  </w14:solidFill>
                </w14:textFill>
              </w:rPr>
              <w:t>mg/m</w:t>
            </w:r>
            <w:r>
              <w:rPr>
                <w:rFonts w:hint="default"/>
                <w:color w:val="000000" w:themeColor="text1"/>
                <w:vertAlign w:val="superscript"/>
                <w14:textFill>
                  <w14:solidFill>
                    <w14:schemeClr w14:val="tx1"/>
                  </w14:solidFill>
                </w14:textFill>
              </w:rPr>
              <w:t>3</w:t>
            </w:r>
          </w:p>
        </w:tc>
        <w:tc>
          <w:tcPr>
            <w:tcW w:w="2205" w:type="pct"/>
            <w:tcBorders>
              <w:bottom w:val="single" w:color="auto" w:sz="4" w:space="0"/>
              <w:tl2br w:val="nil"/>
              <w:tr2bl w:val="nil"/>
            </w:tcBorders>
            <w:vAlign w:val="center"/>
          </w:tcPr>
          <w:p w14:paraId="5B230654">
            <w:pPr>
              <w:pStyle w:val="55"/>
              <w:bidi w:val="0"/>
              <w:rPr>
                <w:rFonts w:hint="eastAsia" w:eastAsia="楷体"/>
                <w:color w:val="000000" w:themeColor="text1"/>
                <w:lang w:val="en-US" w:eastAsia="zh-CN"/>
                <w14:textFill>
                  <w14:solidFill>
                    <w14:schemeClr w14:val="tx1"/>
                  </w14:solidFill>
                </w14:textFill>
              </w:rPr>
            </w:pPr>
            <w:r>
              <w:rPr>
                <w:rFonts w:hint="eastAsia"/>
                <w:color w:val="auto"/>
                <w:kern w:val="0"/>
                <w:szCs w:val="21"/>
              </w:rPr>
              <w:t>《合成树脂工业污染物排放标准》（GB31572-2015）</w:t>
            </w:r>
            <w:r>
              <w:rPr>
                <w:rFonts w:hint="eastAsia"/>
                <w:color w:val="auto"/>
                <w:kern w:val="0"/>
                <w:szCs w:val="21"/>
                <w:lang w:val="en-US" w:eastAsia="zh-CN"/>
              </w:rPr>
              <w:t>及修改单</w:t>
            </w:r>
            <w:r>
              <w:rPr>
                <w:rFonts w:hint="eastAsia"/>
                <w:color w:val="auto"/>
                <w:kern w:val="0"/>
                <w:szCs w:val="21"/>
              </w:rPr>
              <w:t>表9</w:t>
            </w:r>
            <w:r>
              <w:rPr>
                <w:rFonts w:hint="eastAsia"/>
                <w:color w:val="auto"/>
                <w:kern w:val="0"/>
                <w:szCs w:val="21"/>
                <w:lang w:val="en-US" w:eastAsia="zh-CN"/>
              </w:rPr>
              <w:t>限值要求</w:t>
            </w:r>
          </w:p>
        </w:tc>
      </w:tr>
      <w:tr w14:paraId="67680A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32" w:type="pct"/>
            <w:vMerge w:val="continue"/>
            <w:tcBorders>
              <w:top w:val="single" w:color="auto" w:sz="4" w:space="0"/>
              <w:bottom w:val="single" w:color="auto" w:sz="4" w:space="0"/>
              <w:tl2br w:val="nil"/>
              <w:tr2bl w:val="nil"/>
            </w:tcBorders>
            <w:vAlign w:val="center"/>
          </w:tcPr>
          <w:p w14:paraId="5A85DFB4">
            <w:pPr>
              <w:pStyle w:val="55"/>
              <w:bidi w:val="0"/>
              <w:rPr>
                <w:rFonts w:hint="default"/>
                <w:color w:val="000000" w:themeColor="text1"/>
                <w14:textFill>
                  <w14:solidFill>
                    <w14:schemeClr w14:val="tx1"/>
                  </w14:solidFill>
                </w14:textFill>
              </w:rPr>
            </w:pPr>
          </w:p>
        </w:tc>
        <w:tc>
          <w:tcPr>
            <w:tcW w:w="664" w:type="pct"/>
            <w:vMerge w:val="restart"/>
            <w:tcBorders>
              <w:top w:val="single" w:color="auto" w:sz="4" w:space="0"/>
              <w:tl2br w:val="nil"/>
              <w:tr2bl w:val="nil"/>
            </w:tcBorders>
            <w:vAlign w:val="center"/>
          </w:tcPr>
          <w:p w14:paraId="0545F2D4">
            <w:pPr>
              <w:pStyle w:val="55"/>
              <w:bidi w:val="0"/>
              <w:rPr>
                <w:rFonts w:hint="default"/>
              </w:rPr>
            </w:pPr>
            <w:r>
              <w:rPr>
                <w:rFonts w:hint="default"/>
                <w:lang w:val="en-US" w:eastAsia="zh-CN"/>
              </w:rPr>
              <w:t>非甲烷总烃</w:t>
            </w:r>
          </w:p>
        </w:tc>
        <w:tc>
          <w:tcPr>
            <w:tcW w:w="1597" w:type="pct"/>
            <w:gridSpan w:val="2"/>
            <w:tcBorders>
              <w:bottom w:val="single" w:color="auto" w:sz="4" w:space="0"/>
              <w:tl2br w:val="nil"/>
              <w:tr2bl w:val="nil"/>
            </w:tcBorders>
            <w:vAlign w:val="center"/>
          </w:tcPr>
          <w:p w14:paraId="16265823">
            <w:pPr>
              <w:pStyle w:val="55"/>
              <w:bidi w:val="0"/>
              <w:rPr>
                <w:rFonts w:hint="default"/>
              </w:rPr>
            </w:pPr>
            <w:r>
              <w:rPr>
                <w:rFonts w:hint="default"/>
              </w:rPr>
              <w:t>≤</w:t>
            </w:r>
            <w:r>
              <w:rPr>
                <w:rFonts w:hint="default"/>
                <w:lang w:val="en-US" w:eastAsia="zh-CN"/>
              </w:rPr>
              <w:t>2.0</w:t>
            </w:r>
            <w:r>
              <w:rPr>
                <w:rFonts w:hint="default"/>
              </w:rPr>
              <w:t>mg/m</w:t>
            </w:r>
            <w:r>
              <w:rPr>
                <w:rFonts w:hint="default"/>
                <w:vertAlign w:val="superscript"/>
              </w:rPr>
              <w:t>3</w:t>
            </w:r>
          </w:p>
        </w:tc>
        <w:tc>
          <w:tcPr>
            <w:tcW w:w="2205" w:type="pct"/>
            <w:tcBorders>
              <w:top w:val="single" w:color="auto" w:sz="4" w:space="0"/>
              <w:bottom w:val="single" w:color="auto" w:sz="4" w:space="0"/>
              <w:tl2br w:val="nil"/>
              <w:tr2bl w:val="nil"/>
            </w:tcBorders>
            <w:vAlign w:val="center"/>
          </w:tcPr>
          <w:p w14:paraId="2E9B88C8">
            <w:pPr>
              <w:pStyle w:val="55"/>
              <w:bidi w:val="0"/>
              <w:rPr>
                <w:rFonts w:hint="default"/>
                <w:color w:val="000000" w:themeColor="text1"/>
                <w14:textFill>
                  <w14:solidFill>
                    <w14:schemeClr w14:val="tx1"/>
                  </w14:solidFill>
                </w14:textFill>
              </w:rPr>
            </w:pPr>
            <w:r>
              <w:rPr>
                <w:rFonts w:hint="eastAsia"/>
                <w:lang w:val="en-US" w:eastAsia="zh-CN"/>
              </w:rPr>
              <w:t>河北省地方标准</w:t>
            </w:r>
            <w:r>
              <w:rPr>
                <w:rFonts w:hint="default"/>
                <w:color w:val="000000" w:themeColor="text1"/>
                <w:lang w:val="en-US" w:eastAsia="zh-CN"/>
                <w14:textFill>
                  <w14:solidFill>
                    <w14:schemeClr w14:val="tx1"/>
                  </w14:solidFill>
                </w14:textFill>
              </w:rPr>
              <w:t>《工业企业挥发性有机物排放控制标准》（DB13/2322-2016）表2</w:t>
            </w:r>
            <w:r>
              <w:rPr>
                <w:rFonts w:hint="default"/>
                <w:color w:val="000000" w:themeColor="text1"/>
                <w14:textFill>
                  <w14:solidFill>
                    <w14:schemeClr w14:val="tx1"/>
                  </w14:solidFill>
                </w14:textFill>
              </w:rPr>
              <w:t>企业边界大气污染物浓度限值</w:t>
            </w:r>
            <w:r>
              <w:rPr>
                <w:rFonts w:hint="default"/>
                <w:color w:val="000000" w:themeColor="text1"/>
                <w:lang w:val="en-US" w:eastAsia="zh-CN"/>
                <w14:textFill>
                  <w14:solidFill>
                    <w14:schemeClr w14:val="tx1"/>
                  </w14:solidFill>
                </w14:textFill>
              </w:rPr>
              <w:t>中其他企业</w:t>
            </w:r>
          </w:p>
        </w:tc>
      </w:tr>
      <w:tr w14:paraId="70E194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32" w:type="pct"/>
            <w:vMerge w:val="continue"/>
            <w:tcBorders>
              <w:top w:val="single" w:color="auto" w:sz="4" w:space="0"/>
              <w:bottom w:val="single" w:color="auto" w:sz="4" w:space="0"/>
              <w:tl2br w:val="nil"/>
              <w:tr2bl w:val="nil"/>
            </w:tcBorders>
            <w:vAlign w:val="center"/>
          </w:tcPr>
          <w:p w14:paraId="08AA9256">
            <w:pPr>
              <w:pStyle w:val="55"/>
              <w:bidi w:val="0"/>
              <w:rPr>
                <w:rFonts w:hint="default"/>
                <w:color w:val="000000" w:themeColor="text1"/>
                <w14:textFill>
                  <w14:solidFill>
                    <w14:schemeClr w14:val="tx1"/>
                  </w14:solidFill>
                </w14:textFill>
              </w:rPr>
            </w:pPr>
          </w:p>
        </w:tc>
        <w:tc>
          <w:tcPr>
            <w:tcW w:w="664" w:type="pct"/>
            <w:vMerge w:val="continue"/>
            <w:tcBorders>
              <w:bottom w:val="single" w:color="auto" w:sz="4" w:space="0"/>
              <w:tl2br w:val="nil"/>
              <w:tr2bl w:val="nil"/>
            </w:tcBorders>
            <w:vAlign w:val="center"/>
          </w:tcPr>
          <w:p w14:paraId="2A96AE34">
            <w:pPr>
              <w:pStyle w:val="55"/>
              <w:bidi w:val="0"/>
              <w:rPr>
                <w:rFonts w:hint="default"/>
                <w:lang w:val="en-US" w:eastAsia="zh-CN"/>
              </w:rPr>
            </w:pPr>
          </w:p>
        </w:tc>
        <w:tc>
          <w:tcPr>
            <w:tcW w:w="762" w:type="pct"/>
            <w:tcBorders>
              <w:top w:val="single" w:color="auto" w:sz="4" w:space="0"/>
              <w:bottom w:val="single" w:color="auto" w:sz="4" w:space="0"/>
              <w:right w:val="single" w:color="auto" w:sz="4" w:space="0"/>
              <w:tl2br w:val="nil"/>
              <w:tr2bl w:val="nil"/>
            </w:tcBorders>
            <w:vAlign w:val="center"/>
          </w:tcPr>
          <w:p w14:paraId="646F259D">
            <w:pPr>
              <w:pStyle w:val="55"/>
              <w:bidi w:val="0"/>
              <w:rPr>
                <w:rFonts w:hint="default"/>
              </w:rPr>
            </w:pPr>
            <w:r>
              <w:rPr>
                <w:rFonts w:hint="eastAsia"/>
                <w:lang w:val="en-US" w:eastAsia="zh-CN"/>
              </w:rPr>
              <w:t>厂房外监测点</w:t>
            </w:r>
          </w:p>
        </w:tc>
        <w:tc>
          <w:tcPr>
            <w:tcW w:w="835" w:type="pct"/>
            <w:tcBorders>
              <w:top w:val="single" w:color="auto" w:sz="4" w:space="0"/>
              <w:left w:val="single" w:color="auto" w:sz="4" w:space="0"/>
              <w:bottom w:val="single" w:color="auto" w:sz="4" w:space="0"/>
              <w:tl2br w:val="nil"/>
              <w:tr2bl w:val="nil"/>
            </w:tcBorders>
            <w:vAlign w:val="center"/>
          </w:tcPr>
          <w:p w14:paraId="19C43A01">
            <w:pPr>
              <w:pStyle w:val="55"/>
              <w:bidi w:val="0"/>
              <w:rPr>
                <w:rFonts w:hint="default"/>
                <w:vertAlign w:val="superscript"/>
                <w:lang w:val="en-US" w:eastAsia="zh-CN"/>
              </w:rPr>
            </w:pPr>
            <w:r>
              <w:rPr>
                <w:rFonts w:hint="default"/>
                <w:lang w:val="en-US" w:eastAsia="zh-CN"/>
              </w:rPr>
              <w:t>监测点处的1h平均浓度值</w:t>
            </w:r>
            <w:r>
              <w:rPr>
                <w:rFonts w:hint="default"/>
              </w:rPr>
              <w:t>≤</w:t>
            </w:r>
            <w:r>
              <w:rPr>
                <w:rFonts w:hint="default"/>
                <w:lang w:val="en-US" w:eastAsia="zh-CN"/>
              </w:rPr>
              <w:t>6mg/m</w:t>
            </w:r>
            <w:r>
              <w:rPr>
                <w:rFonts w:hint="default"/>
                <w:vertAlign w:val="superscript"/>
                <w:lang w:val="en-US" w:eastAsia="zh-CN"/>
              </w:rPr>
              <w:t>3</w:t>
            </w:r>
          </w:p>
          <w:p w14:paraId="0FD9847F">
            <w:pPr>
              <w:pStyle w:val="55"/>
              <w:bidi w:val="0"/>
              <w:rPr>
                <w:rFonts w:hint="default"/>
                <w:lang w:val="en-US" w:eastAsia="zh-CN"/>
              </w:rPr>
            </w:pPr>
            <w:r>
              <w:rPr>
                <w:rFonts w:hint="default"/>
                <w:lang w:val="en-US" w:eastAsia="zh-CN"/>
              </w:rPr>
              <w:t>监控点处任意一次浓度值</w:t>
            </w:r>
            <w:r>
              <w:rPr>
                <w:rFonts w:hint="default"/>
              </w:rPr>
              <w:t>≤</w:t>
            </w:r>
            <w:r>
              <w:rPr>
                <w:rFonts w:hint="default"/>
                <w:lang w:val="en-US" w:eastAsia="zh-CN"/>
              </w:rPr>
              <w:t>20mg/m</w:t>
            </w:r>
            <w:r>
              <w:rPr>
                <w:rFonts w:hint="default"/>
                <w:vertAlign w:val="superscript"/>
                <w:lang w:val="en-US" w:eastAsia="zh-CN"/>
              </w:rPr>
              <w:t>3</w:t>
            </w:r>
          </w:p>
        </w:tc>
        <w:tc>
          <w:tcPr>
            <w:tcW w:w="2205" w:type="pct"/>
            <w:tcBorders>
              <w:top w:val="single" w:color="auto" w:sz="4" w:space="0"/>
              <w:bottom w:val="single" w:color="auto" w:sz="4" w:space="0"/>
              <w:tl2br w:val="nil"/>
              <w:tr2bl w:val="nil"/>
            </w:tcBorders>
            <w:vAlign w:val="center"/>
          </w:tcPr>
          <w:p w14:paraId="0047C3D1">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《挥发性有机物无组织排放控制标准》（GB37288-2019）附录A表A.1无组织排放限值要求</w:t>
            </w:r>
          </w:p>
        </w:tc>
      </w:tr>
      <w:tr w14:paraId="3C09A7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32" w:type="pct"/>
            <w:vMerge w:val="continue"/>
            <w:tcBorders>
              <w:top w:val="single" w:color="auto" w:sz="4" w:space="0"/>
              <w:bottom w:val="single" w:color="auto" w:sz="4" w:space="0"/>
              <w:tl2br w:val="nil"/>
              <w:tr2bl w:val="nil"/>
            </w:tcBorders>
            <w:vAlign w:val="center"/>
          </w:tcPr>
          <w:p w14:paraId="37BBD524">
            <w:pPr>
              <w:pStyle w:val="55"/>
              <w:bidi w:val="0"/>
              <w:rPr>
                <w:rFonts w:hint="default"/>
                <w:color w:val="000000" w:themeColor="text1"/>
                <w14:textFill>
                  <w14:solidFill>
                    <w14:schemeClr w14:val="tx1"/>
                  </w14:solidFill>
                </w14:textFill>
              </w:rPr>
            </w:pPr>
          </w:p>
        </w:tc>
        <w:tc>
          <w:tcPr>
            <w:tcW w:w="664" w:type="pct"/>
            <w:tcBorders>
              <w:top w:val="single" w:color="auto" w:sz="4" w:space="0"/>
              <w:bottom w:val="single" w:color="auto" w:sz="4" w:space="0"/>
              <w:tl2br w:val="nil"/>
              <w:tr2bl w:val="nil"/>
            </w:tcBorders>
            <w:vAlign w:val="center"/>
          </w:tcPr>
          <w:p w14:paraId="1D8F2F34">
            <w:pPr>
              <w:pStyle w:val="55"/>
              <w:bidi w:val="0"/>
              <w:rPr>
                <w:rFonts w:hint="default"/>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HCl</w:t>
            </w:r>
          </w:p>
        </w:tc>
        <w:tc>
          <w:tcPr>
            <w:tcW w:w="1597" w:type="pct"/>
            <w:gridSpan w:val="2"/>
            <w:tcBorders>
              <w:top w:val="single" w:color="auto" w:sz="4" w:space="0"/>
              <w:bottom w:val="single" w:color="auto" w:sz="4" w:space="0"/>
              <w:tl2br w:val="nil"/>
              <w:tr2bl w:val="nil"/>
            </w:tcBorders>
            <w:vAlign w:val="center"/>
          </w:tcPr>
          <w:p w14:paraId="50ED6AD8">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w:t>
            </w:r>
            <w:r>
              <w:rPr>
                <w:rFonts w:hint="default"/>
                <w:color w:val="000000" w:themeColor="text1"/>
                <w:lang w:val="en-US" w:eastAsia="zh-CN"/>
                <w14:textFill>
                  <w14:solidFill>
                    <w14:schemeClr w14:val="tx1"/>
                  </w14:solidFill>
                </w14:textFill>
              </w:rPr>
              <w:t>0.</w:t>
            </w:r>
            <w:r>
              <w:rPr>
                <w:rFonts w:hint="eastAsia"/>
                <w:color w:val="000000" w:themeColor="text1"/>
                <w:lang w:val="en-US" w:eastAsia="zh-CN"/>
                <w14:textFill>
                  <w14:solidFill>
                    <w14:schemeClr w14:val="tx1"/>
                  </w14:solidFill>
                </w14:textFill>
              </w:rPr>
              <w:t>2</w:t>
            </w:r>
            <w:r>
              <w:rPr>
                <w:rFonts w:hint="default"/>
                <w:color w:val="000000" w:themeColor="text1"/>
                <w14:textFill>
                  <w14:solidFill>
                    <w14:schemeClr w14:val="tx1"/>
                  </w14:solidFill>
                </w14:textFill>
              </w:rPr>
              <w:t>mg/m</w:t>
            </w:r>
            <w:r>
              <w:rPr>
                <w:rFonts w:hint="default"/>
                <w:color w:val="000000" w:themeColor="text1"/>
                <w:vertAlign w:val="superscript"/>
                <w14:textFill>
                  <w14:solidFill>
                    <w14:schemeClr w14:val="tx1"/>
                  </w14:solidFill>
                </w14:textFill>
              </w:rPr>
              <w:t>3</w:t>
            </w:r>
          </w:p>
        </w:tc>
        <w:tc>
          <w:tcPr>
            <w:tcW w:w="2205" w:type="pct"/>
            <w:tcBorders>
              <w:top w:val="single" w:color="auto" w:sz="4" w:space="0"/>
              <w:bottom w:val="single" w:color="auto" w:sz="4" w:space="0"/>
              <w:tl2br w:val="nil"/>
              <w:tr2bl w:val="nil"/>
            </w:tcBorders>
            <w:vAlign w:val="center"/>
          </w:tcPr>
          <w:p w14:paraId="4B95468A">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《大气污染物综合排放标准》</w:t>
            </w:r>
          </w:p>
          <w:p w14:paraId="22FC9EF3">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（GB16297-1996）表2无组织排放监控浓度限值</w:t>
            </w:r>
          </w:p>
        </w:tc>
      </w:tr>
      <w:tr w14:paraId="54EBAE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32" w:type="pct"/>
            <w:vMerge w:val="continue"/>
            <w:tcBorders>
              <w:top w:val="single" w:color="auto" w:sz="4" w:space="0"/>
              <w:bottom w:val="single" w:color="auto" w:sz="4" w:space="0"/>
              <w:tl2br w:val="nil"/>
              <w:tr2bl w:val="nil"/>
            </w:tcBorders>
            <w:vAlign w:val="center"/>
          </w:tcPr>
          <w:p w14:paraId="043E0B52">
            <w:pPr>
              <w:pStyle w:val="55"/>
              <w:bidi w:val="0"/>
              <w:rPr>
                <w:rFonts w:hint="default"/>
                <w:color w:val="000000" w:themeColor="text1"/>
                <w14:textFill>
                  <w14:solidFill>
                    <w14:schemeClr w14:val="tx1"/>
                  </w14:solidFill>
                </w14:textFill>
              </w:rPr>
            </w:pPr>
          </w:p>
        </w:tc>
        <w:tc>
          <w:tcPr>
            <w:tcW w:w="664" w:type="pct"/>
            <w:tcBorders>
              <w:top w:val="single" w:color="auto" w:sz="4" w:space="0"/>
              <w:bottom w:val="single" w:color="auto" w:sz="4" w:space="0"/>
              <w:tl2br w:val="nil"/>
              <w:tr2bl w:val="nil"/>
            </w:tcBorders>
            <w:vAlign w:val="center"/>
          </w:tcPr>
          <w:p w14:paraId="1748A003">
            <w:pPr>
              <w:pStyle w:val="55"/>
              <w:bidi w:val="0"/>
              <w:rPr>
                <w:rFonts w:hint="default"/>
                <w:color w:val="000000" w:themeColor="text1"/>
                <w14:textFill>
                  <w14:solidFill>
                    <w14:schemeClr w14:val="tx1"/>
                  </w14:solidFill>
                </w14:textFill>
              </w:rPr>
            </w:pPr>
            <w:r>
              <w:rPr>
                <w:rFonts w:hint="default"/>
                <w:color w:val="000000" w:themeColor="text1"/>
                <w:lang w:val="en-US" w:eastAsia="zh-CN"/>
                <w14:textFill>
                  <w14:solidFill>
                    <w14:schemeClr w14:val="tx1"/>
                  </w14:solidFill>
                </w14:textFill>
              </w:rPr>
              <w:t>臭气浓度</w:t>
            </w:r>
          </w:p>
        </w:tc>
        <w:tc>
          <w:tcPr>
            <w:tcW w:w="1597" w:type="pct"/>
            <w:gridSpan w:val="2"/>
            <w:tcBorders>
              <w:top w:val="single" w:color="auto" w:sz="4" w:space="0"/>
              <w:tl2br w:val="nil"/>
              <w:tr2bl w:val="nil"/>
            </w:tcBorders>
            <w:vAlign w:val="center"/>
          </w:tcPr>
          <w:p w14:paraId="73F862DE">
            <w:pPr>
              <w:pStyle w:val="55"/>
              <w:bidi w:val="0"/>
              <w:rPr>
                <w:rFonts w:hint="default"/>
                <w:color w:val="000000" w:themeColor="text1"/>
                <w:lang w:val="en-US" w:eastAsia="zh-CN"/>
                <w14:textFill>
                  <w14:solidFill>
                    <w14:schemeClr w14:val="tx1"/>
                  </w14:solidFill>
                </w14:textFill>
              </w:rPr>
            </w:pPr>
            <w:r>
              <w:rPr>
                <w:rFonts w:hint="default"/>
                <w:color w:val="000000" w:themeColor="text1"/>
                <w14:textFill>
                  <w14:solidFill>
                    <w14:schemeClr w14:val="tx1"/>
                  </w14:solidFill>
                </w14:textFill>
              </w:rPr>
              <w:t>≤</w:t>
            </w:r>
            <w:r>
              <w:rPr>
                <w:rFonts w:hint="default"/>
                <w:color w:val="000000" w:themeColor="text1"/>
                <w:lang w:val="en-US" w:eastAsia="zh-CN"/>
                <w14:textFill>
                  <w14:solidFill>
                    <w14:schemeClr w14:val="tx1"/>
                  </w14:solidFill>
                </w14:textFill>
              </w:rPr>
              <w:t>20</w:t>
            </w:r>
            <w:r>
              <w:rPr>
                <w:rFonts w:hint="default"/>
                <w:color w:val="000000" w:themeColor="text1"/>
                <w14:textFill>
                  <w14:solidFill>
                    <w14:schemeClr w14:val="tx1"/>
                  </w14:solidFill>
                </w14:textFill>
              </w:rPr>
              <w:t>（无量纲）</w:t>
            </w:r>
          </w:p>
        </w:tc>
        <w:tc>
          <w:tcPr>
            <w:tcW w:w="2205" w:type="pct"/>
            <w:tcBorders>
              <w:top w:val="single" w:color="auto" w:sz="4" w:space="0"/>
              <w:bottom w:val="single" w:color="auto" w:sz="4" w:space="0"/>
              <w:tl2br w:val="nil"/>
              <w:tr2bl w:val="nil"/>
            </w:tcBorders>
            <w:vAlign w:val="center"/>
          </w:tcPr>
          <w:p w14:paraId="7EC5D0B3">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w:t>
            </w:r>
            <w:r>
              <w:rPr>
                <w:rFonts w:hint="default"/>
                <w:color w:val="000000" w:themeColor="text1"/>
                <w:lang w:eastAsia="zh-CN"/>
                <w14:textFill>
                  <w14:solidFill>
                    <w14:schemeClr w14:val="tx1"/>
                  </w14:solidFill>
                </w14:textFill>
              </w:rPr>
              <w:t>恶臭污染物排放标准</w:t>
            </w:r>
            <w:r>
              <w:rPr>
                <w:rFonts w:hint="default"/>
                <w:color w:val="000000" w:themeColor="text1"/>
                <w14:textFill>
                  <w14:solidFill>
                    <w14:schemeClr w14:val="tx1"/>
                  </w14:solidFill>
                </w14:textFill>
              </w:rPr>
              <w:t>》</w:t>
            </w:r>
            <w:r>
              <w:rPr>
                <w:rFonts w:hint="default"/>
                <w:color w:val="000000" w:themeColor="text1"/>
                <w:lang w:eastAsia="zh-CN"/>
                <w14:textFill>
                  <w14:solidFill>
                    <w14:schemeClr w14:val="tx1"/>
                  </w14:solidFill>
                </w14:textFill>
              </w:rPr>
              <w:t>（</w:t>
            </w:r>
            <w:r>
              <w:rPr>
                <w:rFonts w:hint="default"/>
                <w:color w:val="000000" w:themeColor="text1"/>
                <w:lang w:val="en-US" w:eastAsia="zh-CN"/>
                <w14:textFill>
                  <w14:solidFill>
                    <w14:schemeClr w14:val="tx1"/>
                  </w14:solidFill>
                </w14:textFill>
              </w:rPr>
              <w:t>GB14554-93</w:t>
            </w:r>
            <w:r>
              <w:rPr>
                <w:rFonts w:hint="default"/>
                <w:color w:val="000000" w:themeColor="text1"/>
                <w:lang w:eastAsia="zh-CN"/>
                <w14:textFill>
                  <w14:solidFill>
                    <w14:schemeClr w14:val="tx1"/>
                  </w14:solidFill>
                </w14:textFill>
              </w:rPr>
              <w:t>）</w:t>
            </w:r>
            <w:r>
              <w:rPr>
                <w:rFonts w:hint="default"/>
                <w:color w:val="000000" w:themeColor="text1"/>
                <w:lang w:val="en-US" w:eastAsia="zh-CN"/>
                <w14:textFill>
                  <w14:solidFill>
                    <w14:schemeClr w14:val="tx1"/>
                  </w14:solidFill>
                </w14:textFill>
              </w:rPr>
              <w:t>表1恶臭污染物厂界标准值中二级新改扩建标准</w:t>
            </w:r>
          </w:p>
        </w:tc>
      </w:tr>
    </w:tbl>
    <w:p w14:paraId="1FBD36AF">
      <w:pPr>
        <w:pStyle w:val="47"/>
        <w:ind w:firstLine="482"/>
      </w:pPr>
      <w:r>
        <w:rPr>
          <w:rFonts w:hint="eastAsia" w:ascii="楷体" w:hAnsi="楷体" w:eastAsia="楷体" w:cs="楷体"/>
        </w:rPr>
        <w:t>③</w:t>
      </w:r>
      <w:r>
        <w:rPr>
          <w:rFonts w:hint="eastAsia"/>
        </w:rPr>
        <w:t>噪声</w:t>
      </w:r>
      <w:r>
        <w:t>排放标准</w:t>
      </w:r>
    </w:p>
    <w:p w14:paraId="7C15E9DD">
      <w:pPr>
        <w:pStyle w:val="47"/>
        <w:ind w:firstLine="48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运营期厂界噪声执行《工业企业厂界环境噪声排放标准》（</w:t>
      </w:r>
      <w:r>
        <w:rPr>
          <w:color w:val="000000" w:themeColor="text1"/>
          <w14:textFill>
            <w14:solidFill>
              <w14:schemeClr w14:val="tx1"/>
            </w14:solidFill>
          </w14:textFill>
        </w:rPr>
        <w:t>GB12348-2008</w:t>
      </w:r>
      <w:r>
        <w:rPr>
          <w:rFonts w:hint="eastAsia"/>
          <w:color w:val="000000" w:themeColor="text1"/>
          <w14:textFill>
            <w14:solidFill>
              <w14:schemeClr w14:val="tx1"/>
            </w14:solidFill>
          </w14:textFill>
        </w:rPr>
        <w:t>）</w:t>
      </w:r>
      <w:r>
        <w:rPr>
          <w:rFonts w:hint="eastAsia"/>
          <w:color w:val="000000" w:themeColor="text1"/>
          <w:lang w:val="en-US" w:eastAsia="zh-CN"/>
          <w14:textFill>
            <w14:solidFill>
              <w14:schemeClr w14:val="tx1"/>
            </w14:solidFill>
          </w14:textFill>
        </w:rPr>
        <w:t>2</w:t>
      </w:r>
      <w:r>
        <w:rPr>
          <w:rFonts w:hint="eastAsia"/>
          <w:color w:val="000000" w:themeColor="text1"/>
          <w14:textFill>
            <w14:solidFill>
              <w14:schemeClr w14:val="tx1"/>
            </w14:solidFill>
          </w14:textFill>
        </w:rPr>
        <w:t>类标准</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具体限值见下表。</w:t>
      </w:r>
    </w:p>
    <w:p w14:paraId="6EC47C6F">
      <w:pPr>
        <w:pStyle w:val="94"/>
        <w:bidi w:val="0"/>
        <w:ind w:left="0" w:leftChars="0" w:firstLine="0" w:firstLineChars="0"/>
      </w:pPr>
      <w:r>
        <w:rPr>
          <w:rFonts w:hint="eastAsia"/>
        </w:rPr>
        <w:t>工业企业厂界环境噪声排放限值</w:t>
      </w:r>
      <w:r>
        <w:t xml:space="preserve">    </w:t>
      </w:r>
      <w:r>
        <w:rPr>
          <w:rFonts w:hint="eastAsia"/>
        </w:rPr>
        <w:t>单位：</w:t>
      </w:r>
      <w:r>
        <w:t>dB(A)</w:t>
      </w:r>
    </w:p>
    <w:tbl>
      <w:tblPr>
        <w:tblStyle w:val="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2107"/>
        <w:gridCol w:w="2861"/>
        <w:gridCol w:w="2228"/>
        <w:gridCol w:w="2092"/>
      </w:tblGrid>
      <w:tr w14:paraId="4BFAD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blHeader/>
          <w:jc w:val="center"/>
        </w:trPr>
        <w:tc>
          <w:tcPr>
            <w:tcW w:w="1134" w:type="pct"/>
            <w:vMerge w:val="restart"/>
            <w:shd w:val="clear" w:color="auto" w:fill="auto"/>
            <w:vAlign w:val="center"/>
          </w:tcPr>
          <w:p w14:paraId="131F8F96">
            <w:pPr>
              <w:pStyle w:val="55"/>
              <w:rPr>
                <w:rFonts w:hint="eastAsia" w:eastAsia="宋体"/>
                <w:color w:val="000000" w:themeColor="text1"/>
                <w:lang w:eastAsia="zh-CN"/>
                <w14:textFill>
                  <w14:solidFill>
                    <w14:schemeClr w14:val="tx1"/>
                  </w14:solidFill>
                </w14:textFill>
              </w:rPr>
            </w:pPr>
            <w:r>
              <w:rPr>
                <w:rFonts w:hint="eastAsia"/>
                <w:color w:val="000000" w:themeColor="text1"/>
                <w:lang w:val="en-US" w:eastAsia="zh-CN"/>
                <w14:textFill>
                  <w14:solidFill>
                    <w14:schemeClr w14:val="tx1"/>
                  </w14:solidFill>
                </w14:textFill>
              </w:rPr>
              <w:t>位置</w:t>
            </w:r>
          </w:p>
        </w:tc>
        <w:tc>
          <w:tcPr>
            <w:tcW w:w="1540" w:type="pct"/>
            <w:vMerge w:val="restart"/>
            <w:shd w:val="clear" w:color="auto" w:fill="auto"/>
            <w:vAlign w:val="center"/>
          </w:tcPr>
          <w:p w14:paraId="7C680492">
            <w:pPr>
              <w:pStyle w:val="55"/>
              <w:rPr>
                <w:color w:val="000000" w:themeColor="text1"/>
                <w14:textFill>
                  <w14:solidFill>
                    <w14:schemeClr w14:val="tx1"/>
                  </w14:solidFill>
                </w14:textFill>
              </w:rPr>
            </w:pPr>
            <w:r>
              <w:rPr>
                <w:rFonts w:hint="eastAsia"/>
                <w:color w:val="000000" w:themeColor="text1"/>
                <w14:textFill>
                  <w14:solidFill>
                    <w14:schemeClr w14:val="tx1"/>
                  </w14:solidFill>
                </w14:textFill>
              </w:rPr>
              <w:t>执行</w:t>
            </w:r>
            <w:r>
              <w:rPr>
                <w:color w:val="000000" w:themeColor="text1"/>
                <w14:textFill>
                  <w14:solidFill>
                    <w14:schemeClr w14:val="tx1"/>
                  </w14:solidFill>
                </w14:textFill>
              </w:rPr>
              <w:t>标准</w:t>
            </w:r>
            <w:r>
              <w:rPr>
                <w:rFonts w:hint="eastAsia"/>
                <w:color w:val="000000" w:themeColor="text1"/>
                <w14:textFill>
                  <w14:solidFill>
                    <w14:schemeClr w14:val="tx1"/>
                  </w14:solidFill>
                </w14:textFill>
              </w:rPr>
              <w:t>类别</w:t>
            </w:r>
          </w:p>
        </w:tc>
        <w:tc>
          <w:tcPr>
            <w:tcW w:w="2325" w:type="pct"/>
            <w:gridSpan w:val="2"/>
            <w:shd w:val="clear" w:color="auto" w:fill="auto"/>
            <w:vAlign w:val="center"/>
          </w:tcPr>
          <w:p w14:paraId="55564E87">
            <w:pPr>
              <w:pStyle w:val="55"/>
              <w:rPr>
                <w:color w:val="000000" w:themeColor="text1"/>
                <w14:textFill>
                  <w14:solidFill>
                    <w14:schemeClr w14:val="tx1"/>
                  </w14:solidFill>
                </w14:textFill>
              </w:rPr>
            </w:pPr>
            <w:r>
              <w:rPr>
                <w:rFonts w:hint="eastAsia"/>
                <w:color w:val="000000" w:themeColor="text1"/>
                <w14:textFill>
                  <w14:solidFill>
                    <w14:schemeClr w14:val="tx1"/>
                  </w14:solidFill>
                </w14:textFill>
              </w:rPr>
              <w:t>时段</w:t>
            </w:r>
          </w:p>
        </w:tc>
      </w:tr>
      <w:tr w14:paraId="3F4A5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blHeader/>
          <w:jc w:val="center"/>
        </w:trPr>
        <w:tc>
          <w:tcPr>
            <w:tcW w:w="1134" w:type="pct"/>
            <w:vMerge w:val="continue"/>
            <w:shd w:val="clear" w:color="auto" w:fill="auto"/>
            <w:vAlign w:val="center"/>
          </w:tcPr>
          <w:p w14:paraId="10DBD058">
            <w:pPr>
              <w:pStyle w:val="55"/>
              <w:rPr>
                <w:color w:val="000000" w:themeColor="text1"/>
                <w14:textFill>
                  <w14:solidFill>
                    <w14:schemeClr w14:val="tx1"/>
                  </w14:solidFill>
                </w14:textFill>
              </w:rPr>
            </w:pPr>
          </w:p>
        </w:tc>
        <w:tc>
          <w:tcPr>
            <w:tcW w:w="1540" w:type="pct"/>
            <w:vMerge w:val="continue"/>
            <w:shd w:val="clear" w:color="auto" w:fill="auto"/>
            <w:vAlign w:val="center"/>
          </w:tcPr>
          <w:p w14:paraId="1A20ABB7">
            <w:pPr>
              <w:pStyle w:val="55"/>
              <w:rPr>
                <w:color w:val="000000" w:themeColor="text1"/>
                <w14:textFill>
                  <w14:solidFill>
                    <w14:schemeClr w14:val="tx1"/>
                  </w14:solidFill>
                </w14:textFill>
              </w:rPr>
            </w:pPr>
          </w:p>
        </w:tc>
        <w:tc>
          <w:tcPr>
            <w:tcW w:w="1199" w:type="pct"/>
            <w:shd w:val="clear" w:color="auto" w:fill="auto"/>
            <w:vAlign w:val="center"/>
          </w:tcPr>
          <w:p w14:paraId="38E9118A">
            <w:pPr>
              <w:pStyle w:val="55"/>
              <w:rPr>
                <w:color w:val="000000" w:themeColor="text1"/>
                <w14:textFill>
                  <w14:solidFill>
                    <w14:schemeClr w14:val="tx1"/>
                  </w14:solidFill>
                </w14:textFill>
              </w:rPr>
            </w:pPr>
            <w:r>
              <w:rPr>
                <w:rFonts w:hint="eastAsia"/>
                <w:color w:val="000000" w:themeColor="text1"/>
                <w14:textFill>
                  <w14:solidFill>
                    <w14:schemeClr w14:val="tx1"/>
                  </w14:solidFill>
                </w14:textFill>
              </w:rPr>
              <w:t>昼间</w:t>
            </w:r>
          </w:p>
        </w:tc>
        <w:tc>
          <w:tcPr>
            <w:tcW w:w="1125" w:type="pct"/>
            <w:shd w:val="clear" w:color="auto" w:fill="auto"/>
            <w:vAlign w:val="center"/>
          </w:tcPr>
          <w:p w14:paraId="733804CF">
            <w:pPr>
              <w:pStyle w:val="55"/>
              <w:rPr>
                <w:color w:val="000000" w:themeColor="text1"/>
                <w14:textFill>
                  <w14:solidFill>
                    <w14:schemeClr w14:val="tx1"/>
                  </w14:solidFill>
                </w14:textFill>
              </w:rPr>
            </w:pPr>
            <w:r>
              <w:rPr>
                <w:rFonts w:hint="eastAsia"/>
                <w:color w:val="000000" w:themeColor="text1"/>
                <w14:textFill>
                  <w14:solidFill>
                    <w14:schemeClr w14:val="tx1"/>
                  </w14:solidFill>
                </w14:textFill>
              </w:rPr>
              <w:t>夜间</w:t>
            </w:r>
          </w:p>
        </w:tc>
      </w:tr>
      <w:tr w14:paraId="70F6D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jc w:val="center"/>
        </w:trPr>
        <w:tc>
          <w:tcPr>
            <w:tcW w:w="1134" w:type="pct"/>
            <w:shd w:val="clear" w:color="auto" w:fill="auto"/>
            <w:vAlign w:val="center"/>
          </w:tcPr>
          <w:p w14:paraId="0176A132">
            <w:pPr>
              <w:pStyle w:val="55"/>
              <w:rPr>
                <w:color w:val="000000" w:themeColor="text1"/>
                <w14:textFill>
                  <w14:solidFill>
                    <w14:schemeClr w14:val="tx1"/>
                  </w14:solidFill>
                </w14:textFill>
              </w:rPr>
            </w:pPr>
            <w:r>
              <w:rPr>
                <w:color w:val="000000" w:themeColor="text1"/>
                <w:u w:val="none"/>
                <w14:textFill>
                  <w14:solidFill>
                    <w14:schemeClr w14:val="tx1"/>
                  </w14:solidFill>
                </w14:textFill>
              </w:rPr>
              <w:t>厂界</w:t>
            </w:r>
          </w:p>
        </w:tc>
        <w:tc>
          <w:tcPr>
            <w:tcW w:w="1540" w:type="pct"/>
            <w:shd w:val="clear" w:color="auto" w:fill="auto"/>
            <w:vAlign w:val="center"/>
          </w:tcPr>
          <w:p w14:paraId="721C41AD">
            <w:pPr>
              <w:pStyle w:val="55"/>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2</w:t>
            </w:r>
            <w:r>
              <w:rPr>
                <w:rFonts w:hint="eastAsia"/>
                <w:color w:val="000000" w:themeColor="text1"/>
                <w14:textFill>
                  <w14:solidFill>
                    <w14:schemeClr w14:val="tx1"/>
                  </w14:solidFill>
                </w14:textFill>
              </w:rPr>
              <w:t>类</w:t>
            </w:r>
          </w:p>
        </w:tc>
        <w:tc>
          <w:tcPr>
            <w:tcW w:w="1199" w:type="pct"/>
            <w:shd w:val="clear" w:color="auto" w:fill="auto"/>
            <w:vAlign w:val="center"/>
          </w:tcPr>
          <w:p w14:paraId="5FDCCB41">
            <w:pPr>
              <w:pStyle w:val="55"/>
              <w:rPr>
                <w:rFonts w:hint="default" w:eastAsia="楷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60</w:t>
            </w:r>
          </w:p>
        </w:tc>
        <w:tc>
          <w:tcPr>
            <w:tcW w:w="1125" w:type="pct"/>
            <w:shd w:val="clear" w:color="auto" w:fill="auto"/>
            <w:vAlign w:val="center"/>
          </w:tcPr>
          <w:p w14:paraId="35364C69">
            <w:pPr>
              <w:pStyle w:val="55"/>
              <w:rPr>
                <w:rFonts w:hint="eastAsia" w:eastAsia="楷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5</w:t>
            </w:r>
            <w:r>
              <w:rPr>
                <w:rFonts w:hint="eastAsia"/>
                <w:color w:val="000000" w:themeColor="text1"/>
                <w:lang w:val="en-US" w:eastAsia="zh-CN"/>
                <w14:textFill>
                  <w14:solidFill>
                    <w14:schemeClr w14:val="tx1"/>
                  </w14:solidFill>
                </w14:textFill>
              </w:rPr>
              <w:t>0</w:t>
            </w:r>
          </w:p>
        </w:tc>
      </w:tr>
    </w:tbl>
    <w:p w14:paraId="10DE0AB0">
      <w:pPr>
        <w:pStyle w:val="47"/>
        <w:ind w:firstLine="482"/>
      </w:pPr>
      <w:r>
        <w:rPr>
          <w:rFonts w:hint="eastAsia"/>
        </w:rPr>
        <w:t>（4）固体废物相关</w:t>
      </w:r>
      <w:r>
        <w:t>标准</w:t>
      </w:r>
    </w:p>
    <w:p w14:paraId="51F28B9F">
      <w:pPr>
        <w:pStyle w:val="47"/>
        <w:ind w:firstLine="482"/>
        <w:rPr>
          <w:rFonts w:hint="eastAsia"/>
        </w:rPr>
      </w:pPr>
      <w:r>
        <w:rPr>
          <w:rFonts w:hint="eastAsia"/>
        </w:rPr>
        <w:t>一般工业固体废物执行《一般工业固体废物贮存和填埋污染控制标准》（GB18599-2020）；危险废物执行《危险废物贮存污染控制标准》（GB18597-2023）。</w:t>
      </w:r>
    </w:p>
    <w:p w14:paraId="09C7693D">
      <w:pPr>
        <w:pStyle w:val="90"/>
        <w:bidi w:val="0"/>
        <w:ind w:left="0" w:leftChars="0" w:firstLine="0" w:firstLineChars="0"/>
        <w:rPr>
          <w:rFonts w:hint="eastAsia"/>
        </w:rPr>
      </w:pPr>
      <w:bookmarkStart w:id="36" w:name="_Toc11869"/>
      <w:r>
        <w:rPr>
          <w:rFonts w:hint="eastAsia"/>
        </w:rPr>
        <w:t>产业政策和规划相符性分析</w:t>
      </w:r>
      <w:bookmarkEnd w:id="36"/>
    </w:p>
    <w:p w14:paraId="61A8C5D1">
      <w:pPr>
        <w:pStyle w:val="92"/>
        <w:bidi w:val="0"/>
        <w:ind w:left="0" w:leftChars="0" w:firstLine="0" w:firstLineChars="0"/>
      </w:pPr>
      <w:r>
        <w:rPr>
          <w:rFonts w:hint="eastAsia"/>
        </w:rPr>
        <w:t>产业政策符合性分析</w:t>
      </w:r>
    </w:p>
    <w:p w14:paraId="2EF830D3">
      <w:pPr>
        <w:pStyle w:val="47"/>
        <w:ind w:firstLine="482"/>
        <w:rPr>
          <w:rFonts w:hint="default"/>
          <w:color w:val="000000" w:themeColor="text1"/>
          <w:highlight w:val="none"/>
          <w:lang w:val="en-US"/>
          <w14:textFill>
            <w14:solidFill>
              <w14:schemeClr w14:val="tx1"/>
            </w14:solidFill>
          </w14:textFill>
        </w:rPr>
      </w:pPr>
      <w:r>
        <w:rPr>
          <w:rFonts w:hint="eastAsia"/>
          <w:color w:val="000000" w:themeColor="text1"/>
          <w14:textFill>
            <w14:solidFill>
              <w14:schemeClr w14:val="tx1"/>
            </w14:solidFill>
          </w14:textFill>
        </w:rPr>
        <w:t>依据根据《产业结构调整指导目录（2024年本）》（国家发展和改革委员会第7号令），项目属于</w:t>
      </w:r>
      <w:r>
        <w:rPr>
          <w:rFonts w:hint="eastAsia"/>
          <w:color w:val="000000" w:themeColor="text1"/>
          <w:lang w:val="en-US" w:eastAsia="zh-CN"/>
          <w14:textFill>
            <w14:solidFill>
              <w14:schemeClr w14:val="tx1"/>
            </w14:solidFill>
          </w14:textFill>
        </w:rPr>
        <w:t>第一类“鼓励类”中“四十二、环境保护与资源节约综合利用”-“8．废弃物循环利用：废钢铁、废有色金属、废纸、废橡胶、废玻璃、废塑料、废旧木材以及报废汽车、废弃电器电子产品、废旧船舶、废旧电池、废轮胎、废弃木质材料、废旧农具、废旧纺织品及纺织废料和边角料、废旧光伏组件、废旧风机叶片、废弃油脂等城市典型废弃物循环利用、技术设备开</w:t>
      </w:r>
      <w:r>
        <w:rPr>
          <w:rFonts w:hint="eastAsia"/>
          <w:color w:val="000000" w:themeColor="text1"/>
          <w:highlight w:val="none"/>
          <w:lang w:val="en-US" w:eastAsia="zh-CN"/>
          <w14:textFill>
            <w14:solidFill>
              <w14:schemeClr w14:val="tx1"/>
            </w14:solidFill>
          </w14:textFill>
        </w:rPr>
        <w:t>发及应用”，不属于《市场准入负面清单》（2022年）中禁止准入类和许可准入类。项目于2025年1月20日在顺平县行政审批局备案（顺行审备字〔2025〕2号）。项目符合国家和地方产业政策要求。</w:t>
      </w:r>
    </w:p>
    <w:p w14:paraId="6C58B544">
      <w:pPr>
        <w:pStyle w:val="92"/>
        <w:bidi w:val="0"/>
        <w:ind w:left="0" w:leftChars="0" w:firstLine="0" w:firstLineChars="0"/>
        <w:rPr>
          <w:rFonts w:hint="eastAsia"/>
        </w:rPr>
      </w:pPr>
      <w:r>
        <w:rPr>
          <w:rFonts w:hint="eastAsia"/>
          <w:lang w:val="en-US" w:eastAsia="zh-CN"/>
        </w:rPr>
        <w:t>规划</w:t>
      </w:r>
      <w:r>
        <w:rPr>
          <w:rFonts w:hint="eastAsia"/>
        </w:rPr>
        <w:t>符合性分析</w:t>
      </w:r>
    </w:p>
    <w:p w14:paraId="27C478E0">
      <w:pPr>
        <w:pStyle w:val="47"/>
        <w:rPr>
          <w:rFonts w:hint="eastAsia"/>
        </w:rPr>
      </w:pPr>
      <w:r>
        <w:rPr>
          <w:rFonts w:hint="eastAsia"/>
          <w:lang w:eastAsia="zh-CN"/>
        </w:rPr>
        <w:t>（</w:t>
      </w:r>
      <w:r>
        <w:rPr>
          <w:rFonts w:hint="eastAsia"/>
          <w:lang w:val="en-US" w:eastAsia="zh-CN"/>
        </w:rPr>
        <w:t>1</w:t>
      </w:r>
      <w:r>
        <w:rPr>
          <w:rFonts w:hint="eastAsia"/>
          <w:lang w:eastAsia="zh-CN"/>
        </w:rPr>
        <w:t>）</w:t>
      </w:r>
      <w:r>
        <w:rPr>
          <w:rFonts w:hint="eastAsia"/>
        </w:rPr>
        <w:t>建设项目与园区规划符合性</w:t>
      </w:r>
    </w:p>
    <w:p w14:paraId="1E8D9C7E">
      <w:pPr>
        <w:pStyle w:val="47"/>
        <w:rPr>
          <w:rFonts w:hint="default" w:ascii="Times New Roman" w:hAnsi="Times New Roman" w:eastAsia="楷体" w:cs="Times New Roman"/>
        </w:rPr>
      </w:pPr>
      <w:r>
        <w:rPr>
          <w:rFonts w:hint="default" w:ascii="Times New Roman" w:hAnsi="Times New Roman" w:eastAsia="楷体" w:cs="Times New Roman"/>
        </w:rPr>
        <w:t>顺平县塑料产业循环经济园区分为南园与北园</w:t>
      </w:r>
      <w:r>
        <w:rPr>
          <w:rFonts w:hint="default" w:ascii="Times New Roman" w:hAnsi="Times New Roman" w:eastAsia="楷体" w:cs="Times New Roman"/>
          <w:lang w:eastAsia="zh-CN"/>
        </w:rPr>
        <w:t>，</w:t>
      </w:r>
      <w:r>
        <w:rPr>
          <w:rFonts w:hint="default" w:ascii="Times New Roman" w:hAnsi="Times New Roman" w:eastAsia="楷体" w:cs="Times New Roman"/>
        </w:rPr>
        <w:t>选址于顺高路以东、才苏路以西、曲逆河以北区域。北园位于顺平县城区东侧4.7km处；南园，选址于顺高路以东、高于铺、大辛店、向阳、白庄四村中间区域。南园位于北园东南侧3.3km处。</w:t>
      </w:r>
    </w:p>
    <w:p w14:paraId="2420ED83">
      <w:pPr>
        <w:pStyle w:val="47"/>
        <w:rPr>
          <w:rFonts w:hint="default" w:ascii="Times New Roman" w:hAnsi="Times New Roman" w:eastAsia="楷体" w:cs="Times New Roman"/>
        </w:rPr>
      </w:pPr>
      <w:r>
        <w:rPr>
          <w:rFonts w:hint="default" w:ascii="Times New Roman" w:hAnsi="Times New Roman" w:eastAsia="楷体" w:cs="Times New Roman"/>
          <w:lang w:val="en-US" w:eastAsia="zh-CN"/>
        </w:rPr>
        <w:t>项目位于顺平县塑料产业循环经济园区（北区）内，因此仅</w:t>
      </w:r>
      <w:r>
        <w:rPr>
          <w:rFonts w:hint="default" w:ascii="Times New Roman" w:hAnsi="Times New Roman" w:eastAsia="楷体" w:cs="Times New Roman"/>
        </w:rPr>
        <w:t>对北园进行分析。</w:t>
      </w:r>
    </w:p>
    <w:p w14:paraId="2AD18929">
      <w:pPr>
        <w:pStyle w:val="47"/>
        <w:rPr>
          <w:rFonts w:hint="default" w:ascii="Times New Roman" w:hAnsi="Times New Roman" w:eastAsia="楷体" w:cs="Times New Roman"/>
        </w:rPr>
      </w:pPr>
      <w:r>
        <w:rPr>
          <w:rFonts w:hint="default" w:ascii="Times New Roman" w:hAnsi="Times New Roman" w:eastAsia="楷体" w:cs="Times New Roman"/>
        </w:rPr>
        <w:t>①园区产业定位符合性分析</w:t>
      </w:r>
    </w:p>
    <w:p w14:paraId="024BA4A9">
      <w:pPr>
        <w:pStyle w:val="47"/>
        <w:rPr>
          <w:rFonts w:hint="default" w:ascii="Times New Roman" w:hAnsi="Times New Roman" w:eastAsia="楷体" w:cs="Times New Roman"/>
        </w:rPr>
      </w:pPr>
      <w:r>
        <w:rPr>
          <w:rFonts w:hint="default" w:ascii="Times New Roman" w:hAnsi="Times New Roman" w:eastAsia="楷体" w:cs="Times New Roman"/>
        </w:rPr>
        <w:t>顺平县塑料产业循环经济园区北园产业定位：主要发展塑料制品及废旧塑料回收再生产业。</w:t>
      </w:r>
    </w:p>
    <w:p w14:paraId="1F0E8A68">
      <w:pPr>
        <w:pStyle w:val="47"/>
        <w:rPr>
          <w:rFonts w:hint="default" w:ascii="Times New Roman" w:hAnsi="Times New Roman" w:eastAsia="楷体" w:cs="Times New Roman"/>
        </w:rPr>
      </w:pPr>
      <w:r>
        <w:rPr>
          <w:rFonts w:hint="default" w:ascii="Times New Roman" w:hAnsi="Times New Roman" w:eastAsia="楷体" w:cs="Times New Roman"/>
          <w:b/>
          <w:bCs/>
        </w:rPr>
        <w:t>符合性分析：</w:t>
      </w:r>
      <w:r>
        <w:rPr>
          <w:rFonts w:hint="default" w:ascii="Times New Roman" w:hAnsi="Times New Roman" w:eastAsia="楷体" w:cs="Times New Roman"/>
          <w:b w:val="0"/>
          <w:bCs w:val="0"/>
        </w:rPr>
        <w:t>项</w:t>
      </w:r>
      <w:r>
        <w:rPr>
          <w:rFonts w:hint="default" w:ascii="Times New Roman" w:hAnsi="Times New Roman" w:eastAsia="楷体" w:cs="Times New Roman"/>
        </w:rPr>
        <w:t>目位于顺平县塑料产业循环经济园区北园，</w:t>
      </w:r>
      <w:r>
        <w:rPr>
          <w:rFonts w:hint="default" w:ascii="Times New Roman" w:hAnsi="Times New Roman" w:eastAsia="楷体" w:cs="Times New Roman"/>
          <w:lang w:val="en-US" w:eastAsia="zh-CN"/>
        </w:rPr>
        <w:t>属于塑料制品业，主要以废旧PVC塑料、PVC颗粒、增塑剂、石蜡等原料生产PVC电缆颗粒，</w:t>
      </w:r>
      <w:r>
        <w:rPr>
          <w:rFonts w:hint="default" w:ascii="Times New Roman" w:hAnsi="Times New Roman" w:eastAsia="楷体" w:cs="Times New Roman"/>
        </w:rPr>
        <w:t>项目符合园区产业定位。</w:t>
      </w:r>
    </w:p>
    <w:p w14:paraId="21E66F9C">
      <w:pPr>
        <w:pStyle w:val="47"/>
        <w:rPr>
          <w:rFonts w:hint="default" w:ascii="Times New Roman" w:hAnsi="Times New Roman" w:eastAsia="楷体" w:cs="Times New Roman"/>
        </w:rPr>
      </w:pPr>
      <w:r>
        <w:rPr>
          <w:rFonts w:hint="default" w:ascii="Times New Roman" w:hAnsi="Times New Roman" w:eastAsia="楷体" w:cs="Times New Roman"/>
        </w:rPr>
        <w:t>②园区规划用地布局符合性分析</w:t>
      </w:r>
    </w:p>
    <w:p w14:paraId="5F15C7A7">
      <w:pPr>
        <w:pStyle w:val="47"/>
        <w:rPr>
          <w:rFonts w:hint="default" w:ascii="Times New Roman" w:hAnsi="Times New Roman" w:eastAsia="楷体" w:cs="Times New Roman"/>
        </w:rPr>
      </w:pPr>
      <w:r>
        <w:rPr>
          <w:rFonts w:hint="default" w:ascii="Times New Roman" w:hAnsi="Times New Roman" w:eastAsia="楷体" w:cs="Times New Roman"/>
        </w:rPr>
        <w:t>顺平县塑料产业循环经济园区北园用地布局规划：北园以塑料精加工和塑料颗粒加工为主，规划工业用地共55.12公顷，占北园规划建设用地总面积的72.97%。除集中用于管理办公、配套服务、基础设施用地以及居住区外，全部规划为二类工业用地。进园区项目选址应符合工业区用地规划要求。</w:t>
      </w:r>
    </w:p>
    <w:p w14:paraId="1DE81734">
      <w:pPr>
        <w:pStyle w:val="47"/>
        <w:rPr>
          <w:rFonts w:hint="default" w:ascii="Times New Roman" w:hAnsi="Times New Roman" w:eastAsia="楷体" w:cs="Times New Roman"/>
          <w:highlight w:val="none"/>
        </w:rPr>
      </w:pPr>
      <w:r>
        <w:rPr>
          <w:rFonts w:hint="default" w:ascii="Times New Roman" w:hAnsi="Times New Roman" w:eastAsia="楷体" w:cs="Times New Roman"/>
          <w:b/>
          <w:bCs/>
          <w:highlight w:val="none"/>
        </w:rPr>
        <w:t>符合性分析：</w:t>
      </w:r>
      <w:r>
        <w:rPr>
          <w:rFonts w:hint="default" w:ascii="Times New Roman" w:hAnsi="Times New Roman" w:eastAsia="楷体" w:cs="Times New Roman"/>
          <w:b w:val="0"/>
          <w:bCs w:val="0"/>
          <w:highlight w:val="none"/>
        </w:rPr>
        <w:t>项</w:t>
      </w:r>
      <w:r>
        <w:rPr>
          <w:rFonts w:hint="default" w:ascii="Times New Roman" w:hAnsi="Times New Roman" w:eastAsia="楷体" w:cs="Times New Roman"/>
          <w:highlight w:val="none"/>
        </w:rPr>
        <w:t>目位于顺平县塑料产业循环经济园区北园，</w:t>
      </w:r>
      <w:r>
        <w:rPr>
          <w:rFonts w:hint="default" w:ascii="Times New Roman" w:hAnsi="Times New Roman" w:eastAsia="楷体" w:cs="Times New Roman"/>
          <w:highlight w:val="none"/>
          <w:lang w:val="en-US" w:eastAsia="zh-CN"/>
        </w:rPr>
        <w:t>租赁河</w:t>
      </w:r>
      <w:r>
        <w:rPr>
          <w:rFonts w:hint="default" w:ascii="Times New Roman" w:hAnsi="Times New Roman" w:eastAsia="楷体" w:cs="Times New Roman"/>
          <w:highlight w:val="none"/>
          <w:u w:val="none"/>
          <w:lang w:val="en-US" w:eastAsia="zh-CN"/>
        </w:rPr>
        <w:t>北凯巍塑业有限公司场地，</w:t>
      </w:r>
      <w:r>
        <w:rPr>
          <w:rFonts w:hint="default" w:ascii="Times New Roman" w:hAnsi="Times New Roman" w:eastAsia="楷体" w:cs="Times New Roman"/>
          <w:highlight w:val="none"/>
        </w:rPr>
        <w:t>占地面积</w:t>
      </w:r>
      <w:r>
        <w:rPr>
          <w:rFonts w:hint="default" w:ascii="Times New Roman" w:hAnsi="Times New Roman" w:eastAsia="楷体" w:cs="Times New Roman"/>
          <w:highlight w:val="none"/>
          <w:u w:val="none"/>
          <w:lang w:val="en-US" w:eastAsia="zh-CN"/>
        </w:rPr>
        <w:t>9000m</w:t>
      </w:r>
      <w:r>
        <w:rPr>
          <w:rFonts w:hint="default" w:ascii="Times New Roman" w:hAnsi="Times New Roman" w:eastAsia="楷体" w:cs="Times New Roman"/>
          <w:highlight w:val="none"/>
          <w:u w:val="none"/>
          <w:vertAlign w:val="superscript"/>
          <w:lang w:val="en-US" w:eastAsia="zh-CN"/>
        </w:rPr>
        <w:t>2</w:t>
      </w:r>
      <w:r>
        <w:rPr>
          <w:rFonts w:hint="default" w:ascii="Times New Roman" w:hAnsi="Times New Roman" w:eastAsia="楷体" w:cs="Times New Roman"/>
          <w:highlight w:val="none"/>
          <w:lang w:eastAsia="zh-CN"/>
        </w:rPr>
        <w:t>，</w:t>
      </w:r>
      <w:r>
        <w:rPr>
          <w:rFonts w:hint="eastAsia" w:ascii="Times New Roman" w:hAnsi="Times New Roman" w:cs="Times New Roman"/>
          <w:highlight w:val="none"/>
          <w:lang w:val="en-US" w:eastAsia="zh-CN"/>
        </w:rPr>
        <w:t>河</w:t>
      </w:r>
      <w:r>
        <w:rPr>
          <w:rFonts w:hint="default" w:ascii="Times New Roman" w:hAnsi="Times New Roman" w:eastAsia="楷体" w:cs="Times New Roman"/>
          <w:highlight w:val="none"/>
        </w:rPr>
        <w:t>北凯巍2009年9月20日已取得顺平县国土资源局出具的国有土地使用证</w:t>
      </w:r>
      <w:r>
        <w:rPr>
          <w:rFonts w:hint="eastAsia" w:ascii="Times New Roman" w:hAnsi="Times New Roman" w:cs="Times New Roman"/>
          <w:highlight w:val="none"/>
          <w:lang w:eastAsia="zh-CN"/>
        </w:rPr>
        <w:t>（</w:t>
      </w:r>
      <w:r>
        <w:rPr>
          <w:rFonts w:hint="eastAsia" w:ascii="Times New Roman" w:hAnsi="Times New Roman" w:cs="Times New Roman"/>
          <w:highlight w:val="none"/>
          <w:lang w:val="en-US" w:eastAsia="zh-CN"/>
        </w:rPr>
        <w:t>详见附件3</w:t>
      </w:r>
      <w:r>
        <w:rPr>
          <w:rFonts w:hint="eastAsia" w:ascii="Times New Roman" w:hAnsi="Times New Roman" w:cs="Times New Roman"/>
          <w:highlight w:val="none"/>
          <w:lang w:eastAsia="zh-CN"/>
        </w:rPr>
        <w:t>）</w:t>
      </w:r>
      <w:r>
        <w:rPr>
          <w:rFonts w:hint="eastAsia" w:cs="Times New Roman"/>
          <w:highlight w:val="none"/>
          <w:lang w:eastAsia="zh-CN"/>
        </w:rPr>
        <w:t>，</w:t>
      </w:r>
      <w:r>
        <w:rPr>
          <w:rFonts w:hint="default" w:ascii="Times New Roman" w:hAnsi="Times New Roman" w:eastAsia="楷体" w:cs="Times New Roman"/>
          <w:highlight w:val="none"/>
        </w:rPr>
        <w:t>用地性质为工业用地，《顺平县塑料产业循环经济园区规划环境影响报告书》</w:t>
      </w:r>
      <w:r>
        <w:rPr>
          <w:rFonts w:hint="default" w:ascii="Times New Roman" w:hAnsi="Times New Roman" w:eastAsia="楷体" w:cs="Times New Roman"/>
          <w:highlight w:val="none"/>
          <w:lang w:val="en-US" w:eastAsia="zh-CN"/>
        </w:rPr>
        <w:t>于2018年12月4日取得批复</w:t>
      </w:r>
      <w:r>
        <w:rPr>
          <w:rFonts w:hint="eastAsia" w:ascii="Times New Roman" w:hAnsi="Times New Roman" w:cs="Times New Roman"/>
          <w:highlight w:val="none"/>
          <w:lang w:val="en-US" w:eastAsia="zh-CN"/>
        </w:rPr>
        <w:t>，园区规划该地块用地性质</w:t>
      </w:r>
      <w:r>
        <w:rPr>
          <w:rFonts w:hint="default" w:ascii="Times New Roman" w:hAnsi="Times New Roman" w:eastAsia="楷体" w:cs="Times New Roman"/>
          <w:highlight w:val="none"/>
        </w:rPr>
        <w:t>为</w:t>
      </w:r>
      <w:r>
        <w:rPr>
          <w:rFonts w:hint="default" w:ascii="Times New Roman" w:hAnsi="Times New Roman" w:eastAsia="楷体" w:cs="Times New Roman"/>
          <w:highlight w:val="none"/>
          <w:lang w:val="en-US" w:eastAsia="zh-CN"/>
        </w:rPr>
        <w:t>行政办公用地</w:t>
      </w:r>
      <w:r>
        <w:rPr>
          <w:rFonts w:hint="default" w:ascii="Times New Roman" w:hAnsi="Times New Roman" w:eastAsia="楷体" w:cs="Times New Roman"/>
          <w:highlight w:val="none"/>
        </w:rPr>
        <w:t>，</w:t>
      </w:r>
      <w:r>
        <w:rPr>
          <w:rFonts w:hint="eastAsia" w:ascii="Times New Roman" w:hAnsi="Times New Roman" w:cs="Times New Roman"/>
          <w:highlight w:val="none"/>
          <w:lang w:val="en-US" w:eastAsia="zh-CN"/>
        </w:rPr>
        <w:t>项目</w:t>
      </w:r>
      <w:r>
        <w:rPr>
          <w:rFonts w:hint="default" w:ascii="Times New Roman" w:hAnsi="Times New Roman" w:eastAsia="楷体" w:cs="Times New Roman"/>
          <w:highlight w:val="none"/>
        </w:rPr>
        <w:t>虽不符合开发区用地规划，</w:t>
      </w:r>
      <w:r>
        <w:rPr>
          <w:rFonts w:hint="eastAsia" w:ascii="Times New Roman" w:hAnsi="Times New Roman" w:cs="Times New Roman"/>
          <w:highlight w:val="none"/>
          <w:lang w:val="en-US" w:eastAsia="zh-CN"/>
        </w:rPr>
        <w:t>但符合</w:t>
      </w:r>
      <w:r>
        <w:rPr>
          <w:rFonts w:hint="default" w:ascii="Times New Roman" w:hAnsi="Times New Roman" w:eastAsia="楷体" w:cs="Times New Roman"/>
          <w:highlight w:val="none"/>
        </w:rPr>
        <w:t>顺平县土地利用总体规划</w:t>
      </w:r>
      <w:r>
        <w:rPr>
          <w:rFonts w:hint="eastAsia" w:ascii="Times New Roman" w:hAnsi="Times New Roman" w:cs="Times New Roman"/>
          <w:highlight w:val="none"/>
          <w:lang w:val="en-US" w:eastAsia="zh-CN"/>
        </w:rPr>
        <w:t>及</w:t>
      </w:r>
      <w:r>
        <w:rPr>
          <w:rFonts w:hint="default" w:ascii="Times New Roman" w:hAnsi="Times New Roman" w:eastAsia="楷体" w:cs="Times New Roman"/>
          <w:highlight w:val="none"/>
        </w:rPr>
        <w:t>顺平县国土空间规划。</w:t>
      </w:r>
    </w:p>
    <w:p w14:paraId="21850DBB">
      <w:pPr>
        <w:pStyle w:val="47"/>
        <w:bidi w:val="0"/>
        <w:rPr>
          <w:rFonts w:hint="eastAsia"/>
          <w:lang w:val="en-GB" w:eastAsia="zh-CN"/>
        </w:rPr>
      </w:pPr>
      <w:r>
        <w:rPr>
          <w:rFonts w:hint="eastAsia"/>
          <w:lang w:val="en-US" w:eastAsia="zh-CN"/>
        </w:rPr>
        <w:t xml:space="preserve">（2）项目建设与园区负面清单对照分析 </w:t>
      </w:r>
    </w:p>
    <w:p w14:paraId="2FEB626F">
      <w:pPr>
        <w:pStyle w:val="47"/>
        <w:bidi w:val="0"/>
        <w:rPr>
          <w:rFonts w:hint="eastAsia"/>
          <w:lang w:val="en-US" w:eastAsia="zh-CN"/>
        </w:rPr>
      </w:pPr>
      <w:r>
        <w:rPr>
          <w:rFonts w:hint="eastAsia"/>
          <w:lang w:val="en-US" w:eastAsia="zh-CN"/>
        </w:rPr>
        <w:t>园区负面清单见下表。</w:t>
      </w:r>
    </w:p>
    <w:p w14:paraId="3196FD2A">
      <w:pPr>
        <w:pStyle w:val="94"/>
        <w:bidi w:val="0"/>
        <w:ind w:left="0" w:leftChars="0" w:firstLine="0" w:firstLineChars="0"/>
        <w:rPr>
          <w:rFonts w:hint="eastAsia"/>
        </w:rPr>
      </w:pPr>
      <w:r>
        <w:rPr>
          <w:rFonts w:hint="eastAsia"/>
        </w:rPr>
        <w:t>园区负面清单</w:t>
      </w:r>
    </w:p>
    <w:tbl>
      <w:tblPr>
        <w:tblStyle w:val="32"/>
        <w:tblW w:w="50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18"/>
        <w:gridCol w:w="574"/>
        <w:gridCol w:w="4514"/>
        <w:gridCol w:w="2650"/>
        <w:gridCol w:w="959"/>
      </w:tblGrid>
      <w:tr w14:paraId="71ABD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blHeader/>
          <w:jc w:val="center"/>
        </w:trPr>
        <w:tc>
          <w:tcPr>
            <w:tcW w:w="544" w:type="pct"/>
            <w:gridSpan w:val="2"/>
            <w:tcBorders>
              <w:top w:val="single" w:color="auto" w:sz="4" w:space="0"/>
              <w:left w:val="single" w:color="auto" w:sz="4" w:space="0"/>
              <w:bottom w:val="single" w:color="auto" w:sz="4" w:space="0"/>
              <w:right w:val="single" w:color="auto" w:sz="4" w:space="0"/>
            </w:tcBorders>
            <w:noWrap w:val="0"/>
            <w:vAlign w:val="center"/>
          </w:tcPr>
          <w:p w14:paraId="208634B3">
            <w:pPr>
              <w:pStyle w:val="55"/>
              <w:bidi w:val="0"/>
            </w:pPr>
            <w:r>
              <w:t>控制类别</w:t>
            </w:r>
          </w:p>
        </w:tc>
        <w:tc>
          <w:tcPr>
            <w:tcW w:w="2475" w:type="pct"/>
            <w:tcBorders>
              <w:top w:val="single" w:color="auto" w:sz="4" w:space="0"/>
              <w:left w:val="single" w:color="auto" w:sz="4" w:space="0"/>
              <w:bottom w:val="single" w:color="auto" w:sz="4" w:space="0"/>
              <w:right w:val="single" w:color="auto" w:sz="4" w:space="0"/>
            </w:tcBorders>
            <w:noWrap w:val="0"/>
            <w:vAlign w:val="center"/>
          </w:tcPr>
          <w:p w14:paraId="3F850893">
            <w:pPr>
              <w:pStyle w:val="55"/>
              <w:bidi w:val="0"/>
            </w:pPr>
            <w:r>
              <w:t>界定范围和划定标准说明</w:t>
            </w:r>
          </w:p>
        </w:tc>
        <w:tc>
          <w:tcPr>
            <w:tcW w:w="1453" w:type="pct"/>
            <w:tcBorders>
              <w:top w:val="single" w:color="auto" w:sz="4" w:space="0"/>
              <w:left w:val="single" w:color="auto" w:sz="4" w:space="0"/>
              <w:bottom w:val="single" w:color="auto" w:sz="4" w:space="0"/>
              <w:right w:val="single" w:color="auto" w:sz="4" w:space="0"/>
            </w:tcBorders>
            <w:noWrap w:val="0"/>
            <w:vAlign w:val="center"/>
          </w:tcPr>
          <w:p w14:paraId="6095158F">
            <w:pPr>
              <w:pStyle w:val="55"/>
              <w:bidi w:val="0"/>
            </w:pPr>
            <w:r>
              <w:rPr>
                <w:rFonts w:hint="eastAsia"/>
              </w:rPr>
              <w:t>项目情况</w:t>
            </w:r>
          </w:p>
        </w:tc>
        <w:tc>
          <w:tcPr>
            <w:tcW w:w="526" w:type="pct"/>
            <w:tcBorders>
              <w:top w:val="single" w:color="auto" w:sz="4" w:space="0"/>
              <w:left w:val="single" w:color="auto" w:sz="4" w:space="0"/>
              <w:bottom w:val="single" w:color="auto" w:sz="4" w:space="0"/>
              <w:right w:val="single" w:color="auto" w:sz="4" w:space="0"/>
            </w:tcBorders>
            <w:noWrap w:val="0"/>
            <w:vAlign w:val="center"/>
          </w:tcPr>
          <w:p w14:paraId="3EEF0E3B">
            <w:pPr>
              <w:pStyle w:val="55"/>
              <w:bidi w:val="0"/>
              <w:rPr>
                <w:rFonts w:hint="default" w:eastAsia="楷体"/>
                <w:lang w:val="en-US" w:eastAsia="zh-CN"/>
              </w:rPr>
            </w:pPr>
            <w:r>
              <w:rPr>
                <w:rFonts w:hint="eastAsia"/>
                <w:lang w:val="en-US" w:eastAsia="zh-CN"/>
              </w:rPr>
              <w:t>符合性</w:t>
            </w:r>
          </w:p>
        </w:tc>
      </w:tr>
      <w:tr w14:paraId="256E3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29" w:type="pct"/>
            <w:vMerge w:val="restart"/>
            <w:tcBorders>
              <w:top w:val="single" w:color="auto" w:sz="4" w:space="0"/>
              <w:left w:val="single" w:color="auto" w:sz="4" w:space="0"/>
              <w:right w:val="single" w:color="auto" w:sz="4" w:space="0"/>
            </w:tcBorders>
            <w:noWrap w:val="0"/>
            <w:vAlign w:val="center"/>
          </w:tcPr>
          <w:p w14:paraId="7629C02C">
            <w:pPr>
              <w:pStyle w:val="55"/>
              <w:bidi w:val="0"/>
            </w:pPr>
            <w:r>
              <w:t>禁止限制</w:t>
            </w:r>
          </w:p>
        </w:tc>
        <w:tc>
          <w:tcPr>
            <w:tcW w:w="315" w:type="pct"/>
            <w:tcBorders>
              <w:top w:val="single" w:color="auto" w:sz="4" w:space="0"/>
              <w:left w:val="single" w:color="auto" w:sz="4" w:space="0"/>
              <w:right w:val="single" w:color="auto" w:sz="4" w:space="0"/>
            </w:tcBorders>
            <w:noWrap w:val="0"/>
            <w:vAlign w:val="center"/>
          </w:tcPr>
          <w:p w14:paraId="77A2B912">
            <w:pPr>
              <w:pStyle w:val="55"/>
              <w:bidi w:val="0"/>
            </w:pPr>
            <w:r>
              <w:t>禁止发展产业（宏观）</w:t>
            </w:r>
          </w:p>
        </w:tc>
        <w:tc>
          <w:tcPr>
            <w:tcW w:w="2475" w:type="pct"/>
            <w:tcBorders>
              <w:top w:val="single" w:color="auto" w:sz="4" w:space="0"/>
              <w:left w:val="single" w:color="auto" w:sz="4" w:space="0"/>
              <w:bottom w:val="single" w:color="auto" w:sz="4" w:space="0"/>
              <w:right w:val="single" w:color="auto" w:sz="4" w:space="0"/>
            </w:tcBorders>
            <w:noWrap w:val="0"/>
            <w:vAlign w:val="center"/>
          </w:tcPr>
          <w:p w14:paraId="26578403">
            <w:pPr>
              <w:pStyle w:val="55"/>
              <w:bidi w:val="0"/>
              <w:jc w:val="both"/>
            </w:pPr>
            <w:r>
              <w:t>对于能源、资源消耗大，环境污染严重，可能对区域环境、其他产业造成恶劣影响的产业必须严格限制《产业结构调整指导目录（2013修改版）》中限制、淘汰类项目《关于抑制部分行业产能过剩和重复建设引导产业健康发展的若干意见》中规定的产能过剩行业《河北省新增限制和淘汰类产业目录（2015年版）》中规定淘汰类建设项目</w:t>
            </w:r>
          </w:p>
        </w:tc>
        <w:tc>
          <w:tcPr>
            <w:tcW w:w="1453" w:type="pct"/>
            <w:tcBorders>
              <w:top w:val="single" w:color="auto" w:sz="4" w:space="0"/>
              <w:left w:val="single" w:color="auto" w:sz="4" w:space="0"/>
              <w:bottom w:val="single" w:color="auto" w:sz="4" w:space="0"/>
              <w:right w:val="single" w:color="auto" w:sz="4" w:space="0"/>
            </w:tcBorders>
            <w:noWrap w:val="0"/>
            <w:vAlign w:val="center"/>
          </w:tcPr>
          <w:p w14:paraId="5F6A758C">
            <w:pPr>
              <w:pStyle w:val="55"/>
              <w:bidi w:val="0"/>
              <w:jc w:val="both"/>
              <w:rPr>
                <w:rFonts w:hint="eastAsia" w:eastAsia="楷体"/>
                <w:lang w:eastAsia="zh-CN"/>
              </w:rPr>
            </w:pPr>
            <w:r>
              <w:rPr>
                <w:rFonts w:hint="eastAsia"/>
              </w:rPr>
              <w:t>项目回收处置废塑料</w:t>
            </w:r>
            <w:r>
              <w:rPr>
                <w:rFonts w:hint="eastAsia"/>
                <w:lang w:val="en-US" w:eastAsia="zh-CN"/>
              </w:rPr>
              <w:t>主要为塑料制品加工生产的热塑性（主要为淋膜纸）边角料、残次品等，</w:t>
            </w:r>
            <w:r>
              <w:rPr>
                <w:rFonts w:hint="eastAsia"/>
              </w:rPr>
              <w:t>营运过程中电源、水资源消耗相对较少，不属于能源、资源消耗大，环境污染严重，禁止淘汰行业</w:t>
            </w:r>
            <w:r>
              <w:rPr>
                <w:rFonts w:hint="eastAsia"/>
                <w:lang w:eastAsia="zh-CN"/>
              </w:rPr>
              <w:t>。</w:t>
            </w:r>
          </w:p>
        </w:tc>
        <w:tc>
          <w:tcPr>
            <w:tcW w:w="526" w:type="pct"/>
            <w:tcBorders>
              <w:top w:val="single" w:color="auto" w:sz="4" w:space="0"/>
              <w:left w:val="single" w:color="auto" w:sz="4" w:space="0"/>
              <w:bottom w:val="single" w:color="auto" w:sz="4" w:space="0"/>
              <w:right w:val="single" w:color="auto" w:sz="4" w:space="0"/>
            </w:tcBorders>
            <w:noWrap w:val="0"/>
            <w:vAlign w:val="center"/>
          </w:tcPr>
          <w:p w14:paraId="69A15E5B">
            <w:pPr>
              <w:pStyle w:val="55"/>
              <w:bidi w:val="0"/>
              <w:rPr>
                <w:rFonts w:hint="eastAsia" w:eastAsia="楷体"/>
                <w:lang w:val="en-US" w:eastAsia="zh-CN"/>
              </w:rPr>
            </w:pPr>
            <w:r>
              <w:rPr>
                <w:rFonts w:hint="eastAsia"/>
                <w:lang w:val="en-US" w:eastAsia="zh-CN"/>
              </w:rPr>
              <w:t>符合</w:t>
            </w:r>
          </w:p>
        </w:tc>
      </w:tr>
      <w:tr w14:paraId="355C6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29" w:type="pct"/>
            <w:vMerge w:val="continue"/>
            <w:tcBorders>
              <w:left w:val="single" w:color="auto" w:sz="4" w:space="0"/>
              <w:right w:val="single" w:color="auto" w:sz="4" w:space="0"/>
            </w:tcBorders>
            <w:noWrap w:val="0"/>
            <w:vAlign w:val="center"/>
          </w:tcPr>
          <w:p w14:paraId="0AD076FF">
            <w:pPr>
              <w:pStyle w:val="55"/>
              <w:bidi w:val="0"/>
            </w:pPr>
          </w:p>
        </w:tc>
        <w:tc>
          <w:tcPr>
            <w:tcW w:w="315" w:type="pct"/>
            <w:tcBorders>
              <w:top w:val="single" w:color="auto" w:sz="4" w:space="0"/>
              <w:left w:val="single" w:color="auto" w:sz="4" w:space="0"/>
              <w:bottom w:val="single" w:color="auto" w:sz="4" w:space="0"/>
              <w:right w:val="single" w:color="auto" w:sz="4" w:space="0"/>
            </w:tcBorders>
            <w:noWrap w:val="0"/>
            <w:vAlign w:val="center"/>
          </w:tcPr>
          <w:p w14:paraId="522CAC2C">
            <w:pPr>
              <w:pStyle w:val="55"/>
              <w:bidi w:val="0"/>
            </w:pPr>
            <w:r>
              <w:t>限制发展产业（宏观）</w:t>
            </w:r>
          </w:p>
        </w:tc>
        <w:tc>
          <w:tcPr>
            <w:tcW w:w="2475" w:type="pct"/>
            <w:tcBorders>
              <w:top w:val="single" w:color="auto" w:sz="4" w:space="0"/>
              <w:left w:val="single" w:color="auto" w:sz="4" w:space="0"/>
              <w:bottom w:val="single" w:color="auto" w:sz="4" w:space="0"/>
              <w:right w:val="single" w:color="auto" w:sz="4" w:space="0"/>
            </w:tcBorders>
            <w:noWrap w:val="0"/>
            <w:vAlign w:val="center"/>
          </w:tcPr>
          <w:p w14:paraId="0C565426">
            <w:pPr>
              <w:pStyle w:val="55"/>
              <w:bidi w:val="0"/>
              <w:jc w:val="both"/>
            </w:pPr>
            <w:r>
              <w:t>对于能源、资源消耗和环境污染较严重，但有可行的办法并经努力后可以减轻，并且确实对区域经济发展和劳动就业具有较大意义的产业清洁生产水平达不到国内先进水平的项目</w:t>
            </w:r>
          </w:p>
        </w:tc>
        <w:tc>
          <w:tcPr>
            <w:tcW w:w="1453" w:type="pct"/>
            <w:tcBorders>
              <w:top w:val="single" w:color="auto" w:sz="4" w:space="0"/>
              <w:left w:val="single" w:color="auto" w:sz="4" w:space="0"/>
              <w:bottom w:val="single" w:color="auto" w:sz="4" w:space="0"/>
              <w:right w:val="single" w:color="auto" w:sz="4" w:space="0"/>
            </w:tcBorders>
            <w:noWrap w:val="0"/>
            <w:vAlign w:val="center"/>
          </w:tcPr>
          <w:p w14:paraId="7DBD0750">
            <w:pPr>
              <w:pStyle w:val="55"/>
              <w:bidi w:val="0"/>
              <w:jc w:val="both"/>
              <w:rPr>
                <w:rFonts w:hint="default" w:eastAsia="楷体"/>
                <w:lang w:val="en-US" w:eastAsia="zh-CN"/>
              </w:rPr>
            </w:pPr>
            <w:r>
              <w:rPr>
                <w:rFonts w:hint="eastAsia"/>
                <w:lang w:val="en-US" w:eastAsia="zh-CN"/>
              </w:rPr>
              <w:t>项目废气经治理措施处理后均达标排放，无废水外排，噪声达标排放，固废合理处置，不属于</w:t>
            </w:r>
            <w:r>
              <w:t>对能源、资源消耗和环境污染较严重</w:t>
            </w:r>
            <w:r>
              <w:rPr>
                <w:rFonts w:hint="eastAsia"/>
                <w:lang w:val="en-US" w:eastAsia="zh-CN"/>
              </w:rPr>
              <w:t>的项目。</w:t>
            </w:r>
          </w:p>
        </w:tc>
        <w:tc>
          <w:tcPr>
            <w:tcW w:w="526" w:type="pct"/>
            <w:tcBorders>
              <w:top w:val="single" w:color="auto" w:sz="4" w:space="0"/>
              <w:left w:val="single" w:color="auto" w:sz="4" w:space="0"/>
              <w:bottom w:val="single" w:color="auto" w:sz="4" w:space="0"/>
              <w:right w:val="single" w:color="auto" w:sz="4" w:space="0"/>
            </w:tcBorders>
            <w:noWrap w:val="0"/>
            <w:vAlign w:val="center"/>
          </w:tcPr>
          <w:p w14:paraId="72B03606">
            <w:pPr>
              <w:pStyle w:val="55"/>
              <w:bidi w:val="0"/>
            </w:pPr>
            <w:r>
              <w:rPr>
                <w:rFonts w:hint="eastAsia"/>
                <w:lang w:val="en-US" w:eastAsia="zh-CN"/>
              </w:rPr>
              <w:t>符合</w:t>
            </w:r>
          </w:p>
        </w:tc>
      </w:tr>
      <w:tr w14:paraId="13872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29" w:type="pct"/>
            <w:vMerge w:val="continue"/>
            <w:tcBorders>
              <w:left w:val="single" w:color="auto" w:sz="4" w:space="0"/>
              <w:right w:val="single" w:color="auto" w:sz="4" w:space="0"/>
            </w:tcBorders>
            <w:noWrap w:val="0"/>
            <w:vAlign w:val="center"/>
          </w:tcPr>
          <w:p w14:paraId="4EBABA75">
            <w:pPr>
              <w:pStyle w:val="55"/>
              <w:bidi w:val="0"/>
            </w:pPr>
          </w:p>
        </w:tc>
        <w:tc>
          <w:tcPr>
            <w:tcW w:w="315" w:type="pct"/>
            <w:vMerge w:val="restart"/>
            <w:tcBorders>
              <w:top w:val="single" w:color="auto" w:sz="4" w:space="0"/>
              <w:left w:val="single" w:color="auto" w:sz="4" w:space="0"/>
              <w:right w:val="single" w:color="auto" w:sz="4" w:space="0"/>
            </w:tcBorders>
            <w:noWrap w:val="0"/>
            <w:vAlign w:val="center"/>
          </w:tcPr>
          <w:p w14:paraId="5C660AE6">
            <w:pPr>
              <w:pStyle w:val="55"/>
              <w:bidi w:val="0"/>
            </w:pPr>
            <w:r>
              <w:t>负面清单</w:t>
            </w:r>
          </w:p>
        </w:tc>
        <w:tc>
          <w:tcPr>
            <w:tcW w:w="2475" w:type="pct"/>
            <w:tcBorders>
              <w:top w:val="single" w:color="auto" w:sz="4" w:space="0"/>
              <w:left w:val="single" w:color="auto" w:sz="4" w:space="0"/>
              <w:bottom w:val="single" w:color="auto" w:sz="4" w:space="0"/>
              <w:right w:val="single" w:color="auto" w:sz="4" w:space="0"/>
            </w:tcBorders>
            <w:noWrap w:val="0"/>
            <w:vAlign w:val="center"/>
          </w:tcPr>
          <w:p w14:paraId="1AE20219">
            <w:pPr>
              <w:pStyle w:val="55"/>
              <w:bidi w:val="0"/>
              <w:jc w:val="both"/>
            </w:pPr>
            <w:r>
              <w:t>与园区的产业定位、产业布局不相符的拟入区项目</w:t>
            </w:r>
          </w:p>
        </w:tc>
        <w:tc>
          <w:tcPr>
            <w:tcW w:w="1453" w:type="pct"/>
            <w:tcBorders>
              <w:top w:val="single" w:color="auto" w:sz="4" w:space="0"/>
              <w:left w:val="single" w:color="auto" w:sz="4" w:space="0"/>
              <w:bottom w:val="single" w:color="auto" w:sz="4" w:space="0"/>
              <w:right w:val="single" w:color="auto" w:sz="4" w:space="0"/>
            </w:tcBorders>
            <w:noWrap w:val="0"/>
            <w:vAlign w:val="center"/>
          </w:tcPr>
          <w:p w14:paraId="5CF09645">
            <w:pPr>
              <w:pStyle w:val="55"/>
              <w:bidi w:val="0"/>
              <w:jc w:val="both"/>
              <w:rPr>
                <w:rFonts w:hint="eastAsia" w:eastAsia="楷体"/>
                <w:lang w:eastAsia="zh-CN"/>
              </w:rPr>
            </w:pPr>
            <w:r>
              <w:rPr>
                <w:rFonts w:hint="eastAsia"/>
              </w:rPr>
              <w:t>项目</w:t>
            </w:r>
            <w:r>
              <w:rPr>
                <w:rFonts w:hint="eastAsia"/>
                <w:lang w:val="en-US" w:eastAsia="zh-CN"/>
              </w:rPr>
              <w:t>为塑料制品业</w:t>
            </w:r>
            <w:r>
              <w:rPr>
                <w:rFonts w:hint="eastAsia"/>
              </w:rPr>
              <w:t>位于顺平县塑料产业循环经济园（北园）；北园主要发展塑料制品及废旧塑料回收再生产业；故项目符合园区产业定位、产业布局</w:t>
            </w:r>
            <w:r>
              <w:rPr>
                <w:rFonts w:hint="eastAsia"/>
                <w:lang w:eastAsia="zh-CN"/>
              </w:rPr>
              <w:t>。</w:t>
            </w:r>
          </w:p>
        </w:tc>
        <w:tc>
          <w:tcPr>
            <w:tcW w:w="526" w:type="pct"/>
            <w:tcBorders>
              <w:top w:val="single" w:color="auto" w:sz="4" w:space="0"/>
              <w:left w:val="single" w:color="auto" w:sz="4" w:space="0"/>
              <w:bottom w:val="single" w:color="auto" w:sz="4" w:space="0"/>
              <w:right w:val="single" w:color="auto" w:sz="4" w:space="0"/>
            </w:tcBorders>
            <w:noWrap w:val="0"/>
            <w:vAlign w:val="center"/>
          </w:tcPr>
          <w:p w14:paraId="1B14035F">
            <w:pPr>
              <w:pStyle w:val="55"/>
              <w:bidi w:val="0"/>
            </w:pPr>
            <w:r>
              <w:rPr>
                <w:rFonts w:hint="eastAsia"/>
                <w:lang w:val="en-US" w:eastAsia="zh-CN"/>
              </w:rPr>
              <w:t>符合</w:t>
            </w:r>
          </w:p>
        </w:tc>
      </w:tr>
      <w:tr w14:paraId="68661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29" w:type="pct"/>
            <w:vMerge w:val="continue"/>
            <w:tcBorders>
              <w:left w:val="single" w:color="auto" w:sz="4" w:space="0"/>
              <w:right w:val="single" w:color="auto" w:sz="4" w:space="0"/>
            </w:tcBorders>
            <w:noWrap w:val="0"/>
            <w:vAlign w:val="center"/>
          </w:tcPr>
          <w:p w14:paraId="74761327">
            <w:pPr>
              <w:pStyle w:val="55"/>
              <w:bidi w:val="0"/>
            </w:pPr>
          </w:p>
        </w:tc>
        <w:tc>
          <w:tcPr>
            <w:tcW w:w="315" w:type="pct"/>
            <w:vMerge w:val="continue"/>
            <w:tcBorders>
              <w:left w:val="single" w:color="auto" w:sz="4" w:space="0"/>
              <w:right w:val="single" w:color="auto" w:sz="4" w:space="0"/>
            </w:tcBorders>
            <w:noWrap w:val="0"/>
            <w:vAlign w:val="center"/>
          </w:tcPr>
          <w:p w14:paraId="6505D4F8">
            <w:pPr>
              <w:pStyle w:val="55"/>
              <w:bidi w:val="0"/>
            </w:pPr>
          </w:p>
        </w:tc>
        <w:tc>
          <w:tcPr>
            <w:tcW w:w="2475" w:type="pct"/>
            <w:tcBorders>
              <w:top w:val="single" w:color="auto" w:sz="4" w:space="0"/>
              <w:left w:val="single" w:color="auto" w:sz="4" w:space="0"/>
              <w:bottom w:val="single" w:color="auto" w:sz="4" w:space="0"/>
              <w:right w:val="single" w:color="auto" w:sz="4" w:space="0"/>
            </w:tcBorders>
            <w:noWrap w:val="0"/>
            <w:vAlign w:val="center"/>
          </w:tcPr>
          <w:p w14:paraId="1B0520C3">
            <w:pPr>
              <w:pStyle w:val="55"/>
              <w:bidi w:val="0"/>
              <w:jc w:val="center"/>
            </w:pPr>
            <w:r>
              <w:t>不符合国家、地方政策及要求的废旧塑料再生、塑料制品生产项目</w:t>
            </w:r>
          </w:p>
        </w:tc>
        <w:tc>
          <w:tcPr>
            <w:tcW w:w="1453" w:type="pct"/>
            <w:tcBorders>
              <w:top w:val="single" w:color="auto" w:sz="4" w:space="0"/>
              <w:left w:val="single" w:color="auto" w:sz="4" w:space="0"/>
              <w:bottom w:val="single" w:color="auto" w:sz="4" w:space="0"/>
              <w:right w:val="single" w:color="auto" w:sz="4" w:space="0"/>
            </w:tcBorders>
            <w:noWrap w:val="0"/>
            <w:vAlign w:val="center"/>
          </w:tcPr>
          <w:p w14:paraId="08831429">
            <w:pPr>
              <w:pStyle w:val="55"/>
              <w:bidi w:val="0"/>
            </w:pPr>
            <w:r>
              <w:rPr>
                <w:rFonts w:hint="eastAsia"/>
              </w:rPr>
              <w:t>项目符合国家、地方政策及要求</w:t>
            </w:r>
          </w:p>
        </w:tc>
        <w:tc>
          <w:tcPr>
            <w:tcW w:w="526" w:type="pct"/>
            <w:tcBorders>
              <w:top w:val="single" w:color="auto" w:sz="4" w:space="0"/>
              <w:left w:val="single" w:color="auto" w:sz="4" w:space="0"/>
              <w:bottom w:val="single" w:color="auto" w:sz="4" w:space="0"/>
              <w:right w:val="single" w:color="auto" w:sz="4" w:space="0"/>
            </w:tcBorders>
            <w:noWrap w:val="0"/>
            <w:vAlign w:val="center"/>
          </w:tcPr>
          <w:p w14:paraId="1BA52E74">
            <w:pPr>
              <w:pStyle w:val="55"/>
              <w:bidi w:val="0"/>
            </w:pPr>
            <w:r>
              <w:rPr>
                <w:rFonts w:hint="eastAsia"/>
                <w:lang w:val="en-US" w:eastAsia="zh-CN"/>
              </w:rPr>
              <w:t>符合</w:t>
            </w:r>
          </w:p>
        </w:tc>
      </w:tr>
      <w:tr w14:paraId="175E3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29" w:type="pct"/>
            <w:vMerge w:val="continue"/>
            <w:tcBorders>
              <w:left w:val="single" w:color="auto" w:sz="4" w:space="0"/>
              <w:right w:val="single" w:color="auto" w:sz="4" w:space="0"/>
            </w:tcBorders>
            <w:noWrap w:val="0"/>
            <w:vAlign w:val="center"/>
          </w:tcPr>
          <w:p w14:paraId="1EB33CA4">
            <w:pPr>
              <w:pStyle w:val="55"/>
              <w:bidi w:val="0"/>
            </w:pPr>
          </w:p>
        </w:tc>
        <w:tc>
          <w:tcPr>
            <w:tcW w:w="315" w:type="pct"/>
            <w:vMerge w:val="continue"/>
            <w:tcBorders>
              <w:left w:val="single" w:color="auto" w:sz="4" w:space="0"/>
              <w:right w:val="single" w:color="auto" w:sz="4" w:space="0"/>
            </w:tcBorders>
            <w:noWrap w:val="0"/>
            <w:vAlign w:val="center"/>
          </w:tcPr>
          <w:p w14:paraId="54666E1F">
            <w:pPr>
              <w:pStyle w:val="55"/>
              <w:bidi w:val="0"/>
            </w:pPr>
          </w:p>
        </w:tc>
        <w:tc>
          <w:tcPr>
            <w:tcW w:w="2475" w:type="pct"/>
            <w:tcBorders>
              <w:top w:val="single" w:color="auto" w:sz="4" w:space="0"/>
              <w:left w:val="single" w:color="auto" w:sz="4" w:space="0"/>
              <w:bottom w:val="single" w:color="auto" w:sz="4" w:space="0"/>
              <w:right w:val="single" w:color="auto" w:sz="4" w:space="0"/>
            </w:tcBorders>
            <w:noWrap w:val="0"/>
            <w:vAlign w:val="center"/>
          </w:tcPr>
          <w:p w14:paraId="723E096C">
            <w:pPr>
              <w:pStyle w:val="55"/>
              <w:bidi w:val="0"/>
            </w:pPr>
            <w:r>
              <w:t>使用燃煤锅炉/导热油炉供热的生产项目</w:t>
            </w:r>
          </w:p>
        </w:tc>
        <w:tc>
          <w:tcPr>
            <w:tcW w:w="1453" w:type="pct"/>
            <w:tcBorders>
              <w:top w:val="single" w:color="auto" w:sz="4" w:space="0"/>
              <w:left w:val="single" w:color="auto" w:sz="4" w:space="0"/>
              <w:bottom w:val="single" w:color="auto" w:sz="4" w:space="0"/>
              <w:right w:val="single" w:color="auto" w:sz="4" w:space="0"/>
            </w:tcBorders>
            <w:noWrap w:val="0"/>
            <w:vAlign w:val="center"/>
          </w:tcPr>
          <w:p w14:paraId="5F97266B">
            <w:pPr>
              <w:pStyle w:val="55"/>
              <w:bidi w:val="0"/>
              <w:rPr>
                <w:rFonts w:hint="eastAsia" w:eastAsia="楷体"/>
                <w:lang w:val="en-US" w:eastAsia="zh-CN"/>
              </w:rPr>
            </w:pPr>
            <w:r>
              <w:rPr>
                <w:rFonts w:hint="eastAsia"/>
                <w:lang w:val="en-US" w:eastAsia="zh-CN"/>
              </w:rPr>
              <w:t>不涉及</w:t>
            </w:r>
          </w:p>
        </w:tc>
        <w:tc>
          <w:tcPr>
            <w:tcW w:w="526" w:type="pct"/>
            <w:tcBorders>
              <w:top w:val="single" w:color="auto" w:sz="4" w:space="0"/>
              <w:left w:val="single" w:color="auto" w:sz="4" w:space="0"/>
              <w:bottom w:val="single" w:color="auto" w:sz="4" w:space="0"/>
              <w:right w:val="single" w:color="auto" w:sz="4" w:space="0"/>
            </w:tcBorders>
            <w:noWrap w:val="0"/>
            <w:vAlign w:val="center"/>
          </w:tcPr>
          <w:p w14:paraId="570545E8">
            <w:pPr>
              <w:pStyle w:val="55"/>
              <w:bidi w:val="0"/>
            </w:pPr>
            <w:r>
              <w:rPr>
                <w:rFonts w:hint="eastAsia"/>
                <w:lang w:val="en-US" w:eastAsia="zh-CN"/>
              </w:rPr>
              <w:t>符合</w:t>
            </w:r>
          </w:p>
        </w:tc>
      </w:tr>
      <w:tr w14:paraId="0A380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29" w:type="pct"/>
            <w:vMerge w:val="continue"/>
            <w:tcBorders>
              <w:left w:val="single" w:color="auto" w:sz="4" w:space="0"/>
              <w:right w:val="single" w:color="auto" w:sz="4" w:space="0"/>
            </w:tcBorders>
            <w:noWrap w:val="0"/>
            <w:vAlign w:val="center"/>
          </w:tcPr>
          <w:p w14:paraId="19B16E91">
            <w:pPr>
              <w:pStyle w:val="55"/>
              <w:bidi w:val="0"/>
            </w:pPr>
          </w:p>
        </w:tc>
        <w:tc>
          <w:tcPr>
            <w:tcW w:w="315" w:type="pct"/>
            <w:vMerge w:val="continue"/>
            <w:tcBorders>
              <w:left w:val="single" w:color="auto" w:sz="4" w:space="0"/>
              <w:right w:val="single" w:color="auto" w:sz="4" w:space="0"/>
            </w:tcBorders>
            <w:noWrap w:val="0"/>
            <w:vAlign w:val="center"/>
          </w:tcPr>
          <w:p w14:paraId="3853D37A">
            <w:pPr>
              <w:pStyle w:val="55"/>
              <w:bidi w:val="0"/>
            </w:pPr>
          </w:p>
        </w:tc>
        <w:tc>
          <w:tcPr>
            <w:tcW w:w="2475" w:type="pct"/>
            <w:tcBorders>
              <w:top w:val="single" w:color="auto" w:sz="4" w:space="0"/>
              <w:left w:val="single" w:color="auto" w:sz="4" w:space="0"/>
              <w:bottom w:val="single" w:color="auto" w:sz="4" w:space="0"/>
              <w:right w:val="single" w:color="auto" w:sz="4" w:space="0"/>
            </w:tcBorders>
            <w:noWrap w:val="0"/>
            <w:vAlign w:val="center"/>
          </w:tcPr>
          <w:p w14:paraId="67C4CCD4">
            <w:pPr>
              <w:pStyle w:val="55"/>
              <w:bidi w:val="0"/>
            </w:pPr>
            <w:r>
              <w:t>树脂合成类的化工项目</w:t>
            </w:r>
          </w:p>
        </w:tc>
        <w:tc>
          <w:tcPr>
            <w:tcW w:w="1453" w:type="pct"/>
            <w:tcBorders>
              <w:top w:val="single" w:color="auto" w:sz="4" w:space="0"/>
              <w:left w:val="single" w:color="auto" w:sz="4" w:space="0"/>
              <w:bottom w:val="single" w:color="auto" w:sz="4" w:space="0"/>
              <w:right w:val="single" w:color="auto" w:sz="4" w:space="0"/>
            </w:tcBorders>
            <w:noWrap w:val="0"/>
            <w:vAlign w:val="center"/>
          </w:tcPr>
          <w:p w14:paraId="29CF95AB">
            <w:pPr>
              <w:pStyle w:val="55"/>
              <w:bidi w:val="0"/>
              <w:rPr>
                <w:rFonts w:hint="eastAsia" w:eastAsia="楷体"/>
                <w:lang w:val="en-US" w:eastAsia="zh-CN"/>
              </w:rPr>
            </w:pPr>
            <w:r>
              <w:rPr>
                <w:rFonts w:hint="eastAsia"/>
                <w:lang w:val="en-US" w:eastAsia="zh-CN"/>
              </w:rPr>
              <w:t>不涉及</w:t>
            </w:r>
          </w:p>
        </w:tc>
        <w:tc>
          <w:tcPr>
            <w:tcW w:w="526" w:type="pct"/>
            <w:tcBorders>
              <w:top w:val="single" w:color="auto" w:sz="4" w:space="0"/>
              <w:left w:val="single" w:color="auto" w:sz="4" w:space="0"/>
              <w:bottom w:val="single" w:color="auto" w:sz="4" w:space="0"/>
              <w:right w:val="single" w:color="auto" w:sz="4" w:space="0"/>
            </w:tcBorders>
            <w:noWrap w:val="0"/>
            <w:vAlign w:val="center"/>
          </w:tcPr>
          <w:p w14:paraId="52DBE071">
            <w:pPr>
              <w:pStyle w:val="55"/>
              <w:bidi w:val="0"/>
            </w:pPr>
            <w:r>
              <w:rPr>
                <w:rFonts w:hint="eastAsia"/>
                <w:lang w:val="en-US" w:eastAsia="zh-CN"/>
              </w:rPr>
              <w:t>符合</w:t>
            </w:r>
          </w:p>
        </w:tc>
      </w:tr>
      <w:tr w14:paraId="2D8D4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29" w:type="pct"/>
            <w:vMerge w:val="continue"/>
            <w:tcBorders>
              <w:left w:val="single" w:color="auto" w:sz="4" w:space="0"/>
              <w:right w:val="single" w:color="auto" w:sz="4" w:space="0"/>
            </w:tcBorders>
            <w:noWrap w:val="0"/>
            <w:vAlign w:val="center"/>
          </w:tcPr>
          <w:p w14:paraId="1215F90E">
            <w:pPr>
              <w:pStyle w:val="55"/>
              <w:bidi w:val="0"/>
            </w:pPr>
          </w:p>
        </w:tc>
        <w:tc>
          <w:tcPr>
            <w:tcW w:w="315" w:type="pct"/>
            <w:vMerge w:val="continue"/>
            <w:tcBorders>
              <w:left w:val="single" w:color="auto" w:sz="4" w:space="0"/>
              <w:right w:val="single" w:color="auto" w:sz="4" w:space="0"/>
            </w:tcBorders>
            <w:noWrap w:val="0"/>
            <w:vAlign w:val="center"/>
          </w:tcPr>
          <w:p w14:paraId="7C29B2B8">
            <w:pPr>
              <w:pStyle w:val="55"/>
              <w:bidi w:val="0"/>
            </w:pPr>
          </w:p>
        </w:tc>
        <w:tc>
          <w:tcPr>
            <w:tcW w:w="2475" w:type="pct"/>
            <w:tcBorders>
              <w:top w:val="single" w:color="auto" w:sz="4" w:space="0"/>
              <w:left w:val="single" w:color="auto" w:sz="4" w:space="0"/>
              <w:bottom w:val="single" w:color="auto" w:sz="4" w:space="0"/>
              <w:right w:val="single" w:color="auto" w:sz="4" w:space="0"/>
            </w:tcBorders>
            <w:noWrap w:val="0"/>
            <w:vAlign w:val="center"/>
          </w:tcPr>
          <w:p w14:paraId="4D51AFA0">
            <w:pPr>
              <w:pStyle w:val="55"/>
              <w:bidi w:val="0"/>
            </w:pPr>
            <w:r>
              <w:t>涉及化学反应的化工项目</w:t>
            </w:r>
          </w:p>
        </w:tc>
        <w:tc>
          <w:tcPr>
            <w:tcW w:w="1453" w:type="pct"/>
            <w:tcBorders>
              <w:top w:val="single" w:color="auto" w:sz="4" w:space="0"/>
              <w:left w:val="single" w:color="auto" w:sz="4" w:space="0"/>
              <w:bottom w:val="single" w:color="auto" w:sz="4" w:space="0"/>
              <w:right w:val="single" w:color="auto" w:sz="4" w:space="0"/>
            </w:tcBorders>
            <w:noWrap w:val="0"/>
            <w:vAlign w:val="center"/>
          </w:tcPr>
          <w:p w14:paraId="421A7645">
            <w:pPr>
              <w:pStyle w:val="55"/>
              <w:bidi w:val="0"/>
              <w:rPr>
                <w:rFonts w:hint="eastAsia" w:eastAsia="楷体"/>
                <w:lang w:val="en-US" w:eastAsia="zh-CN"/>
              </w:rPr>
            </w:pPr>
            <w:r>
              <w:rPr>
                <w:rFonts w:hint="eastAsia"/>
                <w:lang w:val="en-US" w:eastAsia="zh-CN"/>
              </w:rPr>
              <w:t>不涉及</w:t>
            </w:r>
          </w:p>
        </w:tc>
        <w:tc>
          <w:tcPr>
            <w:tcW w:w="526" w:type="pct"/>
            <w:tcBorders>
              <w:top w:val="single" w:color="auto" w:sz="4" w:space="0"/>
              <w:left w:val="single" w:color="auto" w:sz="4" w:space="0"/>
              <w:bottom w:val="single" w:color="auto" w:sz="4" w:space="0"/>
              <w:right w:val="single" w:color="auto" w:sz="4" w:space="0"/>
            </w:tcBorders>
            <w:noWrap w:val="0"/>
            <w:vAlign w:val="center"/>
          </w:tcPr>
          <w:p w14:paraId="332FACF4">
            <w:pPr>
              <w:pStyle w:val="55"/>
              <w:bidi w:val="0"/>
            </w:pPr>
            <w:r>
              <w:rPr>
                <w:rFonts w:hint="eastAsia"/>
                <w:lang w:val="en-US" w:eastAsia="zh-CN"/>
              </w:rPr>
              <w:t>符合</w:t>
            </w:r>
          </w:p>
        </w:tc>
      </w:tr>
      <w:tr w14:paraId="54BD8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29" w:type="pct"/>
            <w:vMerge w:val="continue"/>
            <w:tcBorders>
              <w:left w:val="single" w:color="auto" w:sz="4" w:space="0"/>
              <w:right w:val="single" w:color="auto" w:sz="4" w:space="0"/>
            </w:tcBorders>
            <w:noWrap w:val="0"/>
            <w:vAlign w:val="center"/>
          </w:tcPr>
          <w:p w14:paraId="285B07A4">
            <w:pPr>
              <w:pStyle w:val="55"/>
              <w:bidi w:val="0"/>
            </w:pPr>
          </w:p>
        </w:tc>
        <w:tc>
          <w:tcPr>
            <w:tcW w:w="315" w:type="pct"/>
            <w:vMerge w:val="continue"/>
            <w:tcBorders>
              <w:left w:val="single" w:color="auto" w:sz="4" w:space="0"/>
              <w:right w:val="single" w:color="auto" w:sz="4" w:space="0"/>
            </w:tcBorders>
            <w:noWrap w:val="0"/>
            <w:vAlign w:val="center"/>
          </w:tcPr>
          <w:p w14:paraId="1D0ACDED">
            <w:pPr>
              <w:pStyle w:val="55"/>
              <w:bidi w:val="0"/>
            </w:pPr>
          </w:p>
        </w:tc>
        <w:tc>
          <w:tcPr>
            <w:tcW w:w="2475" w:type="pct"/>
            <w:tcBorders>
              <w:top w:val="single" w:color="auto" w:sz="4" w:space="0"/>
              <w:left w:val="single" w:color="auto" w:sz="4" w:space="0"/>
              <w:bottom w:val="single" w:color="auto" w:sz="4" w:space="0"/>
              <w:right w:val="single" w:color="auto" w:sz="4" w:space="0"/>
            </w:tcBorders>
            <w:noWrap w:val="0"/>
            <w:vAlign w:val="center"/>
          </w:tcPr>
          <w:p w14:paraId="01072934">
            <w:pPr>
              <w:pStyle w:val="55"/>
              <w:bidi w:val="0"/>
              <w:jc w:val="both"/>
            </w:pPr>
            <w:r>
              <w:t>不满足园区准入要求的（①新建PET再生瓶片类企业年废塑料处理能力不低于30000吨，新建废塑料破碎、清洗、分选类企业年废塑料处理能力不低于30000吨，新建塑料再生造粒企业年废塑料处理能力不低于5000吨。塑料再生加工相关生产环节的综合电耗低于500千瓦时/吨废塑料。PET再生瓶片类企业与废塑料破碎、清洗、分选类企业的综合新水消耗低于1.5吨/吨废塑料。</w:t>
            </w:r>
          </w:p>
        </w:tc>
        <w:tc>
          <w:tcPr>
            <w:tcW w:w="1453" w:type="pct"/>
            <w:tcBorders>
              <w:top w:val="single" w:color="auto" w:sz="4" w:space="0"/>
              <w:left w:val="single" w:color="auto" w:sz="4" w:space="0"/>
              <w:bottom w:val="single" w:color="auto" w:sz="4" w:space="0"/>
              <w:right w:val="single" w:color="auto" w:sz="4" w:space="0"/>
            </w:tcBorders>
            <w:noWrap w:val="0"/>
            <w:vAlign w:val="center"/>
          </w:tcPr>
          <w:p w14:paraId="68ED2D9D">
            <w:pPr>
              <w:pStyle w:val="55"/>
              <w:bidi w:val="0"/>
              <w:jc w:val="both"/>
            </w:pPr>
            <w:r>
              <w:rPr>
                <w:rFonts w:hint="eastAsia"/>
                <w:lang w:val="en-US" w:eastAsia="zh-CN"/>
              </w:rPr>
              <w:t>项目</w:t>
            </w:r>
            <w:r>
              <w:rPr>
                <w:rFonts w:hint="eastAsia"/>
                <w:highlight w:val="none"/>
                <w:lang w:val="en-US" w:eastAsia="zh-CN"/>
              </w:rPr>
              <w:t>为新建塑料再生造粒项目，</w:t>
            </w:r>
            <w:r>
              <w:rPr>
                <w:rFonts w:hint="eastAsia"/>
                <w:highlight w:val="none"/>
              </w:rPr>
              <w:t>废塑料处理能力为18333</w:t>
            </w:r>
            <w:r>
              <w:rPr>
                <w:rFonts w:hint="eastAsia"/>
                <w:highlight w:val="none"/>
                <w:lang w:val="en-US" w:eastAsia="zh-CN"/>
              </w:rPr>
              <w:t>t</w:t>
            </w:r>
            <w:r>
              <w:rPr>
                <w:rFonts w:hint="eastAsia"/>
                <w:highlight w:val="none"/>
              </w:rPr>
              <w:t>/a，远大于</w:t>
            </w:r>
            <w:r>
              <w:rPr>
                <w:rFonts w:hint="eastAsia"/>
                <w:highlight w:val="none"/>
                <w:lang w:val="en-US" w:eastAsia="zh-CN"/>
              </w:rPr>
              <w:t>5000t</w:t>
            </w:r>
            <w:r>
              <w:rPr>
                <w:rFonts w:hint="eastAsia"/>
                <w:highlight w:val="none"/>
              </w:rPr>
              <w:t>；加工环节耗电量为</w:t>
            </w:r>
            <w:r>
              <w:rPr>
                <w:rFonts w:hint="eastAsia"/>
                <w:highlight w:val="none"/>
                <w:lang w:val="en-US" w:eastAsia="zh-CN"/>
              </w:rPr>
              <w:t>623.81</w:t>
            </w:r>
            <w:r>
              <w:rPr>
                <w:rFonts w:hint="eastAsia"/>
                <w:highlight w:val="none"/>
              </w:rPr>
              <w:t>万kWh，合</w:t>
            </w:r>
            <w:r>
              <w:rPr>
                <w:rFonts w:hint="eastAsia"/>
                <w:highlight w:val="none"/>
                <w:lang w:val="en-US" w:eastAsia="zh-CN"/>
              </w:rPr>
              <w:t>340</w:t>
            </w:r>
            <w:r>
              <w:rPr>
                <w:rFonts w:hint="eastAsia"/>
                <w:highlight w:val="none"/>
              </w:rPr>
              <w:t>kWh/</w:t>
            </w:r>
            <w:r>
              <w:rPr>
                <w:rFonts w:hint="eastAsia"/>
                <w:highlight w:val="none"/>
                <w:lang w:val="en-US" w:eastAsia="zh-CN"/>
              </w:rPr>
              <w:t>t</w:t>
            </w:r>
            <w:r>
              <w:rPr>
                <w:rFonts w:hint="eastAsia"/>
                <w:highlight w:val="none"/>
              </w:rPr>
              <w:t>废塑料，低于500kWh。</w:t>
            </w:r>
          </w:p>
        </w:tc>
        <w:tc>
          <w:tcPr>
            <w:tcW w:w="526" w:type="pct"/>
            <w:tcBorders>
              <w:top w:val="single" w:color="auto" w:sz="4" w:space="0"/>
              <w:left w:val="single" w:color="auto" w:sz="4" w:space="0"/>
              <w:bottom w:val="single" w:color="auto" w:sz="4" w:space="0"/>
              <w:right w:val="single" w:color="auto" w:sz="4" w:space="0"/>
            </w:tcBorders>
            <w:noWrap w:val="0"/>
            <w:vAlign w:val="center"/>
          </w:tcPr>
          <w:p w14:paraId="0757FFCD">
            <w:pPr>
              <w:pStyle w:val="55"/>
              <w:bidi w:val="0"/>
              <w:rPr>
                <w:rFonts w:hint="eastAsia" w:eastAsia="楷体"/>
                <w:lang w:val="en-US" w:eastAsia="zh-CN"/>
              </w:rPr>
            </w:pPr>
            <w:r>
              <w:rPr>
                <w:rFonts w:hint="eastAsia"/>
                <w:lang w:val="en-US" w:eastAsia="zh-CN"/>
              </w:rPr>
              <w:t>符合</w:t>
            </w:r>
          </w:p>
        </w:tc>
      </w:tr>
      <w:tr w14:paraId="79385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29" w:type="pct"/>
            <w:tcBorders>
              <w:left w:val="single" w:color="auto" w:sz="4" w:space="0"/>
              <w:right w:val="single" w:color="auto" w:sz="4" w:space="0"/>
            </w:tcBorders>
            <w:noWrap w:val="0"/>
            <w:vAlign w:val="center"/>
          </w:tcPr>
          <w:p w14:paraId="1E7F2481">
            <w:pPr>
              <w:pStyle w:val="55"/>
              <w:bidi w:val="0"/>
            </w:pPr>
            <w:r>
              <w:t>禁止限制</w:t>
            </w:r>
          </w:p>
        </w:tc>
        <w:tc>
          <w:tcPr>
            <w:tcW w:w="315" w:type="pct"/>
            <w:tcBorders>
              <w:left w:val="single" w:color="auto" w:sz="4" w:space="0"/>
              <w:right w:val="single" w:color="auto" w:sz="4" w:space="0"/>
            </w:tcBorders>
            <w:noWrap w:val="0"/>
            <w:vAlign w:val="center"/>
          </w:tcPr>
          <w:p w14:paraId="66F15942">
            <w:pPr>
              <w:pStyle w:val="55"/>
              <w:bidi w:val="0"/>
            </w:pPr>
            <w:r>
              <w:t>负面清单</w:t>
            </w:r>
          </w:p>
        </w:tc>
        <w:tc>
          <w:tcPr>
            <w:tcW w:w="2475" w:type="pct"/>
            <w:tcBorders>
              <w:top w:val="single" w:color="auto" w:sz="4" w:space="0"/>
              <w:left w:val="single" w:color="auto" w:sz="4" w:space="0"/>
              <w:bottom w:val="single" w:color="auto" w:sz="4" w:space="0"/>
              <w:right w:val="single" w:color="auto" w:sz="4" w:space="0"/>
            </w:tcBorders>
            <w:noWrap w:val="0"/>
            <w:vAlign w:val="center"/>
          </w:tcPr>
          <w:p w14:paraId="6F82E17D">
            <w:pPr>
              <w:pStyle w:val="55"/>
              <w:bidi w:val="0"/>
              <w:jc w:val="both"/>
            </w:pPr>
            <w:r>
              <w:t>塑料再生造粒类企业的综合新水消耗低于0.2吨/吨废塑料。②</w:t>
            </w:r>
            <w:r>
              <w:rPr>
                <w:rFonts w:hint="eastAsia"/>
              </w:rPr>
              <w:t>已受到</w:t>
            </w:r>
            <w:r>
              <w:t>危险化学品、农药等污染的废弃塑料包装物、废弃一次性医疗用塑料制品等塑料类危险废物，以及氟塑料等特种工程塑料作为原材料的项目。③</w:t>
            </w:r>
            <w:r>
              <w:rPr>
                <w:rFonts w:hint="eastAsia"/>
              </w:rPr>
              <w:t>采用盐卤分选工艺的项目，</w:t>
            </w:r>
            <w:r>
              <w:t>利用废塑料生产厚度小于0.025mm的超薄塑料购物袋和厚度小于0.015mm超薄塑料袋</w:t>
            </w:r>
            <w:r>
              <w:rPr>
                <w:rFonts w:hint="eastAsia"/>
              </w:rPr>
              <w:t>，</w:t>
            </w:r>
            <w:r>
              <w:t>利用废塑料生产食品用塑料袋</w:t>
            </w:r>
            <w:r>
              <w:rPr>
                <w:rFonts w:hint="eastAsia"/>
              </w:rPr>
              <w:t>的项目</w:t>
            </w:r>
            <w:r>
              <w:t>。④新入区项目原则上不得自建供热设施，若特殊工艺需要自建供热设施，须采用电等清洁燃料，并向园区管委会和环保局申请。⑤新入区项目不得自行开采地下水，用水须由园区供水设施统一供给。⑥新入区项目若有废水产生，必须配套建设污水处理设施，处理达到相关污水处理厂进水水质要求后排入污水处理厂集中处理。）</w:t>
            </w:r>
          </w:p>
        </w:tc>
        <w:tc>
          <w:tcPr>
            <w:tcW w:w="1453" w:type="pct"/>
            <w:tcBorders>
              <w:top w:val="single" w:color="auto" w:sz="4" w:space="0"/>
              <w:left w:val="single" w:color="auto" w:sz="4" w:space="0"/>
              <w:bottom w:val="single" w:color="auto" w:sz="4" w:space="0"/>
              <w:right w:val="single" w:color="auto" w:sz="4" w:space="0"/>
            </w:tcBorders>
            <w:noWrap w:val="0"/>
            <w:vAlign w:val="center"/>
          </w:tcPr>
          <w:p w14:paraId="33A0819D">
            <w:pPr>
              <w:pStyle w:val="55"/>
              <w:bidi w:val="0"/>
            </w:pPr>
            <w:r>
              <w:rPr>
                <w:rFonts w:hint="eastAsia"/>
              </w:rPr>
              <w:t>项目新鲜水年用量</w:t>
            </w:r>
            <w:r>
              <w:rPr>
                <w:rFonts w:hint="eastAsia"/>
                <w:lang w:val="en-US" w:eastAsia="zh-CN"/>
              </w:rPr>
              <w:t>3300</w:t>
            </w:r>
            <w:r>
              <w:rPr>
                <w:rFonts w:hint="eastAsia"/>
              </w:rPr>
              <w:t>t，每吨</w:t>
            </w:r>
            <w:r>
              <w:rPr>
                <w:rFonts w:hint="eastAsia"/>
                <w:lang w:val="en-US" w:eastAsia="zh-CN"/>
              </w:rPr>
              <w:t>废塑料</w:t>
            </w:r>
            <w:r>
              <w:rPr>
                <w:rFonts w:hint="eastAsia"/>
              </w:rPr>
              <w:t>综合新鲜水消耗量约为</w:t>
            </w:r>
            <w:r>
              <w:rPr>
                <w:rFonts w:hint="eastAsia"/>
                <w:lang w:val="en-US" w:eastAsia="zh-CN"/>
              </w:rPr>
              <w:t>0.18</w:t>
            </w:r>
            <w:r>
              <w:rPr>
                <w:rFonts w:hint="eastAsia"/>
              </w:rPr>
              <w:t>t，低于</w:t>
            </w:r>
            <w:r>
              <w:rPr>
                <w:rFonts w:hint="eastAsia"/>
                <w:lang w:val="en-US" w:eastAsia="zh-CN"/>
              </w:rPr>
              <w:t>0.2</w:t>
            </w:r>
            <w:r>
              <w:rPr>
                <w:rFonts w:hint="eastAsia"/>
              </w:rPr>
              <w:t>吨/吨废塑料。项目回收处置废塑料</w:t>
            </w:r>
            <w:r>
              <w:rPr>
                <w:rFonts w:hint="eastAsia"/>
                <w:lang w:val="en-US" w:eastAsia="zh-CN"/>
              </w:rPr>
              <w:t>主要为</w:t>
            </w:r>
            <w:r>
              <w:rPr>
                <w:rFonts w:hint="eastAsia"/>
              </w:rPr>
              <w:t>未被污染的</w:t>
            </w:r>
            <w:r>
              <w:rPr>
                <w:rFonts w:hint="eastAsia"/>
                <w:lang w:val="en-US" w:eastAsia="zh-CN"/>
              </w:rPr>
              <w:t>塑料制品加工生产的热塑性（主要为淋膜纸）边角料、残次品等；</w:t>
            </w:r>
            <w:r>
              <w:rPr>
                <w:rFonts w:hint="eastAsia"/>
              </w:rPr>
              <w:t>项目生产用热</w:t>
            </w:r>
            <w:r>
              <w:rPr>
                <w:rFonts w:hint="eastAsia"/>
                <w:lang w:val="en-US" w:eastAsia="zh-CN"/>
              </w:rPr>
              <w:t>为电加热</w:t>
            </w:r>
            <w:r>
              <w:rPr>
                <w:rFonts w:hint="eastAsia"/>
              </w:rPr>
              <w:t>，职工生活供暖制冷采用空调；用水由园区供水管网统一供给。生活污水泼洒地面抑尘，生产废水</w:t>
            </w:r>
            <w:r>
              <w:rPr>
                <w:rFonts w:hint="eastAsia"/>
                <w:lang w:val="en-US" w:eastAsia="zh-CN"/>
              </w:rPr>
              <w:t>循环使用不外排</w:t>
            </w:r>
            <w:r>
              <w:rPr>
                <w:rFonts w:hint="eastAsia"/>
              </w:rPr>
              <w:t>。</w:t>
            </w:r>
          </w:p>
        </w:tc>
        <w:tc>
          <w:tcPr>
            <w:tcW w:w="526" w:type="pct"/>
            <w:tcBorders>
              <w:top w:val="single" w:color="auto" w:sz="4" w:space="0"/>
              <w:left w:val="single" w:color="auto" w:sz="4" w:space="0"/>
              <w:bottom w:val="single" w:color="auto" w:sz="4" w:space="0"/>
              <w:right w:val="single" w:color="auto" w:sz="4" w:space="0"/>
            </w:tcBorders>
            <w:noWrap w:val="0"/>
            <w:vAlign w:val="center"/>
          </w:tcPr>
          <w:p w14:paraId="42232985">
            <w:pPr>
              <w:pStyle w:val="55"/>
              <w:bidi w:val="0"/>
              <w:rPr>
                <w:rFonts w:hint="eastAsia" w:eastAsia="楷体"/>
                <w:lang w:val="en-US" w:eastAsia="zh-CN"/>
              </w:rPr>
            </w:pPr>
            <w:r>
              <w:rPr>
                <w:rFonts w:hint="eastAsia"/>
                <w:lang w:val="en-US" w:eastAsia="zh-CN"/>
              </w:rPr>
              <w:t>符合</w:t>
            </w:r>
          </w:p>
        </w:tc>
      </w:tr>
    </w:tbl>
    <w:p w14:paraId="6C850084">
      <w:pPr>
        <w:pStyle w:val="47"/>
        <w:rPr>
          <w:rFonts w:hint="eastAsia"/>
        </w:rPr>
      </w:pPr>
      <w:r>
        <w:rPr>
          <w:rFonts w:hint="eastAsia"/>
        </w:rPr>
        <w:t>综上，项目不在园区负面清单内，符合园区规划要求。</w:t>
      </w:r>
    </w:p>
    <w:p w14:paraId="1C8C9B2D">
      <w:pPr>
        <w:pStyle w:val="47"/>
        <w:rPr>
          <w:rFonts w:hint="eastAsia"/>
        </w:rPr>
      </w:pPr>
      <w:r>
        <w:rPr>
          <w:rFonts w:hint="eastAsia"/>
        </w:rPr>
        <w:t>（</w:t>
      </w:r>
      <w:r>
        <w:rPr>
          <w:rFonts w:hint="eastAsia"/>
          <w:lang w:val="en-US" w:eastAsia="zh-CN"/>
        </w:rPr>
        <w:t>3</w:t>
      </w:r>
      <w:r>
        <w:rPr>
          <w:rFonts w:hint="eastAsia"/>
        </w:rPr>
        <w:t>）项目建设与园区基础设施的衔接性分析</w:t>
      </w:r>
    </w:p>
    <w:p w14:paraId="20E86DF8">
      <w:pPr>
        <w:pStyle w:val="47"/>
        <w:rPr>
          <w:rFonts w:hint="eastAsia"/>
        </w:rPr>
      </w:pPr>
      <w:r>
        <w:rPr>
          <w:rFonts w:hint="eastAsia"/>
        </w:rPr>
        <w:t>①给水工程规划</w:t>
      </w:r>
    </w:p>
    <w:p w14:paraId="2B894BC6">
      <w:pPr>
        <w:pStyle w:val="47"/>
        <w:rPr>
          <w:rFonts w:hint="eastAsia"/>
          <w:highlight w:val="none"/>
        </w:rPr>
      </w:pPr>
      <w:r>
        <w:rPr>
          <w:rFonts w:hint="eastAsia"/>
          <w:highlight w:val="none"/>
        </w:rPr>
        <w:t>规划：塑料产业循环经济园区（北园）用水规划由新建一座地下水给水厂及北园污水处理厂再生水提供。给水厂供水规模0.15万m</w:t>
      </w:r>
      <w:r>
        <w:rPr>
          <w:rFonts w:hint="eastAsia"/>
          <w:highlight w:val="none"/>
          <w:vertAlign w:val="superscript"/>
        </w:rPr>
        <w:t>3</w:t>
      </w:r>
      <w:r>
        <w:rPr>
          <w:rFonts w:hint="eastAsia"/>
          <w:highlight w:val="none"/>
        </w:rPr>
        <w:t>/d，北园污水处理厂再生水生产规模为0.35万m</w:t>
      </w:r>
      <w:r>
        <w:rPr>
          <w:rFonts w:hint="eastAsia"/>
          <w:highlight w:val="none"/>
          <w:vertAlign w:val="superscript"/>
        </w:rPr>
        <w:t>3</w:t>
      </w:r>
      <w:r>
        <w:rPr>
          <w:rFonts w:hint="eastAsia"/>
          <w:highlight w:val="none"/>
        </w:rPr>
        <w:t>/d。</w:t>
      </w:r>
    </w:p>
    <w:p w14:paraId="16045393">
      <w:pPr>
        <w:pStyle w:val="47"/>
        <w:rPr>
          <w:rFonts w:hint="eastAsia"/>
          <w:highlight w:val="none"/>
        </w:rPr>
      </w:pPr>
      <w:r>
        <w:rPr>
          <w:rFonts w:hint="eastAsia"/>
          <w:b/>
          <w:bCs/>
          <w:highlight w:val="none"/>
        </w:rPr>
        <w:t>衔接情况：</w:t>
      </w:r>
      <w:r>
        <w:rPr>
          <w:rFonts w:hint="eastAsia"/>
          <w:highlight w:val="none"/>
        </w:rPr>
        <w:t>项目生活用水由塑料产业循环经济园区（北园）供水管网集中供水。</w:t>
      </w:r>
    </w:p>
    <w:p w14:paraId="686F69D1">
      <w:pPr>
        <w:pStyle w:val="47"/>
        <w:rPr>
          <w:rFonts w:hint="eastAsia"/>
        </w:rPr>
      </w:pPr>
      <w:r>
        <w:rPr>
          <w:rFonts w:hint="eastAsia"/>
        </w:rPr>
        <w:t>②排水工程规划</w:t>
      </w:r>
    </w:p>
    <w:p w14:paraId="68706879">
      <w:pPr>
        <w:pStyle w:val="47"/>
        <w:rPr>
          <w:rFonts w:hint="eastAsia"/>
        </w:rPr>
      </w:pPr>
      <w:r>
        <w:rPr>
          <w:rFonts w:hint="eastAsia"/>
        </w:rPr>
        <w:t>规划：排水采用雨、污分流制。规划区内多为规划路，沿道路规划污水管线，规划污水支线分别接入附近污水主管线。污水管道在竖向空间上布置于雨水管道之下，洁净雨水排入曲逆河。规划预测北园污水产生量0.3万m</w:t>
      </w:r>
      <w:r>
        <w:rPr>
          <w:rFonts w:hint="eastAsia"/>
          <w:vertAlign w:val="superscript"/>
        </w:rPr>
        <w:t>3</w:t>
      </w:r>
      <w:r>
        <w:rPr>
          <w:rFonts w:hint="eastAsia"/>
        </w:rPr>
        <w:t>/d。拟于北园南侧曲逆河北侧新建北园污水处理厂，处理规模为0.5万m</w:t>
      </w:r>
      <w:r>
        <w:rPr>
          <w:rFonts w:hint="eastAsia"/>
          <w:vertAlign w:val="superscript"/>
        </w:rPr>
        <w:t>3</w:t>
      </w:r>
      <w:r>
        <w:rPr>
          <w:rFonts w:hint="eastAsia"/>
        </w:rPr>
        <w:t>/d。北园污水处理厂达标废水70%回用，30%深度处理后由地埋管线排入曲逆河。</w:t>
      </w:r>
    </w:p>
    <w:p w14:paraId="75482979">
      <w:pPr>
        <w:pStyle w:val="47"/>
        <w:rPr>
          <w:rFonts w:hint="eastAsia"/>
        </w:rPr>
      </w:pPr>
      <w:r>
        <w:rPr>
          <w:rFonts w:hint="eastAsia"/>
          <w:b/>
          <w:bCs/>
        </w:rPr>
        <w:t>衔接情况：</w:t>
      </w:r>
      <w:r>
        <w:rPr>
          <w:rFonts w:hint="eastAsia"/>
        </w:rPr>
        <w:t>项目生活污水泼洒地面抑尘，</w:t>
      </w:r>
      <w:r>
        <w:rPr>
          <w:rFonts w:hint="eastAsia"/>
          <w:lang w:val="en-US" w:eastAsia="zh-CN"/>
        </w:rPr>
        <w:t>生产废水经沉淀池沉淀后循环使用，不外排</w:t>
      </w:r>
      <w:r>
        <w:rPr>
          <w:rFonts w:hint="eastAsia"/>
        </w:rPr>
        <w:t>。</w:t>
      </w:r>
    </w:p>
    <w:p w14:paraId="47147F5E">
      <w:pPr>
        <w:pStyle w:val="47"/>
        <w:rPr>
          <w:rFonts w:hint="eastAsia"/>
        </w:rPr>
      </w:pPr>
      <w:r>
        <w:rPr>
          <w:rFonts w:hint="eastAsia"/>
        </w:rPr>
        <w:t>③供热工程规划</w:t>
      </w:r>
    </w:p>
    <w:p w14:paraId="2091F39B">
      <w:pPr>
        <w:pStyle w:val="47"/>
        <w:rPr>
          <w:rFonts w:hint="eastAsia"/>
        </w:rPr>
      </w:pPr>
      <w:r>
        <w:rPr>
          <w:rFonts w:hint="eastAsia"/>
        </w:rPr>
        <w:t>规划预测北园供热面积54.55万m</w:t>
      </w:r>
      <w:r>
        <w:rPr>
          <w:rFonts w:hint="eastAsia"/>
          <w:vertAlign w:val="superscript"/>
        </w:rPr>
        <w:t>2</w:t>
      </w:r>
      <w:r>
        <w:rPr>
          <w:rFonts w:hint="eastAsia"/>
        </w:rPr>
        <w:t>，总热负荷31.2MW。北园供热规划由新建一座燃气供热站提供，规划设置于北园南侧曲逆河北侧，占地面积0.1hm</w:t>
      </w:r>
      <w:r>
        <w:rPr>
          <w:rFonts w:hint="eastAsia"/>
          <w:vertAlign w:val="superscript"/>
        </w:rPr>
        <w:t>2</w:t>
      </w:r>
      <w:r>
        <w:rPr>
          <w:rFonts w:hint="eastAsia"/>
        </w:rPr>
        <w:t>，该供热站规模35MW。</w:t>
      </w:r>
    </w:p>
    <w:p w14:paraId="1E6943BC">
      <w:pPr>
        <w:pStyle w:val="47"/>
        <w:rPr>
          <w:rFonts w:hint="eastAsia"/>
        </w:rPr>
      </w:pPr>
      <w:r>
        <w:rPr>
          <w:rFonts w:hint="eastAsia"/>
          <w:b/>
          <w:bCs/>
        </w:rPr>
        <w:t>衔接情况：</w:t>
      </w:r>
      <w:r>
        <w:rPr>
          <w:rFonts w:hint="eastAsia"/>
        </w:rPr>
        <w:t>项目生产用热</w:t>
      </w:r>
      <w:r>
        <w:rPr>
          <w:rFonts w:hint="eastAsia"/>
          <w:lang w:val="en-US" w:eastAsia="zh-CN"/>
        </w:rPr>
        <w:t>为电加热</w:t>
      </w:r>
      <w:r>
        <w:rPr>
          <w:rFonts w:hint="eastAsia"/>
        </w:rPr>
        <w:t>，职工生活供暖制冷采用空调。</w:t>
      </w:r>
    </w:p>
    <w:p w14:paraId="0728DA8D">
      <w:pPr>
        <w:pStyle w:val="47"/>
        <w:rPr>
          <w:rFonts w:hint="eastAsia"/>
        </w:rPr>
      </w:pPr>
      <w:r>
        <w:rPr>
          <w:rFonts w:hint="eastAsia"/>
        </w:rPr>
        <w:t>④供电工程规划</w:t>
      </w:r>
    </w:p>
    <w:p w14:paraId="484978B5">
      <w:pPr>
        <w:pStyle w:val="47"/>
        <w:rPr>
          <w:rFonts w:hint="eastAsia"/>
        </w:rPr>
      </w:pPr>
      <w:r>
        <w:rPr>
          <w:rFonts w:hint="eastAsia"/>
        </w:rPr>
        <w:t>规划预测北园用电负荷9.5MW。园区供电拟与区域变电站统筹规划：北园东北角新建110kV变电站一座；依托北园内西侧靠顺高路一侧王各庄110kV 变电站一座。</w:t>
      </w:r>
    </w:p>
    <w:p w14:paraId="05C48DD6">
      <w:pPr>
        <w:pStyle w:val="47"/>
        <w:rPr>
          <w:rFonts w:hint="eastAsia"/>
        </w:rPr>
      </w:pPr>
      <w:r>
        <w:rPr>
          <w:rFonts w:hint="eastAsia"/>
          <w:b/>
          <w:bCs/>
        </w:rPr>
        <w:t>衔接情况：</w:t>
      </w:r>
      <w:r>
        <w:rPr>
          <w:rFonts w:hint="eastAsia"/>
        </w:rPr>
        <w:t>项目用电由园区供电系统提供。</w:t>
      </w:r>
    </w:p>
    <w:p w14:paraId="0DBE7AA0">
      <w:pPr>
        <w:pStyle w:val="47"/>
        <w:rPr>
          <w:rFonts w:hint="eastAsia"/>
        </w:rPr>
      </w:pPr>
      <w:r>
        <w:rPr>
          <w:rFonts w:hint="eastAsia"/>
        </w:rPr>
        <w:t>⑤燃气规划</w:t>
      </w:r>
    </w:p>
    <w:p w14:paraId="735D1DCF">
      <w:pPr>
        <w:pStyle w:val="47"/>
        <w:rPr>
          <w:rFonts w:hint="eastAsia"/>
        </w:rPr>
      </w:pPr>
      <w:r>
        <w:rPr>
          <w:rFonts w:hint="eastAsia"/>
        </w:rPr>
        <w:t>规划预测北园耗气量0.27万Nm</w:t>
      </w:r>
      <w:r>
        <w:rPr>
          <w:rFonts w:hint="eastAsia"/>
          <w:vertAlign w:val="superscript"/>
        </w:rPr>
        <w:t>3</w:t>
      </w:r>
      <w:r>
        <w:rPr>
          <w:rFonts w:hint="eastAsia"/>
        </w:rPr>
        <w:t>/d。拟于北园南侧曲逆河北侧新建天然气调压站一座，该调压站占地面积0.08hm</w:t>
      </w:r>
      <w:r>
        <w:rPr>
          <w:rFonts w:hint="eastAsia"/>
          <w:vertAlign w:val="superscript"/>
        </w:rPr>
        <w:t>2</w:t>
      </w:r>
      <w:r>
        <w:rPr>
          <w:rFonts w:hint="eastAsia"/>
        </w:rPr>
        <w:t>、供气规模4万Nm</w:t>
      </w:r>
      <w:r>
        <w:rPr>
          <w:rFonts w:hint="eastAsia"/>
          <w:vertAlign w:val="superscript"/>
        </w:rPr>
        <w:t>3</w:t>
      </w:r>
      <w:r>
        <w:rPr>
          <w:rFonts w:hint="eastAsia"/>
        </w:rPr>
        <w:t>/d。</w:t>
      </w:r>
    </w:p>
    <w:p w14:paraId="05065C8C">
      <w:pPr>
        <w:pStyle w:val="47"/>
        <w:rPr>
          <w:rFonts w:hint="eastAsia"/>
        </w:rPr>
      </w:pPr>
      <w:r>
        <w:rPr>
          <w:rFonts w:hint="eastAsia"/>
          <w:b/>
          <w:bCs/>
          <w:vertAlign w:val="baseline"/>
        </w:rPr>
        <w:t>衔接情况：</w:t>
      </w:r>
      <w:r>
        <w:rPr>
          <w:rFonts w:hint="eastAsia"/>
        </w:rPr>
        <w:t>项目不建设燃煤、燃气设施，不使用天然气。</w:t>
      </w:r>
    </w:p>
    <w:p w14:paraId="53AC4887">
      <w:pPr>
        <w:pStyle w:val="47"/>
        <w:rPr>
          <w:rFonts w:hint="eastAsia"/>
        </w:rPr>
      </w:pPr>
      <w:r>
        <w:rPr>
          <w:rFonts w:hint="eastAsia"/>
          <w:lang w:eastAsia="zh-CN"/>
        </w:rPr>
        <w:t>（</w:t>
      </w:r>
      <w:r>
        <w:rPr>
          <w:rFonts w:hint="eastAsia"/>
          <w:lang w:val="en-US" w:eastAsia="zh-CN"/>
        </w:rPr>
        <w:t>4</w:t>
      </w:r>
      <w:r>
        <w:rPr>
          <w:rFonts w:hint="eastAsia"/>
          <w:lang w:eastAsia="zh-CN"/>
        </w:rPr>
        <w:t>）</w:t>
      </w:r>
      <w:r>
        <w:rPr>
          <w:rFonts w:hint="eastAsia"/>
        </w:rPr>
        <w:t>项目与规划环评及审查意见的符合性</w:t>
      </w:r>
    </w:p>
    <w:p w14:paraId="2FC5683C">
      <w:pPr>
        <w:pStyle w:val="47"/>
        <w:rPr>
          <w:rFonts w:hint="eastAsia"/>
        </w:rPr>
      </w:pPr>
      <w:r>
        <w:rPr>
          <w:rFonts w:hint="eastAsia"/>
        </w:rPr>
        <w:t>项目与《顺平县塑料产业循环经济园区规划环境影响报告书》内容、审查小组意见和审查意见的符合性分析见</w:t>
      </w:r>
      <w:r>
        <w:rPr>
          <w:rFonts w:hint="eastAsia"/>
          <w:lang w:val="en-US" w:eastAsia="zh-CN"/>
        </w:rPr>
        <w:t>下</w:t>
      </w:r>
      <w:r>
        <w:rPr>
          <w:rFonts w:hint="eastAsia"/>
        </w:rPr>
        <w:t>表。</w:t>
      </w:r>
    </w:p>
    <w:p w14:paraId="23BA4E76">
      <w:pPr>
        <w:pStyle w:val="94"/>
        <w:bidi w:val="0"/>
        <w:ind w:left="0" w:leftChars="0" w:firstLine="0" w:firstLineChars="0"/>
        <w:rPr>
          <w:rFonts w:hint="eastAsia"/>
        </w:rPr>
      </w:pPr>
      <w:r>
        <w:rPr>
          <w:rFonts w:hint="eastAsia"/>
        </w:rPr>
        <w:t>项目与规划环评及审查意见符合性分析</w:t>
      </w:r>
    </w:p>
    <w:tbl>
      <w:tblPr>
        <w:tblStyle w:val="3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045"/>
        <w:gridCol w:w="2963"/>
        <w:gridCol w:w="1072"/>
      </w:tblGrid>
      <w:tr w14:paraId="07A88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jc w:val="center"/>
        </w:trPr>
        <w:tc>
          <w:tcPr>
            <w:tcW w:w="2778" w:type="pct"/>
            <w:tcBorders>
              <w:top w:val="single" w:color="auto" w:sz="4" w:space="0"/>
              <w:left w:val="single" w:color="auto" w:sz="4" w:space="0"/>
              <w:bottom w:val="single" w:color="auto" w:sz="4" w:space="0"/>
              <w:right w:val="single" w:color="auto" w:sz="4" w:space="0"/>
            </w:tcBorders>
            <w:noWrap w:val="0"/>
            <w:vAlign w:val="center"/>
          </w:tcPr>
          <w:p w14:paraId="63C9714E">
            <w:pPr>
              <w:pStyle w:val="55"/>
              <w:bidi w:val="0"/>
              <w:rPr>
                <w:rFonts w:hint="eastAsia" w:eastAsia="楷体"/>
                <w:lang w:eastAsia="zh-CN"/>
              </w:rPr>
            </w:pPr>
            <w:r>
              <w:rPr>
                <w:rFonts w:hint="eastAsia"/>
                <w:lang w:val="en-US" w:eastAsia="zh-CN"/>
              </w:rPr>
              <w:t>内容</w:t>
            </w:r>
          </w:p>
        </w:tc>
        <w:tc>
          <w:tcPr>
            <w:tcW w:w="1631" w:type="pct"/>
            <w:tcBorders>
              <w:top w:val="single" w:color="auto" w:sz="4" w:space="0"/>
              <w:left w:val="single" w:color="auto" w:sz="4" w:space="0"/>
              <w:bottom w:val="single" w:color="auto" w:sz="4" w:space="0"/>
              <w:right w:val="single" w:color="auto" w:sz="4" w:space="0"/>
            </w:tcBorders>
            <w:noWrap w:val="0"/>
            <w:vAlign w:val="center"/>
          </w:tcPr>
          <w:p w14:paraId="466220A6">
            <w:pPr>
              <w:pStyle w:val="55"/>
              <w:bidi w:val="0"/>
            </w:pPr>
            <w:r>
              <w:rPr>
                <w:rFonts w:hint="eastAsia"/>
              </w:rPr>
              <w:t>项目情况</w:t>
            </w:r>
          </w:p>
        </w:tc>
        <w:tc>
          <w:tcPr>
            <w:tcW w:w="590" w:type="pct"/>
            <w:tcBorders>
              <w:top w:val="single" w:color="auto" w:sz="4" w:space="0"/>
              <w:left w:val="single" w:color="auto" w:sz="4" w:space="0"/>
              <w:bottom w:val="single" w:color="auto" w:sz="4" w:space="0"/>
              <w:right w:val="single" w:color="auto" w:sz="4" w:space="0"/>
            </w:tcBorders>
            <w:noWrap w:val="0"/>
            <w:vAlign w:val="center"/>
          </w:tcPr>
          <w:p w14:paraId="52C756AD">
            <w:pPr>
              <w:pStyle w:val="55"/>
              <w:bidi w:val="0"/>
              <w:rPr>
                <w:rFonts w:hint="default" w:eastAsia="楷体"/>
                <w:lang w:val="en-US" w:eastAsia="zh-CN"/>
              </w:rPr>
            </w:pPr>
            <w:r>
              <w:rPr>
                <w:rFonts w:hint="eastAsia"/>
                <w:lang w:val="en-US" w:eastAsia="zh-CN"/>
              </w:rPr>
              <w:t>符合性</w:t>
            </w:r>
          </w:p>
        </w:tc>
      </w:tr>
      <w:tr w14:paraId="5663C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778" w:type="pct"/>
            <w:tcBorders>
              <w:top w:val="single" w:color="auto" w:sz="4" w:space="0"/>
              <w:left w:val="single" w:color="auto" w:sz="4" w:space="0"/>
              <w:bottom w:val="single" w:color="auto" w:sz="4" w:space="0"/>
              <w:right w:val="single" w:color="auto" w:sz="4" w:space="0"/>
            </w:tcBorders>
            <w:noWrap w:val="0"/>
            <w:vAlign w:val="center"/>
          </w:tcPr>
          <w:p w14:paraId="63B934AE">
            <w:pPr>
              <w:pStyle w:val="55"/>
              <w:bidi w:val="0"/>
              <w:jc w:val="both"/>
            </w:pPr>
            <w:r>
              <w:rPr>
                <w:rFonts w:hint="eastAsia"/>
              </w:rPr>
              <w:t>顺平县塑料产业循环经济园区位于顺平县东南部，园区分为北园和南园两部分，其中北园占地75.54公顷，选址位于顺高路以东、オ苏路以西、曲逆河以北区域；产业定位以塑料制品加工为主；南园占地97.30公顷，选址位于顺高路以东、高于铺、大辛店、向阳、白庄四村中间区域，产业定位以废旧塑料回收利用为主。</w:t>
            </w:r>
          </w:p>
        </w:tc>
        <w:tc>
          <w:tcPr>
            <w:tcW w:w="1631" w:type="pct"/>
            <w:tcBorders>
              <w:top w:val="single" w:color="auto" w:sz="4" w:space="0"/>
              <w:left w:val="single" w:color="auto" w:sz="4" w:space="0"/>
              <w:bottom w:val="single" w:color="auto" w:sz="4" w:space="0"/>
              <w:right w:val="single" w:color="auto" w:sz="4" w:space="0"/>
            </w:tcBorders>
            <w:noWrap w:val="0"/>
            <w:vAlign w:val="center"/>
          </w:tcPr>
          <w:p w14:paraId="2B21391C">
            <w:pPr>
              <w:pStyle w:val="55"/>
              <w:bidi w:val="0"/>
              <w:jc w:val="both"/>
            </w:pPr>
            <w:r>
              <w:rPr>
                <w:rFonts w:hint="eastAsia"/>
              </w:rPr>
              <w:t>项</w:t>
            </w:r>
            <w:r>
              <w:rPr>
                <w:rFonts w:hint="eastAsia"/>
                <w:highlight w:val="none"/>
              </w:rPr>
              <w:t>目位于顺平县塑料产业循环经济园区（北园），租赁</w:t>
            </w:r>
            <w:r>
              <w:rPr>
                <w:rFonts w:hint="default" w:ascii="Times New Roman" w:hAnsi="Times New Roman" w:eastAsia="楷体" w:cs="Times New Roman"/>
                <w:highlight w:val="none"/>
                <w:lang w:val="en-US" w:eastAsia="zh-CN"/>
              </w:rPr>
              <w:t>河</w:t>
            </w:r>
            <w:r>
              <w:rPr>
                <w:rFonts w:hint="default" w:ascii="Times New Roman" w:hAnsi="Times New Roman" w:eastAsia="楷体" w:cs="Times New Roman"/>
                <w:highlight w:val="none"/>
                <w:u w:val="none"/>
                <w:lang w:val="en-US" w:eastAsia="zh-CN"/>
              </w:rPr>
              <w:t>北凯巍塑业有限公司</w:t>
            </w:r>
            <w:r>
              <w:rPr>
                <w:rFonts w:hint="eastAsia" w:ascii="Times New Roman" w:hAnsi="Times New Roman" w:cs="Times New Roman"/>
                <w:highlight w:val="none"/>
                <w:u w:val="none"/>
                <w:lang w:val="en-US" w:eastAsia="zh-CN"/>
              </w:rPr>
              <w:t>场地</w:t>
            </w:r>
            <w:r>
              <w:rPr>
                <w:rFonts w:hint="eastAsia"/>
                <w:highlight w:val="none"/>
              </w:rPr>
              <w:t>进行建设，回收处置塑料</w:t>
            </w:r>
            <w:r>
              <w:rPr>
                <w:rFonts w:hint="eastAsia"/>
              </w:rPr>
              <w:t>制品加工生产的热塑性（主要为淋膜纸）边角料、残次品等，生产PVC电缆颗粒，满足产业定位。</w:t>
            </w:r>
          </w:p>
        </w:tc>
        <w:tc>
          <w:tcPr>
            <w:tcW w:w="590" w:type="pct"/>
            <w:tcBorders>
              <w:top w:val="single" w:color="auto" w:sz="4" w:space="0"/>
              <w:left w:val="single" w:color="auto" w:sz="4" w:space="0"/>
              <w:bottom w:val="single" w:color="auto" w:sz="4" w:space="0"/>
              <w:right w:val="single" w:color="auto" w:sz="4" w:space="0"/>
            </w:tcBorders>
            <w:noWrap w:val="0"/>
            <w:vAlign w:val="center"/>
          </w:tcPr>
          <w:p w14:paraId="720B3F99">
            <w:pPr>
              <w:pStyle w:val="55"/>
              <w:bidi w:val="0"/>
              <w:rPr>
                <w:rFonts w:hint="eastAsia" w:eastAsia="楷体"/>
                <w:lang w:val="en-US" w:eastAsia="zh-CN"/>
              </w:rPr>
            </w:pPr>
            <w:r>
              <w:rPr>
                <w:rFonts w:hint="eastAsia"/>
                <w:lang w:val="en-US" w:eastAsia="zh-CN"/>
              </w:rPr>
              <w:t>符合</w:t>
            </w:r>
          </w:p>
        </w:tc>
      </w:tr>
      <w:tr w14:paraId="1F92E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778" w:type="pct"/>
            <w:tcBorders>
              <w:top w:val="single" w:color="auto" w:sz="4" w:space="0"/>
              <w:left w:val="single" w:color="auto" w:sz="4" w:space="0"/>
              <w:bottom w:val="single" w:color="auto" w:sz="4" w:space="0"/>
              <w:right w:val="single" w:color="auto" w:sz="4" w:space="0"/>
            </w:tcBorders>
            <w:noWrap w:val="0"/>
            <w:vAlign w:val="center"/>
          </w:tcPr>
          <w:p w14:paraId="171463E7">
            <w:pPr>
              <w:pStyle w:val="55"/>
              <w:bidi w:val="0"/>
              <w:jc w:val="both"/>
            </w:pPr>
            <w:r>
              <w:rPr>
                <w:rFonts w:hint="eastAsia"/>
              </w:rPr>
              <w:t>《顺平县塑料产业循环经济园区规划》应按照该报告书及审查小组的审查意见进行优化。在规划实施过程中，严格按规划环评规定的方式，落实各项污染防治和生态保护措施，按照污染物总量控制要求，认真执行区域污染物削减方案，将规划实施可能产生的环境不利影响降至最低逐步改善区域环境质量。应加快园区公用基础设施的建设进度，早日发挥环境效益，对于园区公用基础设施未按时限完成建设，以及重要污染防治或生态保护措施未按时限落实的，相应污染物总量增加的建设项目不得投入生产。</w:t>
            </w:r>
          </w:p>
        </w:tc>
        <w:tc>
          <w:tcPr>
            <w:tcW w:w="1631" w:type="pct"/>
            <w:tcBorders>
              <w:top w:val="single" w:color="auto" w:sz="4" w:space="0"/>
              <w:left w:val="single" w:color="auto" w:sz="4" w:space="0"/>
              <w:bottom w:val="single" w:color="auto" w:sz="4" w:space="0"/>
              <w:right w:val="single" w:color="auto" w:sz="4" w:space="0"/>
            </w:tcBorders>
            <w:noWrap w:val="0"/>
            <w:vAlign w:val="center"/>
          </w:tcPr>
          <w:p w14:paraId="1745C14C">
            <w:pPr>
              <w:pStyle w:val="55"/>
              <w:bidi w:val="0"/>
              <w:rPr>
                <w:rFonts w:hint="default" w:eastAsia="楷体"/>
                <w:lang w:val="en-US" w:eastAsia="zh-CN"/>
              </w:rPr>
            </w:pPr>
            <w:r>
              <w:rPr>
                <w:rFonts w:hint="eastAsia"/>
                <w:lang w:val="en-US" w:eastAsia="zh-CN"/>
              </w:rPr>
              <w:t>项目废气主要为颗粒物、非甲烷总烃、氯化氢、臭气浓度，经“布袋除尘器+两级活性炭吸附装置”处理后，由15m高排气筒达标排放；项目无废水外排，噪声达标排放，固废合理处置。</w:t>
            </w:r>
          </w:p>
        </w:tc>
        <w:tc>
          <w:tcPr>
            <w:tcW w:w="590" w:type="pct"/>
            <w:tcBorders>
              <w:top w:val="single" w:color="auto" w:sz="4" w:space="0"/>
              <w:left w:val="single" w:color="auto" w:sz="4" w:space="0"/>
              <w:bottom w:val="single" w:color="auto" w:sz="4" w:space="0"/>
              <w:right w:val="single" w:color="auto" w:sz="4" w:space="0"/>
            </w:tcBorders>
            <w:noWrap w:val="0"/>
            <w:vAlign w:val="center"/>
          </w:tcPr>
          <w:p w14:paraId="12F77A9A">
            <w:pPr>
              <w:pStyle w:val="55"/>
              <w:bidi w:val="0"/>
            </w:pPr>
            <w:r>
              <w:rPr>
                <w:rFonts w:hint="eastAsia"/>
                <w:lang w:val="en-US" w:eastAsia="zh-CN"/>
              </w:rPr>
              <w:t>符合</w:t>
            </w:r>
          </w:p>
        </w:tc>
      </w:tr>
      <w:tr w14:paraId="7CBE1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778" w:type="pct"/>
            <w:tcBorders>
              <w:top w:val="single" w:color="auto" w:sz="4" w:space="0"/>
              <w:left w:val="single" w:color="auto" w:sz="4" w:space="0"/>
              <w:bottom w:val="single" w:color="auto" w:sz="4" w:space="0"/>
              <w:right w:val="single" w:color="auto" w:sz="4" w:space="0"/>
            </w:tcBorders>
            <w:noWrap w:val="0"/>
            <w:vAlign w:val="center"/>
          </w:tcPr>
          <w:p w14:paraId="7EA48E96">
            <w:pPr>
              <w:pStyle w:val="55"/>
              <w:bidi w:val="0"/>
              <w:jc w:val="both"/>
            </w:pPr>
            <w:r>
              <w:rPr>
                <w:rFonts w:hint="eastAsia"/>
              </w:rPr>
              <w:t>在规划实施过程中，要严格控制入园进区建设项目的类别、性质，科学布局，合理控创规模。各级环评审批部门应将入园进区建设项目与该报告书及审查小组的审查意见的符合性作为审查的重点内容。</w:t>
            </w:r>
          </w:p>
        </w:tc>
        <w:tc>
          <w:tcPr>
            <w:tcW w:w="1631" w:type="pct"/>
            <w:tcBorders>
              <w:top w:val="single" w:color="auto" w:sz="4" w:space="0"/>
              <w:left w:val="single" w:color="auto" w:sz="4" w:space="0"/>
              <w:bottom w:val="single" w:color="auto" w:sz="4" w:space="0"/>
              <w:right w:val="single" w:color="auto" w:sz="4" w:space="0"/>
            </w:tcBorders>
            <w:noWrap w:val="0"/>
            <w:vAlign w:val="center"/>
          </w:tcPr>
          <w:p w14:paraId="2B1DCF91">
            <w:pPr>
              <w:pStyle w:val="55"/>
              <w:bidi w:val="0"/>
              <w:jc w:val="both"/>
              <w:rPr>
                <w:rFonts w:hint="eastAsia" w:eastAsia="楷体"/>
                <w:lang w:eastAsia="zh-CN"/>
              </w:rPr>
            </w:pPr>
            <w:r>
              <w:rPr>
                <w:rFonts w:hint="eastAsia"/>
              </w:rPr>
              <w:t>项目位于顺平县塑料产业循环</w:t>
            </w:r>
            <w:r>
              <w:rPr>
                <w:rFonts w:hint="eastAsia"/>
                <w:highlight w:val="none"/>
              </w:rPr>
              <w:t>经济园区（北园），租赁</w:t>
            </w:r>
            <w:r>
              <w:rPr>
                <w:rFonts w:hint="default" w:ascii="Times New Roman" w:hAnsi="Times New Roman" w:eastAsia="楷体" w:cs="Times New Roman"/>
                <w:highlight w:val="none"/>
                <w:lang w:val="en-US" w:eastAsia="zh-CN"/>
              </w:rPr>
              <w:t>河</w:t>
            </w:r>
            <w:r>
              <w:rPr>
                <w:rFonts w:hint="default" w:ascii="Times New Roman" w:hAnsi="Times New Roman" w:eastAsia="楷体" w:cs="Times New Roman"/>
                <w:highlight w:val="none"/>
                <w:u w:val="none"/>
                <w:lang w:val="en-US" w:eastAsia="zh-CN"/>
              </w:rPr>
              <w:t>北凯巍塑业有限公司</w:t>
            </w:r>
            <w:r>
              <w:rPr>
                <w:rFonts w:hint="eastAsia" w:ascii="Times New Roman" w:hAnsi="Times New Roman" w:cs="Times New Roman"/>
                <w:highlight w:val="none"/>
                <w:u w:val="none"/>
                <w:lang w:val="en-US" w:eastAsia="zh-CN"/>
              </w:rPr>
              <w:t>场地</w:t>
            </w:r>
            <w:r>
              <w:rPr>
                <w:rFonts w:hint="eastAsia"/>
                <w:highlight w:val="none"/>
              </w:rPr>
              <w:t>进行建设。选</w:t>
            </w:r>
            <w:r>
              <w:rPr>
                <w:rFonts w:hint="eastAsia"/>
              </w:rPr>
              <w:t>址符合当地城市总体发展规划、用地规划、生态环境分区管控方案、规划环评及其他环境保护要求。</w:t>
            </w:r>
          </w:p>
        </w:tc>
        <w:tc>
          <w:tcPr>
            <w:tcW w:w="590" w:type="pct"/>
            <w:tcBorders>
              <w:top w:val="single" w:color="auto" w:sz="4" w:space="0"/>
              <w:left w:val="single" w:color="auto" w:sz="4" w:space="0"/>
              <w:bottom w:val="single" w:color="auto" w:sz="4" w:space="0"/>
              <w:right w:val="single" w:color="auto" w:sz="4" w:space="0"/>
            </w:tcBorders>
            <w:noWrap w:val="0"/>
            <w:vAlign w:val="center"/>
          </w:tcPr>
          <w:p w14:paraId="2D11813A">
            <w:pPr>
              <w:pStyle w:val="55"/>
              <w:bidi w:val="0"/>
            </w:pPr>
            <w:r>
              <w:rPr>
                <w:rFonts w:hint="eastAsia"/>
                <w:lang w:val="en-US" w:eastAsia="zh-CN"/>
              </w:rPr>
              <w:t>符合</w:t>
            </w:r>
          </w:p>
        </w:tc>
      </w:tr>
      <w:tr w14:paraId="448B8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778" w:type="pct"/>
            <w:tcBorders>
              <w:top w:val="single" w:color="auto" w:sz="4" w:space="0"/>
              <w:left w:val="single" w:color="auto" w:sz="4" w:space="0"/>
              <w:bottom w:val="single" w:color="auto" w:sz="4" w:space="0"/>
              <w:right w:val="single" w:color="auto" w:sz="4" w:space="0"/>
            </w:tcBorders>
            <w:noWrap w:val="0"/>
            <w:vAlign w:val="center"/>
          </w:tcPr>
          <w:p w14:paraId="17F340D8">
            <w:pPr>
              <w:pStyle w:val="55"/>
              <w:bidi w:val="0"/>
              <w:jc w:val="both"/>
            </w:pPr>
            <w:r>
              <w:rPr>
                <w:rFonts w:hint="eastAsia"/>
              </w:rPr>
              <w:t>制定并严格落实园区环境风险防范和环境应急预案，加强环境管控，提高环境突发事故情况下的环境污染防范措施和应急处置能力，有效防范规划实施中的环境风险。</w:t>
            </w:r>
          </w:p>
        </w:tc>
        <w:tc>
          <w:tcPr>
            <w:tcW w:w="1631" w:type="pct"/>
            <w:tcBorders>
              <w:top w:val="single" w:color="auto" w:sz="4" w:space="0"/>
              <w:left w:val="single" w:color="auto" w:sz="4" w:space="0"/>
              <w:bottom w:val="single" w:color="auto" w:sz="4" w:space="0"/>
              <w:right w:val="single" w:color="auto" w:sz="4" w:space="0"/>
            </w:tcBorders>
            <w:noWrap w:val="0"/>
            <w:vAlign w:val="center"/>
          </w:tcPr>
          <w:p w14:paraId="5338136F">
            <w:pPr>
              <w:pStyle w:val="55"/>
              <w:bidi w:val="0"/>
            </w:pPr>
            <w:r>
              <w:rPr>
                <w:rFonts w:hint="eastAsia"/>
              </w:rPr>
              <w:t>项目严格落实园区环境风险防范措施。</w:t>
            </w:r>
          </w:p>
        </w:tc>
        <w:tc>
          <w:tcPr>
            <w:tcW w:w="590" w:type="pct"/>
            <w:tcBorders>
              <w:top w:val="single" w:color="auto" w:sz="4" w:space="0"/>
              <w:left w:val="single" w:color="auto" w:sz="4" w:space="0"/>
              <w:bottom w:val="single" w:color="auto" w:sz="4" w:space="0"/>
              <w:right w:val="single" w:color="auto" w:sz="4" w:space="0"/>
            </w:tcBorders>
            <w:noWrap w:val="0"/>
            <w:vAlign w:val="center"/>
          </w:tcPr>
          <w:p w14:paraId="1E77DFC9">
            <w:pPr>
              <w:pStyle w:val="55"/>
              <w:bidi w:val="0"/>
            </w:pPr>
            <w:r>
              <w:rPr>
                <w:rFonts w:hint="eastAsia"/>
                <w:lang w:val="en-US" w:eastAsia="zh-CN"/>
              </w:rPr>
              <w:t>符合</w:t>
            </w:r>
          </w:p>
        </w:tc>
      </w:tr>
      <w:tr w14:paraId="5A497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778" w:type="pct"/>
            <w:tcBorders>
              <w:top w:val="single" w:color="auto" w:sz="4" w:space="0"/>
              <w:left w:val="single" w:color="auto" w:sz="4" w:space="0"/>
              <w:bottom w:val="single" w:color="auto" w:sz="4" w:space="0"/>
              <w:right w:val="single" w:color="auto" w:sz="4" w:space="0"/>
            </w:tcBorders>
            <w:noWrap w:val="0"/>
            <w:vAlign w:val="center"/>
          </w:tcPr>
          <w:p w14:paraId="77264C7B">
            <w:pPr>
              <w:pStyle w:val="55"/>
              <w:bidi w:val="0"/>
              <w:jc w:val="both"/>
            </w:pPr>
            <w:r>
              <w:rPr>
                <w:rFonts w:hint="eastAsia"/>
              </w:rPr>
              <w:t>严格落实环评报告书中提出的环境管理、环境监测制度、清洁生产管理等有关措施，规划实施后应每五年进行一次环境影响跟踪评价；规划修编时应重新编制环境影响报告书。</w:t>
            </w:r>
          </w:p>
        </w:tc>
        <w:tc>
          <w:tcPr>
            <w:tcW w:w="1631" w:type="pct"/>
            <w:tcBorders>
              <w:top w:val="single" w:color="auto" w:sz="4" w:space="0"/>
              <w:left w:val="single" w:color="auto" w:sz="4" w:space="0"/>
              <w:bottom w:val="single" w:color="auto" w:sz="4" w:space="0"/>
              <w:right w:val="single" w:color="auto" w:sz="4" w:space="0"/>
            </w:tcBorders>
            <w:noWrap w:val="0"/>
            <w:vAlign w:val="center"/>
          </w:tcPr>
          <w:p w14:paraId="57169A9A">
            <w:pPr>
              <w:pStyle w:val="55"/>
              <w:bidi w:val="0"/>
              <w:rPr>
                <w:rFonts w:hint="eastAsia" w:eastAsia="楷体"/>
                <w:lang w:val="en-US" w:eastAsia="zh-CN"/>
              </w:rPr>
            </w:pPr>
            <w:r>
              <w:rPr>
                <w:rFonts w:hint="eastAsia"/>
                <w:lang w:val="en-US" w:eastAsia="zh-CN"/>
              </w:rPr>
              <w:t>项目严格落实规划环评的环境管理、环境监测制度。</w:t>
            </w:r>
          </w:p>
        </w:tc>
        <w:tc>
          <w:tcPr>
            <w:tcW w:w="590" w:type="pct"/>
            <w:tcBorders>
              <w:top w:val="single" w:color="auto" w:sz="4" w:space="0"/>
              <w:left w:val="single" w:color="auto" w:sz="4" w:space="0"/>
              <w:bottom w:val="single" w:color="auto" w:sz="4" w:space="0"/>
              <w:right w:val="single" w:color="auto" w:sz="4" w:space="0"/>
            </w:tcBorders>
            <w:noWrap w:val="0"/>
            <w:vAlign w:val="center"/>
          </w:tcPr>
          <w:p w14:paraId="47BC6B6B">
            <w:pPr>
              <w:pStyle w:val="55"/>
              <w:bidi w:val="0"/>
            </w:pPr>
            <w:r>
              <w:rPr>
                <w:rFonts w:hint="eastAsia"/>
                <w:lang w:val="en-US" w:eastAsia="zh-CN"/>
              </w:rPr>
              <w:t>符合</w:t>
            </w:r>
          </w:p>
        </w:tc>
      </w:tr>
    </w:tbl>
    <w:p w14:paraId="776AD8EE">
      <w:pPr>
        <w:pStyle w:val="47"/>
        <w:rPr>
          <w:rFonts w:hint="eastAsia"/>
          <w:color w:val="000000" w:themeColor="text1"/>
          <w:u w:val="none"/>
          <w14:textFill>
            <w14:solidFill>
              <w14:schemeClr w14:val="tx1"/>
            </w14:solidFill>
          </w14:textFill>
        </w:rPr>
      </w:pPr>
      <w:r>
        <w:rPr>
          <w:rFonts w:hint="eastAsia"/>
        </w:rPr>
        <w:t>综上，项目建设符合规划环评及审查意见。</w:t>
      </w:r>
    </w:p>
    <w:p w14:paraId="7BA5E928">
      <w:pPr>
        <w:pStyle w:val="90"/>
        <w:bidi w:val="0"/>
        <w:ind w:left="0" w:leftChars="0" w:firstLine="0" w:firstLineChars="0"/>
        <w:rPr>
          <w:rFonts w:hint="eastAsia"/>
        </w:rPr>
      </w:pPr>
      <w:bookmarkStart w:id="37" w:name="_Toc4874"/>
      <w:r>
        <w:rPr>
          <w:rFonts w:hint="eastAsia"/>
        </w:rPr>
        <w:t>选址合理性分析</w:t>
      </w:r>
      <w:bookmarkEnd w:id="37"/>
    </w:p>
    <w:p w14:paraId="016F674D">
      <w:pPr>
        <w:pStyle w:val="47"/>
        <w:rPr>
          <w:rFonts w:hint="eastAsia"/>
          <w:highlight w:val="none"/>
          <w:u w:val="none"/>
          <w:lang w:val="en-US" w:eastAsia="zh-CN"/>
        </w:rPr>
      </w:pPr>
      <w:r>
        <w:rPr>
          <w:rFonts w:hint="eastAsia"/>
          <w:color w:val="000000" w:themeColor="text1"/>
          <w:lang w:val="en-US" w:eastAsia="zh-CN"/>
          <w14:textFill>
            <w14:solidFill>
              <w14:schemeClr w14:val="tx1"/>
            </w14:solidFill>
          </w14:textFill>
        </w:rPr>
        <w:t>项目位于</w:t>
      </w:r>
      <w:r>
        <w:rPr>
          <w:rFonts w:hint="eastAsia"/>
          <w:u w:val="none"/>
        </w:rPr>
        <w:t>顺平县塑料产业循环经济</w:t>
      </w:r>
      <w:r>
        <w:rPr>
          <w:rFonts w:hint="eastAsia"/>
          <w:highlight w:val="none"/>
          <w:u w:val="none"/>
        </w:rPr>
        <w:t>园区</w:t>
      </w:r>
      <w:r>
        <w:rPr>
          <w:rFonts w:hint="eastAsia"/>
          <w:highlight w:val="none"/>
          <w:u w:val="none"/>
          <w:lang w:eastAsia="zh-CN"/>
        </w:rPr>
        <w:t>（</w:t>
      </w:r>
      <w:r>
        <w:rPr>
          <w:rFonts w:hint="eastAsia"/>
          <w:highlight w:val="none"/>
          <w:u w:val="none"/>
          <w:lang w:val="en-US" w:eastAsia="zh-CN"/>
        </w:rPr>
        <w:t>北区</w:t>
      </w:r>
      <w:r>
        <w:rPr>
          <w:rFonts w:hint="eastAsia"/>
          <w:highlight w:val="none"/>
          <w:u w:val="none"/>
          <w:lang w:eastAsia="zh-CN"/>
        </w:rPr>
        <w:t>）</w:t>
      </w:r>
      <w:r>
        <w:rPr>
          <w:rFonts w:hint="eastAsia"/>
          <w:highlight w:val="none"/>
          <w:u w:val="none"/>
          <w:lang w:val="en-US" w:eastAsia="zh-CN"/>
        </w:rPr>
        <w:t>内，租赁河北凯巍塑业有限公司场地进行建设，占地面积9000m</w:t>
      </w:r>
      <w:r>
        <w:rPr>
          <w:rFonts w:hint="eastAsia"/>
          <w:highlight w:val="none"/>
          <w:u w:val="none"/>
          <w:vertAlign w:val="superscript"/>
          <w:lang w:val="en-US" w:eastAsia="zh-CN"/>
        </w:rPr>
        <w:t>2</w:t>
      </w:r>
      <w:r>
        <w:rPr>
          <w:rFonts w:hint="eastAsia"/>
          <w:highlight w:val="none"/>
          <w:u w:val="none"/>
          <w:lang w:val="en-US" w:eastAsia="zh-CN"/>
        </w:rPr>
        <w:t>，租赁合同见附件4。</w:t>
      </w:r>
      <w:r>
        <w:rPr>
          <w:rFonts w:hint="eastAsia"/>
          <w:highlight w:val="none"/>
        </w:rPr>
        <w:t>项目属于塑料制品业，符合</w:t>
      </w:r>
      <w:r>
        <w:rPr>
          <w:rFonts w:hint="eastAsia"/>
          <w:highlight w:val="none"/>
          <w:lang w:val="en-US" w:eastAsia="zh-CN"/>
        </w:rPr>
        <w:t>园区</w:t>
      </w:r>
      <w:r>
        <w:rPr>
          <w:szCs w:val="21"/>
          <w:highlight w:val="none"/>
        </w:rPr>
        <w:t>产业发展</w:t>
      </w:r>
      <w:r>
        <w:rPr>
          <w:rFonts w:hint="eastAsia"/>
          <w:szCs w:val="21"/>
          <w:highlight w:val="none"/>
          <w:lang w:eastAsia="zh-CN"/>
        </w:rPr>
        <w:t>；</w:t>
      </w:r>
      <w:r>
        <w:rPr>
          <w:rFonts w:hint="eastAsia"/>
          <w:highlight w:val="none"/>
          <w:u w:val="none"/>
          <w:lang w:val="en-US" w:eastAsia="zh-CN"/>
        </w:rPr>
        <w:t>河北凯巍塑业有限公司2009年9月20日已取得顺平县国土资源局出具的国有土地使用证，用地性质为工业用地，</w:t>
      </w:r>
    </w:p>
    <w:p w14:paraId="2DA91C5E">
      <w:pPr>
        <w:pStyle w:val="47"/>
        <w:ind w:left="0" w:leftChars="0" w:firstLine="0" w:firstLineChars="0"/>
        <w:rPr>
          <w:rFonts w:hint="eastAsia"/>
        </w:rPr>
      </w:pPr>
      <w:r>
        <w:rPr>
          <w:rFonts w:hint="default" w:ascii="Times New Roman" w:hAnsi="Times New Roman" w:eastAsia="楷体" w:cs="Times New Roman"/>
          <w:highlight w:val="none"/>
        </w:rPr>
        <w:t>《顺平县塑料产业循环经济园区规划环境影响报告书》</w:t>
      </w:r>
      <w:r>
        <w:rPr>
          <w:rFonts w:hint="default" w:ascii="Times New Roman" w:hAnsi="Times New Roman" w:eastAsia="楷体" w:cs="Times New Roman"/>
          <w:highlight w:val="none"/>
          <w:lang w:val="en-US" w:eastAsia="zh-CN"/>
        </w:rPr>
        <w:t>于2018年12月4日取得批复</w:t>
      </w:r>
      <w:r>
        <w:rPr>
          <w:rFonts w:hint="eastAsia" w:ascii="Times New Roman" w:hAnsi="Times New Roman" w:cs="Times New Roman"/>
          <w:highlight w:val="none"/>
          <w:lang w:val="en-US" w:eastAsia="zh-CN"/>
        </w:rPr>
        <w:t>，园区规划该地块用地性质</w:t>
      </w:r>
      <w:r>
        <w:rPr>
          <w:rFonts w:hint="default" w:ascii="Times New Roman" w:hAnsi="Times New Roman" w:eastAsia="楷体" w:cs="Times New Roman"/>
          <w:highlight w:val="none"/>
        </w:rPr>
        <w:t>为</w:t>
      </w:r>
      <w:r>
        <w:rPr>
          <w:rFonts w:hint="default" w:ascii="Times New Roman" w:hAnsi="Times New Roman" w:eastAsia="楷体" w:cs="Times New Roman"/>
          <w:highlight w:val="none"/>
          <w:lang w:val="en-US" w:eastAsia="zh-CN"/>
        </w:rPr>
        <w:t>行政办公用地</w:t>
      </w:r>
      <w:r>
        <w:rPr>
          <w:rFonts w:hint="default" w:ascii="Times New Roman" w:hAnsi="Times New Roman" w:eastAsia="楷体" w:cs="Times New Roman"/>
          <w:highlight w:val="none"/>
        </w:rPr>
        <w:t>，</w:t>
      </w:r>
      <w:r>
        <w:rPr>
          <w:rFonts w:hint="eastAsia" w:ascii="Times New Roman" w:hAnsi="Times New Roman" w:cs="Times New Roman"/>
          <w:highlight w:val="none"/>
          <w:lang w:val="en-US" w:eastAsia="zh-CN"/>
        </w:rPr>
        <w:t>项目</w:t>
      </w:r>
      <w:r>
        <w:rPr>
          <w:rFonts w:hint="default" w:ascii="Times New Roman" w:hAnsi="Times New Roman" w:eastAsia="楷体" w:cs="Times New Roman"/>
          <w:highlight w:val="none"/>
        </w:rPr>
        <w:t>虽不符合开发区用地规划，</w:t>
      </w:r>
      <w:r>
        <w:rPr>
          <w:rFonts w:hint="eastAsia" w:ascii="Times New Roman" w:hAnsi="Times New Roman" w:cs="Times New Roman"/>
          <w:highlight w:val="none"/>
          <w:lang w:val="en-US" w:eastAsia="zh-CN"/>
        </w:rPr>
        <w:t>但符合</w:t>
      </w:r>
      <w:r>
        <w:rPr>
          <w:rFonts w:hint="default" w:ascii="Times New Roman" w:hAnsi="Times New Roman" w:eastAsia="楷体" w:cs="Times New Roman"/>
          <w:highlight w:val="none"/>
        </w:rPr>
        <w:t>顺平县土地利用总体规划</w:t>
      </w:r>
      <w:r>
        <w:rPr>
          <w:rFonts w:hint="eastAsia" w:ascii="Times New Roman" w:hAnsi="Times New Roman" w:cs="Times New Roman"/>
          <w:highlight w:val="none"/>
          <w:lang w:val="en-US" w:eastAsia="zh-CN"/>
        </w:rPr>
        <w:t>及</w:t>
      </w:r>
      <w:r>
        <w:rPr>
          <w:rFonts w:hint="default" w:ascii="Times New Roman" w:hAnsi="Times New Roman" w:eastAsia="楷体" w:cs="Times New Roman"/>
          <w:highlight w:val="none"/>
        </w:rPr>
        <w:t>顺平县国土空间规划</w:t>
      </w:r>
      <w:r>
        <w:rPr>
          <w:rFonts w:hint="eastAsia"/>
          <w:highlight w:val="none"/>
        </w:rPr>
        <w:t>。</w:t>
      </w:r>
      <w:r>
        <w:rPr>
          <w:rFonts w:hint="eastAsia"/>
        </w:rPr>
        <w:t>评价范围内</w:t>
      </w:r>
      <w:r>
        <w:rPr>
          <w:rFonts w:hint="eastAsia"/>
          <w:lang w:eastAsia="zh-CN"/>
        </w:rPr>
        <w:t>无</w:t>
      </w:r>
      <w:r>
        <w:rPr>
          <w:rFonts w:hint="eastAsia"/>
        </w:rPr>
        <w:t>自然保护区、风景名胜区、饮用水水源保护区等《建设项目环境影响评价分类管理名录》中（一）、（二）涉及的环境敏感点，周边仅涉及居民集聚区，厂界距最近的环境敏感点为</w:t>
      </w:r>
      <w:r>
        <w:rPr>
          <w:rFonts w:hint="eastAsia"/>
          <w:lang w:val="en-US" w:eastAsia="zh-CN"/>
        </w:rPr>
        <w:t>南</w:t>
      </w:r>
      <w:r>
        <w:rPr>
          <w:rFonts w:hint="eastAsia"/>
        </w:rPr>
        <w:t>侧的</w:t>
      </w:r>
      <w:r>
        <w:rPr>
          <w:rFonts w:hint="eastAsia"/>
          <w:lang w:val="en-US" w:eastAsia="zh-CN"/>
        </w:rPr>
        <w:t>王各庄</w:t>
      </w:r>
      <w:r>
        <w:rPr>
          <w:rFonts w:hint="eastAsia"/>
        </w:rPr>
        <w:t>，距离为</w:t>
      </w:r>
      <w:r>
        <w:rPr>
          <w:rFonts w:hint="eastAsia"/>
          <w:lang w:val="en-US" w:eastAsia="zh-CN"/>
        </w:rPr>
        <w:t>210</w:t>
      </w:r>
      <w:r>
        <w:rPr>
          <w:rFonts w:hint="eastAsia"/>
        </w:rPr>
        <w:t>m。</w:t>
      </w:r>
    </w:p>
    <w:p w14:paraId="203EF5A3">
      <w:pPr>
        <w:pStyle w:val="47"/>
        <w:rPr>
          <w:rFonts w:hint="eastAsia" w:eastAsia="楷体"/>
          <w:lang w:eastAsia="zh-CN"/>
        </w:rPr>
        <w:sectPr>
          <w:pgSz w:w="11906" w:h="16838"/>
          <w:pgMar w:top="1417" w:right="1417" w:bottom="1417" w:left="1417" w:header="964" w:footer="964" w:gutter="0"/>
          <w:pgBorders>
            <w:top w:val="none" w:sz="0" w:space="0"/>
            <w:left w:val="none" w:sz="0" w:space="0"/>
            <w:bottom w:val="none" w:sz="0" w:space="0"/>
            <w:right w:val="none" w:sz="0" w:space="0"/>
          </w:pgBorders>
          <w:pgNumType w:fmt="decimal"/>
          <w:cols w:space="425" w:num="1"/>
          <w:docGrid w:type="linesAndChars" w:linePitch="326" w:charSpace="190"/>
        </w:sectPr>
      </w:pPr>
      <w:r>
        <w:rPr>
          <w:rFonts w:hint="eastAsia"/>
        </w:rPr>
        <w:t>综上所述，项目选址在环境方面具有可行性</w:t>
      </w:r>
      <w:r>
        <w:rPr>
          <w:rFonts w:hint="eastAsia"/>
          <w:lang w:eastAsia="zh-CN"/>
        </w:rPr>
        <w:t>。</w:t>
      </w:r>
    </w:p>
    <w:p w14:paraId="51E3061C">
      <w:pPr>
        <w:pStyle w:val="88"/>
        <w:bidi w:val="0"/>
        <w:ind w:left="0" w:leftChars="0" w:hanging="102" w:firstLineChars="0"/>
      </w:pPr>
      <w:bookmarkStart w:id="38" w:name="_Toc12930"/>
      <w:r>
        <w:rPr>
          <w:rFonts w:hint="eastAsia"/>
        </w:rPr>
        <w:t>建设项目工程</w:t>
      </w:r>
      <w:r>
        <w:t>分析</w:t>
      </w:r>
      <w:bookmarkEnd w:id="38"/>
    </w:p>
    <w:p w14:paraId="35EBFF48">
      <w:pPr>
        <w:pStyle w:val="90"/>
        <w:bidi w:val="0"/>
        <w:ind w:left="0" w:leftChars="0" w:firstLine="0" w:firstLineChars="0"/>
      </w:pPr>
      <w:bookmarkStart w:id="39" w:name="_Toc14802"/>
      <w:r>
        <w:rPr>
          <w:rFonts w:hint="eastAsia"/>
        </w:rPr>
        <w:t>项目概况</w:t>
      </w:r>
      <w:bookmarkEnd w:id="39"/>
    </w:p>
    <w:p w14:paraId="4A12BB2E">
      <w:pPr>
        <w:pStyle w:val="47"/>
        <w:ind w:firstLine="482"/>
        <w:rPr>
          <w:rFonts w:hint="eastAsia" w:eastAsia="楷体"/>
          <w:lang w:eastAsia="zh-CN"/>
        </w:rPr>
      </w:pPr>
      <w:r>
        <w:rPr>
          <w:rFonts w:hint="eastAsia"/>
        </w:rPr>
        <w:t>项目</w:t>
      </w:r>
      <w:r>
        <w:t>名称</w:t>
      </w:r>
      <w:r>
        <w:rPr>
          <w:rFonts w:hint="eastAsia"/>
        </w:rPr>
        <w:t>：</w:t>
      </w:r>
      <w:r>
        <w:rPr>
          <w:rFonts w:hint="eastAsia"/>
          <w:u w:val="none"/>
          <w:lang w:eastAsia="zh-CN"/>
        </w:rPr>
        <w:t>顺平县金光塑料制品有限公司年产25000吨PVC塑料制品建设项目</w:t>
      </w:r>
    </w:p>
    <w:p w14:paraId="39810B93">
      <w:pPr>
        <w:pStyle w:val="47"/>
        <w:ind w:firstLine="482"/>
        <w:rPr>
          <w:rFonts w:hint="eastAsia" w:eastAsia="楷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项目</w:t>
      </w:r>
      <w:r>
        <w:rPr>
          <w:color w:val="000000" w:themeColor="text1"/>
          <w14:textFill>
            <w14:solidFill>
              <w14:schemeClr w14:val="tx1"/>
            </w14:solidFill>
          </w14:textFill>
        </w:rPr>
        <w:t>性质</w:t>
      </w:r>
      <w:r>
        <w:rPr>
          <w:rFonts w:hint="eastAsia"/>
          <w:color w:val="000000" w:themeColor="text1"/>
          <w14:textFill>
            <w14:solidFill>
              <w14:schemeClr w14:val="tx1"/>
            </w14:solidFill>
          </w14:textFill>
        </w:rPr>
        <w:t>：</w:t>
      </w:r>
      <w:r>
        <w:rPr>
          <w:rFonts w:hint="eastAsia"/>
          <w:color w:val="000000" w:themeColor="text1"/>
          <w:lang w:val="en-US" w:eastAsia="zh-CN"/>
          <w14:textFill>
            <w14:solidFill>
              <w14:schemeClr w14:val="tx1"/>
            </w14:solidFill>
          </w14:textFill>
        </w:rPr>
        <w:t>新建</w:t>
      </w:r>
    </w:p>
    <w:p w14:paraId="2AFCEF92">
      <w:pPr>
        <w:pStyle w:val="47"/>
        <w:ind w:firstLine="482"/>
      </w:pPr>
      <w:r>
        <w:rPr>
          <w:rFonts w:hint="eastAsia"/>
        </w:rPr>
        <w:t>建设单位：</w:t>
      </w:r>
      <w:r>
        <w:rPr>
          <w:rFonts w:hint="eastAsia"/>
          <w:u w:val="none"/>
        </w:rPr>
        <w:t>顺平县金光塑料制品有限公司</w:t>
      </w:r>
    </w:p>
    <w:p w14:paraId="7AD7590C">
      <w:pPr>
        <w:pStyle w:val="47"/>
        <w:ind w:firstLine="482"/>
      </w:pPr>
      <w:r>
        <w:rPr>
          <w:rFonts w:hint="eastAsia"/>
        </w:rPr>
        <w:t>建设地点：</w:t>
      </w:r>
      <w:r>
        <w:rPr>
          <w:rFonts w:hint="eastAsia"/>
          <w:lang w:val="en-US" w:eastAsia="zh-CN"/>
        </w:rPr>
        <w:t>河北省保定市顺平县顺高线（原职教中心院内）</w:t>
      </w:r>
    </w:p>
    <w:p w14:paraId="5A299BFA">
      <w:pPr>
        <w:pStyle w:val="47"/>
        <w:ind w:firstLine="482"/>
      </w:pPr>
      <w:r>
        <w:rPr>
          <w:rFonts w:hint="eastAsia"/>
        </w:rPr>
        <w:t>周边环境</w:t>
      </w:r>
      <w:r>
        <w:t>：</w:t>
      </w:r>
      <w:r>
        <w:rPr>
          <w:rFonts w:hint="eastAsia"/>
          <w:u w:val="none"/>
          <w:lang w:val="en-US" w:eastAsia="zh-CN"/>
        </w:rPr>
        <w:t>项目</w:t>
      </w:r>
      <w:r>
        <w:rPr>
          <w:rFonts w:hint="eastAsia"/>
          <w:u w:val="none"/>
        </w:rPr>
        <w:t>东侧为</w:t>
      </w:r>
      <w:r>
        <w:rPr>
          <w:rFonts w:hint="eastAsia"/>
          <w:u w:val="none"/>
          <w:lang w:val="en-US" w:eastAsia="zh-CN"/>
        </w:rPr>
        <w:t>顺平县职业技术教育中心（现已闲置）</w:t>
      </w:r>
      <w:r>
        <w:rPr>
          <w:rFonts w:hint="eastAsia"/>
          <w:u w:val="none"/>
        </w:rPr>
        <w:t>，</w:t>
      </w:r>
      <w:r>
        <w:rPr>
          <w:u w:val="none"/>
        </w:rPr>
        <w:t>南侧</w:t>
      </w:r>
      <w:r>
        <w:rPr>
          <w:rFonts w:hint="eastAsia"/>
          <w:u w:val="none"/>
          <w:lang w:val="en-US" w:eastAsia="zh-CN"/>
        </w:rPr>
        <w:t>隔顺高线为塑料机械厂</w:t>
      </w:r>
      <w:r>
        <w:rPr>
          <w:rFonts w:hint="eastAsia"/>
          <w:u w:val="none"/>
        </w:rPr>
        <w:t>，</w:t>
      </w:r>
      <w:r>
        <w:rPr>
          <w:u w:val="none"/>
        </w:rPr>
        <w:t>西侧为</w:t>
      </w:r>
      <w:r>
        <w:rPr>
          <w:rFonts w:hint="eastAsia"/>
          <w:u w:val="none"/>
          <w:lang w:val="en-US" w:eastAsia="zh-CN"/>
        </w:rPr>
        <w:t>农田</w:t>
      </w:r>
      <w:r>
        <w:rPr>
          <w:rFonts w:hint="eastAsia"/>
          <w:u w:val="none"/>
        </w:rPr>
        <w:t>，</w:t>
      </w:r>
      <w:r>
        <w:rPr>
          <w:u w:val="none"/>
        </w:rPr>
        <w:t>北侧为</w:t>
      </w:r>
      <w:r>
        <w:rPr>
          <w:rFonts w:hint="eastAsia"/>
          <w:u w:val="none"/>
          <w:lang w:val="en-US" w:eastAsia="zh-CN"/>
        </w:rPr>
        <w:t>闲置厂房，距离项目最近的环境敏感点为南侧210m处的王各庄</w:t>
      </w:r>
      <w:r>
        <w:rPr>
          <w:rFonts w:hint="eastAsia"/>
          <w:u w:val="none"/>
        </w:rPr>
        <w:t>。</w:t>
      </w:r>
    </w:p>
    <w:p w14:paraId="114C83D8">
      <w:pPr>
        <w:pStyle w:val="47"/>
        <w:ind w:firstLine="482"/>
        <w:rPr>
          <w:rFonts w:hint="eastAsia" w:eastAsia="楷体"/>
          <w:highlight w:val="none"/>
          <w:lang w:eastAsia="zh-CN"/>
        </w:rPr>
      </w:pPr>
      <w:r>
        <w:rPr>
          <w:rFonts w:hint="eastAsia"/>
          <w:highlight w:val="none"/>
        </w:rPr>
        <w:t>建设规模：</w:t>
      </w:r>
      <w:r>
        <w:rPr>
          <w:rFonts w:hint="eastAsia"/>
          <w:highlight w:val="none"/>
          <w:lang w:val="en-US" w:eastAsia="zh-CN"/>
        </w:rPr>
        <w:t>年产</w:t>
      </w:r>
      <w:r>
        <w:rPr>
          <w:rFonts w:hint="eastAsia"/>
          <w:highlight w:val="none"/>
        </w:rPr>
        <w:t>PVC电缆颗粒25000t</w:t>
      </w:r>
      <w:r>
        <w:rPr>
          <w:rFonts w:hint="eastAsia"/>
          <w:highlight w:val="none"/>
          <w:lang w:eastAsia="zh-CN"/>
        </w:rPr>
        <w:t>。</w:t>
      </w:r>
    </w:p>
    <w:p w14:paraId="5DB1801C">
      <w:pPr>
        <w:pStyle w:val="47"/>
        <w:ind w:firstLine="482"/>
        <w:rPr>
          <w:highlight w:val="none"/>
          <w:u w:val="none"/>
        </w:rPr>
      </w:pPr>
      <w:r>
        <w:rPr>
          <w:rFonts w:hint="eastAsia"/>
          <w:highlight w:val="none"/>
        </w:rPr>
        <w:t>建设周期：</w:t>
      </w:r>
      <w:r>
        <w:rPr>
          <w:highlight w:val="none"/>
          <w:u w:val="none"/>
        </w:rPr>
        <w:t>项目计划于</w:t>
      </w:r>
      <w:r>
        <w:rPr>
          <w:rFonts w:hint="eastAsia"/>
          <w:highlight w:val="none"/>
          <w:u w:val="none"/>
          <w:lang w:val="en-US" w:eastAsia="zh-CN"/>
        </w:rPr>
        <w:t>2025</w:t>
      </w:r>
      <w:r>
        <w:rPr>
          <w:rFonts w:hint="eastAsia"/>
          <w:highlight w:val="none"/>
          <w:u w:val="none"/>
        </w:rPr>
        <w:t>年</w:t>
      </w:r>
      <w:r>
        <w:rPr>
          <w:rFonts w:hint="eastAsia"/>
          <w:highlight w:val="none"/>
          <w:u w:val="none"/>
          <w:lang w:val="en-US" w:eastAsia="zh-CN"/>
        </w:rPr>
        <w:t>4</w:t>
      </w:r>
      <w:r>
        <w:rPr>
          <w:rFonts w:hint="eastAsia"/>
          <w:highlight w:val="none"/>
          <w:u w:val="none"/>
        </w:rPr>
        <w:t>月</w:t>
      </w:r>
      <w:r>
        <w:rPr>
          <w:highlight w:val="none"/>
          <w:u w:val="none"/>
        </w:rPr>
        <w:t>开工建设，</w:t>
      </w:r>
      <w:r>
        <w:rPr>
          <w:rFonts w:hint="eastAsia"/>
          <w:highlight w:val="none"/>
          <w:u w:val="none"/>
          <w:lang w:val="en-US" w:eastAsia="zh-CN"/>
        </w:rPr>
        <w:t>2025</w:t>
      </w:r>
      <w:r>
        <w:rPr>
          <w:rFonts w:hint="eastAsia"/>
          <w:highlight w:val="none"/>
          <w:u w:val="none"/>
        </w:rPr>
        <w:t>年</w:t>
      </w:r>
      <w:r>
        <w:rPr>
          <w:rFonts w:hint="eastAsia"/>
          <w:highlight w:val="none"/>
          <w:u w:val="none"/>
          <w:lang w:val="en-US" w:eastAsia="zh-CN"/>
        </w:rPr>
        <w:t>9</w:t>
      </w:r>
      <w:r>
        <w:rPr>
          <w:rFonts w:hint="eastAsia"/>
          <w:highlight w:val="none"/>
          <w:u w:val="none"/>
        </w:rPr>
        <w:t>月</w:t>
      </w:r>
      <w:r>
        <w:rPr>
          <w:highlight w:val="none"/>
          <w:u w:val="none"/>
        </w:rPr>
        <w:t>竣工投产。</w:t>
      </w:r>
    </w:p>
    <w:p w14:paraId="4E9D87C9">
      <w:pPr>
        <w:pStyle w:val="47"/>
        <w:ind w:firstLine="482"/>
        <w:rPr>
          <w:highlight w:val="none"/>
          <w:u w:val="none"/>
        </w:rPr>
      </w:pPr>
      <w:r>
        <w:rPr>
          <w:rFonts w:hint="eastAsia"/>
          <w:highlight w:val="none"/>
          <w:u w:val="none"/>
        </w:rPr>
        <w:t>总投资</w:t>
      </w:r>
      <w:r>
        <w:rPr>
          <w:highlight w:val="none"/>
          <w:u w:val="none"/>
        </w:rPr>
        <w:t>及环保投资</w:t>
      </w:r>
      <w:r>
        <w:rPr>
          <w:rFonts w:hint="eastAsia"/>
          <w:highlight w:val="none"/>
          <w:u w:val="none"/>
        </w:rPr>
        <w:t>：</w:t>
      </w:r>
      <w:r>
        <w:rPr>
          <w:highlight w:val="none"/>
          <w:u w:val="none"/>
        </w:rPr>
        <w:t>工程总投资</w:t>
      </w:r>
      <w:r>
        <w:rPr>
          <w:rFonts w:hint="eastAsia"/>
          <w:highlight w:val="none"/>
          <w:u w:val="none"/>
          <w:lang w:val="en-US" w:eastAsia="zh-CN"/>
        </w:rPr>
        <w:t>5013.5万</w:t>
      </w:r>
      <w:r>
        <w:rPr>
          <w:highlight w:val="none"/>
          <w:u w:val="none"/>
        </w:rPr>
        <w:t>元，其中环保投资</w:t>
      </w:r>
      <w:r>
        <w:rPr>
          <w:rFonts w:hint="eastAsia"/>
          <w:highlight w:val="none"/>
          <w:u w:val="none"/>
          <w:lang w:val="en-US" w:eastAsia="zh-CN"/>
        </w:rPr>
        <w:t>200</w:t>
      </w:r>
      <w:r>
        <w:rPr>
          <w:highlight w:val="none"/>
          <w:u w:val="none"/>
        </w:rPr>
        <w:t>万元，占总投资比例为</w:t>
      </w:r>
      <w:r>
        <w:rPr>
          <w:rFonts w:hint="eastAsia"/>
          <w:highlight w:val="none"/>
          <w:u w:val="none"/>
          <w:lang w:val="en-US" w:eastAsia="zh-CN"/>
        </w:rPr>
        <w:t>4</w:t>
      </w:r>
      <w:r>
        <w:rPr>
          <w:highlight w:val="none"/>
          <w:u w:val="none"/>
        </w:rPr>
        <w:t>%。</w:t>
      </w:r>
    </w:p>
    <w:p w14:paraId="274C173D">
      <w:pPr>
        <w:pStyle w:val="90"/>
        <w:bidi w:val="0"/>
        <w:ind w:left="0" w:leftChars="0" w:firstLine="0" w:firstLineChars="0"/>
      </w:pPr>
      <w:bookmarkStart w:id="40" w:name="_Toc18477"/>
      <w:r>
        <w:rPr>
          <w:rFonts w:hint="eastAsia"/>
        </w:rPr>
        <w:t>工程内容</w:t>
      </w:r>
      <w:bookmarkEnd w:id="40"/>
    </w:p>
    <w:p w14:paraId="0F911507">
      <w:pPr>
        <w:pStyle w:val="92"/>
        <w:bidi w:val="0"/>
        <w:ind w:left="0" w:leftChars="0" w:firstLine="0" w:firstLineChars="0"/>
      </w:pPr>
      <w:r>
        <w:rPr>
          <w:rFonts w:hint="eastAsia"/>
        </w:rPr>
        <w:t>项目</w:t>
      </w:r>
      <w:r>
        <w:t>组成</w:t>
      </w:r>
    </w:p>
    <w:p w14:paraId="5EDDC26A">
      <w:pPr>
        <w:pStyle w:val="47"/>
        <w:ind w:firstLine="482"/>
        <w:rPr>
          <w:rFonts w:hint="eastAsia"/>
        </w:rPr>
      </w:pPr>
      <w:r>
        <w:rPr>
          <w:rFonts w:hint="eastAsia"/>
        </w:rPr>
        <w:t>项目内容包括主体工程</w:t>
      </w:r>
      <w:r>
        <w:t>、辅助工程、公用工程</w:t>
      </w:r>
      <w:r>
        <w:rPr>
          <w:rFonts w:hint="eastAsia"/>
        </w:rPr>
        <w:t>、</w:t>
      </w:r>
      <w:r>
        <w:t>储运工程、环保工程等</w:t>
      </w:r>
      <w:r>
        <w:rPr>
          <w:rFonts w:hint="eastAsia"/>
        </w:rPr>
        <w:t>，</w:t>
      </w:r>
      <w:r>
        <w:t>主要组成见下表</w:t>
      </w:r>
      <w:r>
        <w:rPr>
          <w:rFonts w:hint="eastAsia"/>
        </w:rPr>
        <w:t>。</w:t>
      </w:r>
    </w:p>
    <w:p w14:paraId="2BAA9965">
      <w:pPr>
        <w:pStyle w:val="94"/>
        <w:bidi w:val="0"/>
        <w:ind w:left="0" w:leftChars="0" w:firstLine="0" w:firstLineChars="0"/>
      </w:pPr>
      <w:r>
        <w:rPr>
          <w:rFonts w:hint="eastAsia"/>
        </w:rPr>
        <w:t>项目工程内容组成表</w:t>
      </w:r>
    </w:p>
    <w:tbl>
      <w:tblPr>
        <w:tblStyle w:val="3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773"/>
        <w:gridCol w:w="1603"/>
        <w:gridCol w:w="1540"/>
        <w:gridCol w:w="4395"/>
        <w:gridCol w:w="875"/>
      </w:tblGrid>
      <w:tr w14:paraId="5997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tblHeader/>
        </w:trPr>
        <w:tc>
          <w:tcPr>
            <w:tcW w:w="421" w:type="pct"/>
            <w:shd w:val="clear" w:color="auto" w:fill="auto"/>
            <w:vAlign w:val="center"/>
          </w:tcPr>
          <w:p w14:paraId="763CA04A">
            <w:pPr>
              <w:pStyle w:val="55"/>
              <w:rPr>
                <w:sz w:val="24"/>
                <w:szCs w:val="24"/>
              </w:rPr>
            </w:pPr>
            <w:r>
              <w:rPr>
                <w:rFonts w:hint="eastAsia"/>
                <w:sz w:val="24"/>
                <w:szCs w:val="24"/>
              </w:rPr>
              <w:t>类别</w:t>
            </w:r>
          </w:p>
        </w:tc>
        <w:tc>
          <w:tcPr>
            <w:tcW w:w="872" w:type="pct"/>
            <w:shd w:val="clear" w:color="auto" w:fill="auto"/>
            <w:vAlign w:val="center"/>
          </w:tcPr>
          <w:p w14:paraId="20994C55">
            <w:pPr>
              <w:pStyle w:val="55"/>
              <w:rPr>
                <w:sz w:val="24"/>
                <w:szCs w:val="24"/>
              </w:rPr>
            </w:pPr>
            <w:r>
              <w:rPr>
                <w:rFonts w:hint="eastAsia"/>
                <w:sz w:val="24"/>
                <w:szCs w:val="24"/>
              </w:rPr>
              <w:t>项目</w:t>
            </w:r>
            <w:r>
              <w:rPr>
                <w:sz w:val="24"/>
                <w:szCs w:val="24"/>
              </w:rPr>
              <w:t>名称</w:t>
            </w:r>
          </w:p>
        </w:tc>
        <w:tc>
          <w:tcPr>
            <w:tcW w:w="3229" w:type="pct"/>
            <w:gridSpan w:val="2"/>
            <w:shd w:val="clear" w:color="auto" w:fill="auto"/>
            <w:vAlign w:val="center"/>
          </w:tcPr>
          <w:p w14:paraId="5CFB4BC1">
            <w:pPr>
              <w:pStyle w:val="55"/>
              <w:rPr>
                <w:sz w:val="24"/>
                <w:szCs w:val="24"/>
              </w:rPr>
            </w:pPr>
            <w:r>
              <w:rPr>
                <w:rFonts w:hint="eastAsia"/>
                <w:sz w:val="24"/>
                <w:szCs w:val="24"/>
              </w:rPr>
              <w:t>项目</w:t>
            </w:r>
            <w:r>
              <w:rPr>
                <w:sz w:val="24"/>
                <w:szCs w:val="24"/>
              </w:rPr>
              <w:t>内容</w:t>
            </w:r>
          </w:p>
        </w:tc>
        <w:tc>
          <w:tcPr>
            <w:tcW w:w="476" w:type="pct"/>
            <w:shd w:val="clear" w:color="auto" w:fill="auto"/>
            <w:vAlign w:val="center"/>
          </w:tcPr>
          <w:p w14:paraId="05AA46E7">
            <w:pPr>
              <w:pStyle w:val="55"/>
              <w:rPr>
                <w:sz w:val="24"/>
                <w:szCs w:val="24"/>
              </w:rPr>
            </w:pPr>
            <w:r>
              <w:rPr>
                <w:rFonts w:hint="eastAsia"/>
                <w:sz w:val="24"/>
                <w:szCs w:val="24"/>
              </w:rPr>
              <w:t>备注</w:t>
            </w:r>
          </w:p>
        </w:tc>
      </w:tr>
      <w:tr w14:paraId="66CFA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trPr>
        <w:tc>
          <w:tcPr>
            <w:tcW w:w="421" w:type="pct"/>
            <w:vMerge w:val="restart"/>
            <w:shd w:val="clear" w:color="auto" w:fill="auto"/>
            <w:vAlign w:val="center"/>
          </w:tcPr>
          <w:p w14:paraId="54213752">
            <w:pPr>
              <w:pStyle w:val="55"/>
              <w:rPr>
                <w:sz w:val="24"/>
                <w:szCs w:val="24"/>
              </w:rPr>
            </w:pPr>
            <w:r>
              <w:rPr>
                <w:rFonts w:hint="eastAsia"/>
                <w:sz w:val="24"/>
                <w:szCs w:val="24"/>
              </w:rPr>
              <w:t>主体工程</w:t>
            </w:r>
          </w:p>
        </w:tc>
        <w:tc>
          <w:tcPr>
            <w:tcW w:w="872" w:type="pct"/>
            <w:shd w:val="clear" w:color="auto" w:fill="auto"/>
            <w:vAlign w:val="center"/>
          </w:tcPr>
          <w:p w14:paraId="16B299EE">
            <w:pPr>
              <w:pStyle w:val="55"/>
              <w:rPr>
                <w:sz w:val="24"/>
                <w:szCs w:val="24"/>
              </w:rPr>
            </w:pPr>
            <w:r>
              <w:rPr>
                <w:rFonts w:hint="eastAsia"/>
                <w:sz w:val="24"/>
                <w:szCs w:val="24"/>
              </w:rPr>
              <w:t>1#生产车间</w:t>
            </w:r>
          </w:p>
        </w:tc>
        <w:tc>
          <w:tcPr>
            <w:tcW w:w="3229" w:type="pct"/>
            <w:gridSpan w:val="2"/>
            <w:shd w:val="clear" w:color="auto" w:fill="auto"/>
            <w:vAlign w:val="center"/>
          </w:tcPr>
          <w:p w14:paraId="0273F519">
            <w:pPr>
              <w:pStyle w:val="55"/>
              <w:jc w:val="both"/>
              <w:rPr>
                <w:rFonts w:hint="default" w:eastAsia="楷体"/>
                <w:sz w:val="24"/>
                <w:szCs w:val="24"/>
                <w:lang w:val="en-US" w:eastAsia="zh-CN"/>
              </w:rPr>
            </w:pPr>
            <w:r>
              <w:rPr>
                <w:rFonts w:hint="eastAsia"/>
                <w:sz w:val="24"/>
                <w:szCs w:val="24"/>
                <w:u w:val="none"/>
                <w:lang w:val="en-US" w:eastAsia="zh-CN"/>
              </w:rPr>
              <w:t>建筑</w:t>
            </w:r>
            <w:r>
              <w:rPr>
                <w:rFonts w:hint="eastAsia"/>
                <w:sz w:val="24"/>
                <w:szCs w:val="24"/>
                <w:u w:val="none"/>
              </w:rPr>
              <w:t>面积约</w:t>
            </w:r>
            <w:r>
              <w:rPr>
                <w:rFonts w:hint="eastAsia"/>
                <w:sz w:val="24"/>
                <w:szCs w:val="24"/>
                <w:u w:val="none"/>
                <w:lang w:val="en-US" w:eastAsia="zh-CN"/>
              </w:rPr>
              <w:t>1950</w:t>
            </w:r>
            <w:r>
              <w:rPr>
                <w:rFonts w:hint="eastAsia"/>
                <w:sz w:val="24"/>
                <w:szCs w:val="24"/>
                <w:u w:val="none"/>
              </w:rPr>
              <w:t>m</w:t>
            </w:r>
            <w:r>
              <w:rPr>
                <w:rFonts w:hint="eastAsia"/>
                <w:sz w:val="24"/>
                <w:szCs w:val="24"/>
                <w:u w:val="none"/>
                <w:vertAlign w:val="superscript"/>
              </w:rPr>
              <w:t>2</w:t>
            </w:r>
            <w:r>
              <w:rPr>
                <w:rFonts w:hint="eastAsia"/>
                <w:sz w:val="24"/>
                <w:szCs w:val="24"/>
                <w:u w:val="none"/>
                <w:vertAlign w:val="baseline"/>
                <w:lang w:eastAsia="zh-CN"/>
              </w:rPr>
              <w:t>，</w:t>
            </w:r>
            <w:r>
              <w:rPr>
                <w:rFonts w:hint="eastAsia"/>
                <w:sz w:val="24"/>
                <w:szCs w:val="24"/>
                <w:lang w:val="en-US" w:eastAsia="zh-CN"/>
              </w:rPr>
              <w:t>放置</w:t>
            </w:r>
            <w:r>
              <w:rPr>
                <w:rFonts w:hint="eastAsia"/>
                <w:sz w:val="24"/>
                <w:szCs w:val="24"/>
              </w:rPr>
              <w:t>破碎机、水浮分离机、卧式甩干机、高速混合机、挤出机、切粒机、存料器、牵引机</w:t>
            </w:r>
            <w:r>
              <w:rPr>
                <w:rFonts w:hint="eastAsia"/>
                <w:sz w:val="24"/>
                <w:szCs w:val="24"/>
                <w:lang w:eastAsia="zh-CN"/>
              </w:rPr>
              <w:t>，</w:t>
            </w:r>
            <w:r>
              <w:rPr>
                <w:rFonts w:hint="eastAsia"/>
                <w:sz w:val="24"/>
                <w:szCs w:val="24"/>
                <w:lang w:val="en-US" w:eastAsia="zh-CN"/>
              </w:rPr>
              <w:t>设备共计42台。</w:t>
            </w:r>
          </w:p>
        </w:tc>
        <w:tc>
          <w:tcPr>
            <w:tcW w:w="476" w:type="pct"/>
            <w:shd w:val="clear" w:color="auto" w:fill="auto"/>
            <w:vAlign w:val="center"/>
          </w:tcPr>
          <w:p w14:paraId="67F75E9C">
            <w:pPr>
              <w:pStyle w:val="55"/>
              <w:rPr>
                <w:rFonts w:hint="eastAsia" w:eastAsia="楷体"/>
                <w:sz w:val="24"/>
                <w:szCs w:val="24"/>
                <w:lang w:val="en-US" w:eastAsia="zh-CN"/>
              </w:rPr>
            </w:pPr>
            <w:r>
              <w:rPr>
                <w:rFonts w:hint="eastAsia"/>
                <w:sz w:val="24"/>
                <w:szCs w:val="24"/>
                <w:lang w:val="en-US" w:eastAsia="zh-CN"/>
              </w:rPr>
              <w:t>新建</w:t>
            </w:r>
          </w:p>
        </w:tc>
      </w:tr>
      <w:tr w14:paraId="10B3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trPr>
        <w:tc>
          <w:tcPr>
            <w:tcW w:w="421" w:type="pct"/>
            <w:vMerge w:val="continue"/>
            <w:shd w:val="clear" w:color="auto" w:fill="auto"/>
            <w:vAlign w:val="center"/>
          </w:tcPr>
          <w:p w14:paraId="7744650E">
            <w:pPr>
              <w:pStyle w:val="55"/>
              <w:rPr>
                <w:rFonts w:hint="eastAsia"/>
                <w:sz w:val="24"/>
                <w:szCs w:val="24"/>
              </w:rPr>
            </w:pPr>
          </w:p>
        </w:tc>
        <w:tc>
          <w:tcPr>
            <w:tcW w:w="872" w:type="pct"/>
            <w:shd w:val="clear" w:color="auto" w:fill="auto"/>
            <w:vAlign w:val="center"/>
          </w:tcPr>
          <w:p w14:paraId="37523A3B">
            <w:pPr>
              <w:pStyle w:val="55"/>
              <w:rPr>
                <w:rFonts w:hint="eastAsia"/>
                <w:sz w:val="24"/>
                <w:szCs w:val="24"/>
              </w:rPr>
            </w:pPr>
            <w:r>
              <w:rPr>
                <w:rFonts w:hint="eastAsia"/>
                <w:sz w:val="24"/>
                <w:szCs w:val="24"/>
              </w:rPr>
              <w:t>2#生产车间</w:t>
            </w:r>
          </w:p>
        </w:tc>
        <w:tc>
          <w:tcPr>
            <w:tcW w:w="3229" w:type="pct"/>
            <w:gridSpan w:val="2"/>
            <w:shd w:val="clear" w:color="auto" w:fill="auto"/>
            <w:vAlign w:val="center"/>
          </w:tcPr>
          <w:p w14:paraId="25719A14">
            <w:pPr>
              <w:pStyle w:val="55"/>
              <w:jc w:val="both"/>
              <w:rPr>
                <w:rFonts w:hint="eastAsia"/>
                <w:sz w:val="24"/>
                <w:szCs w:val="24"/>
              </w:rPr>
            </w:pPr>
            <w:r>
              <w:rPr>
                <w:rFonts w:hint="eastAsia"/>
                <w:sz w:val="24"/>
                <w:szCs w:val="24"/>
                <w:u w:val="none"/>
                <w:lang w:val="en-US" w:eastAsia="zh-CN"/>
              </w:rPr>
              <w:t>建筑</w:t>
            </w:r>
            <w:r>
              <w:rPr>
                <w:rFonts w:hint="eastAsia"/>
                <w:sz w:val="24"/>
                <w:szCs w:val="24"/>
                <w:u w:val="none"/>
              </w:rPr>
              <w:t>面积约</w:t>
            </w:r>
            <w:r>
              <w:rPr>
                <w:rFonts w:hint="eastAsia"/>
                <w:sz w:val="24"/>
                <w:szCs w:val="24"/>
                <w:u w:val="none"/>
                <w:lang w:val="en-US" w:eastAsia="zh-CN"/>
              </w:rPr>
              <w:t>1035</w:t>
            </w:r>
            <w:r>
              <w:rPr>
                <w:rFonts w:hint="eastAsia"/>
                <w:sz w:val="24"/>
                <w:szCs w:val="24"/>
                <w:u w:val="none"/>
              </w:rPr>
              <w:t>m</w:t>
            </w:r>
            <w:r>
              <w:rPr>
                <w:rFonts w:hint="eastAsia"/>
                <w:sz w:val="24"/>
                <w:szCs w:val="24"/>
                <w:u w:val="none"/>
                <w:vertAlign w:val="superscript"/>
              </w:rPr>
              <w:t>2</w:t>
            </w:r>
            <w:r>
              <w:rPr>
                <w:rFonts w:hint="eastAsia"/>
                <w:sz w:val="24"/>
                <w:szCs w:val="24"/>
                <w:u w:val="none"/>
                <w:vertAlign w:val="baseline"/>
                <w:lang w:eastAsia="zh-CN"/>
              </w:rPr>
              <w:t>，</w:t>
            </w:r>
            <w:r>
              <w:rPr>
                <w:rFonts w:hint="eastAsia"/>
                <w:sz w:val="24"/>
                <w:szCs w:val="24"/>
                <w:lang w:val="en-US" w:eastAsia="zh-CN"/>
              </w:rPr>
              <w:t>放置</w:t>
            </w:r>
            <w:r>
              <w:rPr>
                <w:rFonts w:hint="eastAsia"/>
                <w:sz w:val="24"/>
                <w:szCs w:val="24"/>
              </w:rPr>
              <w:t>破碎机、水浮分离机、卧式甩干机、高速混合机、挤出机、切粒机、存料器、牵引机</w:t>
            </w:r>
            <w:r>
              <w:rPr>
                <w:rFonts w:hint="eastAsia"/>
                <w:sz w:val="24"/>
                <w:szCs w:val="24"/>
                <w:lang w:eastAsia="zh-CN"/>
              </w:rPr>
              <w:t>，</w:t>
            </w:r>
            <w:r>
              <w:rPr>
                <w:rFonts w:hint="eastAsia"/>
                <w:sz w:val="24"/>
                <w:szCs w:val="24"/>
                <w:lang w:val="en-US" w:eastAsia="zh-CN"/>
              </w:rPr>
              <w:t>设备共计39台。</w:t>
            </w:r>
          </w:p>
        </w:tc>
        <w:tc>
          <w:tcPr>
            <w:tcW w:w="476" w:type="pct"/>
            <w:shd w:val="clear" w:color="auto" w:fill="auto"/>
            <w:vAlign w:val="center"/>
          </w:tcPr>
          <w:p w14:paraId="272F5119">
            <w:pPr>
              <w:pStyle w:val="55"/>
              <w:rPr>
                <w:rFonts w:hint="eastAsia"/>
                <w:color w:val="FF0000"/>
                <w:sz w:val="24"/>
                <w:szCs w:val="24"/>
              </w:rPr>
            </w:pPr>
            <w:r>
              <w:rPr>
                <w:rFonts w:hint="eastAsia"/>
                <w:sz w:val="24"/>
                <w:szCs w:val="24"/>
                <w:lang w:val="en-US" w:eastAsia="zh-CN"/>
              </w:rPr>
              <w:t>新建</w:t>
            </w:r>
          </w:p>
        </w:tc>
      </w:tr>
      <w:tr w14:paraId="164A3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trPr>
        <w:tc>
          <w:tcPr>
            <w:tcW w:w="421" w:type="pct"/>
            <w:vMerge w:val="continue"/>
            <w:shd w:val="clear" w:color="auto" w:fill="auto"/>
            <w:vAlign w:val="center"/>
          </w:tcPr>
          <w:p w14:paraId="36D9BBF8">
            <w:pPr>
              <w:pStyle w:val="55"/>
              <w:rPr>
                <w:sz w:val="24"/>
                <w:szCs w:val="24"/>
              </w:rPr>
            </w:pPr>
          </w:p>
        </w:tc>
        <w:tc>
          <w:tcPr>
            <w:tcW w:w="872" w:type="pct"/>
            <w:shd w:val="clear" w:color="auto" w:fill="auto"/>
            <w:vAlign w:val="center"/>
          </w:tcPr>
          <w:p w14:paraId="11529660">
            <w:pPr>
              <w:pStyle w:val="55"/>
              <w:rPr>
                <w:sz w:val="24"/>
                <w:szCs w:val="24"/>
              </w:rPr>
            </w:pPr>
            <w:r>
              <w:rPr>
                <w:rFonts w:hint="eastAsia"/>
                <w:sz w:val="24"/>
                <w:szCs w:val="24"/>
              </w:rPr>
              <w:t>3#生产车间</w:t>
            </w:r>
          </w:p>
        </w:tc>
        <w:tc>
          <w:tcPr>
            <w:tcW w:w="3229" w:type="pct"/>
            <w:gridSpan w:val="2"/>
            <w:shd w:val="clear" w:color="auto" w:fill="auto"/>
            <w:vAlign w:val="center"/>
          </w:tcPr>
          <w:p w14:paraId="793D8563">
            <w:pPr>
              <w:pStyle w:val="55"/>
              <w:jc w:val="both"/>
              <w:rPr>
                <w:sz w:val="24"/>
                <w:szCs w:val="24"/>
              </w:rPr>
            </w:pPr>
            <w:r>
              <w:rPr>
                <w:rFonts w:hint="eastAsia"/>
                <w:sz w:val="24"/>
                <w:szCs w:val="24"/>
                <w:u w:val="none"/>
                <w:lang w:val="en-US" w:eastAsia="zh-CN"/>
              </w:rPr>
              <w:t>建筑</w:t>
            </w:r>
            <w:r>
              <w:rPr>
                <w:rFonts w:hint="eastAsia"/>
                <w:sz w:val="24"/>
                <w:szCs w:val="24"/>
                <w:u w:val="none"/>
              </w:rPr>
              <w:t>面积约</w:t>
            </w:r>
            <w:r>
              <w:rPr>
                <w:rFonts w:hint="eastAsia"/>
                <w:sz w:val="24"/>
                <w:szCs w:val="24"/>
                <w:u w:val="none"/>
                <w:lang w:val="en-US" w:eastAsia="zh-CN"/>
              </w:rPr>
              <w:t>1400</w:t>
            </w:r>
            <w:r>
              <w:rPr>
                <w:rFonts w:hint="eastAsia"/>
                <w:sz w:val="24"/>
                <w:szCs w:val="24"/>
                <w:u w:val="none"/>
              </w:rPr>
              <w:t>m</w:t>
            </w:r>
            <w:r>
              <w:rPr>
                <w:rFonts w:hint="eastAsia"/>
                <w:sz w:val="24"/>
                <w:szCs w:val="24"/>
                <w:u w:val="none"/>
                <w:vertAlign w:val="superscript"/>
              </w:rPr>
              <w:t>2</w:t>
            </w:r>
            <w:r>
              <w:rPr>
                <w:rFonts w:hint="eastAsia"/>
                <w:sz w:val="24"/>
                <w:szCs w:val="24"/>
                <w:u w:val="none"/>
                <w:vertAlign w:val="baseline"/>
                <w:lang w:eastAsia="zh-CN"/>
              </w:rPr>
              <w:t>，</w:t>
            </w:r>
            <w:r>
              <w:rPr>
                <w:rFonts w:hint="eastAsia"/>
                <w:sz w:val="24"/>
                <w:szCs w:val="24"/>
                <w:lang w:val="en-US" w:eastAsia="zh-CN"/>
              </w:rPr>
              <w:t>放置</w:t>
            </w:r>
            <w:r>
              <w:rPr>
                <w:rFonts w:hint="eastAsia"/>
                <w:sz w:val="24"/>
                <w:szCs w:val="24"/>
              </w:rPr>
              <w:t>破碎机、水浮分离机、卧式甩干机、高速混合机、挤出机、切粒机、存料器</w:t>
            </w:r>
            <w:r>
              <w:rPr>
                <w:rFonts w:hint="eastAsia"/>
                <w:sz w:val="24"/>
                <w:szCs w:val="24"/>
                <w:lang w:eastAsia="zh-CN"/>
              </w:rPr>
              <w:t>，</w:t>
            </w:r>
            <w:r>
              <w:rPr>
                <w:rFonts w:hint="eastAsia"/>
                <w:sz w:val="24"/>
                <w:szCs w:val="24"/>
                <w:lang w:val="en-US" w:eastAsia="zh-CN"/>
              </w:rPr>
              <w:t>设备共计18台。</w:t>
            </w:r>
          </w:p>
        </w:tc>
        <w:tc>
          <w:tcPr>
            <w:tcW w:w="476" w:type="pct"/>
            <w:shd w:val="clear" w:color="auto" w:fill="auto"/>
            <w:vAlign w:val="center"/>
          </w:tcPr>
          <w:p w14:paraId="46497F0B">
            <w:pPr>
              <w:pStyle w:val="55"/>
              <w:rPr>
                <w:sz w:val="24"/>
                <w:szCs w:val="24"/>
              </w:rPr>
            </w:pPr>
            <w:r>
              <w:rPr>
                <w:rFonts w:hint="eastAsia"/>
                <w:sz w:val="24"/>
                <w:szCs w:val="24"/>
                <w:lang w:val="en-US" w:eastAsia="zh-CN"/>
              </w:rPr>
              <w:t>新建</w:t>
            </w:r>
          </w:p>
        </w:tc>
      </w:tr>
      <w:tr w14:paraId="55F24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trPr>
        <w:tc>
          <w:tcPr>
            <w:tcW w:w="421" w:type="pct"/>
            <w:vMerge w:val="restart"/>
            <w:shd w:val="clear" w:color="auto" w:fill="auto"/>
            <w:vAlign w:val="center"/>
          </w:tcPr>
          <w:p w14:paraId="5E6AD82B">
            <w:pPr>
              <w:pStyle w:val="55"/>
              <w:rPr>
                <w:sz w:val="24"/>
                <w:szCs w:val="24"/>
              </w:rPr>
            </w:pPr>
            <w:r>
              <w:rPr>
                <w:rFonts w:hint="eastAsia"/>
                <w:sz w:val="24"/>
                <w:szCs w:val="24"/>
              </w:rPr>
              <w:t>辅助</w:t>
            </w:r>
            <w:r>
              <w:rPr>
                <w:sz w:val="24"/>
                <w:szCs w:val="24"/>
              </w:rPr>
              <w:t>工程</w:t>
            </w:r>
          </w:p>
        </w:tc>
        <w:tc>
          <w:tcPr>
            <w:tcW w:w="872" w:type="pct"/>
            <w:shd w:val="clear" w:color="auto" w:fill="auto"/>
            <w:vAlign w:val="center"/>
          </w:tcPr>
          <w:p w14:paraId="7E2AD65D">
            <w:pPr>
              <w:pStyle w:val="55"/>
              <w:rPr>
                <w:sz w:val="24"/>
                <w:szCs w:val="24"/>
              </w:rPr>
            </w:pPr>
            <w:r>
              <w:rPr>
                <w:rFonts w:hint="eastAsia"/>
                <w:sz w:val="24"/>
                <w:szCs w:val="24"/>
              </w:rPr>
              <w:t>办公区</w:t>
            </w:r>
          </w:p>
        </w:tc>
        <w:tc>
          <w:tcPr>
            <w:tcW w:w="3229" w:type="pct"/>
            <w:gridSpan w:val="2"/>
            <w:shd w:val="clear" w:color="auto" w:fill="auto"/>
            <w:vAlign w:val="center"/>
          </w:tcPr>
          <w:p w14:paraId="77686CC5">
            <w:pPr>
              <w:pStyle w:val="55"/>
              <w:rPr>
                <w:sz w:val="24"/>
                <w:szCs w:val="24"/>
              </w:rPr>
            </w:pPr>
            <w:r>
              <w:rPr>
                <w:rFonts w:hint="eastAsia"/>
                <w:sz w:val="24"/>
                <w:szCs w:val="24"/>
                <w:u w:val="none"/>
                <w:lang w:val="en-US" w:eastAsia="zh-CN"/>
              </w:rPr>
              <w:t>建筑</w:t>
            </w:r>
            <w:r>
              <w:rPr>
                <w:rFonts w:hint="eastAsia"/>
                <w:sz w:val="24"/>
                <w:szCs w:val="24"/>
                <w:u w:val="none"/>
              </w:rPr>
              <w:t>面积约</w:t>
            </w:r>
            <w:r>
              <w:rPr>
                <w:rFonts w:hint="eastAsia"/>
                <w:sz w:val="24"/>
                <w:szCs w:val="24"/>
                <w:u w:val="none"/>
                <w:lang w:val="en-US" w:eastAsia="zh-CN"/>
              </w:rPr>
              <w:t>600</w:t>
            </w:r>
            <w:r>
              <w:rPr>
                <w:rFonts w:hint="eastAsia"/>
                <w:sz w:val="24"/>
                <w:szCs w:val="24"/>
                <w:u w:val="none"/>
              </w:rPr>
              <w:t>m</w:t>
            </w:r>
            <w:r>
              <w:rPr>
                <w:rFonts w:hint="eastAsia"/>
                <w:sz w:val="24"/>
                <w:szCs w:val="24"/>
                <w:u w:val="none"/>
                <w:vertAlign w:val="superscript"/>
              </w:rPr>
              <w:t>2</w:t>
            </w:r>
            <w:r>
              <w:rPr>
                <w:rFonts w:hint="eastAsia"/>
                <w:sz w:val="24"/>
                <w:szCs w:val="24"/>
                <w:u w:val="none"/>
                <w:vertAlign w:val="baseline"/>
                <w:lang w:eastAsia="zh-CN"/>
              </w:rPr>
              <w:t>，</w:t>
            </w:r>
            <w:r>
              <w:rPr>
                <w:rFonts w:hint="eastAsia"/>
                <w:sz w:val="24"/>
                <w:szCs w:val="24"/>
                <w:u w:val="none"/>
                <w:vertAlign w:val="baseline"/>
                <w:lang w:val="en-US" w:eastAsia="zh-CN"/>
              </w:rPr>
              <w:t>共计2层</w:t>
            </w:r>
          </w:p>
        </w:tc>
        <w:tc>
          <w:tcPr>
            <w:tcW w:w="476" w:type="pct"/>
            <w:shd w:val="clear" w:color="auto" w:fill="auto"/>
            <w:vAlign w:val="center"/>
          </w:tcPr>
          <w:p w14:paraId="72C174CE">
            <w:pPr>
              <w:pStyle w:val="55"/>
              <w:rPr>
                <w:rFonts w:hint="eastAsia" w:eastAsia="楷体"/>
                <w:sz w:val="24"/>
                <w:szCs w:val="24"/>
                <w:lang w:val="en-US" w:eastAsia="zh-CN"/>
              </w:rPr>
            </w:pPr>
            <w:r>
              <w:rPr>
                <w:rFonts w:hint="eastAsia"/>
                <w:sz w:val="24"/>
                <w:szCs w:val="24"/>
                <w:lang w:val="en-US" w:eastAsia="zh-CN"/>
              </w:rPr>
              <w:t>利旧</w:t>
            </w:r>
          </w:p>
        </w:tc>
      </w:tr>
      <w:tr w14:paraId="09C7B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trPr>
        <w:tc>
          <w:tcPr>
            <w:tcW w:w="421" w:type="pct"/>
            <w:vMerge w:val="continue"/>
            <w:shd w:val="clear" w:color="auto" w:fill="auto"/>
            <w:vAlign w:val="center"/>
          </w:tcPr>
          <w:p w14:paraId="7921AE22">
            <w:pPr>
              <w:pStyle w:val="55"/>
              <w:rPr>
                <w:sz w:val="24"/>
                <w:szCs w:val="24"/>
              </w:rPr>
            </w:pPr>
          </w:p>
        </w:tc>
        <w:tc>
          <w:tcPr>
            <w:tcW w:w="872" w:type="pct"/>
            <w:shd w:val="clear" w:color="auto" w:fill="auto"/>
            <w:vAlign w:val="center"/>
          </w:tcPr>
          <w:p w14:paraId="3A26C82F">
            <w:pPr>
              <w:pStyle w:val="55"/>
              <w:rPr>
                <w:rFonts w:hint="default" w:eastAsia="楷体"/>
                <w:sz w:val="24"/>
                <w:szCs w:val="24"/>
                <w:lang w:val="en-US" w:eastAsia="zh-CN"/>
              </w:rPr>
            </w:pPr>
            <w:r>
              <w:rPr>
                <w:rFonts w:hint="eastAsia"/>
                <w:sz w:val="24"/>
                <w:szCs w:val="24"/>
                <w:lang w:val="en-US" w:eastAsia="zh-CN"/>
              </w:rPr>
              <w:t>职工休息区</w:t>
            </w:r>
          </w:p>
        </w:tc>
        <w:tc>
          <w:tcPr>
            <w:tcW w:w="3229" w:type="pct"/>
            <w:gridSpan w:val="2"/>
            <w:shd w:val="clear" w:color="auto" w:fill="auto"/>
            <w:vAlign w:val="center"/>
          </w:tcPr>
          <w:p w14:paraId="1B9FD213">
            <w:pPr>
              <w:pStyle w:val="55"/>
              <w:rPr>
                <w:rFonts w:hint="default" w:eastAsia="楷体"/>
                <w:sz w:val="24"/>
                <w:szCs w:val="24"/>
                <w:lang w:val="en-US" w:eastAsia="zh-CN"/>
              </w:rPr>
            </w:pPr>
            <w:r>
              <w:rPr>
                <w:rFonts w:hint="eastAsia"/>
                <w:sz w:val="24"/>
                <w:szCs w:val="24"/>
                <w:u w:val="none"/>
                <w:lang w:val="en-US" w:eastAsia="zh-CN"/>
              </w:rPr>
              <w:t>建筑</w:t>
            </w:r>
            <w:r>
              <w:rPr>
                <w:rFonts w:hint="eastAsia"/>
                <w:sz w:val="24"/>
                <w:szCs w:val="24"/>
                <w:u w:val="none"/>
              </w:rPr>
              <w:t>面积约</w:t>
            </w:r>
            <w:r>
              <w:rPr>
                <w:rFonts w:hint="eastAsia"/>
                <w:sz w:val="24"/>
                <w:szCs w:val="24"/>
                <w:u w:val="none"/>
                <w:lang w:val="en-US" w:eastAsia="zh-CN"/>
              </w:rPr>
              <w:t>3000</w:t>
            </w:r>
            <w:r>
              <w:rPr>
                <w:rFonts w:hint="eastAsia"/>
                <w:sz w:val="24"/>
                <w:szCs w:val="24"/>
                <w:u w:val="none"/>
              </w:rPr>
              <w:t>m</w:t>
            </w:r>
            <w:r>
              <w:rPr>
                <w:rFonts w:hint="eastAsia"/>
                <w:sz w:val="24"/>
                <w:szCs w:val="24"/>
                <w:u w:val="none"/>
                <w:vertAlign w:val="superscript"/>
              </w:rPr>
              <w:t>2</w:t>
            </w:r>
            <w:r>
              <w:rPr>
                <w:rFonts w:hint="eastAsia"/>
                <w:sz w:val="24"/>
                <w:szCs w:val="24"/>
                <w:u w:val="none"/>
                <w:vertAlign w:val="baseline"/>
                <w:lang w:eastAsia="zh-CN"/>
              </w:rPr>
              <w:t>，</w:t>
            </w:r>
            <w:r>
              <w:rPr>
                <w:rFonts w:hint="eastAsia"/>
                <w:sz w:val="24"/>
                <w:szCs w:val="24"/>
                <w:u w:val="none"/>
                <w:vertAlign w:val="baseline"/>
                <w:lang w:val="en-US" w:eastAsia="zh-CN"/>
              </w:rPr>
              <w:t>共计6层</w:t>
            </w:r>
          </w:p>
        </w:tc>
        <w:tc>
          <w:tcPr>
            <w:tcW w:w="476" w:type="pct"/>
            <w:shd w:val="clear" w:color="auto" w:fill="auto"/>
            <w:vAlign w:val="center"/>
          </w:tcPr>
          <w:p w14:paraId="164BBE8D">
            <w:pPr>
              <w:pStyle w:val="55"/>
              <w:rPr>
                <w:sz w:val="24"/>
                <w:szCs w:val="24"/>
              </w:rPr>
            </w:pPr>
            <w:r>
              <w:rPr>
                <w:rFonts w:hint="eastAsia"/>
                <w:sz w:val="24"/>
                <w:szCs w:val="24"/>
                <w:lang w:val="en-US" w:eastAsia="zh-CN"/>
              </w:rPr>
              <w:t>利旧</w:t>
            </w:r>
          </w:p>
        </w:tc>
      </w:tr>
      <w:tr w14:paraId="3FDEA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trPr>
        <w:tc>
          <w:tcPr>
            <w:tcW w:w="421" w:type="pct"/>
            <w:vMerge w:val="restart"/>
            <w:shd w:val="clear" w:color="auto" w:fill="auto"/>
            <w:vAlign w:val="center"/>
          </w:tcPr>
          <w:p w14:paraId="389629EE">
            <w:pPr>
              <w:pStyle w:val="55"/>
              <w:rPr>
                <w:sz w:val="24"/>
                <w:szCs w:val="24"/>
              </w:rPr>
            </w:pPr>
            <w:r>
              <w:rPr>
                <w:rFonts w:hint="eastAsia"/>
                <w:sz w:val="24"/>
                <w:szCs w:val="24"/>
              </w:rPr>
              <w:t>公用工程</w:t>
            </w:r>
          </w:p>
        </w:tc>
        <w:tc>
          <w:tcPr>
            <w:tcW w:w="872" w:type="pct"/>
            <w:shd w:val="clear" w:color="auto" w:fill="auto"/>
            <w:vAlign w:val="center"/>
          </w:tcPr>
          <w:p w14:paraId="579CAEAB">
            <w:pPr>
              <w:pStyle w:val="55"/>
              <w:rPr>
                <w:sz w:val="24"/>
                <w:szCs w:val="24"/>
              </w:rPr>
            </w:pPr>
            <w:r>
              <w:rPr>
                <w:rFonts w:hint="eastAsia"/>
                <w:sz w:val="24"/>
                <w:szCs w:val="24"/>
              </w:rPr>
              <w:t>供水</w:t>
            </w:r>
            <w:r>
              <w:rPr>
                <w:sz w:val="24"/>
                <w:szCs w:val="24"/>
              </w:rPr>
              <w:t>工程</w:t>
            </w:r>
          </w:p>
        </w:tc>
        <w:tc>
          <w:tcPr>
            <w:tcW w:w="3229" w:type="pct"/>
            <w:gridSpan w:val="2"/>
            <w:shd w:val="clear" w:color="auto" w:fill="auto"/>
            <w:vAlign w:val="center"/>
          </w:tcPr>
          <w:p w14:paraId="78E49A10">
            <w:pPr>
              <w:pStyle w:val="55"/>
              <w:rPr>
                <w:sz w:val="24"/>
                <w:szCs w:val="24"/>
              </w:rPr>
            </w:pPr>
            <w:r>
              <w:rPr>
                <w:rFonts w:hint="eastAsia"/>
                <w:sz w:val="24"/>
                <w:szCs w:val="24"/>
              </w:rPr>
              <w:t>市政供水管网</w:t>
            </w:r>
          </w:p>
        </w:tc>
        <w:tc>
          <w:tcPr>
            <w:tcW w:w="476" w:type="pct"/>
            <w:shd w:val="clear" w:color="auto" w:fill="auto"/>
            <w:vAlign w:val="center"/>
          </w:tcPr>
          <w:p w14:paraId="3EF7EEE7">
            <w:pPr>
              <w:pStyle w:val="55"/>
              <w:rPr>
                <w:rFonts w:hint="eastAsia" w:eastAsia="楷体"/>
                <w:sz w:val="24"/>
                <w:szCs w:val="24"/>
                <w:lang w:val="en-US" w:eastAsia="zh-CN"/>
              </w:rPr>
            </w:pPr>
            <w:r>
              <w:rPr>
                <w:rFonts w:hint="eastAsia"/>
                <w:sz w:val="24"/>
                <w:szCs w:val="24"/>
                <w:lang w:val="en-US" w:eastAsia="zh-CN"/>
              </w:rPr>
              <w:t>/</w:t>
            </w:r>
          </w:p>
        </w:tc>
      </w:tr>
      <w:tr w14:paraId="7DC66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trPr>
        <w:tc>
          <w:tcPr>
            <w:tcW w:w="421" w:type="pct"/>
            <w:vMerge w:val="continue"/>
            <w:shd w:val="clear" w:color="auto" w:fill="auto"/>
            <w:vAlign w:val="center"/>
          </w:tcPr>
          <w:p w14:paraId="5F3994AC">
            <w:pPr>
              <w:pStyle w:val="55"/>
              <w:rPr>
                <w:sz w:val="24"/>
                <w:szCs w:val="24"/>
              </w:rPr>
            </w:pPr>
          </w:p>
        </w:tc>
        <w:tc>
          <w:tcPr>
            <w:tcW w:w="872" w:type="pct"/>
            <w:shd w:val="clear" w:color="auto" w:fill="auto"/>
            <w:vAlign w:val="center"/>
          </w:tcPr>
          <w:p w14:paraId="3DCD8291">
            <w:pPr>
              <w:pStyle w:val="55"/>
              <w:rPr>
                <w:sz w:val="24"/>
                <w:szCs w:val="24"/>
              </w:rPr>
            </w:pPr>
            <w:r>
              <w:rPr>
                <w:rFonts w:hint="eastAsia"/>
                <w:sz w:val="24"/>
                <w:szCs w:val="24"/>
              </w:rPr>
              <w:t>供电</w:t>
            </w:r>
            <w:r>
              <w:rPr>
                <w:sz w:val="24"/>
                <w:szCs w:val="24"/>
              </w:rPr>
              <w:t>工程</w:t>
            </w:r>
          </w:p>
        </w:tc>
        <w:tc>
          <w:tcPr>
            <w:tcW w:w="3229" w:type="pct"/>
            <w:gridSpan w:val="2"/>
            <w:shd w:val="clear" w:color="auto" w:fill="auto"/>
            <w:vAlign w:val="center"/>
          </w:tcPr>
          <w:p w14:paraId="6C524D4D">
            <w:pPr>
              <w:pStyle w:val="55"/>
              <w:rPr>
                <w:rFonts w:hint="default" w:eastAsia="楷体"/>
                <w:sz w:val="24"/>
                <w:szCs w:val="24"/>
                <w:lang w:val="en-US" w:eastAsia="zh-CN"/>
              </w:rPr>
            </w:pPr>
            <w:r>
              <w:rPr>
                <w:rFonts w:hint="default" w:eastAsia="楷体"/>
                <w:sz w:val="24"/>
                <w:szCs w:val="24"/>
                <w:lang w:val="en-US" w:eastAsia="zh-CN"/>
              </w:rPr>
              <w:t>市政电网提供</w:t>
            </w:r>
          </w:p>
        </w:tc>
        <w:tc>
          <w:tcPr>
            <w:tcW w:w="476" w:type="pct"/>
            <w:shd w:val="clear" w:color="auto" w:fill="auto"/>
            <w:vAlign w:val="center"/>
          </w:tcPr>
          <w:p w14:paraId="7980769E">
            <w:pPr>
              <w:pStyle w:val="55"/>
              <w:rPr>
                <w:rFonts w:hint="eastAsia" w:eastAsia="楷体"/>
                <w:sz w:val="24"/>
                <w:szCs w:val="24"/>
                <w:lang w:val="en-US" w:eastAsia="zh-CN"/>
              </w:rPr>
            </w:pPr>
            <w:r>
              <w:rPr>
                <w:rFonts w:hint="eastAsia"/>
                <w:sz w:val="24"/>
                <w:szCs w:val="24"/>
                <w:lang w:val="en-US" w:eastAsia="zh-CN"/>
              </w:rPr>
              <w:t>/</w:t>
            </w:r>
          </w:p>
        </w:tc>
      </w:tr>
      <w:tr w14:paraId="55856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trPr>
        <w:tc>
          <w:tcPr>
            <w:tcW w:w="421" w:type="pct"/>
            <w:vMerge w:val="continue"/>
            <w:shd w:val="clear" w:color="auto" w:fill="auto"/>
            <w:vAlign w:val="center"/>
          </w:tcPr>
          <w:p w14:paraId="3236D75E">
            <w:pPr>
              <w:pStyle w:val="55"/>
              <w:rPr>
                <w:sz w:val="24"/>
                <w:szCs w:val="24"/>
              </w:rPr>
            </w:pPr>
          </w:p>
        </w:tc>
        <w:tc>
          <w:tcPr>
            <w:tcW w:w="872" w:type="pct"/>
            <w:shd w:val="clear" w:color="auto" w:fill="auto"/>
            <w:vAlign w:val="center"/>
          </w:tcPr>
          <w:p w14:paraId="6373F1CD">
            <w:pPr>
              <w:pStyle w:val="55"/>
              <w:rPr>
                <w:rFonts w:hint="eastAsia" w:eastAsia="楷体"/>
                <w:sz w:val="24"/>
                <w:szCs w:val="24"/>
                <w:lang w:val="en-US" w:eastAsia="zh-CN"/>
              </w:rPr>
            </w:pPr>
            <w:r>
              <w:rPr>
                <w:rFonts w:hint="eastAsia"/>
                <w:sz w:val="24"/>
                <w:szCs w:val="24"/>
                <w:lang w:val="en-US" w:eastAsia="zh-CN"/>
              </w:rPr>
              <w:t>供热</w:t>
            </w:r>
          </w:p>
        </w:tc>
        <w:tc>
          <w:tcPr>
            <w:tcW w:w="3229" w:type="pct"/>
            <w:gridSpan w:val="2"/>
            <w:shd w:val="clear" w:color="auto" w:fill="auto"/>
            <w:vAlign w:val="center"/>
          </w:tcPr>
          <w:p w14:paraId="64315DC9">
            <w:pPr>
              <w:pStyle w:val="55"/>
              <w:rPr>
                <w:sz w:val="24"/>
                <w:szCs w:val="24"/>
              </w:rPr>
            </w:pPr>
            <w:r>
              <w:rPr>
                <w:rFonts w:hint="eastAsia"/>
                <w:sz w:val="24"/>
                <w:szCs w:val="24"/>
                <w:lang w:val="en-US" w:eastAsia="zh-CN"/>
              </w:rPr>
              <w:t>生产用热</w:t>
            </w:r>
            <w:r>
              <w:rPr>
                <w:rFonts w:hint="eastAsia"/>
                <w:sz w:val="24"/>
                <w:szCs w:val="24"/>
              </w:rPr>
              <w:t>均采用电加热，冬季采暖采用电取暖方式</w:t>
            </w:r>
          </w:p>
        </w:tc>
        <w:tc>
          <w:tcPr>
            <w:tcW w:w="476" w:type="pct"/>
            <w:shd w:val="clear" w:color="auto" w:fill="auto"/>
            <w:vAlign w:val="center"/>
          </w:tcPr>
          <w:p w14:paraId="6162ABBA">
            <w:pPr>
              <w:pStyle w:val="55"/>
              <w:rPr>
                <w:rFonts w:hint="eastAsia" w:eastAsia="楷体"/>
                <w:sz w:val="24"/>
                <w:szCs w:val="24"/>
                <w:lang w:val="en-US" w:eastAsia="zh-CN"/>
              </w:rPr>
            </w:pPr>
            <w:r>
              <w:rPr>
                <w:rFonts w:hint="eastAsia"/>
                <w:sz w:val="24"/>
                <w:szCs w:val="24"/>
                <w:lang w:val="en-US" w:eastAsia="zh-CN"/>
              </w:rPr>
              <w:t>/</w:t>
            </w:r>
          </w:p>
        </w:tc>
      </w:tr>
      <w:tr w14:paraId="6A05C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trPr>
        <w:tc>
          <w:tcPr>
            <w:tcW w:w="421" w:type="pct"/>
            <w:vMerge w:val="restart"/>
            <w:shd w:val="clear" w:color="auto" w:fill="auto"/>
            <w:vAlign w:val="center"/>
          </w:tcPr>
          <w:p w14:paraId="0532DA7D">
            <w:pPr>
              <w:pStyle w:val="55"/>
              <w:rPr>
                <w:sz w:val="24"/>
                <w:szCs w:val="24"/>
              </w:rPr>
            </w:pPr>
            <w:r>
              <w:rPr>
                <w:rFonts w:hint="eastAsia"/>
                <w:sz w:val="24"/>
                <w:szCs w:val="24"/>
              </w:rPr>
              <w:t>储运工程</w:t>
            </w:r>
          </w:p>
        </w:tc>
        <w:tc>
          <w:tcPr>
            <w:tcW w:w="872" w:type="pct"/>
            <w:shd w:val="clear" w:color="auto" w:fill="auto"/>
            <w:vAlign w:val="center"/>
          </w:tcPr>
          <w:p w14:paraId="5F38D6A6">
            <w:pPr>
              <w:pStyle w:val="55"/>
              <w:rPr>
                <w:rFonts w:hint="default" w:eastAsia="楷体"/>
                <w:sz w:val="24"/>
                <w:szCs w:val="24"/>
                <w:lang w:val="en-US" w:eastAsia="zh-CN"/>
              </w:rPr>
            </w:pPr>
            <w:r>
              <w:rPr>
                <w:rFonts w:hint="eastAsia"/>
                <w:sz w:val="24"/>
                <w:szCs w:val="24"/>
                <w:lang w:val="en-US" w:eastAsia="zh-CN"/>
              </w:rPr>
              <w:t>原料车间</w:t>
            </w:r>
          </w:p>
        </w:tc>
        <w:tc>
          <w:tcPr>
            <w:tcW w:w="3229" w:type="pct"/>
            <w:gridSpan w:val="2"/>
            <w:shd w:val="clear" w:color="auto" w:fill="auto"/>
            <w:vAlign w:val="center"/>
          </w:tcPr>
          <w:p w14:paraId="7C8EA795">
            <w:pPr>
              <w:pStyle w:val="55"/>
              <w:rPr>
                <w:sz w:val="24"/>
                <w:szCs w:val="24"/>
              </w:rPr>
            </w:pPr>
            <w:r>
              <w:rPr>
                <w:rFonts w:hint="eastAsia"/>
                <w:sz w:val="24"/>
                <w:szCs w:val="24"/>
              </w:rPr>
              <w:t>建筑面积</w:t>
            </w:r>
            <w:r>
              <w:rPr>
                <w:rFonts w:hint="eastAsia"/>
                <w:sz w:val="24"/>
                <w:szCs w:val="24"/>
                <w:lang w:val="en-US" w:eastAsia="zh-CN"/>
              </w:rPr>
              <w:t>851</w:t>
            </w:r>
            <w:r>
              <w:rPr>
                <w:rFonts w:hint="eastAsia"/>
                <w:sz w:val="24"/>
                <w:szCs w:val="24"/>
              </w:rPr>
              <w:t>m</w:t>
            </w:r>
            <w:r>
              <w:rPr>
                <w:rFonts w:hint="eastAsia"/>
                <w:sz w:val="24"/>
                <w:szCs w:val="24"/>
                <w:vertAlign w:val="superscript"/>
              </w:rPr>
              <w:t>2</w:t>
            </w:r>
            <w:r>
              <w:rPr>
                <w:rFonts w:hint="eastAsia"/>
                <w:sz w:val="24"/>
                <w:szCs w:val="24"/>
              </w:rPr>
              <w:t>，用于储存回收处置</w:t>
            </w:r>
            <w:r>
              <w:rPr>
                <w:rFonts w:hint="eastAsia"/>
                <w:sz w:val="24"/>
                <w:szCs w:val="24"/>
                <w:lang w:val="en-US" w:eastAsia="zh-CN"/>
              </w:rPr>
              <w:t>的</w:t>
            </w:r>
            <w:r>
              <w:rPr>
                <w:rFonts w:hint="eastAsia"/>
                <w:sz w:val="24"/>
                <w:szCs w:val="24"/>
              </w:rPr>
              <w:t>废塑料，原料库按照《一般工业固体废物贮存和填埋污染控制标准》（GB18599-2020）建设，做好防扬散和防渗措施</w:t>
            </w:r>
          </w:p>
        </w:tc>
        <w:tc>
          <w:tcPr>
            <w:tcW w:w="476" w:type="pct"/>
            <w:shd w:val="clear" w:color="auto" w:fill="auto"/>
            <w:vAlign w:val="center"/>
          </w:tcPr>
          <w:p w14:paraId="6F5C0BDE">
            <w:pPr>
              <w:pStyle w:val="55"/>
              <w:rPr>
                <w:rFonts w:hint="eastAsia" w:eastAsia="楷体"/>
                <w:sz w:val="24"/>
                <w:szCs w:val="24"/>
                <w:lang w:val="en-US" w:eastAsia="zh-CN"/>
              </w:rPr>
            </w:pPr>
            <w:r>
              <w:rPr>
                <w:rFonts w:hint="eastAsia"/>
                <w:sz w:val="24"/>
                <w:szCs w:val="24"/>
                <w:lang w:val="en-US" w:eastAsia="zh-CN"/>
              </w:rPr>
              <w:t>新建</w:t>
            </w:r>
          </w:p>
        </w:tc>
      </w:tr>
      <w:tr w14:paraId="3A9C7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trPr>
        <w:tc>
          <w:tcPr>
            <w:tcW w:w="421" w:type="pct"/>
            <w:vMerge w:val="continue"/>
            <w:shd w:val="clear" w:color="auto" w:fill="auto"/>
            <w:vAlign w:val="center"/>
          </w:tcPr>
          <w:p w14:paraId="14B707B8">
            <w:pPr>
              <w:pStyle w:val="55"/>
              <w:rPr>
                <w:sz w:val="24"/>
                <w:szCs w:val="24"/>
              </w:rPr>
            </w:pPr>
          </w:p>
        </w:tc>
        <w:tc>
          <w:tcPr>
            <w:tcW w:w="872" w:type="pct"/>
            <w:shd w:val="clear" w:color="auto" w:fill="auto"/>
            <w:vAlign w:val="center"/>
          </w:tcPr>
          <w:p w14:paraId="79CDB463">
            <w:pPr>
              <w:pStyle w:val="55"/>
              <w:rPr>
                <w:rFonts w:hint="eastAsia" w:eastAsia="楷体"/>
                <w:sz w:val="24"/>
                <w:szCs w:val="24"/>
                <w:lang w:eastAsia="zh-CN"/>
              </w:rPr>
            </w:pPr>
            <w:r>
              <w:rPr>
                <w:rFonts w:hint="eastAsia"/>
                <w:sz w:val="24"/>
                <w:szCs w:val="24"/>
                <w:lang w:val="en-US" w:eastAsia="zh-CN"/>
              </w:rPr>
              <w:t>危废间</w:t>
            </w:r>
          </w:p>
        </w:tc>
        <w:tc>
          <w:tcPr>
            <w:tcW w:w="3229" w:type="pct"/>
            <w:gridSpan w:val="2"/>
            <w:shd w:val="clear" w:color="auto" w:fill="auto"/>
            <w:vAlign w:val="center"/>
          </w:tcPr>
          <w:p w14:paraId="607DBCCD">
            <w:pPr>
              <w:pStyle w:val="55"/>
              <w:rPr>
                <w:rFonts w:hint="default" w:eastAsia="楷体"/>
                <w:sz w:val="24"/>
                <w:szCs w:val="24"/>
                <w:lang w:val="en-US" w:eastAsia="zh-CN"/>
              </w:rPr>
            </w:pPr>
            <w:r>
              <w:rPr>
                <w:rFonts w:hint="eastAsia"/>
                <w:sz w:val="24"/>
                <w:szCs w:val="24"/>
                <w:u w:val="none"/>
                <w:lang w:val="en-US" w:eastAsia="zh-CN"/>
              </w:rPr>
              <w:t>建筑</w:t>
            </w:r>
            <w:r>
              <w:rPr>
                <w:rFonts w:hint="eastAsia"/>
                <w:sz w:val="24"/>
                <w:szCs w:val="24"/>
              </w:rPr>
              <w:t>面积</w:t>
            </w:r>
            <w:r>
              <w:rPr>
                <w:rFonts w:hint="eastAsia"/>
                <w:sz w:val="24"/>
                <w:szCs w:val="24"/>
                <w:lang w:val="en-US" w:eastAsia="zh-CN"/>
              </w:rPr>
              <w:t>50</w:t>
            </w:r>
            <w:r>
              <w:rPr>
                <w:rFonts w:hint="eastAsia"/>
                <w:sz w:val="24"/>
                <w:szCs w:val="24"/>
              </w:rPr>
              <w:t>m</w:t>
            </w:r>
            <w:r>
              <w:rPr>
                <w:rFonts w:hint="eastAsia"/>
                <w:sz w:val="24"/>
                <w:szCs w:val="24"/>
                <w:vertAlign w:val="superscript"/>
              </w:rPr>
              <w:t>2</w:t>
            </w:r>
            <w:r>
              <w:rPr>
                <w:rFonts w:hint="eastAsia"/>
                <w:sz w:val="24"/>
                <w:szCs w:val="24"/>
              </w:rPr>
              <w:t>，</w:t>
            </w:r>
            <w:r>
              <w:rPr>
                <w:rFonts w:hint="eastAsia"/>
                <w:sz w:val="24"/>
                <w:szCs w:val="24"/>
                <w:lang w:val="en-US" w:eastAsia="zh-CN"/>
              </w:rPr>
              <w:t>用于危险废物的暂存</w:t>
            </w:r>
          </w:p>
        </w:tc>
        <w:tc>
          <w:tcPr>
            <w:tcW w:w="476" w:type="pct"/>
            <w:shd w:val="clear" w:color="auto" w:fill="auto"/>
            <w:vAlign w:val="center"/>
          </w:tcPr>
          <w:p w14:paraId="40A25AC5">
            <w:pPr>
              <w:pStyle w:val="55"/>
              <w:rPr>
                <w:sz w:val="24"/>
                <w:szCs w:val="24"/>
              </w:rPr>
            </w:pPr>
            <w:r>
              <w:rPr>
                <w:rFonts w:hint="eastAsia"/>
                <w:sz w:val="24"/>
                <w:szCs w:val="24"/>
                <w:lang w:val="en-US" w:eastAsia="zh-CN"/>
              </w:rPr>
              <w:t>利旧</w:t>
            </w:r>
          </w:p>
        </w:tc>
      </w:tr>
      <w:tr w14:paraId="798E5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trPr>
        <w:tc>
          <w:tcPr>
            <w:tcW w:w="421" w:type="pct"/>
            <w:vMerge w:val="restart"/>
            <w:shd w:val="clear" w:color="auto" w:fill="auto"/>
            <w:vAlign w:val="center"/>
          </w:tcPr>
          <w:p w14:paraId="1C15E710">
            <w:pPr>
              <w:pStyle w:val="55"/>
              <w:rPr>
                <w:sz w:val="24"/>
                <w:szCs w:val="24"/>
              </w:rPr>
            </w:pPr>
            <w:r>
              <w:rPr>
                <w:rFonts w:hint="eastAsia"/>
                <w:sz w:val="24"/>
                <w:szCs w:val="24"/>
              </w:rPr>
              <w:t>环保</w:t>
            </w:r>
            <w:r>
              <w:rPr>
                <w:sz w:val="24"/>
                <w:szCs w:val="24"/>
              </w:rPr>
              <w:t>工程</w:t>
            </w:r>
          </w:p>
        </w:tc>
        <w:tc>
          <w:tcPr>
            <w:tcW w:w="872" w:type="pct"/>
            <w:vMerge w:val="restart"/>
            <w:shd w:val="clear" w:color="auto" w:fill="auto"/>
            <w:vAlign w:val="center"/>
          </w:tcPr>
          <w:p w14:paraId="15EBF106">
            <w:pPr>
              <w:pStyle w:val="55"/>
              <w:rPr>
                <w:sz w:val="24"/>
                <w:szCs w:val="24"/>
              </w:rPr>
            </w:pPr>
            <w:r>
              <w:rPr>
                <w:rFonts w:hint="eastAsia"/>
                <w:sz w:val="24"/>
                <w:szCs w:val="24"/>
              </w:rPr>
              <w:t>废气</w:t>
            </w:r>
          </w:p>
        </w:tc>
        <w:tc>
          <w:tcPr>
            <w:tcW w:w="838" w:type="pct"/>
            <w:shd w:val="clear" w:color="auto" w:fill="auto"/>
            <w:vAlign w:val="center"/>
          </w:tcPr>
          <w:p w14:paraId="7D8BA289">
            <w:pPr>
              <w:pStyle w:val="55"/>
              <w:rPr>
                <w:sz w:val="24"/>
                <w:szCs w:val="24"/>
              </w:rPr>
            </w:pPr>
            <w:r>
              <w:rPr>
                <w:rFonts w:hint="eastAsia"/>
                <w:sz w:val="24"/>
                <w:szCs w:val="24"/>
              </w:rPr>
              <w:t>1#生产车间投料搅拌工序</w:t>
            </w:r>
            <w:r>
              <w:rPr>
                <w:rFonts w:hint="eastAsia"/>
                <w:sz w:val="24"/>
                <w:szCs w:val="24"/>
                <w:lang w:eastAsia="zh-CN"/>
              </w:rPr>
              <w:t>、</w:t>
            </w:r>
            <w:r>
              <w:rPr>
                <w:rFonts w:hint="eastAsia"/>
                <w:sz w:val="24"/>
                <w:szCs w:val="24"/>
              </w:rPr>
              <w:t>挤出工序</w:t>
            </w:r>
          </w:p>
        </w:tc>
        <w:tc>
          <w:tcPr>
            <w:tcW w:w="2391" w:type="pct"/>
            <w:shd w:val="clear" w:color="auto" w:fill="auto"/>
            <w:vAlign w:val="center"/>
          </w:tcPr>
          <w:p w14:paraId="112239DE">
            <w:pPr>
              <w:pStyle w:val="55"/>
              <w:rPr>
                <w:sz w:val="24"/>
                <w:szCs w:val="24"/>
              </w:rPr>
            </w:pPr>
            <w:r>
              <w:rPr>
                <w:rFonts w:hint="eastAsia"/>
                <w:sz w:val="24"/>
                <w:szCs w:val="24"/>
              </w:rPr>
              <w:t>经集气罩收集，引入1套“布袋除尘器+两级活性炭吸附装置”处理后，由15m高排气筒（DA001）排放</w:t>
            </w:r>
          </w:p>
        </w:tc>
        <w:tc>
          <w:tcPr>
            <w:tcW w:w="476" w:type="pct"/>
            <w:shd w:val="clear" w:color="auto" w:fill="auto"/>
            <w:vAlign w:val="center"/>
          </w:tcPr>
          <w:p w14:paraId="45228139">
            <w:pPr>
              <w:pStyle w:val="55"/>
              <w:rPr>
                <w:sz w:val="24"/>
                <w:szCs w:val="24"/>
              </w:rPr>
            </w:pPr>
            <w:r>
              <w:rPr>
                <w:rFonts w:hint="eastAsia"/>
                <w:sz w:val="24"/>
                <w:szCs w:val="24"/>
                <w:lang w:val="en-US" w:eastAsia="zh-CN"/>
              </w:rPr>
              <w:t>/</w:t>
            </w:r>
          </w:p>
        </w:tc>
      </w:tr>
      <w:tr w14:paraId="3F683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trPr>
        <w:tc>
          <w:tcPr>
            <w:tcW w:w="421" w:type="pct"/>
            <w:vMerge w:val="continue"/>
            <w:shd w:val="clear" w:color="auto" w:fill="auto"/>
            <w:vAlign w:val="center"/>
          </w:tcPr>
          <w:p w14:paraId="386A5E5E">
            <w:pPr>
              <w:pStyle w:val="55"/>
              <w:rPr>
                <w:sz w:val="24"/>
                <w:szCs w:val="24"/>
              </w:rPr>
            </w:pPr>
          </w:p>
        </w:tc>
        <w:tc>
          <w:tcPr>
            <w:tcW w:w="872" w:type="pct"/>
            <w:vMerge w:val="continue"/>
            <w:shd w:val="clear" w:color="auto" w:fill="auto"/>
            <w:vAlign w:val="center"/>
          </w:tcPr>
          <w:p w14:paraId="1AAD25B5">
            <w:pPr>
              <w:pStyle w:val="55"/>
              <w:rPr>
                <w:sz w:val="24"/>
                <w:szCs w:val="24"/>
              </w:rPr>
            </w:pPr>
          </w:p>
        </w:tc>
        <w:tc>
          <w:tcPr>
            <w:tcW w:w="838" w:type="pct"/>
            <w:shd w:val="clear" w:color="auto" w:fill="auto"/>
            <w:vAlign w:val="center"/>
          </w:tcPr>
          <w:p w14:paraId="491446F9">
            <w:pPr>
              <w:pStyle w:val="55"/>
              <w:rPr>
                <w:sz w:val="24"/>
                <w:szCs w:val="24"/>
              </w:rPr>
            </w:pPr>
            <w:r>
              <w:rPr>
                <w:rFonts w:hint="eastAsia"/>
                <w:sz w:val="24"/>
                <w:szCs w:val="24"/>
                <w:lang w:val="en-US" w:eastAsia="zh-CN"/>
              </w:rPr>
              <w:t>2</w:t>
            </w:r>
            <w:r>
              <w:rPr>
                <w:rFonts w:hint="eastAsia"/>
                <w:sz w:val="24"/>
                <w:szCs w:val="24"/>
              </w:rPr>
              <w:t>#生产车间投料搅拌工序</w:t>
            </w:r>
            <w:r>
              <w:rPr>
                <w:rFonts w:hint="eastAsia"/>
                <w:sz w:val="24"/>
                <w:szCs w:val="24"/>
                <w:lang w:eastAsia="zh-CN"/>
              </w:rPr>
              <w:t>、</w:t>
            </w:r>
            <w:r>
              <w:rPr>
                <w:rFonts w:hint="eastAsia"/>
                <w:sz w:val="24"/>
                <w:szCs w:val="24"/>
              </w:rPr>
              <w:t>挤出工序</w:t>
            </w:r>
          </w:p>
        </w:tc>
        <w:tc>
          <w:tcPr>
            <w:tcW w:w="2391" w:type="pct"/>
            <w:shd w:val="clear" w:color="auto" w:fill="auto"/>
            <w:vAlign w:val="center"/>
          </w:tcPr>
          <w:p w14:paraId="14832507">
            <w:pPr>
              <w:pStyle w:val="55"/>
              <w:rPr>
                <w:sz w:val="24"/>
                <w:szCs w:val="24"/>
              </w:rPr>
            </w:pPr>
            <w:r>
              <w:rPr>
                <w:rFonts w:hint="eastAsia"/>
                <w:sz w:val="24"/>
                <w:szCs w:val="24"/>
              </w:rPr>
              <w:t>经集气罩收集，引入1套“布袋除尘器+两级活性炭吸附装置”处理后，由15m高排气筒（DA00</w:t>
            </w:r>
            <w:r>
              <w:rPr>
                <w:rFonts w:hint="eastAsia"/>
                <w:sz w:val="24"/>
                <w:szCs w:val="24"/>
                <w:lang w:val="en-US" w:eastAsia="zh-CN"/>
              </w:rPr>
              <w:t>2</w:t>
            </w:r>
            <w:r>
              <w:rPr>
                <w:rFonts w:hint="eastAsia"/>
                <w:sz w:val="24"/>
                <w:szCs w:val="24"/>
              </w:rPr>
              <w:t>）排放</w:t>
            </w:r>
          </w:p>
        </w:tc>
        <w:tc>
          <w:tcPr>
            <w:tcW w:w="476" w:type="pct"/>
            <w:shd w:val="clear" w:color="auto" w:fill="auto"/>
            <w:vAlign w:val="center"/>
          </w:tcPr>
          <w:p w14:paraId="75040F0D">
            <w:pPr>
              <w:pStyle w:val="55"/>
              <w:rPr>
                <w:sz w:val="24"/>
                <w:szCs w:val="24"/>
              </w:rPr>
            </w:pPr>
            <w:r>
              <w:rPr>
                <w:rFonts w:hint="eastAsia"/>
                <w:sz w:val="24"/>
                <w:szCs w:val="24"/>
                <w:lang w:val="en-US" w:eastAsia="zh-CN"/>
              </w:rPr>
              <w:t>/</w:t>
            </w:r>
          </w:p>
        </w:tc>
      </w:tr>
      <w:tr w14:paraId="7856B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trPr>
        <w:tc>
          <w:tcPr>
            <w:tcW w:w="421" w:type="pct"/>
            <w:vMerge w:val="continue"/>
            <w:shd w:val="clear" w:color="auto" w:fill="auto"/>
            <w:vAlign w:val="center"/>
          </w:tcPr>
          <w:p w14:paraId="25B1BB14">
            <w:pPr>
              <w:pStyle w:val="55"/>
              <w:rPr>
                <w:sz w:val="24"/>
                <w:szCs w:val="24"/>
              </w:rPr>
            </w:pPr>
          </w:p>
        </w:tc>
        <w:tc>
          <w:tcPr>
            <w:tcW w:w="872" w:type="pct"/>
            <w:vMerge w:val="continue"/>
            <w:shd w:val="clear" w:color="auto" w:fill="auto"/>
            <w:vAlign w:val="center"/>
          </w:tcPr>
          <w:p w14:paraId="1DF52A52">
            <w:pPr>
              <w:pStyle w:val="55"/>
              <w:rPr>
                <w:sz w:val="24"/>
                <w:szCs w:val="24"/>
              </w:rPr>
            </w:pPr>
          </w:p>
        </w:tc>
        <w:tc>
          <w:tcPr>
            <w:tcW w:w="838" w:type="pct"/>
            <w:shd w:val="clear" w:color="auto" w:fill="auto"/>
            <w:vAlign w:val="center"/>
          </w:tcPr>
          <w:p w14:paraId="6906FAE5">
            <w:pPr>
              <w:pStyle w:val="55"/>
              <w:rPr>
                <w:sz w:val="24"/>
                <w:szCs w:val="24"/>
              </w:rPr>
            </w:pPr>
            <w:r>
              <w:rPr>
                <w:rFonts w:hint="eastAsia"/>
                <w:sz w:val="24"/>
                <w:szCs w:val="24"/>
                <w:lang w:val="en-US" w:eastAsia="zh-CN"/>
              </w:rPr>
              <w:t>3</w:t>
            </w:r>
            <w:r>
              <w:rPr>
                <w:rFonts w:hint="eastAsia"/>
                <w:sz w:val="24"/>
                <w:szCs w:val="24"/>
              </w:rPr>
              <w:t>#生产车间投料搅拌工序</w:t>
            </w:r>
            <w:r>
              <w:rPr>
                <w:rFonts w:hint="eastAsia"/>
                <w:sz w:val="24"/>
                <w:szCs w:val="24"/>
                <w:lang w:eastAsia="zh-CN"/>
              </w:rPr>
              <w:t>、</w:t>
            </w:r>
            <w:r>
              <w:rPr>
                <w:rFonts w:hint="eastAsia"/>
                <w:sz w:val="24"/>
                <w:szCs w:val="24"/>
              </w:rPr>
              <w:t>挤出工序</w:t>
            </w:r>
          </w:p>
        </w:tc>
        <w:tc>
          <w:tcPr>
            <w:tcW w:w="2391" w:type="pct"/>
            <w:shd w:val="clear" w:color="auto" w:fill="auto"/>
            <w:vAlign w:val="center"/>
          </w:tcPr>
          <w:p w14:paraId="60216567">
            <w:pPr>
              <w:pStyle w:val="55"/>
              <w:rPr>
                <w:sz w:val="24"/>
                <w:szCs w:val="24"/>
              </w:rPr>
            </w:pPr>
            <w:r>
              <w:rPr>
                <w:rFonts w:hint="eastAsia"/>
                <w:sz w:val="24"/>
                <w:szCs w:val="24"/>
              </w:rPr>
              <w:t>经集气罩收集，引入1套“布袋除尘器+两级活性炭吸附装置”处理后，由15m高排气筒（DA00</w:t>
            </w:r>
            <w:r>
              <w:rPr>
                <w:rFonts w:hint="eastAsia"/>
                <w:sz w:val="24"/>
                <w:szCs w:val="24"/>
                <w:lang w:val="en-US" w:eastAsia="zh-CN"/>
              </w:rPr>
              <w:t>3</w:t>
            </w:r>
            <w:r>
              <w:rPr>
                <w:rFonts w:hint="eastAsia"/>
                <w:sz w:val="24"/>
                <w:szCs w:val="24"/>
              </w:rPr>
              <w:t>）排放</w:t>
            </w:r>
          </w:p>
        </w:tc>
        <w:tc>
          <w:tcPr>
            <w:tcW w:w="476" w:type="pct"/>
            <w:shd w:val="clear" w:color="auto" w:fill="auto"/>
            <w:vAlign w:val="center"/>
          </w:tcPr>
          <w:p w14:paraId="217CC307">
            <w:pPr>
              <w:pStyle w:val="55"/>
              <w:rPr>
                <w:sz w:val="24"/>
                <w:szCs w:val="24"/>
              </w:rPr>
            </w:pPr>
            <w:r>
              <w:rPr>
                <w:rFonts w:hint="eastAsia"/>
                <w:sz w:val="24"/>
                <w:szCs w:val="24"/>
                <w:lang w:val="en-US" w:eastAsia="zh-CN"/>
              </w:rPr>
              <w:t>/</w:t>
            </w:r>
          </w:p>
        </w:tc>
      </w:tr>
      <w:tr w14:paraId="1547C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trPr>
        <w:tc>
          <w:tcPr>
            <w:tcW w:w="421" w:type="pct"/>
            <w:vMerge w:val="continue"/>
            <w:shd w:val="clear" w:color="auto" w:fill="auto"/>
            <w:vAlign w:val="center"/>
          </w:tcPr>
          <w:p w14:paraId="5E6E6C86">
            <w:pPr>
              <w:pStyle w:val="55"/>
              <w:rPr>
                <w:sz w:val="24"/>
                <w:szCs w:val="24"/>
              </w:rPr>
            </w:pPr>
          </w:p>
        </w:tc>
        <w:tc>
          <w:tcPr>
            <w:tcW w:w="872" w:type="pct"/>
            <w:shd w:val="clear" w:color="auto" w:fill="auto"/>
            <w:vAlign w:val="center"/>
          </w:tcPr>
          <w:p w14:paraId="5EC474A5">
            <w:pPr>
              <w:pStyle w:val="55"/>
              <w:rPr>
                <w:sz w:val="24"/>
                <w:szCs w:val="24"/>
              </w:rPr>
            </w:pPr>
            <w:r>
              <w:rPr>
                <w:rFonts w:hint="eastAsia"/>
                <w:sz w:val="24"/>
                <w:szCs w:val="24"/>
              </w:rPr>
              <w:t>废水</w:t>
            </w:r>
          </w:p>
        </w:tc>
        <w:tc>
          <w:tcPr>
            <w:tcW w:w="3229" w:type="pct"/>
            <w:gridSpan w:val="2"/>
            <w:shd w:val="clear" w:color="auto" w:fill="auto"/>
            <w:vAlign w:val="center"/>
          </w:tcPr>
          <w:p w14:paraId="0C92F960">
            <w:pPr>
              <w:pStyle w:val="55"/>
              <w:rPr>
                <w:sz w:val="24"/>
                <w:szCs w:val="24"/>
              </w:rPr>
            </w:pPr>
            <w:r>
              <w:rPr>
                <w:rFonts w:hint="eastAsia"/>
                <w:sz w:val="24"/>
                <w:szCs w:val="24"/>
                <w:lang w:val="en-US" w:eastAsia="zh-CN"/>
              </w:rPr>
              <w:t>生产废水</w:t>
            </w:r>
            <w:r>
              <w:rPr>
                <w:rFonts w:hint="eastAsia"/>
                <w:sz w:val="24"/>
                <w:szCs w:val="24"/>
              </w:rPr>
              <w:t>循环使用</w:t>
            </w:r>
            <w:r>
              <w:rPr>
                <w:rFonts w:hint="eastAsia"/>
                <w:sz w:val="24"/>
                <w:szCs w:val="24"/>
                <w:lang w:eastAsia="zh-CN"/>
              </w:rPr>
              <w:t>，</w:t>
            </w:r>
            <w:r>
              <w:rPr>
                <w:rFonts w:hint="eastAsia"/>
                <w:sz w:val="24"/>
                <w:szCs w:val="24"/>
              </w:rPr>
              <w:t>不外排</w:t>
            </w:r>
            <w:r>
              <w:rPr>
                <w:rFonts w:hint="eastAsia"/>
                <w:sz w:val="24"/>
                <w:szCs w:val="24"/>
                <w:lang w:eastAsia="zh-CN"/>
              </w:rPr>
              <w:t>；生活污水</w:t>
            </w:r>
            <w:r>
              <w:rPr>
                <w:rFonts w:hint="eastAsia"/>
                <w:sz w:val="24"/>
                <w:szCs w:val="24"/>
              </w:rPr>
              <w:t>泼洒</w:t>
            </w:r>
            <w:r>
              <w:rPr>
                <w:rFonts w:hint="eastAsia"/>
                <w:sz w:val="24"/>
                <w:szCs w:val="24"/>
                <w:lang w:val="en-US" w:eastAsia="zh-CN"/>
              </w:rPr>
              <w:t>厂区</w:t>
            </w:r>
            <w:r>
              <w:rPr>
                <w:rFonts w:hint="eastAsia"/>
                <w:sz w:val="24"/>
                <w:szCs w:val="24"/>
              </w:rPr>
              <w:t>地面抑尘，厂区设防渗旱厕，定期清掏不外排。</w:t>
            </w:r>
          </w:p>
        </w:tc>
        <w:tc>
          <w:tcPr>
            <w:tcW w:w="476" w:type="pct"/>
            <w:shd w:val="clear" w:color="auto" w:fill="auto"/>
            <w:vAlign w:val="center"/>
          </w:tcPr>
          <w:p w14:paraId="7BDA5520">
            <w:pPr>
              <w:pStyle w:val="55"/>
              <w:rPr>
                <w:sz w:val="24"/>
                <w:szCs w:val="24"/>
              </w:rPr>
            </w:pPr>
            <w:r>
              <w:rPr>
                <w:rFonts w:hint="eastAsia"/>
                <w:sz w:val="24"/>
                <w:szCs w:val="24"/>
                <w:lang w:val="en-US" w:eastAsia="zh-CN"/>
              </w:rPr>
              <w:t>/</w:t>
            </w:r>
          </w:p>
        </w:tc>
      </w:tr>
      <w:tr w14:paraId="253B1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trPr>
        <w:tc>
          <w:tcPr>
            <w:tcW w:w="421" w:type="pct"/>
            <w:vMerge w:val="continue"/>
            <w:shd w:val="clear" w:color="auto" w:fill="auto"/>
            <w:vAlign w:val="center"/>
          </w:tcPr>
          <w:p w14:paraId="26E57077">
            <w:pPr>
              <w:pStyle w:val="55"/>
              <w:rPr>
                <w:sz w:val="24"/>
                <w:szCs w:val="24"/>
              </w:rPr>
            </w:pPr>
          </w:p>
        </w:tc>
        <w:tc>
          <w:tcPr>
            <w:tcW w:w="872" w:type="pct"/>
            <w:shd w:val="clear" w:color="auto" w:fill="auto"/>
            <w:vAlign w:val="center"/>
          </w:tcPr>
          <w:p w14:paraId="19C3DDFB">
            <w:pPr>
              <w:pStyle w:val="55"/>
              <w:rPr>
                <w:sz w:val="24"/>
                <w:szCs w:val="24"/>
              </w:rPr>
            </w:pPr>
            <w:r>
              <w:rPr>
                <w:rFonts w:hint="eastAsia"/>
                <w:sz w:val="24"/>
                <w:szCs w:val="24"/>
              </w:rPr>
              <w:t>噪声</w:t>
            </w:r>
          </w:p>
        </w:tc>
        <w:tc>
          <w:tcPr>
            <w:tcW w:w="3229" w:type="pct"/>
            <w:gridSpan w:val="2"/>
            <w:shd w:val="clear" w:color="auto" w:fill="auto"/>
            <w:vAlign w:val="center"/>
          </w:tcPr>
          <w:p w14:paraId="25F450B7">
            <w:pPr>
              <w:pStyle w:val="55"/>
              <w:rPr>
                <w:sz w:val="24"/>
                <w:szCs w:val="24"/>
              </w:rPr>
            </w:pPr>
            <w:r>
              <w:rPr>
                <w:rFonts w:hint="eastAsia"/>
                <w:sz w:val="24"/>
                <w:szCs w:val="24"/>
              </w:rPr>
              <w:t>生产设备选用低噪声设备，采用减振、降噪等措施</w:t>
            </w:r>
          </w:p>
        </w:tc>
        <w:tc>
          <w:tcPr>
            <w:tcW w:w="476" w:type="pct"/>
            <w:shd w:val="clear" w:color="auto" w:fill="auto"/>
            <w:vAlign w:val="center"/>
          </w:tcPr>
          <w:p w14:paraId="46FDCC6C">
            <w:pPr>
              <w:pStyle w:val="55"/>
              <w:rPr>
                <w:rFonts w:hint="eastAsia" w:eastAsia="楷体"/>
                <w:sz w:val="24"/>
                <w:szCs w:val="24"/>
                <w:lang w:val="en-US" w:eastAsia="zh-CN"/>
              </w:rPr>
            </w:pPr>
            <w:r>
              <w:rPr>
                <w:rFonts w:hint="eastAsia"/>
                <w:sz w:val="24"/>
                <w:szCs w:val="24"/>
                <w:lang w:val="en-US" w:eastAsia="zh-CN"/>
              </w:rPr>
              <w:t>/</w:t>
            </w:r>
          </w:p>
        </w:tc>
      </w:tr>
      <w:tr w14:paraId="7A578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trPr>
        <w:tc>
          <w:tcPr>
            <w:tcW w:w="421" w:type="pct"/>
            <w:vMerge w:val="continue"/>
            <w:shd w:val="clear" w:color="auto" w:fill="auto"/>
            <w:vAlign w:val="center"/>
          </w:tcPr>
          <w:p w14:paraId="5E216762">
            <w:pPr>
              <w:pStyle w:val="55"/>
              <w:rPr>
                <w:sz w:val="24"/>
                <w:szCs w:val="24"/>
              </w:rPr>
            </w:pPr>
          </w:p>
        </w:tc>
        <w:tc>
          <w:tcPr>
            <w:tcW w:w="872" w:type="pct"/>
            <w:shd w:val="clear" w:color="auto" w:fill="auto"/>
            <w:vAlign w:val="center"/>
          </w:tcPr>
          <w:p w14:paraId="571F6AA4">
            <w:pPr>
              <w:pStyle w:val="55"/>
              <w:rPr>
                <w:sz w:val="24"/>
                <w:szCs w:val="24"/>
              </w:rPr>
            </w:pPr>
            <w:r>
              <w:rPr>
                <w:rFonts w:hint="eastAsia"/>
                <w:sz w:val="24"/>
                <w:szCs w:val="24"/>
              </w:rPr>
              <w:t>固体废物</w:t>
            </w:r>
          </w:p>
        </w:tc>
        <w:tc>
          <w:tcPr>
            <w:tcW w:w="3229" w:type="pct"/>
            <w:gridSpan w:val="2"/>
            <w:shd w:val="clear" w:color="auto" w:fill="auto"/>
            <w:vAlign w:val="center"/>
          </w:tcPr>
          <w:p w14:paraId="67E79DD1">
            <w:pPr>
              <w:pStyle w:val="55"/>
              <w:rPr>
                <w:sz w:val="24"/>
                <w:szCs w:val="24"/>
              </w:rPr>
            </w:pPr>
            <w:r>
              <w:rPr>
                <w:rFonts w:hint="eastAsia"/>
                <w:sz w:val="24"/>
                <w:szCs w:val="24"/>
              </w:rPr>
              <w:t>主要</w:t>
            </w:r>
            <w:r>
              <w:rPr>
                <w:rFonts w:hint="eastAsia"/>
                <w:sz w:val="24"/>
                <w:szCs w:val="24"/>
                <w:lang w:val="en-US" w:eastAsia="zh-CN"/>
              </w:rPr>
              <w:t>为</w:t>
            </w:r>
            <w:r>
              <w:rPr>
                <w:rFonts w:hint="eastAsia"/>
                <w:sz w:val="24"/>
                <w:szCs w:val="24"/>
              </w:rPr>
              <w:t>分拣废物，</w:t>
            </w:r>
            <w:r>
              <w:rPr>
                <w:rFonts w:hint="eastAsia"/>
                <w:sz w:val="24"/>
                <w:szCs w:val="24"/>
                <w:lang w:val="en-US" w:eastAsia="zh-CN"/>
              </w:rPr>
              <w:t>收集后</w:t>
            </w:r>
            <w:r>
              <w:rPr>
                <w:rFonts w:hint="eastAsia"/>
                <w:sz w:val="24"/>
                <w:szCs w:val="24"/>
              </w:rPr>
              <w:t>定期送往环卫部门指定地点处置</w:t>
            </w:r>
            <w:r>
              <w:rPr>
                <w:rFonts w:hint="eastAsia"/>
                <w:sz w:val="24"/>
                <w:szCs w:val="24"/>
                <w:lang w:eastAsia="zh-CN"/>
              </w:rPr>
              <w:t>；</w:t>
            </w:r>
            <w:r>
              <w:rPr>
                <w:rFonts w:hint="eastAsia"/>
                <w:sz w:val="24"/>
                <w:szCs w:val="24"/>
              </w:rPr>
              <w:t>废滤网由厂家回收</w:t>
            </w:r>
            <w:r>
              <w:rPr>
                <w:rFonts w:hint="eastAsia"/>
                <w:sz w:val="24"/>
                <w:szCs w:val="24"/>
                <w:lang w:val="en-US" w:eastAsia="zh-CN"/>
              </w:rPr>
              <w:t>处置</w:t>
            </w:r>
            <w:r>
              <w:rPr>
                <w:rFonts w:hint="eastAsia"/>
                <w:sz w:val="24"/>
                <w:szCs w:val="24"/>
                <w:highlight w:val="none"/>
                <w:lang w:eastAsia="zh-CN"/>
              </w:rPr>
              <w:t>；</w:t>
            </w:r>
            <w:r>
              <w:rPr>
                <w:rFonts w:hint="eastAsia"/>
                <w:sz w:val="24"/>
                <w:szCs w:val="24"/>
                <w:highlight w:val="none"/>
              </w:rPr>
              <w:t>沉淀池污泥经清掏自然干化后交由环卫部门处理处置；</w:t>
            </w:r>
            <w:r>
              <w:rPr>
                <w:rFonts w:hint="eastAsia"/>
              </w:rPr>
              <w:t>除尘灰</w:t>
            </w:r>
            <w:r>
              <w:rPr>
                <w:rFonts w:hint="eastAsia"/>
                <w:lang w:eastAsia="zh-CN"/>
              </w:rPr>
              <w:t>全部回用于生产；</w:t>
            </w:r>
            <w:r>
              <w:rPr>
                <w:rFonts w:hint="eastAsia"/>
              </w:rPr>
              <w:t>废包装袋</w:t>
            </w:r>
            <w:r>
              <w:rPr>
                <w:rFonts w:hint="eastAsia"/>
                <w:lang w:val="en-US" w:eastAsia="zh-CN"/>
              </w:rPr>
              <w:t>收集暂存后外售；</w:t>
            </w:r>
            <w:r>
              <w:rPr>
                <w:rFonts w:hint="eastAsia"/>
                <w:sz w:val="24"/>
                <w:szCs w:val="24"/>
                <w:highlight w:val="none"/>
              </w:rPr>
              <w:t>废</w:t>
            </w:r>
            <w:r>
              <w:rPr>
                <w:rFonts w:hint="eastAsia"/>
                <w:sz w:val="24"/>
                <w:szCs w:val="24"/>
              </w:rPr>
              <w:t>活性炭</w:t>
            </w:r>
            <w:r>
              <w:rPr>
                <w:rFonts w:hint="eastAsia"/>
                <w:sz w:val="24"/>
                <w:szCs w:val="24"/>
                <w:lang w:eastAsia="zh-CN"/>
              </w:rPr>
              <w:t>、</w:t>
            </w:r>
            <w:r>
              <w:rPr>
                <w:rFonts w:hint="eastAsia"/>
                <w:sz w:val="24"/>
                <w:szCs w:val="24"/>
                <w:lang w:val="en-US" w:eastAsia="zh-CN"/>
              </w:rPr>
              <w:t>废过滤棉</w:t>
            </w:r>
            <w:r>
              <w:rPr>
                <w:rFonts w:hint="eastAsia"/>
                <w:sz w:val="24"/>
                <w:szCs w:val="24"/>
              </w:rPr>
              <w:t>、废润滑油</w:t>
            </w:r>
            <w:r>
              <w:rPr>
                <w:rFonts w:hint="eastAsia"/>
                <w:sz w:val="24"/>
                <w:szCs w:val="24"/>
                <w:lang w:eastAsia="zh-CN"/>
              </w:rPr>
              <w:t>、</w:t>
            </w:r>
            <w:r>
              <w:rPr>
                <w:rFonts w:hint="eastAsia"/>
                <w:sz w:val="24"/>
                <w:szCs w:val="24"/>
                <w:lang w:val="en-US" w:eastAsia="zh-CN"/>
              </w:rPr>
              <w:t>废</w:t>
            </w:r>
            <w:r>
              <w:rPr>
                <w:rFonts w:hint="default"/>
                <w:sz w:val="24"/>
                <w:szCs w:val="24"/>
                <w:lang w:eastAsia="zh-CN"/>
              </w:rPr>
              <w:t>润滑油</w:t>
            </w:r>
            <w:r>
              <w:rPr>
                <w:rFonts w:hint="eastAsia"/>
                <w:sz w:val="24"/>
                <w:szCs w:val="24"/>
                <w:lang w:val="en-US" w:eastAsia="zh-CN"/>
              </w:rPr>
              <w:t>桶，暂存危废间内，定期交由有资质单位处理</w:t>
            </w:r>
            <w:r>
              <w:rPr>
                <w:rFonts w:hint="eastAsia"/>
                <w:sz w:val="24"/>
                <w:szCs w:val="24"/>
                <w:lang w:eastAsia="zh-CN"/>
              </w:rPr>
              <w:t>；</w:t>
            </w:r>
            <w:r>
              <w:rPr>
                <w:rFonts w:hint="eastAsia"/>
                <w:sz w:val="24"/>
                <w:szCs w:val="24"/>
              </w:rPr>
              <w:t>生活垃圾由环卫部门集中收集后统一处置。</w:t>
            </w:r>
          </w:p>
        </w:tc>
        <w:tc>
          <w:tcPr>
            <w:tcW w:w="476" w:type="pct"/>
            <w:shd w:val="clear" w:color="auto" w:fill="auto"/>
            <w:vAlign w:val="center"/>
          </w:tcPr>
          <w:p w14:paraId="155FD36F">
            <w:pPr>
              <w:pStyle w:val="55"/>
              <w:rPr>
                <w:rFonts w:hint="eastAsia" w:eastAsia="楷体"/>
                <w:sz w:val="24"/>
                <w:szCs w:val="24"/>
                <w:lang w:val="en-US" w:eastAsia="zh-CN"/>
              </w:rPr>
            </w:pPr>
            <w:r>
              <w:rPr>
                <w:rFonts w:hint="eastAsia"/>
                <w:sz w:val="24"/>
                <w:szCs w:val="24"/>
                <w:lang w:val="en-US" w:eastAsia="zh-CN"/>
              </w:rPr>
              <w:t>/</w:t>
            </w:r>
          </w:p>
        </w:tc>
      </w:tr>
    </w:tbl>
    <w:p w14:paraId="336CB6D0">
      <w:pPr>
        <w:pStyle w:val="92"/>
        <w:bidi w:val="0"/>
        <w:ind w:left="0" w:leftChars="0" w:firstLine="0" w:firstLineChars="0"/>
      </w:pPr>
      <w:r>
        <w:rPr>
          <w:rFonts w:hint="eastAsia"/>
        </w:rPr>
        <w:t>产品</w:t>
      </w:r>
      <w:r>
        <w:t>方案</w:t>
      </w:r>
    </w:p>
    <w:p w14:paraId="5A7638FA">
      <w:pPr>
        <w:pStyle w:val="47"/>
        <w:ind w:firstLine="482"/>
        <w:rPr>
          <w:rFonts w:hint="default"/>
          <w:lang w:val="en-US"/>
        </w:rPr>
      </w:pPr>
      <w:r>
        <w:rPr>
          <w:rFonts w:hint="eastAsia"/>
        </w:rPr>
        <w:t>项目</w:t>
      </w:r>
      <w:r>
        <w:rPr>
          <w:rFonts w:hint="eastAsia"/>
          <w:lang w:val="en-US" w:eastAsia="zh-CN"/>
        </w:rPr>
        <w:t>产品为</w:t>
      </w:r>
      <w:r>
        <w:rPr>
          <w:rFonts w:hint="eastAsia"/>
        </w:rPr>
        <w:t>PVC电缆颗粒</w:t>
      </w:r>
      <w:r>
        <w:rPr>
          <w:rFonts w:hint="eastAsia"/>
          <w:lang w:eastAsia="zh-CN"/>
        </w:rPr>
        <w:t>，</w:t>
      </w:r>
      <w:r>
        <w:rPr>
          <w:rFonts w:hint="eastAsia"/>
          <w:lang w:val="en-US" w:eastAsia="zh-CN"/>
        </w:rPr>
        <w:t>生产规模为</w:t>
      </w:r>
      <w:r>
        <w:rPr>
          <w:rFonts w:hint="eastAsia"/>
        </w:rPr>
        <w:t>25000t</w:t>
      </w:r>
      <w:r>
        <w:rPr>
          <w:rFonts w:hint="eastAsia"/>
          <w:lang w:val="en-US" w:eastAsia="zh-CN"/>
        </w:rPr>
        <w:t>/a</w:t>
      </w:r>
      <w:r>
        <w:rPr>
          <w:rFonts w:hint="eastAsia"/>
          <w:lang w:eastAsia="zh-CN"/>
        </w:rPr>
        <w:t>，</w:t>
      </w:r>
      <w:r>
        <w:rPr>
          <w:rFonts w:hint="eastAsia"/>
          <w:lang w:val="en-US" w:eastAsia="zh-CN"/>
        </w:rPr>
        <w:t>规格为25kg/袋。</w:t>
      </w:r>
    </w:p>
    <w:p w14:paraId="549FEFAF">
      <w:pPr>
        <w:pStyle w:val="92"/>
        <w:bidi w:val="0"/>
        <w:ind w:left="0" w:leftChars="0" w:firstLine="0" w:firstLineChars="0"/>
      </w:pPr>
      <w:r>
        <w:rPr>
          <w:rFonts w:hint="eastAsia"/>
        </w:rPr>
        <w:t>主要</w:t>
      </w:r>
      <w:r>
        <w:t>生产设备</w:t>
      </w:r>
    </w:p>
    <w:p w14:paraId="45496242">
      <w:pPr>
        <w:pStyle w:val="47"/>
        <w:ind w:firstLine="482"/>
      </w:pPr>
      <w:r>
        <w:rPr>
          <w:rFonts w:hint="eastAsia"/>
        </w:rPr>
        <w:t>项目</w:t>
      </w:r>
      <w:r>
        <w:t>主要工程设备情况见下表。</w:t>
      </w:r>
    </w:p>
    <w:p w14:paraId="207A8FA0">
      <w:pPr>
        <w:pStyle w:val="94"/>
        <w:bidi w:val="0"/>
        <w:ind w:left="0" w:leftChars="0" w:firstLine="0" w:firstLineChars="0"/>
      </w:pPr>
      <w:r>
        <w:rPr>
          <w:rFonts w:hint="eastAsia"/>
        </w:rPr>
        <w:t>项目主要设备</w:t>
      </w:r>
      <w:r>
        <w:t>情况表</w:t>
      </w:r>
    </w:p>
    <w:tbl>
      <w:tblPr>
        <w:tblStyle w:val="3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1"/>
        <w:gridCol w:w="1385"/>
        <w:gridCol w:w="1790"/>
        <w:gridCol w:w="2324"/>
        <w:gridCol w:w="2321"/>
      </w:tblGrid>
      <w:tr w14:paraId="55D62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87" w:type="pct"/>
            <w:vAlign w:val="center"/>
          </w:tcPr>
          <w:p w14:paraId="5D765DD5">
            <w:pPr>
              <w:pStyle w:val="55"/>
              <w:bidi w:val="0"/>
              <w:jc w:val="center"/>
              <w:rPr>
                <w:rFonts w:hint="eastAsia"/>
                <w:sz w:val="24"/>
                <w:szCs w:val="24"/>
                <w:lang w:val="en-US" w:eastAsia="zh-CN"/>
              </w:rPr>
            </w:pPr>
            <w:r>
              <w:rPr>
                <w:rFonts w:hint="eastAsia"/>
                <w:sz w:val="24"/>
                <w:szCs w:val="24"/>
                <w:lang w:val="en-US" w:eastAsia="zh-CN"/>
              </w:rPr>
              <w:t>序号</w:t>
            </w:r>
          </w:p>
        </w:tc>
        <w:tc>
          <w:tcPr>
            <w:tcW w:w="746" w:type="pct"/>
            <w:tcBorders>
              <w:right w:val="single" w:color="000000" w:sz="4" w:space="0"/>
            </w:tcBorders>
            <w:vAlign w:val="center"/>
          </w:tcPr>
          <w:p w14:paraId="48E04F02">
            <w:pPr>
              <w:pStyle w:val="55"/>
              <w:bidi w:val="0"/>
              <w:jc w:val="center"/>
              <w:rPr>
                <w:rFonts w:hint="default"/>
                <w:sz w:val="24"/>
                <w:szCs w:val="24"/>
                <w:lang w:val="en-US" w:eastAsia="zh-CN"/>
              </w:rPr>
            </w:pPr>
            <w:r>
              <w:rPr>
                <w:rFonts w:hint="eastAsia"/>
                <w:sz w:val="24"/>
                <w:szCs w:val="24"/>
                <w:lang w:val="en-US" w:eastAsia="zh-CN"/>
              </w:rPr>
              <w:t>生产车间</w:t>
            </w:r>
          </w:p>
        </w:tc>
        <w:tc>
          <w:tcPr>
            <w:tcW w:w="964" w:type="pct"/>
            <w:tcBorders>
              <w:left w:val="single" w:color="000000" w:sz="4" w:space="0"/>
            </w:tcBorders>
            <w:vAlign w:val="center"/>
          </w:tcPr>
          <w:p w14:paraId="15C4810D">
            <w:pPr>
              <w:pStyle w:val="55"/>
              <w:bidi w:val="0"/>
              <w:jc w:val="center"/>
              <w:rPr>
                <w:rFonts w:hint="eastAsia"/>
                <w:sz w:val="24"/>
                <w:szCs w:val="24"/>
                <w:lang w:val="en-US" w:eastAsia="zh-CN"/>
              </w:rPr>
            </w:pPr>
            <w:r>
              <w:rPr>
                <w:rFonts w:hint="eastAsia"/>
                <w:sz w:val="24"/>
                <w:szCs w:val="24"/>
                <w:lang w:val="en-US" w:eastAsia="zh-CN"/>
              </w:rPr>
              <w:t>名称</w:t>
            </w:r>
          </w:p>
        </w:tc>
        <w:tc>
          <w:tcPr>
            <w:tcW w:w="1252" w:type="pct"/>
            <w:vAlign w:val="center"/>
          </w:tcPr>
          <w:p w14:paraId="3F064717">
            <w:pPr>
              <w:pStyle w:val="55"/>
              <w:bidi w:val="0"/>
              <w:jc w:val="center"/>
              <w:rPr>
                <w:rFonts w:hint="eastAsia"/>
                <w:sz w:val="24"/>
                <w:szCs w:val="24"/>
                <w:lang w:val="en-US" w:eastAsia="zh-CN"/>
              </w:rPr>
            </w:pPr>
            <w:r>
              <w:rPr>
                <w:rFonts w:hint="eastAsia"/>
                <w:sz w:val="24"/>
                <w:szCs w:val="24"/>
                <w:lang w:val="en-US" w:eastAsia="zh-CN"/>
              </w:rPr>
              <w:t>型号</w:t>
            </w:r>
          </w:p>
        </w:tc>
        <w:tc>
          <w:tcPr>
            <w:tcW w:w="1250" w:type="pct"/>
            <w:vAlign w:val="center"/>
          </w:tcPr>
          <w:p w14:paraId="5C9EEA94">
            <w:pPr>
              <w:pStyle w:val="55"/>
              <w:bidi w:val="0"/>
              <w:jc w:val="center"/>
              <w:rPr>
                <w:rFonts w:hint="eastAsia"/>
                <w:sz w:val="24"/>
                <w:szCs w:val="24"/>
                <w:lang w:val="en-US" w:eastAsia="zh-CN"/>
              </w:rPr>
            </w:pPr>
            <w:r>
              <w:rPr>
                <w:rFonts w:hint="eastAsia"/>
                <w:sz w:val="24"/>
                <w:szCs w:val="24"/>
                <w:lang w:val="en-US" w:eastAsia="zh-CN"/>
              </w:rPr>
              <w:t>数量</w:t>
            </w:r>
          </w:p>
        </w:tc>
      </w:tr>
      <w:tr w14:paraId="62D96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87" w:type="pct"/>
            <w:vAlign w:val="center"/>
          </w:tcPr>
          <w:p w14:paraId="0921195A">
            <w:pPr>
              <w:pStyle w:val="55"/>
              <w:bidi w:val="0"/>
              <w:jc w:val="center"/>
              <w:rPr>
                <w:rFonts w:hint="eastAsia"/>
                <w:sz w:val="24"/>
                <w:szCs w:val="24"/>
                <w:lang w:val="en-US" w:eastAsia="zh-CN"/>
              </w:rPr>
            </w:pPr>
            <w:r>
              <w:rPr>
                <w:rFonts w:hint="eastAsia"/>
                <w:sz w:val="24"/>
                <w:szCs w:val="24"/>
                <w:lang w:val="en-US" w:eastAsia="zh-CN"/>
              </w:rPr>
              <w:t>1</w:t>
            </w:r>
          </w:p>
        </w:tc>
        <w:tc>
          <w:tcPr>
            <w:tcW w:w="746" w:type="pct"/>
            <w:vMerge w:val="restart"/>
            <w:tcBorders>
              <w:right w:val="single" w:color="000000" w:sz="4" w:space="0"/>
            </w:tcBorders>
            <w:vAlign w:val="center"/>
          </w:tcPr>
          <w:p w14:paraId="2D54A432">
            <w:pPr>
              <w:pStyle w:val="55"/>
              <w:bidi w:val="0"/>
              <w:jc w:val="center"/>
              <w:rPr>
                <w:rFonts w:hint="default" w:eastAsia="楷体"/>
                <w:sz w:val="24"/>
                <w:szCs w:val="24"/>
                <w:lang w:val="en-US" w:eastAsia="zh-CN"/>
              </w:rPr>
            </w:pPr>
            <w:r>
              <w:rPr>
                <w:rFonts w:hint="eastAsia"/>
                <w:sz w:val="24"/>
                <w:szCs w:val="24"/>
                <w:lang w:val="en-US" w:eastAsia="zh-CN"/>
              </w:rPr>
              <w:t>1#生产车间</w:t>
            </w:r>
          </w:p>
        </w:tc>
        <w:tc>
          <w:tcPr>
            <w:tcW w:w="964" w:type="pct"/>
            <w:tcBorders>
              <w:left w:val="single" w:color="000000" w:sz="4" w:space="0"/>
            </w:tcBorders>
            <w:vAlign w:val="center"/>
          </w:tcPr>
          <w:p w14:paraId="5FB50524">
            <w:pPr>
              <w:pStyle w:val="55"/>
              <w:bidi w:val="0"/>
              <w:jc w:val="center"/>
              <w:rPr>
                <w:rFonts w:hint="default"/>
                <w:sz w:val="24"/>
                <w:szCs w:val="24"/>
                <w:lang w:val="en-US" w:eastAsia="zh-CN"/>
              </w:rPr>
            </w:pPr>
            <w:r>
              <w:rPr>
                <w:rFonts w:hint="default"/>
                <w:sz w:val="24"/>
                <w:szCs w:val="24"/>
                <w:lang w:val="en-US" w:eastAsia="zh-CN"/>
              </w:rPr>
              <w:t>破碎机</w:t>
            </w:r>
          </w:p>
        </w:tc>
        <w:tc>
          <w:tcPr>
            <w:tcW w:w="1252" w:type="pct"/>
            <w:vAlign w:val="center"/>
          </w:tcPr>
          <w:p w14:paraId="0C2A3C08">
            <w:pPr>
              <w:pStyle w:val="55"/>
              <w:bidi w:val="0"/>
              <w:jc w:val="center"/>
              <w:rPr>
                <w:rFonts w:hint="default" w:eastAsia="楷体"/>
                <w:sz w:val="24"/>
                <w:szCs w:val="24"/>
                <w:lang w:val="en-US" w:eastAsia="zh-CN"/>
              </w:rPr>
            </w:pPr>
            <w:r>
              <w:rPr>
                <w:rFonts w:hint="eastAsia"/>
                <w:sz w:val="24"/>
                <w:szCs w:val="24"/>
                <w:lang w:val="en-US" w:eastAsia="zh-CN"/>
              </w:rPr>
              <w:t>80型</w:t>
            </w:r>
          </w:p>
        </w:tc>
        <w:tc>
          <w:tcPr>
            <w:tcW w:w="2321" w:type="dxa"/>
            <w:vAlign w:val="center"/>
          </w:tcPr>
          <w:p w14:paraId="36F8CBD2">
            <w:pPr>
              <w:pStyle w:val="55"/>
              <w:bidi w:val="0"/>
              <w:jc w:val="center"/>
              <w:rPr>
                <w:sz w:val="24"/>
                <w:szCs w:val="24"/>
              </w:rPr>
            </w:pPr>
            <w:r>
              <w:rPr>
                <w:rFonts w:hint="eastAsia"/>
                <w:sz w:val="24"/>
                <w:szCs w:val="24"/>
                <w:lang w:val="en-US" w:eastAsia="zh-CN"/>
              </w:rPr>
              <w:t>3</w:t>
            </w:r>
          </w:p>
        </w:tc>
      </w:tr>
      <w:tr w14:paraId="36905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87" w:type="pct"/>
            <w:vAlign w:val="center"/>
          </w:tcPr>
          <w:p w14:paraId="0BF8DD75">
            <w:pPr>
              <w:pStyle w:val="55"/>
              <w:bidi w:val="0"/>
              <w:jc w:val="center"/>
              <w:rPr>
                <w:rFonts w:hint="eastAsia"/>
                <w:sz w:val="24"/>
                <w:szCs w:val="24"/>
                <w:lang w:val="en-US" w:eastAsia="zh-CN"/>
              </w:rPr>
            </w:pPr>
            <w:r>
              <w:rPr>
                <w:rFonts w:hint="eastAsia"/>
                <w:sz w:val="24"/>
                <w:szCs w:val="24"/>
                <w:lang w:val="en-US" w:eastAsia="zh-CN"/>
              </w:rPr>
              <w:t>2</w:t>
            </w:r>
          </w:p>
        </w:tc>
        <w:tc>
          <w:tcPr>
            <w:tcW w:w="746" w:type="pct"/>
            <w:vMerge w:val="continue"/>
            <w:tcBorders>
              <w:right w:val="single" w:color="000000" w:sz="4" w:space="0"/>
            </w:tcBorders>
            <w:vAlign w:val="center"/>
          </w:tcPr>
          <w:p w14:paraId="00D6AE8B">
            <w:pPr>
              <w:pStyle w:val="55"/>
              <w:bidi w:val="0"/>
              <w:jc w:val="center"/>
              <w:rPr>
                <w:sz w:val="24"/>
                <w:szCs w:val="24"/>
              </w:rPr>
            </w:pPr>
          </w:p>
        </w:tc>
        <w:tc>
          <w:tcPr>
            <w:tcW w:w="964" w:type="pct"/>
            <w:tcBorders>
              <w:left w:val="single" w:color="000000" w:sz="4" w:space="0"/>
            </w:tcBorders>
            <w:vAlign w:val="center"/>
          </w:tcPr>
          <w:p w14:paraId="0AC92099">
            <w:pPr>
              <w:pStyle w:val="55"/>
              <w:bidi w:val="0"/>
              <w:jc w:val="center"/>
              <w:rPr>
                <w:rFonts w:hint="default"/>
                <w:sz w:val="24"/>
                <w:szCs w:val="24"/>
                <w:lang w:val="en-US" w:eastAsia="zh-CN"/>
              </w:rPr>
            </w:pPr>
            <w:r>
              <w:rPr>
                <w:rFonts w:hint="default"/>
                <w:sz w:val="24"/>
                <w:szCs w:val="24"/>
                <w:lang w:val="en-US" w:eastAsia="zh-CN"/>
              </w:rPr>
              <w:t>水浮分离机</w:t>
            </w:r>
          </w:p>
        </w:tc>
        <w:tc>
          <w:tcPr>
            <w:tcW w:w="1252" w:type="pct"/>
            <w:vAlign w:val="center"/>
          </w:tcPr>
          <w:p w14:paraId="2F57C64B">
            <w:pPr>
              <w:pStyle w:val="55"/>
              <w:bidi w:val="0"/>
              <w:jc w:val="center"/>
              <w:rPr>
                <w:rFonts w:hint="default" w:eastAsia="楷体"/>
                <w:sz w:val="24"/>
                <w:szCs w:val="24"/>
                <w:lang w:val="en-US" w:eastAsia="zh-CN"/>
              </w:rPr>
            </w:pPr>
            <w:r>
              <w:rPr>
                <w:rFonts w:hint="eastAsia"/>
                <w:sz w:val="24"/>
                <w:szCs w:val="24"/>
                <w:lang w:val="en-US" w:eastAsia="zh-CN"/>
              </w:rPr>
              <w:t>200型</w:t>
            </w:r>
          </w:p>
        </w:tc>
        <w:tc>
          <w:tcPr>
            <w:tcW w:w="2321" w:type="dxa"/>
            <w:vAlign w:val="center"/>
          </w:tcPr>
          <w:p w14:paraId="1CFEE56B">
            <w:pPr>
              <w:pStyle w:val="55"/>
              <w:bidi w:val="0"/>
              <w:jc w:val="center"/>
              <w:rPr>
                <w:sz w:val="24"/>
                <w:szCs w:val="24"/>
              </w:rPr>
            </w:pPr>
            <w:r>
              <w:rPr>
                <w:rFonts w:hint="eastAsia"/>
                <w:sz w:val="24"/>
                <w:szCs w:val="24"/>
                <w:lang w:val="en-US" w:eastAsia="zh-CN"/>
              </w:rPr>
              <w:t>3</w:t>
            </w:r>
          </w:p>
        </w:tc>
      </w:tr>
      <w:tr w14:paraId="2B3BF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87" w:type="pct"/>
            <w:vAlign w:val="center"/>
          </w:tcPr>
          <w:p w14:paraId="10A97C7F">
            <w:pPr>
              <w:pStyle w:val="55"/>
              <w:bidi w:val="0"/>
              <w:jc w:val="center"/>
              <w:rPr>
                <w:rFonts w:hint="eastAsia"/>
                <w:sz w:val="24"/>
                <w:szCs w:val="24"/>
                <w:lang w:val="en-US" w:eastAsia="zh-CN"/>
              </w:rPr>
            </w:pPr>
            <w:r>
              <w:rPr>
                <w:rFonts w:hint="eastAsia"/>
                <w:sz w:val="24"/>
                <w:szCs w:val="24"/>
                <w:lang w:val="en-US" w:eastAsia="zh-CN"/>
              </w:rPr>
              <w:t>3</w:t>
            </w:r>
          </w:p>
        </w:tc>
        <w:tc>
          <w:tcPr>
            <w:tcW w:w="746" w:type="pct"/>
            <w:vMerge w:val="continue"/>
            <w:tcBorders>
              <w:right w:val="single" w:color="000000" w:sz="4" w:space="0"/>
            </w:tcBorders>
            <w:vAlign w:val="center"/>
          </w:tcPr>
          <w:p w14:paraId="44E21AD5">
            <w:pPr>
              <w:pStyle w:val="55"/>
              <w:bidi w:val="0"/>
              <w:jc w:val="center"/>
              <w:rPr>
                <w:sz w:val="24"/>
                <w:szCs w:val="24"/>
              </w:rPr>
            </w:pPr>
          </w:p>
        </w:tc>
        <w:tc>
          <w:tcPr>
            <w:tcW w:w="964" w:type="pct"/>
            <w:tcBorders>
              <w:left w:val="single" w:color="000000" w:sz="4" w:space="0"/>
            </w:tcBorders>
            <w:vAlign w:val="center"/>
          </w:tcPr>
          <w:p w14:paraId="619F8F23">
            <w:pPr>
              <w:pStyle w:val="55"/>
              <w:bidi w:val="0"/>
              <w:jc w:val="center"/>
              <w:rPr>
                <w:rFonts w:hint="default"/>
                <w:sz w:val="24"/>
                <w:szCs w:val="24"/>
                <w:lang w:val="en-US" w:eastAsia="zh-CN"/>
              </w:rPr>
            </w:pPr>
            <w:r>
              <w:rPr>
                <w:rFonts w:hint="default"/>
                <w:sz w:val="24"/>
                <w:szCs w:val="24"/>
                <w:lang w:val="en-US" w:eastAsia="zh-CN"/>
              </w:rPr>
              <w:t>卧式甩干机</w:t>
            </w:r>
          </w:p>
        </w:tc>
        <w:tc>
          <w:tcPr>
            <w:tcW w:w="1252" w:type="pct"/>
            <w:vAlign w:val="center"/>
          </w:tcPr>
          <w:p w14:paraId="0B2461F0">
            <w:pPr>
              <w:pStyle w:val="55"/>
              <w:bidi w:val="0"/>
              <w:jc w:val="center"/>
              <w:rPr>
                <w:sz w:val="24"/>
                <w:szCs w:val="24"/>
              </w:rPr>
            </w:pPr>
            <w:r>
              <w:rPr>
                <w:rFonts w:hint="eastAsia"/>
                <w:sz w:val="24"/>
                <w:szCs w:val="24"/>
                <w:lang w:val="en-US" w:eastAsia="zh-CN"/>
              </w:rPr>
              <w:t>200型</w:t>
            </w:r>
          </w:p>
        </w:tc>
        <w:tc>
          <w:tcPr>
            <w:tcW w:w="2321" w:type="dxa"/>
            <w:vAlign w:val="center"/>
          </w:tcPr>
          <w:p w14:paraId="1F7C652C">
            <w:pPr>
              <w:pStyle w:val="55"/>
              <w:bidi w:val="0"/>
              <w:jc w:val="center"/>
              <w:rPr>
                <w:sz w:val="24"/>
                <w:szCs w:val="24"/>
              </w:rPr>
            </w:pPr>
            <w:r>
              <w:rPr>
                <w:rFonts w:hint="eastAsia"/>
                <w:sz w:val="24"/>
                <w:szCs w:val="24"/>
                <w:lang w:val="en-US" w:eastAsia="zh-CN"/>
              </w:rPr>
              <w:t>3</w:t>
            </w:r>
          </w:p>
        </w:tc>
      </w:tr>
      <w:tr w14:paraId="18ADD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87" w:type="pct"/>
            <w:vAlign w:val="center"/>
          </w:tcPr>
          <w:p w14:paraId="4987A649">
            <w:pPr>
              <w:pStyle w:val="55"/>
              <w:bidi w:val="0"/>
              <w:jc w:val="center"/>
              <w:rPr>
                <w:rFonts w:hint="eastAsia"/>
                <w:sz w:val="24"/>
                <w:szCs w:val="24"/>
                <w:lang w:val="en-US" w:eastAsia="zh-CN"/>
              </w:rPr>
            </w:pPr>
            <w:r>
              <w:rPr>
                <w:rFonts w:hint="eastAsia"/>
                <w:sz w:val="24"/>
                <w:szCs w:val="24"/>
                <w:lang w:val="en-US" w:eastAsia="zh-CN"/>
              </w:rPr>
              <w:t>4</w:t>
            </w:r>
          </w:p>
        </w:tc>
        <w:tc>
          <w:tcPr>
            <w:tcW w:w="746" w:type="pct"/>
            <w:vMerge w:val="continue"/>
            <w:tcBorders>
              <w:right w:val="single" w:color="000000" w:sz="4" w:space="0"/>
            </w:tcBorders>
            <w:vAlign w:val="center"/>
          </w:tcPr>
          <w:p w14:paraId="5F5F0366">
            <w:pPr>
              <w:pStyle w:val="55"/>
              <w:bidi w:val="0"/>
              <w:jc w:val="center"/>
              <w:rPr>
                <w:sz w:val="24"/>
                <w:szCs w:val="24"/>
              </w:rPr>
            </w:pPr>
          </w:p>
        </w:tc>
        <w:tc>
          <w:tcPr>
            <w:tcW w:w="964" w:type="pct"/>
            <w:tcBorders>
              <w:left w:val="single" w:color="000000" w:sz="4" w:space="0"/>
            </w:tcBorders>
            <w:vAlign w:val="center"/>
          </w:tcPr>
          <w:p w14:paraId="35398E2B">
            <w:pPr>
              <w:pStyle w:val="55"/>
              <w:bidi w:val="0"/>
              <w:jc w:val="center"/>
              <w:rPr>
                <w:rFonts w:hint="default"/>
                <w:sz w:val="24"/>
                <w:szCs w:val="24"/>
                <w:lang w:val="en-US" w:eastAsia="zh-CN"/>
              </w:rPr>
            </w:pPr>
            <w:r>
              <w:rPr>
                <w:rFonts w:hint="default"/>
                <w:sz w:val="24"/>
                <w:szCs w:val="24"/>
                <w:lang w:val="en-US" w:eastAsia="zh-CN"/>
              </w:rPr>
              <w:t>高速混合机</w:t>
            </w:r>
          </w:p>
        </w:tc>
        <w:tc>
          <w:tcPr>
            <w:tcW w:w="1252" w:type="pct"/>
            <w:vAlign w:val="center"/>
          </w:tcPr>
          <w:p w14:paraId="72D50A1E">
            <w:pPr>
              <w:pStyle w:val="55"/>
              <w:bidi w:val="0"/>
              <w:jc w:val="center"/>
              <w:rPr>
                <w:rFonts w:hint="default"/>
                <w:sz w:val="24"/>
                <w:szCs w:val="24"/>
                <w:lang w:val="en-US" w:eastAsia="zh-CN"/>
              </w:rPr>
            </w:pPr>
            <w:r>
              <w:rPr>
                <w:rFonts w:hint="eastAsia"/>
                <w:sz w:val="24"/>
                <w:szCs w:val="24"/>
                <w:lang w:val="en-US" w:eastAsia="zh-CN"/>
              </w:rPr>
              <w:t>SHR-100A</w:t>
            </w:r>
          </w:p>
        </w:tc>
        <w:tc>
          <w:tcPr>
            <w:tcW w:w="2321" w:type="dxa"/>
            <w:vAlign w:val="center"/>
          </w:tcPr>
          <w:p w14:paraId="2E9646F1">
            <w:pPr>
              <w:pStyle w:val="55"/>
              <w:bidi w:val="0"/>
              <w:jc w:val="center"/>
              <w:rPr>
                <w:sz w:val="24"/>
                <w:szCs w:val="24"/>
              </w:rPr>
            </w:pPr>
            <w:r>
              <w:rPr>
                <w:rFonts w:hint="eastAsia"/>
                <w:sz w:val="24"/>
                <w:szCs w:val="24"/>
                <w:lang w:val="en-US" w:eastAsia="zh-CN"/>
              </w:rPr>
              <w:t>8</w:t>
            </w:r>
          </w:p>
        </w:tc>
      </w:tr>
      <w:tr w14:paraId="1F9DC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87" w:type="pct"/>
            <w:vAlign w:val="center"/>
          </w:tcPr>
          <w:p w14:paraId="07D560D9">
            <w:pPr>
              <w:pStyle w:val="55"/>
              <w:bidi w:val="0"/>
              <w:jc w:val="center"/>
              <w:rPr>
                <w:rFonts w:hint="eastAsia"/>
                <w:sz w:val="24"/>
                <w:szCs w:val="24"/>
                <w:lang w:val="en-US" w:eastAsia="zh-CN"/>
              </w:rPr>
            </w:pPr>
            <w:r>
              <w:rPr>
                <w:rFonts w:hint="eastAsia"/>
                <w:sz w:val="24"/>
                <w:szCs w:val="24"/>
                <w:lang w:val="en-US" w:eastAsia="zh-CN"/>
              </w:rPr>
              <w:t>5</w:t>
            </w:r>
          </w:p>
        </w:tc>
        <w:tc>
          <w:tcPr>
            <w:tcW w:w="746" w:type="pct"/>
            <w:vMerge w:val="continue"/>
            <w:tcBorders>
              <w:right w:val="single" w:color="000000" w:sz="4" w:space="0"/>
            </w:tcBorders>
            <w:vAlign w:val="center"/>
          </w:tcPr>
          <w:p w14:paraId="0D937BDF">
            <w:pPr>
              <w:pStyle w:val="55"/>
              <w:bidi w:val="0"/>
              <w:jc w:val="center"/>
              <w:rPr>
                <w:sz w:val="24"/>
                <w:szCs w:val="24"/>
              </w:rPr>
            </w:pPr>
          </w:p>
        </w:tc>
        <w:tc>
          <w:tcPr>
            <w:tcW w:w="964" w:type="pct"/>
            <w:tcBorders>
              <w:left w:val="single" w:color="000000" w:sz="4" w:space="0"/>
            </w:tcBorders>
            <w:vAlign w:val="center"/>
          </w:tcPr>
          <w:p w14:paraId="12CABAA2">
            <w:pPr>
              <w:pStyle w:val="55"/>
              <w:bidi w:val="0"/>
              <w:jc w:val="center"/>
              <w:rPr>
                <w:rFonts w:hint="default"/>
                <w:sz w:val="24"/>
                <w:szCs w:val="24"/>
                <w:lang w:val="en-US" w:eastAsia="zh-CN"/>
              </w:rPr>
            </w:pPr>
            <w:r>
              <w:rPr>
                <w:rFonts w:hint="default"/>
                <w:sz w:val="24"/>
                <w:szCs w:val="24"/>
                <w:lang w:val="en-US" w:eastAsia="zh-CN"/>
              </w:rPr>
              <w:t>挤出机</w:t>
            </w:r>
          </w:p>
        </w:tc>
        <w:tc>
          <w:tcPr>
            <w:tcW w:w="1252" w:type="pct"/>
            <w:vAlign w:val="center"/>
          </w:tcPr>
          <w:p w14:paraId="78B190DF">
            <w:pPr>
              <w:pStyle w:val="55"/>
              <w:bidi w:val="0"/>
              <w:jc w:val="center"/>
              <w:rPr>
                <w:rFonts w:hint="default" w:eastAsia="楷体"/>
                <w:sz w:val="24"/>
                <w:szCs w:val="24"/>
                <w:lang w:val="en-US" w:eastAsia="zh-CN"/>
              </w:rPr>
            </w:pPr>
            <w:r>
              <w:rPr>
                <w:rFonts w:hint="eastAsia"/>
                <w:sz w:val="24"/>
                <w:szCs w:val="24"/>
                <w:lang w:val="en-US" w:eastAsia="zh-CN"/>
              </w:rPr>
              <w:t>180型</w:t>
            </w:r>
          </w:p>
        </w:tc>
        <w:tc>
          <w:tcPr>
            <w:tcW w:w="2321" w:type="dxa"/>
            <w:vAlign w:val="center"/>
          </w:tcPr>
          <w:p w14:paraId="011A028C">
            <w:pPr>
              <w:pStyle w:val="55"/>
              <w:bidi w:val="0"/>
              <w:jc w:val="center"/>
              <w:rPr>
                <w:sz w:val="24"/>
                <w:szCs w:val="24"/>
              </w:rPr>
            </w:pPr>
            <w:r>
              <w:rPr>
                <w:rFonts w:hint="eastAsia"/>
                <w:sz w:val="24"/>
                <w:szCs w:val="24"/>
                <w:lang w:val="en-US" w:eastAsia="zh-CN"/>
              </w:rPr>
              <w:t>8</w:t>
            </w:r>
          </w:p>
        </w:tc>
      </w:tr>
      <w:tr w14:paraId="34DFB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87" w:type="pct"/>
            <w:vAlign w:val="center"/>
          </w:tcPr>
          <w:p w14:paraId="29F3B601">
            <w:pPr>
              <w:pStyle w:val="55"/>
              <w:bidi w:val="0"/>
              <w:jc w:val="center"/>
              <w:rPr>
                <w:rFonts w:hint="eastAsia"/>
                <w:sz w:val="24"/>
                <w:szCs w:val="24"/>
                <w:lang w:val="en-US" w:eastAsia="zh-CN"/>
              </w:rPr>
            </w:pPr>
            <w:r>
              <w:rPr>
                <w:rFonts w:hint="eastAsia"/>
                <w:sz w:val="24"/>
                <w:szCs w:val="24"/>
                <w:lang w:val="en-US" w:eastAsia="zh-CN"/>
              </w:rPr>
              <w:t>6</w:t>
            </w:r>
          </w:p>
        </w:tc>
        <w:tc>
          <w:tcPr>
            <w:tcW w:w="746" w:type="pct"/>
            <w:vMerge w:val="continue"/>
            <w:tcBorders>
              <w:right w:val="single" w:color="000000" w:sz="4" w:space="0"/>
            </w:tcBorders>
            <w:vAlign w:val="center"/>
          </w:tcPr>
          <w:p w14:paraId="00E05705">
            <w:pPr>
              <w:pStyle w:val="55"/>
              <w:bidi w:val="0"/>
              <w:jc w:val="center"/>
              <w:rPr>
                <w:sz w:val="24"/>
                <w:szCs w:val="24"/>
              </w:rPr>
            </w:pPr>
          </w:p>
        </w:tc>
        <w:tc>
          <w:tcPr>
            <w:tcW w:w="964" w:type="pct"/>
            <w:tcBorders>
              <w:left w:val="single" w:color="000000" w:sz="4" w:space="0"/>
            </w:tcBorders>
            <w:vAlign w:val="center"/>
          </w:tcPr>
          <w:p w14:paraId="01802A00">
            <w:pPr>
              <w:pStyle w:val="55"/>
              <w:bidi w:val="0"/>
              <w:jc w:val="center"/>
              <w:rPr>
                <w:rFonts w:hint="default"/>
                <w:sz w:val="24"/>
                <w:szCs w:val="24"/>
                <w:lang w:val="en-US" w:eastAsia="zh-CN"/>
              </w:rPr>
            </w:pPr>
            <w:r>
              <w:rPr>
                <w:rFonts w:hint="default"/>
                <w:sz w:val="24"/>
                <w:szCs w:val="24"/>
                <w:lang w:val="en-US" w:eastAsia="zh-CN"/>
              </w:rPr>
              <w:t>切粒机</w:t>
            </w:r>
          </w:p>
        </w:tc>
        <w:tc>
          <w:tcPr>
            <w:tcW w:w="1252" w:type="pct"/>
            <w:vAlign w:val="center"/>
          </w:tcPr>
          <w:p w14:paraId="611BDE80">
            <w:pPr>
              <w:pStyle w:val="55"/>
              <w:bidi w:val="0"/>
              <w:jc w:val="center"/>
              <w:rPr>
                <w:sz w:val="24"/>
                <w:szCs w:val="24"/>
              </w:rPr>
            </w:pPr>
            <w:r>
              <w:rPr>
                <w:rFonts w:hint="eastAsia"/>
                <w:sz w:val="24"/>
                <w:szCs w:val="24"/>
                <w:lang w:val="en-US" w:eastAsia="zh-CN"/>
              </w:rPr>
              <w:t>260型</w:t>
            </w:r>
          </w:p>
        </w:tc>
        <w:tc>
          <w:tcPr>
            <w:tcW w:w="2321" w:type="dxa"/>
            <w:vAlign w:val="center"/>
          </w:tcPr>
          <w:p w14:paraId="27EBEE74">
            <w:pPr>
              <w:pStyle w:val="55"/>
              <w:bidi w:val="0"/>
              <w:jc w:val="center"/>
              <w:rPr>
                <w:sz w:val="24"/>
                <w:szCs w:val="24"/>
              </w:rPr>
            </w:pPr>
            <w:r>
              <w:rPr>
                <w:rFonts w:hint="eastAsia"/>
                <w:sz w:val="24"/>
                <w:szCs w:val="24"/>
                <w:lang w:val="en-US" w:eastAsia="zh-CN"/>
              </w:rPr>
              <w:t>8</w:t>
            </w:r>
          </w:p>
        </w:tc>
      </w:tr>
      <w:tr w14:paraId="29C1E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87" w:type="pct"/>
            <w:vAlign w:val="center"/>
          </w:tcPr>
          <w:p w14:paraId="7D904A77">
            <w:pPr>
              <w:pStyle w:val="55"/>
              <w:bidi w:val="0"/>
              <w:jc w:val="center"/>
              <w:rPr>
                <w:rFonts w:hint="eastAsia"/>
                <w:sz w:val="24"/>
                <w:szCs w:val="24"/>
                <w:lang w:val="en-US" w:eastAsia="zh-CN"/>
              </w:rPr>
            </w:pPr>
            <w:r>
              <w:rPr>
                <w:rFonts w:hint="eastAsia"/>
                <w:sz w:val="24"/>
                <w:szCs w:val="24"/>
                <w:lang w:val="en-US" w:eastAsia="zh-CN"/>
              </w:rPr>
              <w:t>7</w:t>
            </w:r>
          </w:p>
        </w:tc>
        <w:tc>
          <w:tcPr>
            <w:tcW w:w="746" w:type="pct"/>
            <w:vMerge w:val="continue"/>
            <w:tcBorders>
              <w:right w:val="single" w:color="000000" w:sz="4" w:space="0"/>
            </w:tcBorders>
            <w:vAlign w:val="center"/>
          </w:tcPr>
          <w:p w14:paraId="383C30DC">
            <w:pPr>
              <w:pStyle w:val="55"/>
              <w:bidi w:val="0"/>
              <w:jc w:val="center"/>
              <w:rPr>
                <w:sz w:val="24"/>
                <w:szCs w:val="24"/>
              </w:rPr>
            </w:pPr>
          </w:p>
        </w:tc>
        <w:tc>
          <w:tcPr>
            <w:tcW w:w="964" w:type="pct"/>
            <w:tcBorders>
              <w:left w:val="single" w:color="000000" w:sz="4" w:space="0"/>
            </w:tcBorders>
            <w:vAlign w:val="center"/>
          </w:tcPr>
          <w:p w14:paraId="25CB6493">
            <w:pPr>
              <w:pStyle w:val="55"/>
              <w:bidi w:val="0"/>
              <w:jc w:val="center"/>
              <w:rPr>
                <w:rFonts w:hint="default"/>
                <w:sz w:val="24"/>
                <w:szCs w:val="24"/>
                <w:lang w:val="en-US" w:eastAsia="zh-CN"/>
              </w:rPr>
            </w:pPr>
            <w:r>
              <w:rPr>
                <w:rFonts w:hint="default"/>
                <w:sz w:val="24"/>
                <w:szCs w:val="24"/>
                <w:lang w:val="en-US" w:eastAsia="zh-CN"/>
              </w:rPr>
              <w:t>存料器</w:t>
            </w:r>
          </w:p>
        </w:tc>
        <w:tc>
          <w:tcPr>
            <w:tcW w:w="1252" w:type="pct"/>
            <w:vAlign w:val="center"/>
          </w:tcPr>
          <w:p w14:paraId="48390A7F">
            <w:pPr>
              <w:pStyle w:val="55"/>
              <w:bidi w:val="0"/>
              <w:jc w:val="center"/>
              <w:rPr>
                <w:rFonts w:hint="default" w:eastAsia="楷体"/>
                <w:sz w:val="24"/>
                <w:szCs w:val="24"/>
                <w:lang w:val="en-US" w:eastAsia="zh-CN"/>
              </w:rPr>
            </w:pPr>
            <w:r>
              <w:rPr>
                <w:rFonts w:hint="eastAsia"/>
                <w:sz w:val="24"/>
                <w:szCs w:val="24"/>
                <w:lang w:val="en-US" w:eastAsia="zh-CN"/>
              </w:rPr>
              <w:t>2000型</w:t>
            </w:r>
          </w:p>
        </w:tc>
        <w:tc>
          <w:tcPr>
            <w:tcW w:w="2321" w:type="dxa"/>
            <w:vAlign w:val="center"/>
          </w:tcPr>
          <w:p w14:paraId="7DEB804D">
            <w:pPr>
              <w:pStyle w:val="55"/>
              <w:bidi w:val="0"/>
              <w:jc w:val="center"/>
              <w:rPr>
                <w:sz w:val="24"/>
                <w:szCs w:val="24"/>
              </w:rPr>
            </w:pPr>
            <w:r>
              <w:rPr>
                <w:rFonts w:hint="eastAsia"/>
                <w:sz w:val="24"/>
                <w:szCs w:val="24"/>
                <w:lang w:val="en-US" w:eastAsia="zh-CN"/>
              </w:rPr>
              <w:t>8</w:t>
            </w:r>
          </w:p>
        </w:tc>
      </w:tr>
      <w:tr w14:paraId="08397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87" w:type="pct"/>
            <w:vAlign w:val="center"/>
          </w:tcPr>
          <w:p w14:paraId="6C4DE750">
            <w:pPr>
              <w:pStyle w:val="55"/>
              <w:bidi w:val="0"/>
              <w:jc w:val="center"/>
              <w:rPr>
                <w:rFonts w:hint="default"/>
                <w:sz w:val="24"/>
                <w:szCs w:val="24"/>
                <w:lang w:val="en-US" w:eastAsia="zh-CN"/>
              </w:rPr>
            </w:pPr>
            <w:r>
              <w:rPr>
                <w:rFonts w:hint="eastAsia"/>
                <w:sz w:val="24"/>
                <w:szCs w:val="24"/>
                <w:lang w:val="en-US" w:eastAsia="zh-CN"/>
              </w:rPr>
              <w:t>8</w:t>
            </w:r>
          </w:p>
        </w:tc>
        <w:tc>
          <w:tcPr>
            <w:tcW w:w="746" w:type="pct"/>
            <w:vMerge w:val="continue"/>
            <w:tcBorders>
              <w:right w:val="single" w:color="000000" w:sz="4" w:space="0"/>
            </w:tcBorders>
            <w:vAlign w:val="center"/>
          </w:tcPr>
          <w:p w14:paraId="32BC645E">
            <w:pPr>
              <w:pStyle w:val="55"/>
              <w:bidi w:val="0"/>
              <w:jc w:val="center"/>
              <w:rPr>
                <w:sz w:val="24"/>
                <w:szCs w:val="24"/>
              </w:rPr>
            </w:pPr>
          </w:p>
        </w:tc>
        <w:tc>
          <w:tcPr>
            <w:tcW w:w="964" w:type="pct"/>
            <w:tcBorders>
              <w:left w:val="single" w:color="000000" w:sz="4" w:space="0"/>
            </w:tcBorders>
            <w:vAlign w:val="center"/>
          </w:tcPr>
          <w:p w14:paraId="4714FDC6">
            <w:pPr>
              <w:pStyle w:val="55"/>
              <w:bidi w:val="0"/>
              <w:jc w:val="center"/>
              <w:rPr>
                <w:rFonts w:hint="default"/>
                <w:sz w:val="24"/>
                <w:szCs w:val="24"/>
                <w:lang w:val="en-US" w:eastAsia="zh-CN"/>
              </w:rPr>
            </w:pPr>
            <w:r>
              <w:rPr>
                <w:rFonts w:hint="default"/>
                <w:sz w:val="24"/>
                <w:szCs w:val="24"/>
                <w:lang w:val="en-US" w:eastAsia="zh-CN"/>
              </w:rPr>
              <w:t>牵引机</w:t>
            </w:r>
          </w:p>
        </w:tc>
        <w:tc>
          <w:tcPr>
            <w:tcW w:w="1252" w:type="pct"/>
            <w:vAlign w:val="center"/>
          </w:tcPr>
          <w:p w14:paraId="449B0732">
            <w:pPr>
              <w:pStyle w:val="55"/>
              <w:bidi w:val="0"/>
              <w:jc w:val="center"/>
              <w:rPr>
                <w:rFonts w:hint="eastAsia" w:eastAsia="楷体"/>
                <w:sz w:val="24"/>
                <w:szCs w:val="24"/>
                <w:lang w:val="en-US" w:eastAsia="zh-CN"/>
              </w:rPr>
            </w:pPr>
            <w:r>
              <w:rPr>
                <w:rFonts w:hint="eastAsia"/>
                <w:sz w:val="24"/>
                <w:szCs w:val="24"/>
                <w:lang w:val="en-US" w:eastAsia="zh-CN"/>
              </w:rPr>
              <w:t>/</w:t>
            </w:r>
          </w:p>
        </w:tc>
        <w:tc>
          <w:tcPr>
            <w:tcW w:w="2321" w:type="dxa"/>
            <w:vAlign w:val="center"/>
          </w:tcPr>
          <w:p w14:paraId="79D19A25">
            <w:pPr>
              <w:pStyle w:val="55"/>
              <w:bidi w:val="0"/>
              <w:jc w:val="center"/>
              <w:rPr>
                <w:sz w:val="24"/>
                <w:szCs w:val="24"/>
              </w:rPr>
            </w:pPr>
            <w:r>
              <w:rPr>
                <w:rFonts w:hint="eastAsia"/>
                <w:sz w:val="24"/>
                <w:szCs w:val="24"/>
                <w:lang w:val="en-US" w:eastAsia="zh-CN"/>
              </w:rPr>
              <w:t>1</w:t>
            </w:r>
          </w:p>
        </w:tc>
      </w:tr>
      <w:tr w14:paraId="5C478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87" w:type="pct"/>
            <w:vAlign w:val="center"/>
          </w:tcPr>
          <w:p w14:paraId="57BD7694">
            <w:pPr>
              <w:pStyle w:val="55"/>
              <w:bidi w:val="0"/>
              <w:jc w:val="center"/>
              <w:rPr>
                <w:rFonts w:hint="default"/>
                <w:sz w:val="24"/>
                <w:szCs w:val="24"/>
                <w:lang w:val="en-US" w:eastAsia="zh-CN"/>
              </w:rPr>
            </w:pPr>
            <w:r>
              <w:rPr>
                <w:rFonts w:hint="eastAsia"/>
                <w:sz w:val="24"/>
                <w:szCs w:val="24"/>
                <w:lang w:val="en-US" w:eastAsia="zh-CN"/>
              </w:rPr>
              <w:t>9</w:t>
            </w:r>
          </w:p>
        </w:tc>
        <w:tc>
          <w:tcPr>
            <w:tcW w:w="746" w:type="pct"/>
            <w:vMerge w:val="restart"/>
            <w:tcBorders>
              <w:right w:val="single" w:color="000000" w:sz="4" w:space="0"/>
            </w:tcBorders>
            <w:vAlign w:val="center"/>
          </w:tcPr>
          <w:p w14:paraId="6E9BCBF7">
            <w:pPr>
              <w:pStyle w:val="55"/>
              <w:bidi w:val="0"/>
              <w:jc w:val="center"/>
              <w:rPr>
                <w:sz w:val="24"/>
                <w:szCs w:val="24"/>
              </w:rPr>
            </w:pPr>
            <w:r>
              <w:rPr>
                <w:rFonts w:hint="eastAsia"/>
                <w:sz w:val="24"/>
                <w:szCs w:val="24"/>
                <w:lang w:val="en-US" w:eastAsia="zh-CN"/>
              </w:rPr>
              <w:t>2#生产车间</w:t>
            </w:r>
          </w:p>
        </w:tc>
        <w:tc>
          <w:tcPr>
            <w:tcW w:w="964" w:type="pct"/>
            <w:tcBorders>
              <w:left w:val="single" w:color="000000" w:sz="4" w:space="0"/>
            </w:tcBorders>
            <w:vAlign w:val="center"/>
          </w:tcPr>
          <w:p w14:paraId="606CC5F6">
            <w:pPr>
              <w:pStyle w:val="55"/>
              <w:bidi w:val="0"/>
              <w:jc w:val="center"/>
              <w:rPr>
                <w:rFonts w:hint="default"/>
                <w:sz w:val="24"/>
                <w:szCs w:val="24"/>
                <w:lang w:val="en-US" w:eastAsia="zh-CN"/>
              </w:rPr>
            </w:pPr>
            <w:r>
              <w:rPr>
                <w:rFonts w:hint="default"/>
                <w:sz w:val="24"/>
                <w:szCs w:val="24"/>
                <w:lang w:val="en-US" w:eastAsia="zh-CN"/>
              </w:rPr>
              <w:t>破碎机</w:t>
            </w:r>
          </w:p>
        </w:tc>
        <w:tc>
          <w:tcPr>
            <w:tcW w:w="1252" w:type="pct"/>
            <w:vAlign w:val="center"/>
          </w:tcPr>
          <w:p w14:paraId="01E35718">
            <w:pPr>
              <w:pStyle w:val="55"/>
              <w:bidi w:val="0"/>
              <w:jc w:val="center"/>
              <w:rPr>
                <w:rFonts w:hint="eastAsia"/>
                <w:sz w:val="24"/>
                <w:szCs w:val="24"/>
                <w:lang w:val="en-US" w:eastAsia="zh-CN"/>
              </w:rPr>
            </w:pPr>
            <w:r>
              <w:rPr>
                <w:rFonts w:hint="eastAsia"/>
                <w:sz w:val="24"/>
                <w:szCs w:val="24"/>
                <w:lang w:val="en-US" w:eastAsia="zh-CN"/>
              </w:rPr>
              <w:t>80型</w:t>
            </w:r>
          </w:p>
        </w:tc>
        <w:tc>
          <w:tcPr>
            <w:tcW w:w="1250" w:type="pct"/>
            <w:vAlign w:val="center"/>
          </w:tcPr>
          <w:p w14:paraId="4EC1AF91">
            <w:pPr>
              <w:pStyle w:val="55"/>
              <w:bidi w:val="0"/>
              <w:jc w:val="center"/>
              <w:rPr>
                <w:rFonts w:hint="default"/>
                <w:sz w:val="24"/>
                <w:szCs w:val="24"/>
                <w:lang w:val="en-US" w:eastAsia="zh-CN"/>
              </w:rPr>
            </w:pPr>
            <w:r>
              <w:rPr>
                <w:rFonts w:hint="eastAsia"/>
                <w:sz w:val="24"/>
                <w:szCs w:val="24"/>
                <w:lang w:val="en-US" w:eastAsia="zh-CN"/>
              </w:rPr>
              <w:t>2</w:t>
            </w:r>
          </w:p>
        </w:tc>
      </w:tr>
      <w:tr w14:paraId="57FD0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87" w:type="pct"/>
            <w:vAlign w:val="center"/>
          </w:tcPr>
          <w:p w14:paraId="625C9606">
            <w:pPr>
              <w:pStyle w:val="55"/>
              <w:bidi w:val="0"/>
              <w:jc w:val="center"/>
              <w:rPr>
                <w:rFonts w:hint="default"/>
                <w:sz w:val="24"/>
                <w:szCs w:val="24"/>
                <w:lang w:val="en-US" w:eastAsia="zh-CN"/>
              </w:rPr>
            </w:pPr>
            <w:r>
              <w:rPr>
                <w:rFonts w:hint="eastAsia"/>
                <w:sz w:val="24"/>
                <w:szCs w:val="24"/>
                <w:lang w:val="en-US" w:eastAsia="zh-CN"/>
              </w:rPr>
              <w:t>10</w:t>
            </w:r>
          </w:p>
        </w:tc>
        <w:tc>
          <w:tcPr>
            <w:tcW w:w="746" w:type="pct"/>
            <w:vMerge w:val="continue"/>
            <w:tcBorders>
              <w:right w:val="single" w:color="000000" w:sz="4" w:space="0"/>
            </w:tcBorders>
            <w:vAlign w:val="center"/>
          </w:tcPr>
          <w:p w14:paraId="5E104992">
            <w:pPr>
              <w:pStyle w:val="55"/>
              <w:bidi w:val="0"/>
              <w:jc w:val="center"/>
              <w:rPr>
                <w:sz w:val="24"/>
                <w:szCs w:val="24"/>
              </w:rPr>
            </w:pPr>
          </w:p>
        </w:tc>
        <w:tc>
          <w:tcPr>
            <w:tcW w:w="964" w:type="pct"/>
            <w:tcBorders>
              <w:left w:val="single" w:color="000000" w:sz="4" w:space="0"/>
            </w:tcBorders>
            <w:vAlign w:val="center"/>
          </w:tcPr>
          <w:p w14:paraId="3428E589">
            <w:pPr>
              <w:pStyle w:val="55"/>
              <w:bidi w:val="0"/>
              <w:jc w:val="center"/>
              <w:rPr>
                <w:rFonts w:hint="default"/>
                <w:sz w:val="24"/>
                <w:szCs w:val="24"/>
                <w:lang w:val="en-US" w:eastAsia="zh-CN"/>
              </w:rPr>
            </w:pPr>
            <w:r>
              <w:rPr>
                <w:rFonts w:hint="default"/>
                <w:sz w:val="24"/>
                <w:szCs w:val="24"/>
                <w:lang w:val="en-US" w:eastAsia="zh-CN"/>
              </w:rPr>
              <w:t>水浮分离机</w:t>
            </w:r>
          </w:p>
        </w:tc>
        <w:tc>
          <w:tcPr>
            <w:tcW w:w="1252" w:type="pct"/>
            <w:vAlign w:val="center"/>
          </w:tcPr>
          <w:p w14:paraId="5600D835">
            <w:pPr>
              <w:pStyle w:val="55"/>
              <w:bidi w:val="0"/>
              <w:jc w:val="center"/>
              <w:rPr>
                <w:rFonts w:hint="eastAsia"/>
                <w:sz w:val="24"/>
                <w:szCs w:val="24"/>
                <w:lang w:val="en-US" w:eastAsia="zh-CN"/>
              </w:rPr>
            </w:pPr>
            <w:r>
              <w:rPr>
                <w:rFonts w:hint="eastAsia"/>
                <w:sz w:val="24"/>
                <w:szCs w:val="24"/>
                <w:lang w:val="en-US" w:eastAsia="zh-CN"/>
              </w:rPr>
              <w:t>200型</w:t>
            </w:r>
          </w:p>
        </w:tc>
        <w:tc>
          <w:tcPr>
            <w:tcW w:w="1250" w:type="pct"/>
            <w:vAlign w:val="center"/>
          </w:tcPr>
          <w:p w14:paraId="3331DCE3">
            <w:pPr>
              <w:pStyle w:val="55"/>
              <w:bidi w:val="0"/>
              <w:jc w:val="center"/>
              <w:rPr>
                <w:rFonts w:hint="default"/>
                <w:sz w:val="24"/>
                <w:szCs w:val="24"/>
                <w:lang w:val="en-US" w:eastAsia="zh-CN"/>
              </w:rPr>
            </w:pPr>
            <w:r>
              <w:rPr>
                <w:rFonts w:hint="eastAsia"/>
                <w:sz w:val="24"/>
                <w:szCs w:val="24"/>
                <w:lang w:val="en-US" w:eastAsia="zh-CN"/>
              </w:rPr>
              <w:t>2</w:t>
            </w:r>
          </w:p>
        </w:tc>
      </w:tr>
      <w:tr w14:paraId="3FD97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87" w:type="pct"/>
            <w:vAlign w:val="center"/>
          </w:tcPr>
          <w:p w14:paraId="53BBA138">
            <w:pPr>
              <w:pStyle w:val="55"/>
              <w:bidi w:val="0"/>
              <w:jc w:val="center"/>
              <w:rPr>
                <w:rFonts w:hint="default"/>
                <w:sz w:val="24"/>
                <w:szCs w:val="24"/>
                <w:lang w:val="en-US" w:eastAsia="zh-CN"/>
              </w:rPr>
            </w:pPr>
            <w:r>
              <w:rPr>
                <w:rFonts w:hint="eastAsia"/>
                <w:sz w:val="24"/>
                <w:szCs w:val="24"/>
                <w:lang w:val="en-US" w:eastAsia="zh-CN"/>
              </w:rPr>
              <w:t>11</w:t>
            </w:r>
          </w:p>
        </w:tc>
        <w:tc>
          <w:tcPr>
            <w:tcW w:w="746" w:type="pct"/>
            <w:vMerge w:val="continue"/>
            <w:tcBorders>
              <w:right w:val="single" w:color="000000" w:sz="4" w:space="0"/>
            </w:tcBorders>
            <w:vAlign w:val="center"/>
          </w:tcPr>
          <w:p w14:paraId="1929ACDB">
            <w:pPr>
              <w:pStyle w:val="55"/>
              <w:bidi w:val="0"/>
              <w:jc w:val="center"/>
              <w:rPr>
                <w:sz w:val="24"/>
                <w:szCs w:val="24"/>
              </w:rPr>
            </w:pPr>
          </w:p>
        </w:tc>
        <w:tc>
          <w:tcPr>
            <w:tcW w:w="964" w:type="pct"/>
            <w:tcBorders>
              <w:left w:val="single" w:color="000000" w:sz="4" w:space="0"/>
            </w:tcBorders>
            <w:vAlign w:val="center"/>
          </w:tcPr>
          <w:p w14:paraId="4A02C6B3">
            <w:pPr>
              <w:pStyle w:val="55"/>
              <w:bidi w:val="0"/>
              <w:jc w:val="center"/>
              <w:rPr>
                <w:rFonts w:hint="default"/>
                <w:sz w:val="24"/>
                <w:szCs w:val="24"/>
                <w:lang w:val="en-US" w:eastAsia="zh-CN"/>
              </w:rPr>
            </w:pPr>
            <w:r>
              <w:rPr>
                <w:rFonts w:hint="default"/>
                <w:sz w:val="24"/>
                <w:szCs w:val="24"/>
                <w:lang w:val="en-US" w:eastAsia="zh-CN"/>
              </w:rPr>
              <w:t>卧式甩干机</w:t>
            </w:r>
          </w:p>
        </w:tc>
        <w:tc>
          <w:tcPr>
            <w:tcW w:w="1252" w:type="pct"/>
            <w:vAlign w:val="center"/>
          </w:tcPr>
          <w:p w14:paraId="70DA2A53">
            <w:pPr>
              <w:pStyle w:val="55"/>
              <w:bidi w:val="0"/>
              <w:jc w:val="center"/>
              <w:rPr>
                <w:rFonts w:hint="eastAsia"/>
                <w:sz w:val="24"/>
                <w:szCs w:val="24"/>
                <w:lang w:val="en-US" w:eastAsia="zh-CN"/>
              </w:rPr>
            </w:pPr>
            <w:r>
              <w:rPr>
                <w:rFonts w:hint="eastAsia"/>
                <w:sz w:val="24"/>
                <w:szCs w:val="24"/>
                <w:lang w:val="en-US" w:eastAsia="zh-CN"/>
              </w:rPr>
              <w:t>200型</w:t>
            </w:r>
          </w:p>
        </w:tc>
        <w:tc>
          <w:tcPr>
            <w:tcW w:w="1250" w:type="pct"/>
            <w:vAlign w:val="center"/>
          </w:tcPr>
          <w:p w14:paraId="1DBDE5DF">
            <w:pPr>
              <w:pStyle w:val="55"/>
              <w:bidi w:val="0"/>
              <w:jc w:val="center"/>
              <w:rPr>
                <w:rFonts w:hint="default"/>
                <w:sz w:val="24"/>
                <w:szCs w:val="24"/>
                <w:lang w:val="en-US" w:eastAsia="zh-CN"/>
              </w:rPr>
            </w:pPr>
            <w:r>
              <w:rPr>
                <w:rFonts w:hint="eastAsia"/>
                <w:sz w:val="24"/>
                <w:szCs w:val="24"/>
                <w:lang w:val="en-US" w:eastAsia="zh-CN"/>
              </w:rPr>
              <w:t>2</w:t>
            </w:r>
          </w:p>
        </w:tc>
      </w:tr>
      <w:tr w14:paraId="40F28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87" w:type="pct"/>
            <w:vAlign w:val="center"/>
          </w:tcPr>
          <w:p w14:paraId="1563EE7C">
            <w:pPr>
              <w:pStyle w:val="55"/>
              <w:bidi w:val="0"/>
              <w:jc w:val="center"/>
              <w:rPr>
                <w:rFonts w:hint="default"/>
                <w:sz w:val="24"/>
                <w:szCs w:val="24"/>
                <w:lang w:val="en-US" w:eastAsia="zh-CN"/>
              </w:rPr>
            </w:pPr>
            <w:r>
              <w:rPr>
                <w:rFonts w:hint="eastAsia"/>
                <w:sz w:val="24"/>
                <w:szCs w:val="24"/>
                <w:lang w:val="en-US" w:eastAsia="zh-CN"/>
              </w:rPr>
              <w:t>12</w:t>
            </w:r>
          </w:p>
        </w:tc>
        <w:tc>
          <w:tcPr>
            <w:tcW w:w="746" w:type="pct"/>
            <w:vMerge w:val="continue"/>
            <w:tcBorders>
              <w:right w:val="single" w:color="000000" w:sz="4" w:space="0"/>
            </w:tcBorders>
            <w:vAlign w:val="center"/>
          </w:tcPr>
          <w:p w14:paraId="6AD3158C">
            <w:pPr>
              <w:pStyle w:val="55"/>
              <w:bidi w:val="0"/>
              <w:jc w:val="center"/>
              <w:rPr>
                <w:sz w:val="24"/>
                <w:szCs w:val="24"/>
              </w:rPr>
            </w:pPr>
          </w:p>
        </w:tc>
        <w:tc>
          <w:tcPr>
            <w:tcW w:w="964" w:type="pct"/>
            <w:tcBorders>
              <w:left w:val="single" w:color="000000" w:sz="4" w:space="0"/>
            </w:tcBorders>
            <w:vAlign w:val="center"/>
          </w:tcPr>
          <w:p w14:paraId="4146B070">
            <w:pPr>
              <w:pStyle w:val="55"/>
              <w:bidi w:val="0"/>
              <w:jc w:val="center"/>
              <w:rPr>
                <w:rFonts w:hint="default"/>
                <w:sz w:val="24"/>
                <w:szCs w:val="24"/>
                <w:lang w:val="en-US" w:eastAsia="zh-CN"/>
              </w:rPr>
            </w:pPr>
            <w:r>
              <w:rPr>
                <w:rFonts w:hint="default"/>
                <w:sz w:val="24"/>
                <w:szCs w:val="24"/>
                <w:lang w:val="en-US" w:eastAsia="zh-CN"/>
              </w:rPr>
              <w:t>高速混合机</w:t>
            </w:r>
          </w:p>
        </w:tc>
        <w:tc>
          <w:tcPr>
            <w:tcW w:w="1252" w:type="pct"/>
            <w:vAlign w:val="center"/>
          </w:tcPr>
          <w:p w14:paraId="7E774276">
            <w:pPr>
              <w:pStyle w:val="55"/>
              <w:bidi w:val="0"/>
              <w:jc w:val="center"/>
              <w:rPr>
                <w:rFonts w:hint="eastAsia"/>
                <w:sz w:val="24"/>
                <w:szCs w:val="24"/>
                <w:lang w:val="en-US" w:eastAsia="zh-CN"/>
              </w:rPr>
            </w:pPr>
            <w:r>
              <w:rPr>
                <w:rFonts w:hint="eastAsia"/>
                <w:sz w:val="24"/>
                <w:szCs w:val="24"/>
                <w:lang w:val="en-US" w:eastAsia="zh-CN"/>
              </w:rPr>
              <w:t>SHR-100A</w:t>
            </w:r>
          </w:p>
        </w:tc>
        <w:tc>
          <w:tcPr>
            <w:tcW w:w="1250" w:type="pct"/>
            <w:vAlign w:val="center"/>
          </w:tcPr>
          <w:p w14:paraId="3BB762D2">
            <w:pPr>
              <w:pStyle w:val="55"/>
              <w:bidi w:val="0"/>
              <w:jc w:val="center"/>
              <w:rPr>
                <w:rFonts w:hint="default"/>
                <w:sz w:val="24"/>
                <w:szCs w:val="24"/>
                <w:lang w:val="en-US" w:eastAsia="zh-CN"/>
              </w:rPr>
            </w:pPr>
            <w:r>
              <w:rPr>
                <w:rFonts w:hint="eastAsia"/>
                <w:sz w:val="24"/>
                <w:szCs w:val="24"/>
                <w:lang w:val="en-US" w:eastAsia="zh-CN"/>
              </w:rPr>
              <w:t>8</w:t>
            </w:r>
          </w:p>
        </w:tc>
      </w:tr>
      <w:tr w14:paraId="6ADE7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87" w:type="pct"/>
            <w:vAlign w:val="center"/>
          </w:tcPr>
          <w:p w14:paraId="4F24B111">
            <w:pPr>
              <w:pStyle w:val="55"/>
              <w:bidi w:val="0"/>
              <w:jc w:val="center"/>
              <w:rPr>
                <w:rFonts w:hint="default"/>
                <w:sz w:val="24"/>
                <w:szCs w:val="24"/>
                <w:lang w:val="en-US" w:eastAsia="zh-CN"/>
              </w:rPr>
            </w:pPr>
            <w:r>
              <w:rPr>
                <w:rFonts w:hint="eastAsia"/>
                <w:sz w:val="24"/>
                <w:szCs w:val="24"/>
                <w:lang w:val="en-US" w:eastAsia="zh-CN"/>
              </w:rPr>
              <w:t>13</w:t>
            </w:r>
          </w:p>
        </w:tc>
        <w:tc>
          <w:tcPr>
            <w:tcW w:w="746" w:type="pct"/>
            <w:vMerge w:val="continue"/>
            <w:tcBorders>
              <w:right w:val="single" w:color="000000" w:sz="4" w:space="0"/>
            </w:tcBorders>
            <w:vAlign w:val="center"/>
          </w:tcPr>
          <w:p w14:paraId="72C97398">
            <w:pPr>
              <w:pStyle w:val="55"/>
              <w:bidi w:val="0"/>
              <w:jc w:val="center"/>
              <w:rPr>
                <w:sz w:val="24"/>
                <w:szCs w:val="24"/>
              </w:rPr>
            </w:pPr>
          </w:p>
        </w:tc>
        <w:tc>
          <w:tcPr>
            <w:tcW w:w="964" w:type="pct"/>
            <w:tcBorders>
              <w:left w:val="single" w:color="000000" w:sz="4" w:space="0"/>
            </w:tcBorders>
            <w:vAlign w:val="center"/>
          </w:tcPr>
          <w:p w14:paraId="2A7AA3D5">
            <w:pPr>
              <w:pStyle w:val="55"/>
              <w:bidi w:val="0"/>
              <w:jc w:val="center"/>
              <w:rPr>
                <w:rFonts w:hint="default"/>
                <w:sz w:val="24"/>
                <w:szCs w:val="24"/>
                <w:lang w:val="en-US" w:eastAsia="zh-CN"/>
              </w:rPr>
            </w:pPr>
            <w:r>
              <w:rPr>
                <w:rFonts w:hint="default"/>
                <w:sz w:val="24"/>
                <w:szCs w:val="24"/>
                <w:lang w:val="en-US" w:eastAsia="zh-CN"/>
              </w:rPr>
              <w:t>挤出机</w:t>
            </w:r>
          </w:p>
        </w:tc>
        <w:tc>
          <w:tcPr>
            <w:tcW w:w="1252" w:type="pct"/>
            <w:vAlign w:val="center"/>
          </w:tcPr>
          <w:p w14:paraId="54180622">
            <w:pPr>
              <w:pStyle w:val="55"/>
              <w:bidi w:val="0"/>
              <w:jc w:val="center"/>
              <w:rPr>
                <w:rFonts w:hint="eastAsia"/>
                <w:sz w:val="24"/>
                <w:szCs w:val="24"/>
                <w:lang w:val="en-US" w:eastAsia="zh-CN"/>
              </w:rPr>
            </w:pPr>
            <w:r>
              <w:rPr>
                <w:rFonts w:hint="eastAsia"/>
                <w:sz w:val="24"/>
                <w:szCs w:val="24"/>
                <w:lang w:val="en-US" w:eastAsia="zh-CN"/>
              </w:rPr>
              <w:t>180型</w:t>
            </w:r>
          </w:p>
        </w:tc>
        <w:tc>
          <w:tcPr>
            <w:tcW w:w="1250" w:type="pct"/>
            <w:vAlign w:val="center"/>
          </w:tcPr>
          <w:p w14:paraId="357E0B4F">
            <w:pPr>
              <w:pStyle w:val="55"/>
              <w:bidi w:val="0"/>
              <w:jc w:val="center"/>
              <w:rPr>
                <w:rFonts w:hint="default"/>
                <w:sz w:val="24"/>
                <w:szCs w:val="24"/>
                <w:lang w:val="en-US" w:eastAsia="zh-CN"/>
              </w:rPr>
            </w:pPr>
            <w:r>
              <w:rPr>
                <w:rFonts w:hint="eastAsia"/>
                <w:sz w:val="24"/>
                <w:szCs w:val="24"/>
                <w:lang w:val="en-US" w:eastAsia="zh-CN"/>
              </w:rPr>
              <w:t>8</w:t>
            </w:r>
          </w:p>
        </w:tc>
      </w:tr>
      <w:tr w14:paraId="7C250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87" w:type="pct"/>
            <w:vAlign w:val="center"/>
          </w:tcPr>
          <w:p w14:paraId="3923664B">
            <w:pPr>
              <w:pStyle w:val="55"/>
              <w:bidi w:val="0"/>
              <w:jc w:val="center"/>
              <w:rPr>
                <w:rFonts w:hint="default"/>
                <w:sz w:val="24"/>
                <w:szCs w:val="24"/>
                <w:lang w:val="en-US" w:eastAsia="zh-CN"/>
              </w:rPr>
            </w:pPr>
            <w:r>
              <w:rPr>
                <w:rFonts w:hint="eastAsia"/>
                <w:sz w:val="24"/>
                <w:szCs w:val="24"/>
                <w:lang w:val="en-US" w:eastAsia="zh-CN"/>
              </w:rPr>
              <w:t>14</w:t>
            </w:r>
          </w:p>
        </w:tc>
        <w:tc>
          <w:tcPr>
            <w:tcW w:w="746" w:type="pct"/>
            <w:vMerge w:val="continue"/>
            <w:tcBorders>
              <w:right w:val="single" w:color="000000" w:sz="4" w:space="0"/>
            </w:tcBorders>
            <w:vAlign w:val="center"/>
          </w:tcPr>
          <w:p w14:paraId="168DB3FA">
            <w:pPr>
              <w:pStyle w:val="55"/>
              <w:bidi w:val="0"/>
              <w:jc w:val="center"/>
              <w:rPr>
                <w:sz w:val="24"/>
                <w:szCs w:val="24"/>
              </w:rPr>
            </w:pPr>
          </w:p>
        </w:tc>
        <w:tc>
          <w:tcPr>
            <w:tcW w:w="964" w:type="pct"/>
            <w:tcBorders>
              <w:left w:val="single" w:color="000000" w:sz="4" w:space="0"/>
            </w:tcBorders>
            <w:vAlign w:val="center"/>
          </w:tcPr>
          <w:p w14:paraId="6EFF7490">
            <w:pPr>
              <w:pStyle w:val="55"/>
              <w:bidi w:val="0"/>
              <w:jc w:val="center"/>
              <w:rPr>
                <w:rFonts w:hint="default"/>
                <w:sz w:val="24"/>
                <w:szCs w:val="24"/>
                <w:lang w:val="en-US" w:eastAsia="zh-CN"/>
              </w:rPr>
            </w:pPr>
            <w:r>
              <w:rPr>
                <w:rFonts w:hint="default"/>
                <w:sz w:val="24"/>
                <w:szCs w:val="24"/>
                <w:lang w:val="en-US" w:eastAsia="zh-CN"/>
              </w:rPr>
              <w:t>切粒机</w:t>
            </w:r>
          </w:p>
        </w:tc>
        <w:tc>
          <w:tcPr>
            <w:tcW w:w="1252" w:type="pct"/>
            <w:vAlign w:val="center"/>
          </w:tcPr>
          <w:p w14:paraId="30648A6C">
            <w:pPr>
              <w:pStyle w:val="55"/>
              <w:bidi w:val="0"/>
              <w:jc w:val="center"/>
              <w:rPr>
                <w:rFonts w:hint="eastAsia"/>
                <w:sz w:val="24"/>
                <w:szCs w:val="24"/>
                <w:lang w:val="en-US" w:eastAsia="zh-CN"/>
              </w:rPr>
            </w:pPr>
            <w:r>
              <w:rPr>
                <w:rFonts w:hint="eastAsia"/>
                <w:sz w:val="24"/>
                <w:szCs w:val="24"/>
                <w:lang w:val="en-US" w:eastAsia="zh-CN"/>
              </w:rPr>
              <w:t>260型</w:t>
            </w:r>
          </w:p>
        </w:tc>
        <w:tc>
          <w:tcPr>
            <w:tcW w:w="1250" w:type="pct"/>
            <w:vAlign w:val="center"/>
          </w:tcPr>
          <w:p w14:paraId="661B5664">
            <w:pPr>
              <w:pStyle w:val="55"/>
              <w:bidi w:val="0"/>
              <w:jc w:val="center"/>
              <w:rPr>
                <w:rFonts w:hint="default"/>
                <w:sz w:val="24"/>
                <w:szCs w:val="24"/>
                <w:lang w:val="en-US" w:eastAsia="zh-CN"/>
              </w:rPr>
            </w:pPr>
            <w:r>
              <w:rPr>
                <w:rFonts w:hint="eastAsia"/>
                <w:sz w:val="24"/>
                <w:szCs w:val="24"/>
                <w:lang w:val="en-US" w:eastAsia="zh-CN"/>
              </w:rPr>
              <w:t>8</w:t>
            </w:r>
          </w:p>
        </w:tc>
      </w:tr>
      <w:tr w14:paraId="15D59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87" w:type="pct"/>
            <w:vAlign w:val="center"/>
          </w:tcPr>
          <w:p w14:paraId="188806A3">
            <w:pPr>
              <w:pStyle w:val="55"/>
              <w:bidi w:val="0"/>
              <w:jc w:val="center"/>
              <w:rPr>
                <w:rFonts w:hint="default"/>
                <w:sz w:val="24"/>
                <w:szCs w:val="24"/>
                <w:lang w:val="en-US" w:eastAsia="zh-CN"/>
              </w:rPr>
            </w:pPr>
            <w:r>
              <w:rPr>
                <w:rFonts w:hint="eastAsia"/>
                <w:sz w:val="24"/>
                <w:szCs w:val="24"/>
                <w:lang w:val="en-US" w:eastAsia="zh-CN"/>
              </w:rPr>
              <w:t>15</w:t>
            </w:r>
          </w:p>
        </w:tc>
        <w:tc>
          <w:tcPr>
            <w:tcW w:w="746" w:type="pct"/>
            <w:vMerge w:val="continue"/>
            <w:tcBorders>
              <w:right w:val="single" w:color="000000" w:sz="4" w:space="0"/>
            </w:tcBorders>
            <w:vAlign w:val="center"/>
          </w:tcPr>
          <w:p w14:paraId="5E53426F">
            <w:pPr>
              <w:pStyle w:val="55"/>
              <w:bidi w:val="0"/>
              <w:jc w:val="center"/>
              <w:rPr>
                <w:sz w:val="24"/>
                <w:szCs w:val="24"/>
              </w:rPr>
            </w:pPr>
          </w:p>
        </w:tc>
        <w:tc>
          <w:tcPr>
            <w:tcW w:w="964" w:type="pct"/>
            <w:tcBorders>
              <w:left w:val="single" w:color="000000" w:sz="4" w:space="0"/>
            </w:tcBorders>
            <w:vAlign w:val="center"/>
          </w:tcPr>
          <w:p w14:paraId="44C42820">
            <w:pPr>
              <w:pStyle w:val="55"/>
              <w:bidi w:val="0"/>
              <w:jc w:val="center"/>
              <w:rPr>
                <w:rFonts w:hint="default"/>
                <w:sz w:val="24"/>
                <w:szCs w:val="24"/>
                <w:lang w:val="en-US" w:eastAsia="zh-CN"/>
              </w:rPr>
            </w:pPr>
            <w:r>
              <w:rPr>
                <w:rFonts w:hint="default"/>
                <w:sz w:val="24"/>
                <w:szCs w:val="24"/>
                <w:lang w:val="en-US" w:eastAsia="zh-CN"/>
              </w:rPr>
              <w:t>存料器</w:t>
            </w:r>
          </w:p>
        </w:tc>
        <w:tc>
          <w:tcPr>
            <w:tcW w:w="1252" w:type="pct"/>
            <w:vAlign w:val="center"/>
          </w:tcPr>
          <w:p w14:paraId="0B760CFF">
            <w:pPr>
              <w:pStyle w:val="55"/>
              <w:bidi w:val="0"/>
              <w:jc w:val="center"/>
              <w:rPr>
                <w:rFonts w:hint="eastAsia"/>
                <w:sz w:val="24"/>
                <w:szCs w:val="24"/>
                <w:lang w:val="en-US" w:eastAsia="zh-CN"/>
              </w:rPr>
            </w:pPr>
            <w:r>
              <w:rPr>
                <w:rFonts w:hint="eastAsia"/>
                <w:sz w:val="24"/>
                <w:szCs w:val="24"/>
                <w:lang w:val="en-US" w:eastAsia="zh-CN"/>
              </w:rPr>
              <w:t>2000型</w:t>
            </w:r>
          </w:p>
        </w:tc>
        <w:tc>
          <w:tcPr>
            <w:tcW w:w="1250" w:type="pct"/>
            <w:vAlign w:val="center"/>
          </w:tcPr>
          <w:p w14:paraId="2CB99F70">
            <w:pPr>
              <w:pStyle w:val="55"/>
              <w:bidi w:val="0"/>
              <w:jc w:val="center"/>
              <w:rPr>
                <w:rFonts w:hint="default"/>
                <w:sz w:val="24"/>
                <w:szCs w:val="24"/>
                <w:lang w:val="en-US" w:eastAsia="zh-CN"/>
              </w:rPr>
            </w:pPr>
            <w:r>
              <w:rPr>
                <w:rFonts w:hint="eastAsia"/>
                <w:sz w:val="24"/>
                <w:szCs w:val="24"/>
                <w:lang w:val="en-US" w:eastAsia="zh-CN"/>
              </w:rPr>
              <w:t>8</w:t>
            </w:r>
          </w:p>
        </w:tc>
      </w:tr>
      <w:tr w14:paraId="115A4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87" w:type="pct"/>
            <w:vAlign w:val="center"/>
          </w:tcPr>
          <w:p w14:paraId="36D85B85">
            <w:pPr>
              <w:pStyle w:val="55"/>
              <w:bidi w:val="0"/>
              <w:jc w:val="center"/>
              <w:rPr>
                <w:rFonts w:hint="default"/>
                <w:sz w:val="24"/>
                <w:szCs w:val="24"/>
                <w:lang w:val="en-US" w:eastAsia="zh-CN"/>
              </w:rPr>
            </w:pPr>
            <w:r>
              <w:rPr>
                <w:rFonts w:hint="eastAsia"/>
                <w:sz w:val="24"/>
                <w:szCs w:val="24"/>
                <w:lang w:val="en-US" w:eastAsia="zh-CN"/>
              </w:rPr>
              <w:t>16</w:t>
            </w:r>
          </w:p>
        </w:tc>
        <w:tc>
          <w:tcPr>
            <w:tcW w:w="746" w:type="pct"/>
            <w:vMerge w:val="continue"/>
            <w:tcBorders>
              <w:right w:val="single" w:color="000000" w:sz="4" w:space="0"/>
            </w:tcBorders>
            <w:vAlign w:val="center"/>
          </w:tcPr>
          <w:p w14:paraId="069D36B8">
            <w:pPr>
              <w:pStyle w:val="55"/>
              <w:bidi w:val="0"/>
              <w:jc w:val="center"/>
              <w:rPr>
                <w:sz w:val="24"/>
                <w:szCs w:val="24"/>
              </w:rPr>
            </w:pPr>
          </w:p>
        </w:tc>
        <w:tc>
          <w:tcPr>
            <w:tcW w:w="964" w:type="pct"/>
            <w:tcBorders>
              <w:left w:val="single" w:color="000000" w:sz="4" w:space="0"/>
            </w:tcBorders>
            <w:vAlign w:val="center"/>
          </w:tcPr>
          <w:p w14:paraId="388078F4">
            <w:pPr>
              <w:pStyle w:val="55"/>
              <w:bidi w:val="0"/>
              <w:jc w:val="center"/>
              <w:rPr>
                <w:rFonts w:hint="default"/>
                <w:sz w:val="24"/>
                <w:szCs w:val="24"/>
                <w:lang w:val="en-US" w:eastAsia="zh-CN"/>
              </w:rPr>
            </w:pPr>
            <w:r>
              <w:rPr>
                <w:rFonts w:hint="default"/>
                <w:sz w:val="24"/>
                <w:szCs w:val="24"/>
                <w:lang w:val="en-US" w:eastAsia="zh-CN"/>
              </w:rPr>
              <w:t>牵引机</w:t>
            </w:r>
          </w:p>
        </w:tc>
        <w:tc>
          <w:tcPr>
            <w:tcW w:w="1252" w:type="pct"/>
            <w:vAlign w:val="center"/>
          </w:tcPr>
          <w:p w14:paraId="5402E31A">
            <w:pPr>
              <w:pStyle w:val="55"/>
              <w:bidi w:val="0"/>
              <w:jc w:val="center"/>
              <w:rPr>
                <w:rFonts w:hint="eastAsia"/>
                <w:sz w:val="24"/>
                <w:szCs w:val="24"/>
                <w:lang w:val="en-US" w:eastAsia="zh-CN"/>
              </w:rPr>
            </w:pPr>
            <w:r>
              <w:rPr>
                <w:rFonts w:hint="eastAsia"/>
                <w:sz w:val="24"/>
                <w:szCs w:val="24"/>
                <w:lang w:val="en-US" w:eastAsia="zh-CN"/>
              </w:rPr>
              <w:t>/</w:t>
            </w:r>
          </w:p>
        </w:tc>
        <w:tc>
          <w:tcPr>
            <w:tcW w:w="1250" w:type="pct"/>
            <w:vAlign w:val="center"/>
          </w:tcPr>
          <w:p w14:paraId="785BBD6C">
            <w:pPr>
              <w:pStyle w:val="55"/>
              <w:bidi w:val="0"/>
              <w:jc w:val="center"/>
              <w:rPr>
                <w:rFonts w:hint="default"/>
                <w:sz w:val="24"/>
                <w:szCs w:val="24"/>
                <w:lang w:val="en-US" w:eastAsia="zh-CN"/>
              </w:rPr>
            </w:pPr>
            <w:r>
              <w:rPr>
                <w:rFonts w:hint="eastAsia"/>
                <w:sz w:val="24"/>
                <w:szCs w:val="24"/>
                <w:lang w:val="en-US" w:eastAsia="zh-CN"/>
              </w:rPr>
              <w:t>1</w:t>
            </w:r>
          </w:p>
        </w:tc>
      </w:tr>
      <w:tr w14:paraId="0B961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87" w:type="pct"/>
            <w:vAlign w:val="center"/>
          </w:tcPr>
          <w:p w14:paraId="61D17A61">
            <w:pPr>
              <w:pStyle w:val="55"/>
              <w:bidi w:val="0"/>
              <w:jc w:val="center"/>
              <w:rPr>
                <w:rFonts w:hint="default"/>
                <w:sz w:val="24"/>
                <w:szCs w:val="24"/>
                <w:lang w:val="en-US" w:eastAsia="zh-CN"/>
              </w:rPr>
            </w:pPr>
            <w:r>
              <w:rPr>
                <w:rFonts w:hint="eastAsia"/>
                <w:sz w:val="24"/>
                <w:szCs w:val="24"/>
                <w:lang w:val="en-US" w:eastAsia="zh-CN"/>
              </w:rPr>
              <w:t>17</w:t>
            </w:r>
          </w:p>
        </w:tc>
        <w:tc>
          <w:tcPr>
            <w:tcW w:w="746" w:type="pct"/>
            <w:vMerge w:val="restart"/>
            <w:tcBorders>
              <w:right w:val="single" w:color="000000" w:sz="4" w:space="0"/>
            </w:tcBorders>
            <w:vAlign w:val="center"/>
          </w:tcPr>
          <w:p w14:paraId="38CF48AC">
            <w:pPr>
              <w:pStyle w:val="55"/>
              <w:bidi w:val="0"/>
              <w:jc w:val="center"/>
              <w:rPr>
                <w:sz w:val="24"/>
                <w:szCs w:val="24"/>
              </w:rPr>
            </w:pPr>
            <w:r>
              <w:rPr>
                <w:rFonts w:hint="eastAsia"/>
                <w:sz w:val="24"/>
                <w:szCs w:val="24"/>
                <w:lang w:val="en-US" w:eastAsia="zh-CN"/>
              </w:rPr>
              <w:t>3#生产车间</w:t>
            </w:r>
          </w:p>
        </w:tc>
        <w:tc>
          <w:tcPr>
            <w:tcW w:w="964" w:type="pct"/>
            <w:tcBorders>
              <w:left w:val="single" w:color="000000" w:sz="4" w:space="0"/>
            </w:tcBorders>
            <w:vAlign w:val="center"/>
          </w:tcPr>
          <w:p w14:paraId="335BDCB3">
            <w:pPr>
              <w:pStyle w:val="55"/>
              <w:bidi w:val="0"/>
              <w:jc w:val="center"/>
              <w:rPr>
                <w:rFonts w:hint="default"/>
                <w:sz w:val="24"/>
                <w:szCs w:val="24"/>
                <w:lang w:val="en-US" w:eastAsia="zh-CN"/>
              </w:rPr>
            </w:pPr>
            <w:r>
              <w:rPr>
                <w:rFonts w:hint="default"/>
                <w:sz w:val="24"/>
                <w:szCs w:val="24"/>
                <w:lang w:val="en-US" w:eastAsia="zh-CN"/>
              </w:rPr>
              <w:t>破碎机</w:t>
            </w:r>
          </w:p>
        </w:tc>
        <w:tc>
          <w:tcPr>
            <w:tcW w:w="1252" w:type="pct"/>
            <w:vAlign w:val="center"/>
          </w:tcPr>
          <w:p w14:paraId="6CB9DD22">
            <w:pPr>
              <w:pStyle w:val="55"/>
              <w:bidi w:val="0"/>
              <w:jc w:val="center"/>
              <w:rPr>
                <w:rFonts w:hint="eastAsia"/>
                <w:sz w:val="24"/>
                <w:szCs w:val="24"/>
                <w:lang w:val="en-US" w:eastAsia="zh-CN"/>
              </w:rPr>
            </w:pPr>
            <w:r>
              <w:rPr>
                <w:rFonts w:hint="eastAsia"/>
                <w:sz w:val="24"/>
                <w:szCs w:val="24"/>
                <w:lang w:val="en-US" w:eastAsia="zh-CN"/>
              </w:rPr>
              <w:t>80型</w:t>
            </w:r>
          </w:p>
        </w:tc>
        <w:tc>
          <w:tcPr>
            <w:tcW w:w="1250" w:type="pct"/>
            <w:vAlign w:val="center"/>
          </w:tcPr>
          <w:p w14:paraId="4590FD16">
            <w:pPr>
              <w:pStyle w:val="55"/>
              <w:bidi w:val="0"/>
              <w:jc w:val="center"/>
              <w:rPr>
                <w:rFonts w:hint="default"/>
                <w:sz w:val="24"/>
                <w:szCs w:val="24"/>
                <w:lang w:val="en-US" w:eastAsia="zh-CN"/>
              </w:rPr>
            </w:pPr>
            <w:r>
              <w:rPr>
                <w:rFonts w:hint="eastAsia"/>
                <w:sz w:val="24"/>
                <w:szCs w:val="24"/>
                <w:lang w:val="en-US" w:eastAsia="zh-CN"/>
              </w:rPr>
              <w:t>1</w:t>
            </w:r>
          </w:p>
        </w:tc>
      </w:tr>
      <w:tr w14:paraId="61892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87" w:type="pct"/>
            <w:vAlign w:val="center"/>
          </w:tcPr>
          <w:p w14:paraId="09BBE5A4">
            <w:pPr>
              <w:pStyle w:val="55"/>
              <w:bidi w:val="0"/>
              <w:jc w:val="center"/>
              <w:rPr>
                <w:rFonts w:hint="default"/>
                <w:sz w:val="24"/>
                <w:szCs w:val="24"/>
                <w:lang w:val="en-US" w:eastAsia="zh-CN"/>
              </w:rPr>
            </w:pPr>
            <w:r>
              <w:rPr>
                <w:rFonts w:hint="eastAsia"/>
                <w:sz w:val="24"/>
                <w:szCs w:val="24"/>
                <w:lang w:val="en-US" w:eastAsia="zh-CN"/>
              </w:rPr>
              <w:t>18</w:t>
            </w:r>
          </w:p>
        </w:tc>
        <w:tc>
          <w:tcPr>
            <w:tcW w:w="746" w:type="pct"/>
            <w:vMerge w:val="continue"/>
            <w:tcBorders>
              <w:right w:val="single" w:color="000000" w:sz="4" w:space="0"/>
            </w:tcBorders>
            <w:vAlign w:val="center"/>
          </w:tcPr>
          <w:p w14:paraId="0F25B964">
            <w:pPr>
              <w:pStyle w:val="55"/>
              <w:bidi w:val="0"/>
              <w:jc w:val="center"/>
              <w:rPr>
                <w:sz w:val="24"/>
                <w:szCs w:val="24"/>
              </w:rPr>
            </w:pPr>
          </w:p>
        </w:tc>
        <w:tc>
          <w:tcPr>
            <w:tcW w:w="964" w:type="pct"/>
            <w:tcBorders>
              <w:left w:val="single" w:color="000000" w:sz="4" w:space="0"/>
            </w:tcBorders>
            <w:vAlign w:val="center"/>
          </w:tcPr>
          <w:p w14:paraId="57159605">
            <w:pPr>
              <w:pStyle w:val="55"/>
              <w:bidi w:val="0"/>
              <w:jc w:val="center"/>
              <w:rPr>
                <w:rFonts w:hint="default"/>
                <w:sz w:val="24"/>
                <w:szCs w:val="24"/>
                <w:lang w:val="en-US" w:eastAsia="zh-CN"/>
              </w:rPr>
            </w:pPr>
            <w:r>
              <w:rPr>
                <w:rFonts w:hint="default"/>
                <w:sz w:val="24"/>
                <w:szCs w:val="24"/>
                <w:lang w:val="en-US" w:eastAsia="zh-CN"/>
              </w:rPr>
              <w:t>水浮分离机</w:t>
            </w:r>
          </w:p>
        </w:tc>
        <w:tc>
          <w:tcPr>
            <w:tcW w:w="1252" w:type="pct"/>
            <w:vAlign w:val="center"/>
          </w:tcPr>
          <w:p w14:paraId="14D73FCC">
            <w:pPr>
              <w:pStyle w:val="55"/>
              <w:bidi w:val="0"/>
              <w:jc w:val="center"/>
              <w:rPr>
                <w:rFonts w:hint="eastAsia"/>
                <w:sz w:val="24"/>
                <w:szCs w:val="24"/>
                <w:lang w:val="en-US" w:eastAsia="zh-CN"/>
              </w:rPr>
            </w:pPr>
            <w:r>
              <w:rPr>
                <w:rFonts w:hint="eastAsia"/>
                <w:sz w:val="24"/>
                <w:szCs w:val="24"/>
                <w:lang w:val="en-US" w:eastAsia="zh-CN"/>
              </w:rPr>
              <w:t>200型</w:t>
            </w:r>
          </w:p>
        </w:tc>
        <w:tc>
          <w:tcPr>
            <w:tcW w:w="1250" w:type="pct"/>
            <w:vAlign w:val="center"/>
          </w:tcPr>
          <w:p w14:paraId="2C5EAA83">
            <w:pPr>
              <w:pStyle w:val="55"/>
              <w:bidi w:val="0"/>
              <w:jc w:val="center"/>
              <w:rPr>
                <w:rFonts w:hint="default"/>
                <w:sz w:val="24"/>
                <w:szCs w:val="24"/>
                <w:lang w:val="en-US" w:eastAsia="zh-CN"/>
              </w:rPr>
            </w:pPr>
            <w:r>
              <w:rPr>
                <w:rFonts w:hint="eastAsia"/>
                <w:sz w:val="24"/>
                <w:szCs w:val="24"/>
                <w:lang w:val="en-US" w:eastAsia="zh-CN"/>
              </w:rPr>
              <w:t>1</w:t>
            </w:r>
          </w:p>
        </w:tc>
      </w:tr>
      <w:tr w14:paraId="1298B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87" w:type="pct"/>
            <w:vAlign w:val="center"/>
          </w:tcPr>
          <w:p w14:paraId="7863B9C2">
            <w:pPr>
              <w:pStyle w:val="55"/>
              <w:bidi w:val="0"/>
              <w:jc w:val="center"/>
              <w:rPr>
                <w:rFonts w:hint="default"/>
                <w:sz w:val="24"/>
                <w:szCs w:val="24"/>
                <w:lang w:val="en-US" w:eastAsia="zh-CN"/>
              </w:rPr>
            </w:pPr>
            <w:r>
              <w:rPr>
                <w:rFonts w:hint="eastAsia"/>
                <w:sz w:val="24"/>
                <w:szCs w:val="24"/>
                <w:lang w:val="en-US" w:eastAsia="zh-CN"/>
              </w:rPr>
              <w:t>19</w:t>
            </w:r>
          </w:p>
        </w:tc>
        <w:tc>
          <w:tcPr>
            <w:tcW w:w="746" w:type="pct"/>
            <w:vMerge w:val="continue"/>
            <w:tcBorders>
              <w:right w:val="single" w:color="000000" w:sz="4" w:space="0"/>
            </w:tcBorders>
            <w:vAlign w:val="center"/>
          </w:tcPr>
          <w:p w14:paraId="242DF6C2">
            <w:pPr>
              <w:pStyle w:val="55"/>
              <w:bidi w:val="0"/>
              <w:jc w:val="center"/>
              <w:rPr>
                <w:sz w:val="24"/>
                <w:szCs w:val="24"/>
              </w:rPr>
            </w:pPr>
          </w:p>
        </w:tc>
        <w:tc>
          <w:tcPr>
            <w:tcW w:w="964" w:type="pct"/>
            <w:tcBorders>
              <w:left w:val="single" w:color="000000" w:sz="4" w:space="0"/>
            </w:tcBorders>
            <w:vAlign w:val="center"/>
          </w:tcPr>
          <w:p w14:paraId="2EFA6F68">
            <w:pPr>
              <w:pStyle w:val="55"/>
              <w:bidi w:val="0"/>
              <w:jc w:val="center"/>
              <w:rPr>
                <w:rFonts w:hint="default"/>
                <w:sz w:val="24"/>
                <w:szCs w:val="24"/>
                <w:lang w:val="en-US" w:eastAsia="zh-CN"/>
              </w:rPr>
            </w:pPr>
            <w:r>
              <w:rPr>
                <w:rFonts w:hint="default"/>
                <w:sz w:val="24"/>
                <w:szCs w:val="24"/>
                <w:lang w:val="en-US" w:eastAsia="zh-CN"/>
              </w:rPr>
              <w:t>卧式甩干机</w:t>
            </w:r>
          </w:p>
        </w:tc>
        <w:tc>
          <w:tcPr>
            <w:tcW w:w="1252" w:type="pct"/>
            <w:vAlign w:val="center"/>
          </w:tcPr>
          <w:p w14:paraId="37670FF6">
            <w:pPr>
              <w:pStyle w:val="55"/>
              <w:bidi w:val="0"/>
              <w:jc w:val="center"/>
              <w:rPr>
                <w:rFonts w:hint="eastAsia"/>
                <w:sz w:val="24"/>
                <w:szCs w:val="24"/>
                <w:lang w:val="en-US" w:eastAsia="zh-CN"/>
              </w:rPr>
            </w:pPr>
            <w:r>
              <w:rPr>
                <w:rFonts w:hint="eastAsia"/>
                <w:sz w:val="24"/>
                <w:szCs w:val="24"/>
                <w:lang w:val="en-US" w:eastAsia="zh-CN"/>
              </w:rPr>
              <w:t>200型</w:t>
            </w:r>
          </w:p>
        </w:tc>
        <w:tc>
          <w:tcPr>
            <w:tcW w:w="1250" w:type="pct"/>
            <w:vAlign w:val="center"/>
          </w:tcPr>
          <w:p w14:paraId="274AB66E">
            <w:pPr>
              <w:pStyle w:val="55"/>
              <w:bidi w:val="0"/>
              <w:jc w:val="center"/>
              <w:rPr>
                <w:rFonts w:hint="default"/>
                <w:sz w:val="24"/>
                <w:szCs w:val="24"/>
                <w:lang w:val="en-US" w:eastAsia="zh-CN"/>
              </w:rPr>
            </w:pPr>
            <w:r>
              <w:rPr>
                <w:rFonts w:hint="eastAsia"/>
                <w:sz w:val="24"/>
                <w:szCs w:val="24"/>
                <w:lang w:val="en-US" w:eastAsia="zh-CN"/>
              </w:rPr>
              <w:t>1</w:t>
            </w:r>
          </w:p>
        </w:tc>
      </w:tr>
      <w:tr w14:paraId="4745C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87" w:type="pct"/>
            <w:vAlign w:val="center"/>
          </w:tcPr>
          <w:p w14:paraId="780CE8E7">
            <w:pPr>
              <w:pStyle w:val="55"/>
              <w:bidi w:val="0"/>
              <w:jc w:val="center"/>
              <w:rPr>
                <w:rFonts w:hint="default"/>
                <w:sz w:val="24"/>
                <w:szCs w:val="24"/>
                <w:lang w:val="en-US" w:eastAsia="zh-CN"/>
              </w:rPr>
            </w:pPr>
            <w:r>
              <w:rPr>
                <w:rFonts w:hint="eastAsia"/>
                <w:sz w:val="24"/>
                <w:szCs w:val="24"/>
                <w:lang w:val="en-US" w:eastAsia="zh-CN"/>
              </w:rPr>
              <w:t>20</w:t>
            </w:r>
          </w:p>
        </w:tc>
        <w:tc>
          <w:tcPr>
            <w:tcW w:w="746" w:type="pct"/>
            <w:vMerge w:val="continue"/>
            <w:tcBorders>
              <w:right w:val="single" w:color="000000" w:sz="4" w:space="0"/>
            </w:tcBorders>
            <w:vAlign w:val="center"/>
          </w:tcPr>
          <w:p w14:paraId="221F6943">
            <w:pPr>
              <w:pStyle w:val="55"/>
              <w:bidi w:val="0"/>
              <w:jc w:val="center"/>
              <w:rPr>
                <w:sz w:val="24"/>
                <w:szCs w:val="24"/>
              </w:rPr>
            </w:pPr>
          </w:p>
        </w:tc>
        <w:tc>
          <w:tcPr>
            <w:tcW w:w="964" w:type="pct"/>
            <w:tcBorders>
              <w:left w:val="single" w:color="000000" w:sz="4" w:space="0"/>
            </w:tcBorders>
            <w:vAlign w:val="center"/>
          </w:tcPr>
          <w:p w14:paraId="700CD5FC">
            <w:pPr>
              <w:pStyle w:val="55"/>
              <w:bidi w:val="0"/>
              <w:jc w:val="center"/>
              <w:rPr>
                <w:rFonts w:hint="default"/>
                <w:sz w:val="24"/>
                <w:szCs w:val="24"/>
                <w:lang w:val="en-US" w:eastAsia="zh-CN"/>
              </w:rPr>
            </w:pPr>
            <w:r>
              <w:rPr>
                <w:rFonts w:hint="default"/>
                <w:sz w:val="24"/>
                <w:szCs w:val="24"/>
                <w:lang w:val="en-US" w:eastAsia="zh-CN"/>
              </w:rPr>
              <w:t>高速混合机</w:t>
            </w:r>
          </w:p>
        </w:tc>
        <w:tc>
          <w:tcPr>
            <w:tcW w:w="1252" w:type="pct"/>
            <w:vAlign w:val="center"/>
          </w:tcPr>
          <w:p w14:paraId="2850C86E">
            <w:pPr>
              <w:pStyle w:val="55"/>
              <w:bidi w:val="0"/>
              <w:jc w:val="center"/>
              <w:rPr>
                <w:rFonts w:hint="eastAsia"/>
                <w:sz w:val="24"/>
                <w:szCs w:val="24"/>
                <w:lang w:val="en-US" w:eastAsia="zh-CN"/>
              </w:rPr>
            </w:pPr>
            <w:r>
              <w:rPr>
                <w:rFonts w:hint="eastAsia"/>
                <w:sz w:val="24"/>
                <w:szCs w:val="24"/>
                <w:lang w:val="en-US" w:eastAsia="zh-CN"/>
              </w:rPr>
              <w:t>SHR-100A</w:t>
            </w:r>
          </w:p>
        </w:tc>
        <w:tc>
          <w:tcPr>
            <w:tcW w:w="1250" w:type="pct"/>
            <w:vAlign w:val="center"/>
          </w:tcPr>
          <w:p w14:paraId="45BD5625">
            <w:pPr>
              <w:pStyle w:val="55"/>
              <w:bidi w:val="0"/>
              <w:jc w:val="center"/>
              <w:rPr>
                <w:rFonts w:hint="default"/>
                <w:sz w:val="24"/>
                <w:szCs w:val="24"/>
                <w:lang w:val="en-US" w:eastAsia="zh-CN"/>
              </w:rPr>
            </w:pPr>
            <w:r>
              <w:rPr>
                <w:rFonts w:hint="eastAsia"/>
                <w:sz w:val="24"/>
                <w:szCs w:val="24"/>
                <w:lang w:val="en-US" w:eastAsia="zh-CN"/>
              </w:rPr>
              <w:t>3</w:t>
            </w:r>
          </w:p>
        </w:tc>
      </w:tr>
      <w:tr w14:paraId="02020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87" w:type="pct"/>
            <w:vAlign w:val="center"/>
          </w:tcPr>
          <w:p w14:paraId="485D7B78">
            <w:pPr>
              <w:pStyle w:val="55"/>
              <w:bidi w:val="0"/>
              <w:jc w:val="center"/>
              <w:rPr>
                <w:rFonts w:hint="default"/>
                <w:sz w:val="24"/>
                <w:szCs w:val="24"/>
                <w:lang w:val="en-US" w:eastAsia="zh-CN"/>
              </w:rPr>
            </w:pPr>
            <w:r>
              <w:rPr>
                <w:rFonts w:hint="eastAsia"/>
                <w:sz w:val="24"/>
                <w:szCs w:val="24"/>
                <w:lang w:val="en-US" w:eastAsia="zh-CN"/>
              </w:rPr>
              <w:t>21</w:t>
            </w:r>
          </w:p>
        </w:tc>
        <w:tc>
          <w:tcPr>
            <w:tcW w:w="746" w:type="pct"/>
            <w:vMerge w:val="continue"/>
            <w:tcBorders>
              <w:right w:val="single" w:color="000000" w:sz="4" w:space="0"/>
            </w:tcBorders>
            <w:vAlign w:val="center"/>
          </w:tcPr>
          <w:p w14:paraId="5E0B4EC3">
            <w:pPr>
              <w:pStyle w:val="55"/>
              <w:bidi w:val="0"/>
              <w:jc w:val="center"/>
              <w:rPr>
                <w:sz w:val="24"/>
                <w:szCs w:val="24"/>
              </w:rPr>
            </w:pPr>
          </w:p>
        </w:tc>
        <w:tc>
          <w:tcPr>
            <w:tcW w:w="964" w:type="pct"/>
            <w:tcBorders>
              <w:left w:val="single" w:color="000000" w:sz="4" w:space="0"/>
            </w:tcBorders>
            <w:vAlign w:val="center"/>
          </w:tcPr>
          <w:p w14:paraId="0673CFE6">
            <w:pPr>
              <w:pStyle w:val="55"/>
              <w:bidi w:val="0"/>
              <w:jc w:val="center"/>
              <w:rPr>
                <w:rFonts w:hint="default"/>
                <w:sz w:val="24"/>
                <w:szCs w:val="24"/>
                <w:lang w:val="en-US" w:eastAsia="zh-CN"/>
              </w:rPr>
            </w:pPr>
            <w:r>
              <w:rPr>
                <w:rFonts w:hint="default"/>
                <w:sz w:val="24"/>
                <w:szCs w:val="24"/>
                <w:lang w:val="en-US" w:eastAsia="zh-CN"/>
              </w:rPr>
              <w:t>挤出机</w:t>
            </w:r>
          </w:p>
        </w:tc>
        <w:tc>
          <w:tcPr>
            <w:tcW w:w="1252" w:type="pct"/>
            <w:vAlign w:val="center"/>
          </w:tcPr>
          <w:p w14:paraId="489AD052">
            <w:pPr>
              <w:pStyle w:val="55"/>
              <w:bidi w:val="0"/>
              <w:jc w:val="center"/>
              <w:rPr>
                <w:rFonts w:hint="eastAsia"/>
                <w:sz w:val="24"/>
                <w:szCs w:val="24"/>
                <w:lang w:val="en-US" w:eastAsia="zh-CN"/>
              </w:rPr>
            </w:pPr>
            <w:r>
              <w:rPr>
                <w:rFonts w:hint="eastAsia"/>
                <w:sz w:val="24"/>
                <w:szCs w:val="24"/>
                <w:lang w:val="en-US" w:eastAsia="zh-CN"/>
              </w:rPr>
              <w:t>180型</w:t>
            </w:r>
          </w:p>
        </w:tc>
        <w:tc>
          <w:tcPr>
            <w:tcW w:w="1250" w:type="pct"/>
            <w:vAlign w:val="center"/>
          </w:tcPr>
          <w:p w14:paraId="12CC192D">
            <w:pPr>
              <w:pStyle w:val="55"/>
              <w:bidi w:val="0"/>
              <w:jc w:val="center"/>
              <w:rPr>
                <w:rFonts w:hint="default"/>
                <w:sz w:val="24"/>
                <w:szCs w:val="24"/>
                <w:lang w:val="en-US" w:eastAsia="zh-CN"/>
              </w:rPr>
            </w:pPr>
            <w:r>
              <w:rPr>
                <w:rFonts w:hint="eastAsia"/>
                <w:sz w:val="24"/>
                <w:szCs w:val="24"/>
                <w:lang w:val="en-US" w:eastAsia="zh-CN"/>
              </w:rPr>
              <w:t>4</w:t>
            </w:r>
          </w:p>
        </w:tc>
      </w:tr>
      <w:tr w14:paraId="5FBCB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87" w:type="pct"/>
            <w:vAlign w:val="center"/>
          </w:tcPr>
          <w:p w14:paraId="67EE2C72">
            <w:pPr>
              <w:pStyle w:val="55"/>
              <w:bidi w:val="0"/>
              <w:jc w:val="center"/>
              <w:rPr>
                <w:rFonts w:hint="default"/>
                <w:sz w:val="24"/>
                <w:szCs w:val="24"/>
                <w:lang w:val="en-US" w:eastAsia="zh-CN"/>
              </w:rPr>
            </w:pPr>
            <w:r>
              <w:rPr>
                <w:rFonts w:hint="eastAsia"/>
                <w:sz w:val="24"/>
                <w:szCs w:val="24"/>
                <w:lang w:val="en-US" w:eastAsia="zh-CN"/>
              </w:rPr>
              <w:t>22</w:t>
            </w:r>
          </w:p>
        </w:tc>
        <w:tc>
          <w:tcPr>
            <w:tcW w:w="746" w:type="pct"/>
            <w:vMerge w:val="continue"/>
            <w:tcBorders>
              <w:right w:val="single" w:color="000000" w:sz="4" w:space="0"/>
            </w:tcBorders>
            <w:vAlign w:val="center"/>
          </w:tcPr>
          <w:p w14:paraId="40E6E3CD">
            <w:pPr>
              <w:pStyle w:val="55"/>
              <w:bidi w:val="0"/>
              <w:jc w:val="center"/>
              <w:rPr>
                <w:sz w:val="24"/>
                <w:szCs w:val="24"/>
              </w:rPr>
            </w:pPr>
          </w:p>
        </w:tc>
        <w:tc>
          <w:tcPr>
            <w:tcW w:w="964" w:type="pct"/>
            <w:tcBorders>
              <w:left w:val="single" w:color="000000" w:sz="4" w:space="0"/>
            </w:tcBorders>
            <w:vAlign w:val="center"/>
          </w:tcPr>
          <w:p w14:paraId="4F7F32A3">
            <w:pPr>
              <w:pStyle w:val="55"/>
              <w:bidi w:val="0"/>
              <w:jc w:val="center"/>
              <w:rPr>
                <w:rFonts w:hint="default"/>
                <w:sz w:val="24"/>
                <w:szCs w:val="24"/>
                <w:lang w:val="en-US" w:eastAsia="zh-CN"/>
              </w:rPr>
            </w:pPr>
            <w:r>
              <w:rPr>
                <w:rFonts w:hint="default"/>
                <w:sz w:val="24"/>
                <w:szCs w:val="24"/>
                <w:lang w:val="en-US" w:eastAsia="zh-CN"/>
              </w:rPr>
              <w:t>切粒机</w:t>
            </w:r>
          </w:p>
        </w:tc>
        <w:tc>
          <w:tcPr>
            <w:tcW w:w="1252" w:type="pct"/>
            <w:vAlign w:val="center"/>
          </w:tcPr>
          <w:p w14:paraId="44CD2596">
            <w:pPr>
              <w:pStyle w:val="55"/>
              <w:bidi w:val="0"/>
              <w:jc w:val="center"/>
              <w:rPr>
                <w:rFonts w:hint="eastAsia"/>
                <w:sz w:val="24"/>
                <w:szCs w:val="24"/>
                <w:lang w:val="en-US" w:eastAsia="zh-CN"/>
              </w:rPr>
            </w:pPr>
            <w:r>
              <w:rPr>
                <w:rFonts w:hint="eastAsia"/>
                <w:sz w:val="24"/>
                <w:szCs w:val="24"/>
                <w:lang w:val="en-US" w:eastAsia="zh-CN"/>
              </w:rPr>
              <w:t>260型</w:t>
            </w:r>
          </w:p>
        </w:tc>
        <w:tc>
          <w:tcPr>
            <w:tcW w:w="1250" w:type="pct"/>
            <w:vAlign w:val="center"/>
          </w:tcPr>
          <w:p w14:paraId="6EADE719">
            <w:pPr>
              <w:pStyle w:val="55"/>
              <w:bidi w:val="0"/>
              <w:jc w:val="center"/>
              <w:rPr>
                <w:rFonts w:hint="default"/>
                <w:sz w:val="24"/>
                <w:szCs w:val="24"/>
                <w:lang w:val="en-US" w:eastAsia="zh-CN"/>
              </w:rPr>
            </w:pPr>
            <w:r>
              <w:rPr>
                <w:rFonts w:hint="eastAsia"/>
                <w:sz w:val="24"/>
                <w:szCs w:val="24"/>
                <w:lang w:val="en-US" w:eastAsia="zh-CN"/>
              </w:rPr>
              <w:t>4</w:t>
            </w:r>
          </w:p>
        </w:tc>
      </w:tr>
      <w:tr w14:paraId="7D53C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87" w:type="pct"/>
            <w:vAlign w:val="center"/>
          </w:tcPr>
          <w:p w14:paraId="29862D9C">
            <w:pPr>
              <w:pStyle w:val="55"/>
              <w:bidi w:val="0"/>
              <w:jc w:val="center"/>
              <w:rPr>
                <w:rFonts w:hint="default"/>
                <w:sz w:val="24"/>
                <w:szCs w:val="24"/>
                <w:lang w:val="en-US" w:eastAsia="zh-CN"/>
              </w:rPr>
            </w:pPr>
            <w:r>
              <w:rPr>
                <w:rFonts w:hint="eastAsia"/>
                <w:sz w:val="24"/>
                <w:szCs w:val="24"/>
                <w:lang w:val="en-US" w:eastAsia="zh-CN"/>
              </w:rPr>
              <w:t>23</w:t>
            </w:r>
          </w:p>
        </w:tc>
        <w:tc>
          <w:tcPr>
            <w:tcW w:w="746" w:type="pct"/>
            <w:vMerge w:val="continue"/>
            <w:tcBorders>
              <w:right w:val="single" w:color="000000" w:sz="4" w:space="0"/>
            </w:tcBorders>
            <w:vAlign w:val="center"/>
          </w:tcPr>
          <w:p w14:paraId="5651D8D2">
            <w:pPr>
              <w:pStyle w:val="55"/>
              <w:bidi w:val="0"/>
              <w:jc w:val="center"/>
              <w:rPr>
                <w:sz w:val="24"/>
                <w:szCs w:val="24"/>
              </w:rPr>
            </w:pPr>
          </w:p>
        </w:tc>
        <w:tc>
          <w:tcPr>
            <w:tcW w:w="964" w:type="pct"/>
            <w:tcBorders>
              <w:left w:val="single" w:color="000000" w:sz="4" w:space="0"/>
            </w:tcBorders>
            <w:vAlign w:val="center"/>
          </w:tcPr>
          <w:p w14:paraId="59584C49">
            <w:pPr>
              <w:pStyle w:val="55"/>
              <w:bidi w:val="0"/>
              <w:jc w:val="center"/>
              <w:rPr>
                <w:rFonts w:hint="default"/>
                <w:sz w:val="24"/>
                <w:szCs w:val="24"/>
                <w:lang w:val="en-US" w:eastAsia="zh-CN"/>
              </w:rPr>
            </w:pPr>
            <w:r>
              <w:rPr>
                <w:rFonts w:hint="default"/>
                <w:sz w:val="24"/>
                <w:szCs w:val="24"/>
                <w:lang w:val="en-US" w:eastAsia="zh-CN"/>
              </w:rPr>
              <w:t>存料器</w:t>
            </w:r>
          </w:p>
        </w:tc>
        <w:tc>
          <w:tcPr>
            <w:tcW w:w="1252" w:type="pct"/>
            <w:vAlign w:val="center"/>
          </w:tcPr>
          <w:p w14:paraId="4B9786D3">
            <w:pPr>
              <w:pStyle w:val="55"/>
              <w:bidi w:val="0"/>
              <w:jc w:val="center"/>
              <w:rPr>
                <w:rFonts w:hint="eastAsia"/>
                <w:sz w:val="24"/>
                <w:szCs w:val="24"/>
                <w:lang w:val="en-US" w:eastAsia="zh-CN"/>
              </w:rPr>
            </w:pPr>
            <w:r>
              <w:rPr>
                <w:rFonts w:hint="eastAsia"/>
                <w:sz w:val="24"/>
                <w:szCs w:val="24"/>
                <w:lang w:val="en-US" w:eastAsia="zh-CN"/>
              </w:rPr>
              <w:t>2000型</w:t>
            </w:r>
          </w:p>
        </w:tc>
        <w:tc>
          <w:tcPr>
            <w:tcW w:w="1250" w:type="pct"/>
            <w:vAlign w:val="center"/>
          </w:tcPr>
          <w:p w14:paraId="41146AAC">
            <w:pPr>
              <w:pStyle w:val="55"/>
              <w:bidi w:val="0"/>
              <w:jc w:val="center"/>
              <w:rPr>
                <w:rFonts w:hint="default"/>
                <w:sz w:val="24"/>
                <w:szCs w:val="24"/>
                <w:lang w:val="en-US" w:eastAsia="zh-CN"/>
              </w:rPr>
            </w:pPr>
            <w:r>
              <w:rPr>
                <w:rFonts w:hint="eastAsia"/>
                <w:sz w:val="24"/>
                <w:szCs w:val="24"/>
                <w:lang w:val="en-US" w:eastAsia="zh-CN"/>
              </w:rPr>
              <w:t>4</w:t>
            </w:r>
          </w:p>
        </w:tc>
      </w:tr>
      <w:tr w14:paraId="42BFA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49" w:type="pct"/>
            <w:gridSpan w:val="4"/>
            <w:vAlign w:val="center"/>
          </w:tcPr>
          <w:p w14:paraId="33A7957A">
            <w:pPr>
              <w:pStyle w:val="55"/>
              <w:bidi w:val="0"/>
              <w:jc w:val="center"/>
              <w:rPr>
                <w:rFonts w:hint="eastAsia"/>
                <w:sz w:val="24"/>
                <w:szCs w:val="24"/>
                <w:lang w:val="en-US" w:eastAsia="zh-CN"/>
              </w:rPr>
            </w:pPr>
            <w:r>
              <w:rPr>
                <w:rFonts w:hint="eastAsia"/>
                <w:sz w:val="24"/>
                <w:szCs w:val="24"/>
                <w:lang w:val="en-US" w:eastAsia="zh-CN"/>
              </w:rPr>
              <w:t>合计</w:t>
            </w:r>
          </w:p>
        </w:tc>
        <w:tc>
          <w:tcPr>
            <w:tcW w:w="1250" w:type="pct"/>
            <w:vAlign w:val="center"/>
          </w:tcPr>
          <w:p w14:paraId="6CC2273D">
            <w:pPr>
              <w:pStyle w:val="55"/>
              <w:bidi w:val="0"/>
              <w:jc w:val="center"/>
              <w:rPr>
                <w:sz w:val="24"/>
                <w:szCs w:val="24"/>
              </w:rPr>
            </w:pPr>
            <w:r>
              <w:rPr>
                <w:rFonts w:hint="default"/>
                <w:sz w:val="24"/>
                <w:szCs w:val="24"/>
                <w:lang w:val="en-US" w:eastAsia="zh-CN"/>
              </w:rPr>
              <w:t>99</w:t>
            </w:r>
          </w:p>
        </w:tc>
      </w:tr>
    </w:tbl>
    <w:p w14:paraId="469F7C23">
      <w:pPr>
        <w:pStyle w:val="92"/>
        <w:bidi w:val="0"/>
        <w:ind w:left="0" w:leftChars="0" w:firstLine="0" w:firstLineChars="0"/>
      </w:pPr>
      <w:r>
        <w:rPr>
          <w:rFonts w:hint="eastAsia"/>
        </w:rPr>
        <w:t>主要原辅材料</w:t>
      </w:r>
    </w:p>
    <w:p w14:paraId="576B078B">
      <w:pPr>
        <w:pStyle w:val="47"/>
        <w:ind w:firstLine="482"/>
        <w:rPr>
          <w:rFonts w:hint="default" w:eastAsia="楷体"/>
          <w:lang w:val="en-US" w:eastAsia="zh-CN"/>
        </w:rPr>
      </w:pPr>
      <w:r>
        <w:rPr>
          <w:rFonts w:hint="eastAsia"/>
          <w:lang w:eastAsia="zh-CN"/>
        </w:rPr>
        <w:t>（</w:t>
      </w:r>
      <w:r>
        <w:rPr>
          <w:rFonts w:hint="eastAsia"/>
          <w:lang w:val="en-US" w:eastAsia="zh-CN"/>
        </w:rPr>
        <w:t>1</w:t>
      </w:r>
      <w:r>
        <w:rPr>
          <w:rFonts w:hint="eastAsia"/>
          <w:lang w:eastAsia="zh-CN"/>
        </w:rPr>
        <w:t>）</w:t>
      </w:r>
      <w:r>
        <w:rPr>
          <w:rFonts w:hint="eastAsia"/>
        </w:rPr>
        <w:t>原辅料</w:t>
      </w:r>
      <w:r>
        <w:rPr>
          <w:rFonts w:hint="eastAsia"/>
          <w:lang w:val="en-US" w:eastAsia="zh-CN"/>
        </w:rPr>
        <w:t>种类及用量</w:t>
      </w:r>
    </w:p>
    <w:p w14:paraId="0C3707D8">
      <w:pPr>
        <w:pStyle w:val="47"/>
        <w:ind w:firstLine="482"/>
      </w:pPr>
      <w:r>
        <w:rPr>
          <w:rFonts w:hint="eastAsia"/>
        </w:rPr>
        <w:t>项目</w:t>
      </w:r>
      <w:r>
        <w:t>主要</w:t>
      </w:r>
      <w:r>
        <w:rPr>
          <w:rFonts w:hint="eastAsia"/>
        </w:rPr>
        <w:t>原辅料</w:t>
      </w:r>
      <w:r>
        <w:t>情况见下表。</w:t>
      </w:r>
    </w:p>
    <w:p w14:paraId="50078862">
      <w:pPr>
        <w:pStyle w:val="94"/>
        <w:bidi w:val="0"/>
        <w:ind w:left="0" w:leftChars="0" w:firstLine="0" w:firstLineChars="0"/>
        <w:rPr>
          <w:rFonts w:hint="eastAsia"/>
        </w:rPr>
      </w:pPr>
      <w:r>
        <w:rPr>
          <w:rFonts w:hint="eastAsia"/>
        </w:rPr>
        <w:t>项目主要原辅材料一览表</w:t>
      </w:r>
    </w:p>
    <w:tbl>
      <w:tblPr>
        <w:tblStyle w:val="3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50"/>
        <w:gridCol w:w="1111"/>
        <w:gridCol w:w="938"/>
        <w:gridCol w:w="5185"/>
      </w:tblGrid>
      <w:tr w14:paraId="6DC25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1104" w:type="pct"/>
            <w:vAlign w:val="center"/>
          </w:tcPr>
          <w:p w14:paraId="27B8F0B2">
            <w:pPr>
              <w:pStyle w:val="55"/>
              <w:bidi w:val="0"/>
              <w:rPr>
                <w:rFonts w:hint="default"/>
                <w:lang w:val="en-US" w:eastAsia="zh-CN"/>
              </w:rPr>
            </w:pPr>
            <w:r>
              <w:rPr>
                <w:rFonts w:hint="default"/>
                <w:lang w:val="en-US" w:eastAsia="zh-CN"/>
              </w:rPr>
              <w:t>类别</w:t>
            </w:r>
          </w:p>
        </w:tc>
        <w:tc>
          <w:tcPr>
            <w:tcW w:w="598" w:type="pct"/>
            <w:vAlign w:val="center"/>
          </w:tcPr>
          <w:p w14:paraId="5C53E0B3">
            <w:pPr>
              <w:pStyle w:val="55"/>
              <w:bidi w:val="0"/>
              <w:rPr>
                <w:rFonts w:hint="default"/>
                <w:lang w:val="en-US" w:eastAsia="zh-CN"/>
              </w:rPr>
            </w:pPr>
            <w:r>
              <w:rPr>
                <w:rFonts w:hint="default"/>
                <w:lang w:val="en-US" w:eastAsia="zh-CN"/>
              </w:rPr>
              <w:t>用量</w:t>
            </w:r>
          </w:p>
        </w:tc>
        <w:tc>
          <w:tcPr>
            <w:tcW w:w="505" w:type="pct"/>
            <w:vAlign w:val="center"/>
          </w:tcPr>
          <w:p w14:paraId="059A3D20">
            <w:pPr>
              <w:pStyle w:val="55"/>
              <w:bidi w:val="0"/>
              <w:rPr>
                <w:rFonts w:hint="default"/>
                <w:lang w:val="en-US" w:eastAsia="zh-CN"/>
              </w:rPr>
            </w:pPr>
            <w:r>
              <w:rPr>
                <w:rFonts w:hint="default"/>
                <w:lang w:val="en-US" w:eastAsia="zh-CN"/>
              </w:rPr>
              <w:t>单位</w:t>
            </w:r>
          </w:p>
        </w:tc>
        <w:tc>
          <w:tcPr>
            <w:tcW w:w="2791" w:type="pct"/>
            <w:vAlign w:val="center"/>
          </w:tcPr>
          <w:p w14:paraId="66562694">
            <w:pPr>
              <w:pStyle w:val="55"/>
              <w:bidi w:val="0"/>
              <w:rPr>
                <w:rFonts w:hint="default"/>
                <w:lang w:val="en-US" w:eastAsia="zh-CN"/>
              </w:rPr>
            </w:pPr>
            <w:r>
              <w:rPr>
                <w:rFonts w:hint="default"/>
                <w:lang w:val="en-US" w:eastAsia="zh-CN"/>
              </w:rPr>
              <w:t>备注</w:t>
            </w:r>
          </w:p>
        </w:tc>
      </w:tr>
      <w:tr w14:paraId="58087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04" w:type="pct"/>
            <w:vAlign w:val="center"/>
          </w:tcPr>
          <w:p w14:paraId="0782C5DE">
            <w:pPr>
              <w:pStyle w:val="55"/>
              <w:bidi w:val="0"/>
              <w:rPr>
                <w:rFonts w:hint="default"/>
                <w:lang w:val="en-US" w:eastAsia="zh-CN"/>
              </w:rPr>
            </w:pPr>
            <w:r>
              <w:rPr>
                <w:rFonts w:hint="default"/>
                <w:lang w:val="en-US" w:eastAsia="zh-CN"/>
              </w:rPr>
              <w:t>废旧PVC塑料</w:t>
            </w:r>
          </w:p>
        </w:tc>
        <w:tc>
          <w:tcPr>
            <w:tcW w:w="598" w:type="pct"/>
            <w:vAlign w:val="center"/>
          </w:tcPr>
          <w:p w14:paraId="29DB6A5E">
            <w:pPr>
              <w:pStyle w:val="55"/>
              <w:bidi w:val="0"/>
              <w:rPr>
                <w:rFonts w:hint="default"/>
                <w:lang w:val="en-US" w:eastAsia="zh-CN"/>
              </w:rPr>
            </w:pPr>
            <w:r>
              <w:rPr>
                <w:rFonts w:hint="eastAsia"/>
                <w:lang w:val="en-US" w:eastAsia="zh-CN"/>
              </w:rPr>
              <w:t>18333</w:t>
            </w:r>
          </w:p>
        </w:tc>
        <w:tc>
          <w:tcPr>
            <w:tcW w:w="505" w:type="pct"/>
            <w:vAlign w:val="center"/>
          </w:tcPr>
          <w:p w14:paraId="5C51E20F">
            <w:pPr>
              <w:pStyle w:val="55"/>
              <w:bidi w:val="0"/>
              <w:rPr>
                <w:rFonts w:hint="default"/>
                <w:lang w:val="en-US" w:eastAsia="zh-CN"/>
              </w:rPr>
            </w:pPr>
            <w:r>
              <w:rPr>
                <w:rFonts w:hint="default"/>
                <w:lang w:val="en-US" w:eastAsia="zh-CN"/>
              </w:rPr>
              <w:t>t/a</w:t>
            </w:r>
          </w:p>
        </w:tc>
        <w:tc>
          <w:tcPr>
            <w:tcW w:w="2791" w:type="pct"/>
            <w:vAlign w:val="center"/>
          </w:tcPr>
          <w:p w14:paraId="52CCBC4A">
            <w:pPr>
              <w:pStyle w:val="55"/>
              <w:bidi w:val="0"/>
              <w:rPr>
                <w:rFonts w:hint="default"/>
                <w:lang w:val="en-US" w:eastAsia="zh-CN"/>
              </w:rPr>
            </w:pPr>
            <w:r>
              <w:rPr>
                <w:rFonts w:hint="eastAsia"/>
                <w:lang w:val="en-US" w:eastAsia="zh-CN"/>
              </w:rPr>
              <w:t>河北省</w:t>
            </w:r>
            <w:r>
              <w:rPr>
                <w:rFonts w:hint="default"/>
                <w:lang w:val="en-US" w:eastAsia="zh-CN"/>
              </w:rPr>
              <w:t>范围内收购，</w:t>
            </w:r>
            <w:r>
              <w:rPr>
                <w:rFonts w:hint="eastAsia"/>
              </w:rPr>
              <w:t>项目回收处置废塑料</w:t>
            </w:r>
            <w:r>
              <w:rPr>
                <w:rFonts w:hint="eastAsia"/>
                <w:lang w:val="en-US" w:eastAsia="zh-CN"/>
              </w:rPr>
              <w:t>主要为</w:t>
            </w:r>
            <w:r>
              <w:rPr>
                <w:rFonts w:hint="eastAsia"/>
              </w:rPr>
              <w:t>未被污染的</w:t>
            </w:r>
            <w:r>
              <w:rPr>
                <w:rFonts w:hint="eastAsia"/>
                <w:lang w:val="en-US" w:eastAsia="zh-CN"/>
              </w:rPr>
              <w:t>塑料制品加工生产的热塑性（主要为淋膜纸）边角料、残次品等。</w:t>
            </w:r>
          </w:p>
        </w:tc>
      </w:tr>
      <w:tr w14:paraId="53594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4" w:type="pct"/>
            <w:vAlign w:val="center"/>
          </w:tcPr>
          <w:p w14:paraId="3DF060E0">
            <w:pPr>
              <w:pStyle w:val="55"/>
              <w:bidi w:val="0"/>
              <w:rPr>
                <w:rFonts w:hint="default"/>
                <w:lang w:val="en-US" w:eastAsia="zh-CN"/>
              </w:rPr>
            </w:pPr>
            <w:r>
              <w:rPr>
                <w:rFonts w:hint="default"/>
                <w:lang w:val="en-US" w:eastAsia="zh-CN"/>
              </w:rPr>
              <w:t>PVC颗粒</w:t>
            </w:r>
          </w:p>
        </w:tc>
        <w:tc>
          <w:tcPr>
            <w:tcW w:w="598" w:type="pct"/>
            <w:vAlign w:val="center"/>
          </w:tcPr>
          <w:p w14:paraId="1AC5E996">
            <w:pPr>
              <w:pStyle w:val="55"/>
              <w:bidi w:val="0"/>
              <w:rPr>
                <w:rFonts w:hint="default"/>
                <w:lang w:val="en-US" w:eastAsia="zh-CN"/>
              </w:rPr>
            </w:pPr>
            <w:r>
              <w:rPr>
                <w:rFonts w:hint="eastAsia"/>
                <w:lang w:val="en-US" w:eastAsia="zh-CN"/>
              </w:rPr>
              <w:t>5000</w:t>
            </w:r>
          </w:p>
        </w:tc>
        <w:tc>
          <w:tcPr>
            <w:tcW w:w="505" w:type="pct"/>
            <w:vAlign w:val="center"/>
          </w:tcPr>
          <w:p w14:paraId="42E59BA9">
            <w:pPr>
              <w:pStyle w:val="55"/>
              <w:bidi w:val="0"/>
              <w:rPr>
                <w:rFonts w:hint="default"/>
                <w:lang w:val="en-US" w:eastAsia="zh-CN"/>
              </w:rPr>
            </w:pPr>
            <w:r>
              <w:rPr>
                <w:rFonts w:hint="default"/>
                <w:lang w:val="en-US" w:eastAsia="zh-CN"/>
              </w:rPr>
              <w:t>t/a</w:t>
            </w:r>
          </w:p>
        </w:tc>
        <w:tc>
          <w:tcPr>
            <w:tcW w:w="2791" w:type="pct"/>
            <w:vAlign w:val="center"/>
          </w:tcPr>
          <w:p w14:paraId="5CEE1A19">
            <w:pPr>
              <w:pStyle w:val="55"/>
              <w:bidi w:val="0"/>
              <w:rPr>
                <w:rFonts w:hint="default"/>
                <w:lang w:val="en-US" w:eastAsia="zh-CN"/>
              </w:rPr>
            </w:pPr>
            <w:r>
              <w:rPr>
                <w:rFonts w:hint="default"/>
                <w:lang w:val="en-US" w:eastAsia="zh-CN"/>
              </w:rPr>
              <w:t>外购</w:t>
            </w:r>
          </w:p>
        </w:tc>
      </w:tr>
      <w:tr w14:paraId="20819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4" w:type="pct"/>
            <w:vAlign w:val="center"/>
          </w:tcPr>
          <w:p w14:paraId="5C5D1B45">
            <w:pPr>
              <w:pStyle w:val="55"/>
              <w:bidi w:val="0"/>
              <w:rPr>
                <w:rFonts w:hint="default"/>
                <w:lang w:val="en-US" w:eastAsia="zh-CN"/>
              </w:rPr>
            </w:pPr>
            <w:r>
              <w:rPr>
                <w:rFonts w:hint="default"/>
                <w:lang w:val="en-US" w:eastAsia="zh-CN"/>
              </w:rPr>
              <w:t>增塑剂</w:t>
            </w:r>
          </w:p>
        </w:tc>
        <w:tc>
          <w:tcPr>
            <w:tcW w:w="598" w:type="pct"/>
            <w:vAlign w:val="center"/>
          </w:tcPr>
          <w:p w14:paraId="4D3EF1E7">
            <w:pPr>
              <w:pStyle w:val="55"/>
              <w:bidi w:val="0"/>
              <w:rPr>
                <w:rFonts w:hint="default"/>
                <w:lang w:val="en-US" w:eastAsia="zh-CN"/>
              </w:rPr>
            </w:pPr>
            <w:r>
              <w:rPr>
                <w:rFonts w:hint="eastAsia"/>
                <w:lang w:val="en-US" w:eastAsia="zh-CN"/>
              </w:rPr>
              <w:t>667</w:t>
            </w:r>
          </w:p>
        </w:tc>
        <w:tc>
          <w:tcPr>
            <w:tcW w:w="505" w:type="pct"/>
            <w:vAlign w:val="center"/>
          </w:tcPr>
          <w:p w14:paraId="66CA3247">
            <w:pPr>
              <w:pStyle w:val="55"/>
              <w:bidi w:val="0"/>
              <w:rPr>
                <w:rFonts w:hint="default"/>
                <w:lang w:val="en-US" w:eastAsia="zh-CN"/>
              </w:rPr>
            </w:pPr>
            <w:r>
              <w:rPr>
                <w:rFonts w:hint="default"/>
                <w:lang w:val="en-US" w:eastAsia="zh-CN"/>
              </w:rPr>
              <w:t>t/a</w:t>
            </w:r>
          </w:p>
        </w:tc>
        <w:tc>
          <w:tcPr>
            <w:tcW w:w="2791" w:type="pct"/>
            <w:vAlign w:val="center"/>
          </w:tcPr>
          <w:p w14:paraId="611D1A57">
            <w:pPr>
              <w:pStyle w:val="55"/>
              <w:bidi w:val="0"/>
              <w:rPr>
                <w:rFonts w:hint="default"/>
                <w:lang w:val="en-US" w:eastAsia="zh-CN"/>
              </w:rPr>
            </w:pPr>
            <w:r>
              <w:rPr>
                <w:rFonts w:hint="default"/>
                <w:lang w:val="en-US" w:eastAsia="zh-CN"/>
              </w:rPr>
              <w:t>外购</w:t>
            </w:r>
          </w:p>
        </w:tc>
      </w:tr>
      <w:tr w14:paraId="44C71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4" w:type="pct"/>
            <w:vAlign w:val="center"/>
          </w:tcPr>
          <w:p w14:paraId="2EB0E49C">
            <w:pPr>
              <w:pStyle w:val="55"/>
              <w:bidi w:val="0"/>
              <w:rPr>
                <w:rFonts w:hint="default"/>
                <w:lang w:val="en-US" w:eastAsia="zh-CN"/>
              </w:rPr>
            </w:pPr>
            <w:r>
              <w:rPr>
                <w:rFonts w:hint="default"/>
                <w:lang w:val="en-US" w:eastAsia="zh-CN"/>
              </w:rPr>
              <w:t>石蜡</w:t>
            </w:r>
          </w:p>
        </w:tc>
        <w:tc>
          <w:tcPr>
            <w:tcW w:w="598" w:type="pct"/>
            <w:vAlign w:val="center"/>
          </w:tcPr>
          <w:p w14:paraId="12CB04A9">
            <w:pPr>
              <w:pStyle w:val="55"/>
              <w:bidi w:val="0"/>
              <w:rPr>
                <w:rFonts w:hint="default"/>
                <w:lang w:val="en-US" w:eastAsia="zh-CN"/>
              </w:rPr>
            </w:pPr>
            <w:r>
              <w:rPr>
                <w:rFonts w:hint="eastAsia"/>
                <w:lang w:val="en-US" w:eastAsia="zh-CN"/>
              </w:rPr>
              <w:t>533</w:t>
            </w:r>
          </w:p>
        </w:tc>
        <w:tc>
          <w:tcPr>
            <w:tcW w:w="505" w:type="pct"/>
            <w:vAlign w:val="center"/>
          </w:tcPr>
          <w:p w14:paraId="0CBD48FD">
            <w:pPr>
              <w:pStyle w:val="55"/>
              <w:bidi w:val="0"/>
              <w:rPr>
                <w:rFonts w:hint="default"/>
                <w:lang w:val="en-US" w:eastAsia="zh-CN"/>
              </w:rPr>
            </w:pPr>
            <w:r>
              <w:rPr>
                <w:rFonts w:hint="default"/>
                <w:lang w:val="en-US" w:eastAsia="zh-CN"/>
              </w:rPr>
              <w:t>t/a</w:t>
            </w:r>
          </w:p>
        </w:tc>
        <w:tc>
          <w:tcPr>
            <w:tcW w:w="2791" w:type="pct"/>
            <w:vAlign w:val="center"/>
          </w:tcPr>
          <w:p w14:paraId="477A94C7">
            <w:pPr>
              <w:pStyle w:val="55"/>
              <w:bidi w:val="0"/>
              <w:rPr>
                <w:rFonts w:hint="default"/>
                <w:lang w:val="en-US" w:eastAsia="zh-CN"/>
              </w:rPr>
            </w:pPr>
            <w:r>
              <w:rPr>
                <w:rFonts w:hint="default"/>
                <w:lang w:val="en-US" w:eastAsia="zh-CN"/>
              </w:rPr>
              <w:t>外购</w:t>
            </w:r>
          </w:p>
        </w:tc>
      </w:tr>
      <w:tr w14:paraId="2AC0A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4" w:type="pct"/>
            <w:vAlign w:val="center"/>
          </w:tcPr>
          <w:p w14:paraId="1E8B096E">
            <w:pPr>
              <w:pStyle w:val="55"/>
              <w:bidi w:val="0"/>
              <w:rPr>
                <w:rFonts w:hint="default"/>
                <w:lang w:val="en-US" w:eastAsia="zh-CN"/>
              </w:rPr>
            </w:pPr>
            <w:r>
              <w:rPr>
                <w:rFonts w:hint="default"/>
                <w:lang w:val="en-US" w:eastAsia="zh-CN"/>
              </w:rPr>
              <w:t>色母</w:t>
            </w:r>
          </w:p>
        </w:tc>
        <w:tc>
          <w:tcPr>
            <w:tcW w:w="598" w:type="pct"/>
            <w:vAlign w:val="center"/>
          </w:tcPr>
          <w:p w14:paraId="2CF181B5">
            <w:pPr>
              <w:pStyle w:val="55"/>
              <w:bidi w:val="0"/>
              <w:rPr>
                <w:rFonts w:hint="default"/>
                <w:lang w:val="en-US" w:eastAsia="zh-CN"/>
              </w:rPr>
            </w:pPr>
            <w:r>
              <w:rPr>
                <w:rFonts w:hint="eastAsia"/>
                <w:lang w:val="en-US" w:eastAsia="zh-CN"/>
              </w:rPr>
              <w:t>67</w:t>
            </w:r>
          </w:p>
        </w:tc>
        <w:tc>
          <w:tcPr>
            <w:tcW w:w="505" w:type="pct"/>
            <w:vAlign w:val="center"/>
          </w:tcPr>
          <w:p w14:paraId="55B0B33E">
            <w:pPr>
              <w:pStyle w:val="55"/>
              <w:bidi w:val="0"/>
              <w:rPr>
                <w:rFonts w:hint="default"/>
                <w:lang w:val="en-US" w:eastAsia="zh-CN"/>
              </w:rPr>
            </w:pPr>
            <w:r>
              <w:rPr>
                <w:rFonts w:hint="default"/>
                <w:lang w:val="en-US" w:eastAsia="zh-CN"/>
              </w:rPr>
              <w:t>t/a</w:t>
            </w:r>
          </w:p>
        </w:tc>
        <w:tc>
          <w:tcPr>
            <w:tcW w:w="2791" w:type="pct"/>
            <w:vAlign w:val="center"/>
          </w:tcPr>
          <w:p w14:paraId="147875FF">
            <w:pPr>
              <w:pStyle w:val="55"/>
              <w:bidi w:val="0"/>
              <w:rPr>
                <w:rFonts w:hint="default"/>
                <w:lang w:val="en-US" w:eastAsia="zh-CN"/>
              </w:rPr>
            </w:pPr>
            <w:r>
              <w:rPr>
                <w:rFonts w:hint="default"/>
                <w:lang w:val="en-US" w:eastAsia="zh-CN"/>
              </w:rPr>
              <w:t>外购</w:t>
            </w:r>
          </w:p>
        </w:tc>
      </w:tr>
      <w:tr w14:paraId="44C02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4" w:type="pct"/>
            <w:vAlign w:val="center"/>
          </w:tcPr>
          <w:p w14:paraId="6254F791">
            <w:pPr>
              <w:pStyle w:val="55"/>
              <w:bidi w:val="0"/>
              <w:rPr>
                <w:rFonts w:hint="default"/>
                <w:lang w:val="en-US" w:eastAsia="zh-CN"/>
              </w:rPr>
            </w:pPr>
            <w:r>
              <w:rPr>
                <w:rFonts w:hint="default"/>
                <w:lang w:val="en-US" w:eastAsia="zh-CN"/>
              </w:rPr>
              <w:t>复合稳定剂</w:t>
            </w:r>
          </w:p>
        </w:tc>
        <w:tc>
          <w:tcPr>
            <w:tcW w:w="598" w:type="pct"/>
            <w:vAlign w:val="center"/>
          </w:tcPr>
          <w:p w14:paraId="33E68FC6">
            <w:pPr>
              <w:pStyle w:val="55"/>
              <w:bidi w:val="0"/>
              <w:rPr>
                <w:rFonts w:hint="default"/>
                <w:lang w:val="en-US" w:eastAsia="zh-CN"/>
              </w:rPr>
            </w:pPr>
            <w:r>
              <w:rPr>
                <w:rFonts w:hint="eastAsia"/>
                <w:lang w:val="en-US" w:eastAsia="zh-CN"/>
              </w:rPr>
              <w:t>167</w:t>
            </w:r>
          </w:p>
        </w:tc>
        <w:tc>
          <w:tcPr>
            <w:tcW w:w="505" w:type="pct"/>
            <w:vAlign w:val="center"/>
          </w:tcPr>
          <w:p w14:paraId="590DD535">
            <w:pPr>
              <w:pStyle w:val="55"/>
              <w:bidi w:val="0"/>
              <w:rPr>
                <w:rFonts w:hint="default"/>
                <w:lang w:val="en-US" w:eastAsia="zh-CN"/>
              </w:rPr>
            </w:pPr>
            <w:r>
              <w:rPr>
                <w:rFonts w:hint="default"/>
                <w:lang w:val="en-US" w:eastAsia="zh-CN"/>
              </w:rPr>
              <w:t>t/a</w:t>
            </w:r>
          </w:p>
        </w:tc>
        <w:tc>
          <w:tcPr>
            <w:tcW w:w="2791" w:type="pct"/>
            <w:vAlign w:val="center"/>
          </w:tcPr>
          <w:p w14:paraId="3AB5ABD6">
            <w:pPr>
              <w:pStyle w:val="55"/>
              <w:bidi w:val="0"/>
              <w:rPr>
                <w:rFonts w:hint="default"/>
                <w:lang w:val="en-US" w:eastAsia="zh-CN"/>
              </w:rPr>
            </w:pPr>
            <w:r>
              <w:rPr>
                <w:rFonts w:hint="default"/>
                <w:lang w:val="en-US" w:eastAsia="zh-CN"/>
              </w:rPr>
              <w:t>外购</w:t>
            </w:r>
          </w:p>
        </w:tc>
      </w:tr>
      <w:tr w14:paraId="7EBBB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4" w:type="pct"/>
            <w:vAlign w:val="center"/>
          </w:tcPr>
          <w:p w14:paraId="2CFECC91">
            <w:pPr>
              <w:pStyle w:val="55"/>
              <w:bidi w:val="0"/>
              <w:rPr>
                <w:rFonts w:hint="default"/>
                <w:lang w:val="en-US" w:eastAsia="zh-CN"/>
              </w:rPr>
            </w:pPr>
            <w:r>
              <w:rPr>
                <w:rFonts w:hint="default"/>
                <w:lang w:val="en-US" w:eastAsia="zh-CN"/>
              </w:rPr>
              <w:t>钙粉</w:t>
            </w:r>
          </w:p>
        </w:tc>
        <w:tc>
          <w:tcPr>
            <w:tcW w:w="598" w:type="pct"/>
            <w:vAlign w:val="center"/>
          </w:tcPr>
          <w:p w14:paraId="000B40BE">
            <w:pPr>
              <w:pStyle w:val="55"/>
              <w:bidi w:val="0"/>
              <w:rPr>
                <w:rFonts w:hint="default"/>
                <w:lang w:val="en-US" w:eastAsia="zh-CN"/>
              </w:rPr>
            </w:pPr>
            <w:r>
              <w:rPr>
                <w:rFonts w:hint="eastAsia"/>
                <w:lang w:val="en-US" w:eastAsia="zh-CN"/>
              </w:rPr>
              <w:t>233</w:t>
            </w:r>
          </w:p>
        </w:tc>
        <w:tc>
          <w:tcPr>
            <w:tcW w:w="505" w:type="pct"/>
            <w:vAlign w:val="center"/>
          </w:tcPr>
          <w:p w14:paraId="34757617">
            <w:pPr>
              <w:pStyle w:val="55"/>
              <w:bidi w:val="0"/>
              <w:rPr>
                <w:rFonts w:hint="default"/>
                <w:lang w:val="en-US" w:eastAsia="zh-CN"/>
              </w:rPr>
            </w:pPr>
            <w:r>
              <w:rPr>
                <w:rFonts w:hint="default"/>
                <w:lang w:val="en-US" w:eastAsia="zh-CN"/>
              </w:rPr>
              <w:t>t/a</w:t>
            </w:r>
          </w:p>
        </w:tc>
        <w:tc>
          <w:tcPr>
            <w:tcW w:w="2791" w:type="pct"/>
            <w:vAlign w:val="center"/>
          </w:tcPr>
          <w:p w14:paraId="5A13A7CA">
            <w:pPr>
              <w:pStyle w:val="55"/>
              <w:bidi w:val="0"/>
              <w:rPr>
                <w:rFonts w:hint="default"/>
                <w:lang w:val="en-US" w:eastAsia="zh-CN"/>
              </w:rPr>
            </w:pPr>
            <w:r>
              <w:rPr>
                <w:rFonts w:hint="default"/>
                <w:lang w:val="en-US" w:eastAsia="zh-CN"/>
              </w:rPr>
              <w:t>外购</w:t>
            </w:r>
          </w:p>
        </w:tc>
      </w:tr>
    </w:tbl>
    <w:p w14:paraId="241DF380">
      <w:pPr>
        <w:pStyle w:val="47"/>
        <w:bidi w:val="0"/>
        <w:rPr>
          <w:rFonts w:hint="eastAsia" w:eastAsia="楷体"/>
          <w:lang w:eastAsia="zh-CN"/>
        </w:rPr>
      </w:pPr>
      <w:r>
        <w:rPr>
          <w:rFonts w:hint="eastAsia"/>
          <w:lang w:eastAsia="zh-CN"/>
        </w:rPr>
        <w:t>（</w:t>
      </w:r>
      <w:r>
        <w:rPr>
          <w:rFonts w:hint="eastAsia"/>
          <w:lang w:val="en-US" w:eastAsia="zh-CN"/>
        </w:rPr>
        <w:t>2</w:t>
      </w:r>
      <w:r>
        <w:rPr>
          <w:rFonts w:hint="eastAsia"/>
          <w:lang w:eastAsia="zh-CN"/>
        </w:rPr>
        <w:t>）废塑料回收和贮存</w:t>
      </w:r>
    </w:p>
    <w:p w14:paraId="76481D38">
      <w:pPr>
        <w:pStyle w:val="47"/>
        <w:bidi w:val="0"/>
        <w:rPr>
          <w:rFonts w:hint="eastAsia"/>
        </w:rPr>
      </w:pPr>
      <w:r>
        <w:rPr>
          <w:rFonts w:hint="eastAsia"/>
        </w:rPr>
        <w:t>项目收集利用的废塑料来源于</w:t>
      </w:r>
      <w:r>
        <w:rPr>
          <w:rFonts w:hint="eastAsia"/>
          <w:lang w:val="en-US" w:eastAsia="zh-CN"/>
        </w:rPr>
        <w:t>塑料制品加工生产的热塑性（主要为淋膜纸）边角料、残次品等</w:t>
      </w:r>
      <w:r>
        <w:rPr>
          <w:rFonts w:hint="eastAsia"/>
        </w:rPr>
        <w:t>，原料来源符合《废塑料污染控制技术规范》（HJ364-2022），废塑料回收按原料树脂种类进行分类，并严格区分废塑料来源和原用途，禁止回收和再生利用属于医疗废物和危险废物的废塑料。项目原料来源符合《禁止洋后圾入境推进固体废物进口管理制度改革实施方案》（国办发〔2017〕70号）规定，禁止回收再生利用进口废塑料。建设方在回收废塑料时，应严格按照本环评中规定的原料，禁止购进含其他成分和材质的废塑料，不回收不符合生产需要的废塑料。</w:t>
      </w:r>
    </w:p>
    <w:p w14:paraId="21F33711">
      <w:pPr>
        <w:pStyle w:val="47"/>
        <w:bidi w:val="0"/>
        <w:rPr>
          <w:rFonts w:hint="eastAsia"/>
          <w:lang w:val="en-GB" w:eastAsia="zh-CN"/>
        </w:rPr>
      </w:pPr>
      <w:r>
        <w:rPr>
          <w:rFonts w:hint="eastAsia"/>
          <w:lang w:val="en-GB" w:eastAsia="zh-CN"/>
        </w:rPr>
        <w:t>储运注意事项：项目应严格按《废塑料污染控制技术规范》（HJ364-2022）要求进行，项目原料包装和运输应满足以下要求：</w:t>
      </w:r>
    </w:p>
    <w:p w14:paraId="1F267A7F">
      <w:pPr>
        <w:pStyle w:val="47"/>
        <w:bidi w:val="0"/>
        <w:rPr>
          <w:rFonts w:hint="eastAsia"/>
          <w:lang w:val="en-GB" w:eastAsia="zh-CN"/>
        </w:rPr>
      </w:pPr>
      <w:r>
        <w:rPr>
          <w:rFonts w:hint="eastAsia"/>
          <w:lang w:val="en-GB" w:eastAsia="zh-CN"/>
        </w:rPr>
        <w:t>①废塑料运输前应进行包装，或用封闭的交通工具运输，不得裸露运输废塑料；</w:t>
      </w:r>
    </w:p>
    <w:p w14:paraId="77F8BDFF">
      <w:pPr>
        <w:pStyle w:val="47"/>
        <w:bidi w:val="0"/>
        <w:rPr>
          <w:rFonts w:hint="eastAsia"/>
          <w:lang w:val="en-GB" w:eastAsia="zh-CN"/>
        </w:rPr>
      </w:pPr>
      <w:r>
        <w:rPr>
          <w:rFonts w:hint="eastAsia"/>
          <w:lang w:val="en-GB" w:eastAsia="zh-CN"/>
        </w:rPr>
        <w:t>②废塑料包装物应防水、耐压、遮蔽性好，可多次重复使用；在装卸、运输过程中应确保包装完好，无废塑料遗洒；</w:t>
      </w:r>
    </w:p>
    <w:p w14:paraId="0FB57519">
      <w:pPr>
        <w:pStyle w:val="47"/>
        <w:bidi w:val="0"/>
        <w:rPr>
          <w:rFonts w:hint="eastAsia"/>
          <w:lang w:val="en-GB" w:eastAsia="zh-CN"/>
        </w:rPr>
      </w:pPr>
      <w:r>
        <w:rPr>
          <w:rFonts w:hint="eastAsia"/>
          <w:lang w:val="en-GB" w:eastAsia="zh-CN"/>
        </w:rPr>
        <w:t>③包装物表面必须有回收标志和废塑料种类标志，标志应清晰、易于识别、不易擦掉，并应标明废塑料的来源、原用途和去向等信息。</w:t>
      </w:r>
    </w:p>
    <w:p w14:paraId="6FB8EE98">
      <w:pPr>
        <w:pStyle w:val="47"/>
        <w:bidi w:val="0"/>
        <w:rPr>
          <w:rFonts w:hint="eastAsia"/>
          <w:lang w:val="en-GB" w:eastAsia="zh-CN"/>
        </w:rPr>
      </w:pPr>
      <w:r>
        <w:rPr>
          <w:rFonts w:hint="eastAsia"/>
          <w:lang w:val="en-GB" w:eastAsia="zh-CN"/>
        </w:rPr>
        <w:t>④不得超高、超宽、超载运输废塑料，宜采用集装箱或带有压缩装置的箱式货车运输。</w:t>
      </w:r>
    </w:p>
    <w:p w14:paraId="711D87A0">
      <w:pPr>
        <w:pStyle w:val="47"/>
        <w:bidi w:val="0"/>
        <w:rPr>
          <w:rFonts w:hint="eastAsia"/>
          <w:lang w:val="en-GB" w:eastAsia="zh-CN"/>
        </w:rPr>
      </w:pPr>
      <w:r>
        <w:rPr>
          <w:rFonts w:hint="eastAsia"/>
          <w:lang w:val="en-GB" w:eastAsia="zh-CN"/>
        </w:rPr>
        <w:t>综上所述，项目原料回收种类和进厂贮存要求能够满足《废塑料回收与再生利用污染控制技术规范》（HJ364-2022）中的相关规定。</w:t>
      </w:r>
    </w:p>
    <w:p w14:paraId="49A895B9">
      <w:pPr>
        <w:pStyle w:val="47"/>
        <w:bidi w:val="0"/>
        <w:rPr>
          <w:rFonts w:hint="default"/>
          <w:lang w:val="en-US" w:eastAsia="zh-CN"/>
        </w:rPr>
      </w:pPr>
      <w:r>
        <w:rPr>
          <w:rFonts w:hint="eastAsia"/>
          <w:lang w:val="en-GB" w:eastAsia="zh-CN"/>
        </w:rPr>
        <w:t>（</w:t>
      </w:r>
      <w:r>
        <w:rPr>
          <w:rFonts w:hint="eastAsia"/>
          <w:lang w:val="en-US" w:eastAsia="zh-CN"/>
        </w:rPr>
        <w:t>3</w:t>
      </w:r>
      <w:r>
        <w:rPr>
          <w:rFonts w:hint="eastAsia"/>
          <w:lang w:val="en-GB" w:eastAsia="zh-CN"/>
        </w:rPr>
        <w:t>）</w:t>
      </w:r>
      <w:r>
        <w:rPr>
          <w:rFonts w:hint="eastAsia"/>
          <w:lang w:val="en-US" w:eastAsia="zh-CN"/>
        </w:rPr>
        <w:t>原辅材料理化性质</w:t>
      </w:r>
    </w:p>
    <w:p w14:paraId="39DA4C4E">
      <w:pPr>
        <w:pStyle w:val="47"/>
        <w:bidi w:val="0"/>
        <w:rPr>
          <w:rFonts w:hint="eastAsia" w:eastAsia="楷体"/>
          <w:lang w:eastAsia="zh-CN"/>
        </w:rPr>
      </w:pPr>
      <w:r>
        <w:rPr>
          <w:rFonts w:hint="eastAsia"/>
          <w:highlight w:val="none"/>
        </w:rPr>
        <w:t>PVC颗粒</w:t>
      </w:r>
      <w:r>
        <w:rPr>
          <w:rFonts w:hint="eastAsia"/>
          <w:highlight w:val="none"/>
          <w:lang w:eastAsia="zh-CN"/>
        </w:rPr>
        <w:t>：为无定形结构的白色粉末，支化度较小，玻璃化温度77~90℃，170℃左右开始分解，对光和热的稳定性差，在100℃以上就会分解而产生氯化氢，并进</w:t>
      </w:r>
      <w:r>
        <w:rPr>
          <w:rFonts w:hint="eastAsia"/>
          <w:lang w:eastAsia="zh-CN"/>
        </w:rPr>
        <w:t>一步自动催化分解，引起变色，物理机械性能也迅速下降，在实际应用中必须加入稳定剂以提高对热和光的稳定性。工业生产的PVC分子量一般在5万～11万范围内，具有较大的多分散性，分子量随聚合温度的降低而增加，无固定熔点，80～85℃开始软化，130℃变为粘弹态，160～180℃开始转变为粘流态；有较好的机械性能，抗张强度60MPa左右，冲击强度5～10kJ/m</w:t>
      </w:r>
      <w:r>
        <w:rPr>
          <w:rFonts w:hint="eastAsia"/>
          <w:vertAlign w:val="superscript"/>
          <w:lang w:eastAsia="zh-CN"/>
        </w:rPr>
        <w:t>2</w:t>
      </w:r>
      <w:r>
        <w:rPr>
          <w:rFonts w:hint="eastAsia"/>
          <w:lang w:eastAsia="zh-CN"/>
        </w:rPr>
        <w:t>；有优异的介电性能。PVC不溶于常见的溶剂，但在单体和某些氯化烃溶剂中会膨胀。</w:t>
      </w:r>
    </w:p>
    <w:p w14:paraId="6EA73906">
      <w:pPr>
        <w:pStyle w:val="47"/>
        <w:bidi w:val="0"/>
        <w:rPr>
          <w:rFonts w:hint="eastAsia"/>
          <w:lang w:eastAsia="zh-CN"/>
        </w:rPr>
      </w:pPr>
      <w:r>
        <w:rPr>
          <w:rFonts w:hint="eastAsia"/>
        </w:rPr>
        <w:t>增塑剂</w:t>
      </w:r>
      <w:r>
        <w:rPr>
          <w:rFonts w:hint="eastAsia"/>
          <w:lang w:eastAsia="zh-CN"/>
        </w:rPr>
        <w:t>：主要成分为二丁酯，无色油状液体，可燃，有芳香气味。</w:t>
      </w:r>
      <w:r>
        <w:rPr>
          <w:rFonts w:hint="eastAsia"/>
          <w:lang w:val="en-US" w:eastAsia="zh-CN"/>
        </w:rPr>
        <w:t>蒸</w:t>
      </w:r>
      <w:r>
        <w:rPr>
          <w:rFonts w:hint="eastAsia"/>
          <w:lang w:eastAsia="zh-CN"/>
        </w:rPr>
        <w:t>汽压除1.58kPa/200℃；闪点172℃；熔点-35℃；沸点340℃；溶解性：水中溶解度0.04%(25℃)。易溶于乙醇、乙醚、丙酮和苯。二丁酯是硝基纤维素的优良增塑剂，凝胶化能力强，用于硝基纤维素涂料，有良好的软化作用。稳定性、耐挠曲性、黏结性和防水性均优于其他增塑剂。</w:t>
      </w:r>
    </w:p>
    <w:p w14:paraId="442803F2">
      <w:pPr>
        <w:pStyle w:val="47"/>
        <w:bidi w:val="0"/>
        <w:rPr>
          <w:rFonts w:hint="eastAsia"/>
          <w:lang w:eastAsia="zh-CN"/>
        </w:rPr>
      </w:pPr>
      <w:r>
        <w:rPr>
          <w:rFonts w:hint="eastAsia"/>
        </w:rPr>
        <w:t>石蜡</w:t>
      </w:r>
      <w:r>
        <w:rPr>
          <w:rFonts w:hint="eastAsia"/>
          <w:lang w:eastAsia="zh-CN"/>
        </w:rPr>
        <w:t>：石蜡是固态高级烷烃的混合物，主要成分的分子式为C</w:t>
      </w:r>
      <w:r>
        <w:rPr>
          <w:rFonts w:hint="eastAsia"/>
          <w:vertAlign w:val="subscript"/>
          <w:lang w:eastAsia="zh-CN"/>
        </w:rPr>
        <w:t>n</w:t>
      </w:r>
      <w:r>
        <w:rPr>
          <w:rFonts w:hint="eastAsia"/>
          <w:lang w:eastAsia="zh-CN"/>
        </w:rPr>
        <w:t>H</w:t>
      </w:r>
      <w:r>
        <w:rPr>
          <w:rFonts w:hint="eastAsia"/>
          <w:vertAlign w:val="subscript"/>
          <w:lang w:eastAsia="zh-CN"/>
        </w:rPr>
        <w:t>2n</w:t>
      </w:r>
      <w:r>
        <w:rPr>
          <w:rFonts w:hint="eastAsia"/>
          <w:lang w:eastAsia="zh-CN"/>
        </w:rPr>
        <w:t>+2，其中n=17~35。又称晶形蜡,通常是白色、无味的蜡状固体,在47℃-64℃熔化，密度约0.9g/cm</w:t>
      </w:r>
      <w:r>
        <w:rPr>
          <w:rFonts w:hint="eastAsia"/>
          <w:vertAlign w:val="superscript"/>
          <w:lang w:val="en-US" w:eastAsia="zh-CN"/>
        </w:rPr>
        <w:t>3</w:t>
      </w:r>
      <w:r>
        <w:rPr>
          <w:rFonts w:hint="eastAsia"/>
          <w:lang w:eastAsia="zh-CN"/>
        </w:rPr>
        <w:t>，溶于汽油、二硫化碳、二甲苯、乙醚、苯、氯仿、四氯化碳、石脑油等一类非极性溶剂，不溶于水和甲醇等极性溶剂。</w:t>
      </w:r>
    </w:p>
    <w:p w14:paraId="3F078EC2">
      <w:pPr>
        <w:pStyle w:val="47"/>
        <w:bidi w:val="0"/>
        <w:rPr>
          <w:rFonts w:hint="eastAsia"/>
        </w:rPr>
      </w:pPr>
      <w:r>
        <w:rPr>
          <w:rFonts w:hint="eastAsia"/>
        </w:rPr>
        <w:t>色母</w:t>
      </w:r>
      <w:r>
        <w:rPr>
          <w:rFonts w:hint="eastAsia"/>
          <w:lang w:eastAsia="zh-CN"/>
        </w:rPr>
        <w:t>：色母又名色种，是一种新型高分子材料专用着色剂，亦称颜料制备物。它由颜料或染料、载体和添加剂三种基本要素组成，是把超常量的颜料或染料均匀地载附于树脂之中而得到的聚集体，可称颜料浓缩物，着色力高于颜料本身。</w:t>
      </w:r>
    </w:p>
    <w:p w14:paraId="1F4EBBE3">
      <w:pPr>
        <w:pStyle w:val="47"/>
        <w:bidi w:val="0"/>
        <w:rPr>
          <w:rFonts w:hint="eastAsia"/>
        </w:rPr>
      </w:pPr>
      <w:r>
        <w:rPr>
          <w:rFonts w:hint="eastAsia"/>
        </w:rPr>
        <w:t>复合稳定剂</w:t>
      </w:r>
      <w:r>
        <w:rPr>
          <w:rFonts w:hint="eastAsia"/>
          <w:lang w:eastAsia="zh-CN"/>
        </w:rPr>
        <w:t>：主要成分为二盐基硬脂酸铅、三盐基硫酸铅。可作为聚氯乙烯及氯化乙烯共聚物的热稳定剂，除具有酸接受体效应外，本品还有抗氧化及屏蔽紫外线的能力，耐候性优越，热稳定性和电绝缘性能好，初期着色小，制品表面洁白如玉。</w:t>
      </w:r>
    </w:p>
    <w:p w14:paraId="72261576">
      <w:pPr>
        <w:pStyle w:val="92"/>
        <w:bidi w:val="0"/>
        <w:ind w:left="0" w:leftChars="0" w:firstLine="0" w:firstLineChars="0"/>
      </w:pPr>
      <w:r>
        <w:rPr>
          <w:rFonts w:hint="eastAsia"/>
        </w:rPr>
        <w:t>公用工程</w:t>
      </w:r>
    </w:p>
    <w:p w14:paraId="6FE2C7FC">
      <w:pPr>
        <w:pStyle w:val="47"/>
        <w:bidi w:val="0"/>
      </w:pPr>
      <w:r>
        <w:rPr>
          <w:rFonts w:hint="eastAsia"/>
          <w:lang w:eastAsia="zh-CN"/>
        </w:rPr>
        <w:t>（</w:t>
      </w:r>
      <w:r>
        <w:rPr>
          <w:rFonts w:hint="eastAsia"/>
          <w:lang w:val="en-US" w:eastAsia="zh-CN"/>
        </w:rPr>
        <w:t>1</w:t>
      </w:r>
      <w:r>
        <w:rPr>
          <w:rFonts w:hint="eastAsia"/>
          <w:lang w:eastAsia="zh-CN"/>
        </w:rPr>
        <w:t>）</w:t>
      </w:r>
      <w:r>
        <w:rPr>
          <w:rFonts w:hint="eastAsia"/>
        </w:rPr>
        <w:t>给水</w:t>
      </w:r>
    </w:p>
    <w:p w14:paraId="5056FCD4">
      <w:pPr>
        <w:pStyle w:val="47"/>
        <w:ind w:firstLine="482"/>
      </w:pPr>
      <w:r>
        <w:rPr>
          <w:rFonts w:hint="eastAsia"/>
        </w:rPr>
        <w:t>项目用水包括生活用水和生产用水</w:t>
      </w:r>
      <w:r>
        <w:rPr>
          <w:rFonts w:hint="eastAsia"/>
          <w:lang w:eastAsia="zh-CN"/>
        </w:rPr>
        <w:t>，</w:t>
      </w:r>
      <w:r>
        <w:rPr>
          <w:rFonts w:hint="eastAsia"/>
          <w:lang w:val="en-US" w:eastAsia="zh-CN"/>
        </w:rPr>
        <w:t>由市政管网供给</w:t>
      </w:r>
      <w:r>
        <w:rPr>
          <w:rFonts w:hint="eastAsia"/>
        </w:rPr>
        <w:t>。</w:t>
      </w:r>
    </w:p>
    <w:p w14:paraId="07DC543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楷体" w:cs="Times New Roman"/>
          <w:sz w:val="28"/>
          <w:szCs w:val="28"/>
          <w:lang w:val="en-US" w:eastAsia="zh-CN"/>
        </w:rPr>
      </w:pPr>
      <w:r>
        <w:rPr>
          <w:rFonts w:hint="eastAsia" w:ascii="楷体" w:hAnsi="楷体" w:eastAsia="楷体" w:cs="楷体"/>
          <w:sz w:val="28"/>
          <w:szCs w:val="28"/>
          <w:lang w:val="en-US" w:eastAsia="zh-CN"/>
        </w:rPr>
        <w:t>①</w:t>
      </w:r>
      <w:r>
        <w:rPr>
          <w:rFonts w:hint="default" w:ascii="Times New Roman" w:hAnsi="Times New Roman" w:eastAsia="楷体" w:cs="Times New Roman"/>
          <w:sz w:val="28"/>
          <w:szCs w:val="28"/>
          <w:lang w:val="en-US" w:eastAsia="zh-CN"/>
        </w:rPr>
        <w:t>湿式破碎及清洗用水</w:t>
      </w:r>
    </w:p>
    <w:p w14:paraId="524F6D5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楷体" w:cs="Times New Roman"/>
          <w:sz w:val="28"/>
          <w:szCs w:val="28"/>
          <w:lang w:val="en-US" w:eastAsia="zh-CN"/>
        </w:rPr>
      </w:pPr>
      <w:r>
        <w:rPr>
          <w:rFonts w:hint="default" w:ascii="Times New Roman" w:hAnsi="Times New Roman" w:eastAsia="楷体" w:cs="Times New Roman"/>
          <w:sz w:val="28"/>
          <w:szCs w:val="28"/>
          <w:lang w:val="en-US" w:eastAsia="zh-CN"/>
        </w:rPr>
        <w:t>项目湿式破碎及清洗废水经沉淀池沉淀后循环利用，定期补充新鲜水量为</w:t>
      </w:r>
      <w:r>
        <w:rPr>
          <w:rFonts w:hint="eastAsia" w:ascii="Times New Roman" w:hAnsi="Times New Roman" w:eastAsia="楷体" w:cs="Times New Roman"/>
          <w:sz w:val="28"/>
          <w:szCs w:val="28"/>
          <w:lang w:val="en-US" w:eastAsia="zh-CN"/>
        </w:rPr>
        <w:t>5</w:t>
      </w:r>
      <w:r>
        <w:rPr>
          <w:rFonts w:hint="default" w:ascii="Times New Roman" w:hAnsi="Times New Roman" w:eastAsia="楷体" w:cs="Times New Roman"/>
          <w:sz w:val="28"/>
          <w:szCs w:val="28"/>
          <w:lang w:val="en-US" w:eastAsia="zh-CN"/>
        </w:rPr>
        <w:t>m</w:t>
      </w:r>
      <w:r>
        <w:rPr>
          <w:rFonts w:hint="default" w:ascii="Times New Roman" w:hAnsi="Times New Roman" w:eastAsia="楷体" w:cs="Times New Roman"/>
          <w:sz w:val="28"/>
          <w:szCs w:val="28"/>
          <w:vertAlign w:val="superscript"/>
          <w:lang w:val="en-US" w:eastAsia="zh-CN"/>
        </w:rPr>
        <w:t>3</w:t>
      </w:r>
      <w:r>
        <w:rPr>
          <w:rFonts w:hint="default" w:ascii="Times New Roman" w:hAnsi="Times New Roman" w:eastAsia="楷体" w:cs="Times New Roman"/>
          <w:sz w:val="28"/>
          <w:szCs w:val="28"/>
          <w:lang w:val="en-US" w:eastAsia="zh-CN"/>
        </w:rPr>
        <w:t>/d（</w:t>
      </w:r>
      <w:r>
        <w:rPr>
          <w:rFonts w:hint="eastAsia" w:ascii="Times New Roman" w:hAnsi="Times New Roman" w:eastAsia="楷体" w:cs="Times New Roman"/>
          <w:sz w:val="28"/>
          <w:szCs w:val="28"/>
          <w:lang w:val="en-US" w:eastAsia="zh-CN"/>
        </w:rPr>
        <w:t>15</w:t>
      </w:r>
      <w:r>
        <w:rPr>
          <w:rFonts w:hint="default" w:ascii="Times New Roman" w:hAnsi="Times New Roman" w:eastAsia="楷体" w:cs="Times New Roman"/>
          <w:sz w:val="28"/>
          <w:szCs w:val="28"/>
          <w:lang w:val="en-US" w:eastAsia="zh-CN"/>
        </w:rPr>
        <w:t>00m</w:t>
      </w:r>
      <w:r>
        <w:rPr>
          <w:rFonts w:hint="default" w:ascii="Times New Roman" w:hAnsi="Times New Roman" w:eastAsia="楷体" w:cs="Times New Roman"/>
          <w:sz w:val="28"/>
          <w:szCs w:val="28"/>
          <w:vertAlign w:val="superscript"/>
          <w:lang w:val="en-US" w:eastAsia="zh-CN"/>
        </w:rPr>
        <w:t>3</w:t>
      </w:r>
      <w:r>
        <w:rPr>
          <w:rFonts w:hint="default" w:ascii="Times New Roman" w:hAnsi="Times New Roman" w:eastAsia="楷体" w:cs="Times New Roman"/>
          <w:sz w:val="28"/>
          <w:szCs w:val="28"/>
          <w:lang w:val="en-US" w:eastAsia="zh-CN"/>
        </w:rPr>
        <w:t>/a），循环水量为200m</w:t>
      </w:r>
      <w:r>
        <w:rPr>
          <w:rFonts w:hint="default" w:ascii="Times New Roman" w:hAnsi="Times New Roman" w:eastAsia="楷体" w:cs="Times New Roman"/>
          <w:sz w:val="28"/>
          <w:szCs w:val="28"/>
          <w:vertAlign w:val="superscript"/>
          <w:lang w:val="en-US" w:eastAsia="zh-CN"/>
        </w:rPr>
        <w:t>3</w:t>
      </w:r>
      <w:r>
        <w:rPr>
          <w:rFonts w:hint="default" w:ascii="Times New Roman" w:hAnsi="Times New Roman" w:eastAsia="楷体" w:cs="Times New Roman"/>
          <w:sz w:val="28"/>
          <w:szCs w:val="28"/>
          <w:lang w:val="en-US" w:eastAsia="zh-CN"/>
        </w:rPr>
        <w:t>/d</w:t>
      </w:r>
      <w:r>
        <w:rPr>
          <w:rFonts w:hint="eastAsia" w:eastAsia="楷体" w:cs="Times New Roman"/>
          <w:sz w:val="28"/>
          <w:szCs w:val="28"/>
          <w:lang w:val="en-US" w:eastAsia="zh-CN"/>
        </w:rPr>
        <w:t>。</w:t>
      </w:r>
    </w:p>
    <w:p w14:paraId="342BE4A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楷体" w:cs="Times New Roman"/>
          <w:sz w:val="28"/>
          <w:szCs w:val="28"/>
          <w:lang w:val="en-US" w:eastAsia="zh-CN"/>
        </w:rPr>
      </w:pPr>
      <w:r>
        <w:rPr>
          <w:rFonts w:hint="eastAsia" w:ascii="楷体" w:hAnsi="楷体" w:eastAsia="楷体" w:cs="楷体"/>
          <w:sz w:val="28"/>
          <w:szCs w:val="28"/>
          <w:lang w:val="en-US" w:eastAsia="zh-CN"/>
        </w:rPr>
        <w:t>②</w:t>
      </w:r>
      <w:r>
        <w:rPr>
          <w:rFonts w:hint="default" w:ascii="Times New Roman" w:hAnsi="Times New Roman" w:eastAsia="楷体" w:cs="Times New Roman"/>
          <w:sz w:val="28"/>
          <w:szCs w:val="28"/>
          <w:lang w:val="en-US" w:eastAsia="zh-CN"/>
        </w:rPr>
        <w:t>挤出工序</w:t>
      </w:r>
      <w:r>
        <w:rPr>
          <w:rFonts w:hint="eastAsia" w:ascii="Times New Roman" w:hAnsi="Times New Roman" w:eastAsia="楷体" w:cs="Times New Roman"/>
          <w:sz w:val="28"/>
          <w:szCs w:val="28"/>
          <w:lang w:val="en-US" w:eastAsia="zh-CN"/>
        </w:rPr>
        <w:t>冷却</w:t>
      </w:r>
      <w:r>
        <w:rPr>
          <w:rFonts w:hint="default" w:ascii="Times New Roman" w:hAnsi="Times New Roman" w:eastAsia="楷体" w:cs="Times New Roman"/>
          <w:sz w:val="28"/>
          <w:szCs w:val="28"/>
          <w:lang w:val="en-US" w:eastAsia="zh-CN"/>
        </w:rPr>
        <w:t>用水</w:t>
      </w:r>
    </w:p>
    <w:p w14:paraId="164ADAB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楷体" w:cs="Times New Roman"/>
          <w:sz w:val="28"/>
          <w:szCs w:val="28"/>
          <w:lang w:val="en-US" w:eastAsia="zh-CN"/>
        </w:rPr>
      </w:pPr>
      <w:r>
        <w:rPr>
          <w:rFonts w:hint="default" w:ascii="Times New Roman" w:hAnsi="Times New Roman" w:eastAsia="楷体" w:cs="Times New Roman"/>
          <w:sz w:val="28"/>
          <w:szCs w:val="28"/>
          <w:lang w:val="en-US" w:eastAsia="zh-CN"/>
        </w:rPr>
        <w:t>项目挤出机挤出的丝状线料，进入冷却</w:t>
      </w:r>
      <w:r>
        <w:rPr>
          <w:rFonts w:hint="eastAsia" w:eastAsia="楷体" w:cs="Times New Roman"/>
          <w:sz w:val="28"/>
          <w:szCs w:val="28"/>
          <w:lang w:val="en-US" w:eastAsia="zh-CN"/>
        </w:rPr>
        <w:t>池</w:t>
      </w:r>
      <w:r>
        <w:rPr>
          <w:rFonts w:hint="default" w:ascii="Times New Roman" w:hAnsi="Times New Roman" w:eastAsia="楷体" w:cs="Times New Roman"/>
          <w:sz w:val="28"/>
          <w:szCs w:val="28"/>
          <w:lang w:val="en-US" w:eastAsia="zh-CN"/>
        </w:rPr>
        <w:t>进行迅速冷却，冷却水循环利用，定期补充新鲜水量为</w:t>
      </w:r>
      <w:r>
        <w:rPr>
          <w:rFonts w:hint="eastAsia" w:ascii="Times New Roman" w:hAnsi="Times New Roman" w:eastAsia="楷体" w:cs="Times New Roman"/>
          <w:sz w:val="28"/>
          <w:szCs w:val="28"/>
          <w:lang w:val="en-US" w:eastAsia="zh-CN"/>
        </w:rPr>
        <w:t>4</w:t>
      </w:r>
      <w:r>
        <w:rPr>
          <w:rFonts w:hint="default" w:ascii="Times New Roman" w:hAnsi="Times New Roman" w:eastAsia="楷体" w:cs="Times New Roman"/>
          <w:sz w:val="28"/>
          <w:szCs w:val="28"/>
          <w:lang w:val="en-US" w:eastAsia="zh-CN"/>
        </w:rPr>
        <w:t>m</w:t>
      </w:r>
      <w:r>
        <w:rPr>
          <w:rFonts w:hint="default" w:ascii="Times New Roman" w:hAnsi="Times New Roman" w:eastAsia="楷体" w:cs="Times New Roman"/>
          <w:sz w:val="28"/>
          <w:szCs w:val="28"/>
          <w:vertAlign w:val="superscript"/>
          <w:lang w:val="en-US" w:eastAsia="zh-CN"/>
        </w:rPr>
        <w:t>3</w:t>
      </w:r>
      <w:r>
        <w:rPr>
          <w:rFonts w:hint="default" w:ascii="Times New Roman" w:hAnsi="Times New Roman" w:eastAsia="楷体" w:cs="Times New Roman"/>
          <w:sz w:val="28"/>
          <w:szCs w:val="28"/>
          <w:lang w:val="en-US" w:eastAsia="zh-CN"/>
        </w:rPr>
        <w:t>/d（</w:t>
      </w:r>
      <w:r>
        <w:rPr>
          <w:rFonts w:hint="eastAsia" w:ascii="Times New Roman" w:hAnsi="Times New Roman" w:eastAsia="楷体" w:cs="Times New Roman"/>
          <w:sz w:val="28"/>
          <w:szCs w:val="28"/>
          <w:lang w:val="en-US" w:eastAsia="zh-CN"/>
        </w:rPr>
        <w:t>12</w:t>
      </w:r>
      <w:r>
        <w:rPr>
          <w:rFonts w:hint="default" w:ascii="Times New Roman" w:hAnsi="Times New Roman" w:eastAsia="楷体" w:cs="Times New Roman"/>
          <w:sz w:val="28"/>
          <w:szCs w:val="28"/>
          <w:lang w:val="en-US" w:eastAsia="zh-CN"/>
        </w:rPr>
        <w:t>00m</w:t>
      </w:r>
      <w:r>
        <w:rPr>
          <w:rFonts w:hint="default" w:ascii="Times New Roman" w:hAnsi="Times New Roman" w:eastAsia="楷体" w:cs="Times New Roman"/>
          <w:sz w:val="28"/>
          <w:szCs w:val="28"/>
          <w:vertAlign w:val="superscript"/>
          <w:lang w:val="en-US" w:eastAsia="zh-CN"/>
        </w:rPr>
        <w:t>3</w:t>
      </w:r>
      <w:r>
        <w:rPr>
          <w:rFonts w:hint="default" w:ascii="Times New Roman" w:hAnsi="Times New Roman" w:eastAsia="楷体" w:cs="Times New Roman"/>
          <w:sz w:val="28"/>
          <w:szCs w:val="28"/>
          <w:lang w:val="en-US" w:eastAsia="zh-CN"/>
        </w:rPr>
        <w:t>/a）</w:t>
      </w:r>
      <w:r>
        <w:rPr>
          <w:rFonts w:hint="eastAsia" w:eastAsia="楷体" w:cs="Times New Roman"/>
          <w:sz w:val="28"/>
          <w:szCs w:val="28"/>
          <w:lang w:val="en-US" w:eastAsia="zh-CN"/>
        </w:rPr>
        <w:t>，</w:t>
      </w:r>
      <w:r>
        <w:rPr>
          <w:rFonts w:hint="default" w:ascii="Times New Roman" w:hAnsi="Times New Roman" w:eastAsia="楷体" w:cs="Times New Roman"/>
          <w:sz w:val="28"/>
          <w:szCs w:val="28"/>
          <w:lang w:val="en-US" w:eastAsia="zh-CN"/>
        </w:rPr>
        <w:t>循环冷却水量为5</w:t>
      </w:r>
      <w:r>
        <w:rPr>
          <w:rFonts w:hint="eastAsia" w:eastAsia="楷体" w:cs="Times New Roman"/>
          <w:sz w:val="28"/>
          <w:szCs w:val="28"/>
          <w:lang w:val="en-US" w:eastAsia="zh-CN"/>
        </w:rPr>
        <w:t>0</w:t>
      </w:r>
      <w:r>
        <w:rPr>
          <w:rFonts w:hint="default" w:ascii="Times New Roman" w:hAnsi="Times New Roman" w:eastAsia="楷体" w:cs="Times New Roman"/>
          <w:sz w:val="28"/>
          <w:szCs w:val="28"/>
          <w:lang w:val="en-US" w:eastAsia="zh-CN"/>
        </w:rPr>
        <w:t>m</w:t>
      </w:r>
      <w:r>
        <w:rPr>
          <w:rFonts w:hint="default" w:ascii="Times New Roman" w:hAnsi="Times New Roman" w:eastAsia="楷体" w:cs="Times New Roman"/>
          <w:sz w:val="28"/>
          <w:szCs w:val="28"/>
          <w:vertAlign w:val="superscript"/>
          <w:lang w:val="en-US" w:eastAsia="zh-CN"/>
        </w:rPr>
        <w:t>3</w:t>
      </w:r>
      <w:r>
        <w:rPr>
          <w:rFonts w:hint="default" w:ascii="Times New Roman" w:hAnsi="Times New Roman" w:eastAsia="楷体" w:cs="Times New Roman"/>
          <w:sz w:val="28"/>
          <w:szCs w:val="28"/>
          <w:lang w:val="en-US" w:eastAsia="zh-CN"/>
        </w:rPr>
        <w:t>/d。</w:t>
      </w:r>
    </w:p>
    <w:p w14:paraId="074422C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楷体" w:cs="Times New Roman"/>
          <w:sz w:val="28"/>
          <w:szCs w:val="28"/>
          <w:lang w:val="en-US" w:eastAsia="zh-CN"/>
        </w:rPr>
      </w:pPr>
      <w:r>
        <w:rPr>
          <w:rFonts w:hint="eastAsia" w:ascii="楷体" w:hAnsi="楷体" w:eastAsia="楷体" w:cs="楷体"/>
          <w:sz w:val="28"/>
          <w:szCs w:val="28"/>
          <w:lang w:val="en-US" w:eastAsia="zh-CN"/>
        </w:rPr>
        <w:t>③</w:t>
      </w:r>
      <w:r>
        <w:rPr>
          <w:rFonts w:hint="default" w:ascii="Times New Roman" w:hAnsi="Times New Roman" w:eastAsia="楷体" w:cs="Times New Roman"/>
          <w:sz w:val="28"/>
          <w:szCs w:val="28"/>
          <w:lang w:val="en-US" w:eastAsia="zh-CN"/>
        </w:rPr>
        <w:t>生活用水</w:t>
      </w:r>
    </w:p>
    <w:p w14:paraId="1CFB13D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楷体" w:cs="Times New Roman"/>
          <w:sz w:val="28"/>
          <w:szCs w:val="28"/>
          <w:lang w:val="en-US" w:eastAsia="zh-CN"/>
        </w:rPr>
      </w:pPr>
      <w:r>
        <w:rPr>
          <w:rFonts w:hint="default" w:ascii="Times New Roman" w:hAnsi="Times New Roman" w:eastAsia="楷体" w:cs="Times New Roman"/>
          <w:sz w:val="28"/>
          <w:szCs w:val="28"/>
          <w:lang w:val="en-US" w:eastAsia="zh-CN"/>
        </w:rPr>
        <w:t>生活用水：项目劳动定员50人，为周边居民，不在厂区食宿。根据《河北省用水定额第3部分：生活用水》（DB13/T1161.3-2016），项目生活用水量按40L/人·天计算，则本项目生活用水量为2m</w:t>
      </w:r>
      <w:r>
        <w:rPr>
          <w:rFonts w:hint="default" w:ascii="Times New Roman" w:hAnsi="Times New Roman" w:eastAsia="楷体" w:cs="Times New Roman"/>
          <w:sz w:val="28"/>
          <w:szCs w:val="28"/>
          <w:vertAlign w:val="superscript"/>
          <w:lang w:val="en-US" w:eastAsia="zh-CN"/>
        </w:rPr>
        <w:t>3</w:t>
      </w:r>
      <w:r>
        <w:rPr>
          <w:rFonts w:hint="default" w:ascii="Times New Roman" w:hAnsi="Times New Roman" w:eastAsia="楷体" w:cs="Times New Roman"/>
          <w:sz w:val="28"/>
          <w:szCs w:val="28"/>
          <w:lang w:val="en-US" w:eastAsia="zh-CN"/>
        </w:rPr>
        <w:t>/d（600m</w:t>
      </w:r>
      <w:r>
        <w:rPr>
          <w:rFonts w:hint="default" w:ascii="Times New Roman" w:hAnsi="Times New Roman" w:eastAsia="楷体" w:cs="Times New Roman"/>
          <w:sz w:val="28"/>
          <w:szCs w:val="28"/>
          <w:vertAlign w:val="superscript"/>
          <w:lang w:val="en-US" w:eastAsia="zh-CN"/>
        </w:rPr>
        <w:t>3</w:t>
      </w:r>
      <w:r>
        <w:rPr>
          <w:rFonts w:hint="default" w:ascii="Times New Roman" w:hAnsi="Times New Roman" w:eastAsia="楷体" w:cs="Times New Roman"/>
          <w:sz w:val="28"/>
          <w:szCs w:val="28"/>
          <w:lang w:val="en-US" w:eastAsia="zh-CN"/>
        </w:rPr>
        <w:t>/a）。</w:t>
      </w:r>
    </w:p>
    <w:p w14:paraId="4DB141D3">
      <w:pPr>
        <w:pStyle w:val="47"/>
        <w:ind w:firstLine="482"/>
        <w:rPr>
          <w:rFonts w:hint="default" w:eastAsia="楷体"/>
          <w:lang w:val="en-US" w:eastAsia="zh-CN"/>
        </w:rPr>
      </w:pPr>
      <w:r>
        <w:rPr>
          <w:rFonts w:hint="eastAsia"/>
          <w:lang w:eastAsia="zh-CN"/>
        </w:rPr>
        <w:t>（</w:t>
      </w:r>
      <w:r>
        <w:rPr>
          <w:rFonts w:hint="eastAsia"/>
          <w:lang w:val="en-US" w:eastAsia="zh-CN"/>
        </w:rPr>
        <w:t>2</w:t>
      </w:r>
      <w:r>
        <w:rPr>
          <w:rFonts w:hint="eastAsia"/>
          <w:lang w:eastAsia="zh-CN"/>
        </w:rPr>
        <w:t>）</w:t>
      </w:r>
      <w:r>
        <w:rPr>
          <w:rFonts w:hint="eastAsia"/>
          <w:lang w:val="en-US" w:eastAsia="zh-CN"/>
        </w:rPr>
        <w:t>排水</w:t>
      </w:r>
    </w:p>
    <w:p w14:paraId="5DFD8E8E">
      <w:pPr>
        <w:pStyle w:val="47"/>
        <w:ind w:firstLine="482"/>
        <w:rPr>
          <w:rFonts w:hint="eastAsia"/>
        </w:rPr>
      </w:pPr>
      <w:r>
        <w:rPr>
          <w:rFonts w:hint="eastAsia"/>
        </w:rPr>
        <w:t>项目湿式破碎及清洗废水，挤出拉丝工序冷却废水循环使用，定期补</w:t>
      </w:r>
      <w:r>
        <w:rPr>
          <w:rFonts w:hint="eastAsia"/>
          <w:lang w:eastAsia="zh-CN"/>
        </w:rPr>
        <w:t>给</w:t>
      </w:r>
      <w:r>
        <w:rPr>
          <w:rFonts w:hint="eastAsia"/>
        </w:rPr>
        <w:t>，不外排。生活污水主要为职工盥洗废水，</w:t>
      </w:r>
      <w:r>
        <w:rPr>
          <w:rFonts w:hint="eastAsia"/>
          <w:lang w:eastAsia="zh-CN"/>
        </w:rPr>
        <w:t>排放量</w:t>
      </w:r>
      <w:r>
        <w:rPr>
          <w:rFonts w:hint="eastAsia"/>
        </w:rPr>
        <w:t>按生活水用量的80%计算，则职工盥洗水</w:t>
      </w:r>
      <w:r>
        <w:rPr>
          <w:rFonts w:hint="eastAsia"/>
          <w:lang w:eastAsia="zh-CN"/>
        </w:rPr>
        <w:t>排放量</w:t>
      </w:r>
      <w:r>
        <w:rPr>
          <w:rFonts w:hint="eastAsia"/>
        </w:rPr>
        <w:t>为1.6m</w:t>
      </w:r>
      <w:r>
        <w:rPr>
          <w:rFonts w:hint="eastAsia"/>
          <w:vertAlign w:val="superscript"/>
        </w:rPr>
        <w:t>3</w:t>
      </w:r>
      <w:r>
        <w:rPr>
          <w:rFonts w:hint="eastAsia"/>
        </w:rPr>
        <w:t>/d</w:t>
      </w:r>
      <w:r>
        <w:rPr>
          <w:rFonts w:hint="default" w:ascii="Times New Roman" w:hAnsi="Times New Roman" w:eastAsia="楷体" w:cs="Times New Roman"/>
          <w:sz w:val="28"/>
          <w:szCs w:val="28"/>
          <w:lang w:val="en-US" w:eastAsia="zh-CN"/>
        </w:rPr>
        <w:t>（</w:t>
      </w:r>
      <w:r>
        <w:rPr>
          <w:rFonts w:hint="eastAsia" w:ascii="Times New Roman" w:hAnsi="Times New Roman" w:cs="Times New Roman"/>
          <w:sz w:val="28"/>
          <w:szCs w:val="28"/>
          <w:lang w:val="en-US" w:eastAsia="zh-CN"/>
        </w:rPr>
        <w:t>48</w:t>
      </w:r>
      <w:r>
        <w:rPr>
          <w:rFonts w:hint="default" w:ascii="Times New Roman" w:hAnsi="Times New Roman" w:eastAsia="楷体" w:cs="Times New Roman"/>
          <w:sz w:val="28"/>
          <w:szCs w:val="28"/>
          <w:lang w:val="en-US" w:eastAsia="zh-CN"/>
        </w:rPr>
        <w:t>0m</w:t>
      </w:r>
      <w:r>
        <w:rPr>
          <w:rFonts w:hint="default" w:ascii="Times New Roman" w:hAnsi="Times New Roman" w:eastAsia="楷体" w:cs="Times New Roman"/>
          <w:sz w:val="28"/>
          <w:szCs w:val="28"/>
          <w:vertAlign w:val="superscript"/>
          <w:lang w:val="en-US" w:eastAsia="zh-CN"/>
        </w:rPr>
        <w:t>3</w:t>
      </w:r>
      <w:r>
        <w:rPr>
          <w:rFonts w:hint="default" w:ascii="Times New Roman" w:hAnsi="Times New Roman" w:eastAsia="楷体" w:cs="Times New Roman"/>
          <w:sz w:val="28"/>
          <w:szCs w:val="28"/>
          <w:lang w:val="en-US" w:eastAsia="zh-CN"/>
        </w:rPr>
        <w:t>/a）</w:t>
      </w:r>
      <w:r>
        <w:rPr>
          <w:rFonts w:hint="eastAsia"/>
        </w:rPr>
        <w:t>，职工盥洗废水泼洒地面抑尘，厂区设防渗旱厕，定期清掏不外排。</w:t>
      </w:r>
    </w:p>
    <w:p w14:paraId="71F7A4CD">
      <w:pPr>
        <w:pStyle w:val="47"/>
        <w:ind w:firstLine="482"/>
        <w:rPr>
          <w:rFonts w:hint="eastAsia"/>
        </w:rPr>
      </w:pPr>
    </w:p>
    <w:p w14:paraId="1F240D95">
      <w:pPr>
        <w:pStyle w:val="47"/>
        <w:ind w:firstLine="482"/>
        <w:rPr>
          <w:rFonts w:hint="eastAsia"/>
        </w:rPr>
      </w:pPr>
    </w:p>
    <w:p w14:paraId="1986B964">
      <w:pPr>
        <w:pStyle w:val="47"/>
        <w:ind w:firstLine="482"/>
        <w:rPr>
          <w:rFonts w:hint="eastAsia"/>
        </w:rPr>
      </w:pPr>
    </w:p>
    <w:p w14:paraId="0FEE5A77">
      <w:pPr>
        <w:pStyle w:val="47"/>
        <w:ind w:firstLine="482"/>
        <w:rPr>
          <w:rFonts w:hint="eastAsia"/>
        </w:rPr>
      </w:pPr>
    </w:p>
    <w:p w14:paraId="0988F358">
      <w:pPr>
        <w:pStyle w:val="47"/>
        <w:ind w:firstLine="482"/>
        <w:rPr>
          <w:rFonts w:hint="eastAsia"/>
        </w:rPr>
      </w:pPr>
    </w:p>
    <w:p w14:paraId="1AF5CFEA">
      <w:pPr>
        <w:pStyle w:val="47"/>
        <w:ind w:firstLine="482"/>
        <w:rPr>
          <w:rFonts w:hint="eastAsia"/>
        </w:rPr>
      </w:pPr>
    </w:p>
    <w:p w14:paraId="4766EEC8">
      <w:pPr>
        <w:pStyle w:val="47"/>
        <w:ind w:firstLine="482"/>
        <w:rPr>
          <w:rFonts w:hint="eastAsia"/>
        </w:rPr>
      </w:pPr>
      <w:r>
        <w:rPr>
          <w:rFonts w:hint="eastAsia" w:ascii="Times New Roman" w:hAnsi="Times New Roman" w:eastAsia="楷体" w:cs="Times New Roman"/>
          <w:sz w:val="28"/>
          <w:szCs w:val="28"/>
          <w:lang w:val="en-US" w:eastAsia="zh-CN"/>
        </w:rPr>
        <w:pict>
          <v:shape id="_x0000_s1026" o:spid="_x0000_s1026" o:spt="75" type="#_x0000_t75" style="position:absolute;left:0pt;margin-left:-4.55pt;margin-top:6.4pt;height:205.55pt;width:414.8pt;z-index:-251654144;mso-width-relative:page;mso-height-relative:page;" o:ole="t" filled="f" o:preferrelative="t" stroked="f" coordsize="21600,21600">
            <v:path/>
            <v:fill on="f" focussize="0,0"/>
            <v:stroke on="f"/>
            <v:imagedata r:id="rId19" o:title=""/>
            <o:lock v:ext="edit" aspectratio="f"/>
          </v:shape>
          <o:OLEObject Type="Embed" ProgID="Visio.Drawing.15" ShapeID="_x0000_s1026" DrawAspect="Content" ObjectID="_1468075726" r:id="rId18">
            <o:LockedField>false</o:LockedField>
          </o:OLEObject>
        </w:pict>
      </w:r>
    </w:p>
    <w:p w14:paraId="2135E60B">
      <w:pPr>
        <w:pStyle w:val="47"/>
        <w:ind w:firstLine="482"/>
        <w:rPr>
          <w:rFonts w:hint="eastAsia"/>
        </w:rPr>
      </w:pPr>
    </w:p>
    <w:p w14:paraId="5C3944E2">
      <w:pPr>
        <w:pStyle w:val="47"/>
        <w:ind w:firstLine="482"/>
        <w:rPr>
          <w:rFonts w:hint="eastAsia"/>
        </w:rPr>
      </w:pPr>
    </w:p>
    <w:p w14:paraId="487A8A4E">
      <w:pPr>
        <w:pStyle w:val="47"/>
        <w:ind w:firstLine="482"/>
        <w:rPr>
          <w:rFonts w:hint="eastAsia"/>
        </w:rPr>
      </w:pPr>
    </w:p>
    <w:p w14:paraId="5F176D85">
      <w:pPr>
        <w:pStyle w:val="47"/>
        <w:ind w:firstLine="482"/>
        <w:rPr>
          <w:rFonts w:hint="eastAsia"/>
        </w:rPr>
      </w:pPr>
    </w:p>
    <w:p w14:paraId="7BE0D3F7">
      <w:pPr>
        <w:pStyle w:val="47"/>
        <w:ind w:firstLine="482"/>
        <w:rPr>
          <w:rFonts w:hint="eastAsia"/>
        </w:rPr>
      </w:pPr>
    </w:p>
    <w:p w14:paraId="04C72BCF">
      <w:pPr>
        <w:pStyle w:val="47"/>
        <w:ind w:firstLine="482"/>
        <w:rPr>
          <w:rFonts w:hint="eastAsia"/>
        </w:rPr>
      </w:pPr>
    </w:p>
    <w:p w14:paraId="1FD5C6A6">
      <w:pPr>
        <w:pStyle w:val="47"/>
        <w:ind w:left="0" w:leftChars="0" w:firstLine="0" w:firstLineChars="0"/>
        <w:rPr>
          <w:rFonts w:hint="eastAsia"/>
        </w:rPr>
      </w:pPr>
    </w:p>
    <w:p w14:paraId="5E704623">
      <w:pPr>
        <w:pStyle w:val="47"/>
        <w:ind w:left="0" w:leftChars="0" w:firstLine="0" w:firstLineChars="0"/>
        <w:rPr>
          <w:rFonts w:hint="eastAsia"/>
        </w:rPr>
      </w:pPr>
    </w:p>
    <w:p w14:paraId="1A3EA232">
      <w:pPr>
        <w:pStyle w:val="98"/>
        <w:bidi w:val="0"/>
        <w:ind w:left="0" w:leftChars="0" w:firstLine="0" w:firstLineChars="0"/>
        <w:rPr>
          <w:rFonts w:hint="eastAsia"/>
        </w:rPr>
      </w:pPr>
      <w:r>
        <w:rPr>
          <w:rFonts w:hint="eastAsia"/>
        </w:rPr>
        <w:t>项目水平衡图（单位：t/d）</w:t>
      </w:r>
    </w:p>
    <w:p w14:paraId="1AC97B6C">
      <w:pPr>
        <w:pStyle w:val="47"/>
        <w:ind w:firstLine="482"/>
        <w:rPr>
          <w:rFonts w:hint="eastAsia" w:eastAsia="楷体"/>
          <w:sz w:val="28"/>
          <w:szCs w:val="28"/>
          <w:lang w:eastAsia="zh-CN"/>
        </w:rPr>
      </w:pPr>
      <w:r>
        <w:rPr>
          <w:rFonts w:hint="eastAsia"/>
          <w:sz w:val="28"/>
          <w:szCs w:val="28"/>
          <w:lang w:eastAsia="zh-CN"/>
        </w:rPr>
        <w:t>（</w:t>
      </w:r>
      <w:r>
        <w:rPr>
          <w:rFonts w:hint="eastAsia"/>
          <w:sz w:val="28"/>
          <w:szCs w:val="28"/>
          <w:lang w:val="en-US" w:eastAsia="zh-CN"/>
        </w:rPr>
        <w:t>3</w:t>
      </w:r>
      <w:r>
        <w:rPr>
          <w:rFonts w:hint="eastAsia"/>
          <w:sz w:val="28"/>
          <w:szCs w:val="28"/>
          <w:lang w:eastAsia="zh-CN"/>
        </w:rPr>
        <w:t>）供电</w:t>
      </w:r>
    </w:p>
    <w:p w14:paraId="6B1412CB">
      <w:pPr>
        <w:keepNext w:val="0"/>
        <w:keepLines w:val="0"/>
        <w:pageBreakBefore w:val="0"/>
        <w:widowControl w:val="0"/>
        <w:kinsoku/>
        <w:wordWrap/>
        <w:overflowPunct/>
        <w:topLinePunct w:val="0"/>
        <w:autoSpaceDE/>
        <w:autoSpaceDN/>
        <w:bidi w:val="0"/>
        <w:adjustRightInd w:val="0"/>
        <w:snapToGrid w:val="0"/>
        <w:spacing w:line="480" w:lineRule="exact"/>
        <w:ind w:firstLine="560" w:firstLineChars="200"/>
        <w:textAlignment w:val="auto"/>
        <w:rPr>
          <w:rFonts w:hint="default" w:ascii="Times New Roman" w:hAnsi="Times New Roman" w:eastAsia="楷体" w:cs="Times New Roman"/>
          <w:bCs/>
          <w:color w:val="000000" w:themeColor="text1"/>
          <w:sz w:val="28"/>
          <w:szCs w:val="28"/>
          <w:highlight w:val="none"/>
          <w:lang w:val="en-US" w:eastAsia="zh-CN"/>
          <w14:textFill>
            <w14:solidFill>
              <w14:schemeClr w14:val="tx1"/>
            </w14:solidFill>
          </w14:textFill>
        </w:rPr>
      </w:pPr>
      <w:r>
        <w:rPr>
          <w:rFonts w:hint="eastAsia" w:ascii="Times New Roman" w:hAnsi="Times New Roman" w:eastAsia="楷体" w:cs="Times New Roman"/>
          <w:bCs/>
          <w:color w:val="000000" w:themeColor="text1"/>
          <w:sz w:val="28"/>
          <w:szCs w:val="28"/>
          <w:highlight w:val="none"/>
          <w:lang w:val="en-US" w:eastAsia="zh-CN"/>
          <w14:textFill>
            <w14:solidFill>
              <w14:schemeClr w14:val="tx1"/>
            </w14:solidFill>
          </w14:textFill>
        </w:rPr>
        <w:t>项目年用电量为623.81万kW·h/a，由</w:t>
      </w:r>
      <w:r>
        <w:rPr>
          <w:rFonts w:hint="eastAsia" w:eastAsia="楷体" w:cs="Times New Roman"/>
          <w:bCs/>
          <w:color w:val="000000" w:themeColor="text1"/>
          <w:sz w:val="28"/>
          <w:szCs w:val="28"/>
          <w:highlight w:val="none"/>
          <w:lang w:val="en-US" w:eastAsia="zh-CN"/>
          <w14:textFill>
            <w14:solidFill>
              <w14:schemeClr w14:val="tx1"/>
            </w14:solidFill>
          </w14:textFill>
        </w:rPr>
        <w:t>市政</w:t>
      </w:r>
      <w:r>
        <w:rPr>
          <w:rFonts w:hint="eastAsia" w:ascii="Times New Roman" w:hAnsi="Times New Roman" w:eastAsia="楷体" w:cs="Times New Roman"/>
          <w:bCs/>
          <w:color w:val="000000" w:themeColor="text1"/>
          <w:sz w:val="28"/>
          <w:szCs w:val="28"/>
          <w:highlight w:val="none"/>
          <w:lang w:val="en-US" w:eastAsia="zh-CN"/>
          <w14:textFill>
            <w14:solidFill>
              <w14:schemeClr w14:val="tx1"/>
            </w14:solidFill>
          </w14:textFill>
        </w:rPr>
        <w:t>电网提供</w:t>
      </w:r>
      <w:r>
        <w:rPr>
          <w:rFonts w:hint="default" w:ascii="Times New Roman" w:hAnsi="Times New Roman" w:eastAsia="楷体" w:cs="Times New Roman"/>
          <w:bCs/>
          <w:color w:val="000000" w:themeColor="text1"/>
          <w:sz w:val="28"/>
          <w:szCs w:val="28"/>
          <w:highlight w:val="none"/>
          <w:lang w:val="en-US" w:eastAsia="zh-CN"/>
          <w14:textFill>
            <w14:solidFill>
              <w14:schemeClr w14:val="tx1"/>
            </w14:solidFill>
          </w14:textFill>
        </w:rPr>
        <w:t>。</w:t>
      </w:r>
    </w:p>
    <w:p w14:paraId="5E696AC4">
      <w:pPr>
        <w:pStyle w:val="47"/>
        <w:ind w:firstLine="482"/>
        <w:rPr>
          <w:rFonts w:hint="eastAsia" w:eastAsia="楷体"/>
          <w:sz w:val="28"/>
          <w:szCs w:val="28"/>
          <w:lang w:eastAsia="zh-CN"/>
        </w:rPr>
      </w:pPr>
      <w:r>
        <w:rPr>
          <w:rFonts w:hint="eastAsia"/>
          <w:sz w:val="28"/>
          <w:szCs w:val="28"/>
          <w:lang w:eastAsia="zh-CN"/>
        </w:rPr>
        <w:t>（</w:t>
      </w:r>
      <w:r>
        <w:rPr>
          <w:rFonts w:hint="eastAsia"/>
          <w:sz w:val="28"/>
          <w:szCs w:val="28"/>
          <w:lang w:val="en-US" w:eastAsia="zh-CN"/>
        </w:rPr>
        <w:t>4</w:t>
      </w:r>
      <w:r>
        <w:rPr>
          <w:rFonts w:hint="eastAsia"/>
          <w:sz w:val="28"/>
          <w:szCs w:val="28"/>
          <w:lang w:eastAsia="zh-CN"/>
        </w:rPr>
        <w:t>）</w:t>
      </w:r>
      <w:r>
        <w:rPr>
          <w:color w:val="auto"/>
          <w:sz w:val="28"/>
          <w:szCs w:val="28"/>
        </w:rPr>
        <w:t>供热</w:t>
      </w:r>
    </w:p>
    <w:p w14:paraId="672CD7AA">
      <w:pPr>
        <w:pStyle w:val="47"/>
        <w:ind w:firstLine="482"/>
        <w:rPr>
          <w:rFonts w:hint="eastAsia"/>
          <w:sz w:val="28"/>
          <w:szCs w:val="28"/>
        </w:rPr>
      </w:pPr>
      <w:r>
        <w:rPr>
          <w:rFonts w:hint="eastAsia"/>
          <w:sz w:val="28"/>
          <w:szCs w:val="28"/>
        </w:rPr>
        <w:t>项目</w:t>
      </w:r>
      <w:r>
        <w:rPr>
          <w:rFonts w:hint="eastAsia"/>
          <w:sz w:val="28"/>
          <w:szCs w:val="28"/>
          <w:lang w:val="en-US" w:eastAsia="zh-CN"/>
        </w:rPr>
        <w:t>生产用热为电加热</w:t>
      </w:r>
      <w:r>
        <w:rPr>
          <w:rFonts w:hint="eastAsia"/>
          <w:sz w:val="28"/>
          <w:szCs w:val="28"/>
        </w:rPr>
        <w:t>，办公区由电暖气供暖。</w:t>
      </w:r>
    </w:p>
    <w:p w14:paraId="3494258F">
      <w:pPr>
        <w:pStyle w:val="47"/>
        <w:ind w:firstLine="482"/>
        <w:rPr>
          <w:rFonts w:hint="eastAsia" w:eastAsia="楷体"/>
          <w:sz w:val="28"/>
          <w:szCs w:val="28"/>
          <w:lang w:eastAsia="zh-CN"/>
        </w:rPr>
      </w:pPr>
      <w:r>
        <w:rPr>
          <w:rFonts w:hint="eastAsia"/>
          <w:sz w:val="28"/>
          <w:szCs w:val="28"/>
          <w:lang w:eastAsia="zh-CN"/>
        </w:rPr>
        <w:t>（</w:t>
      </w:r>
      <w:r>
        <w:rPr>
          <w:rFonts w:hint="eastAsia"/>
          <w:sz w:val="28"/>
          <w:szCs w:val="28"/>
          <w:lang w:val="en-US" w:eastAsia="zh-CN"/>
        </w:rPr>
        <w:t>5</w:t>
      </w:r>
      <w:r>
        <w:rPr>
          <w:rFonts w:hint="eastAsia"/>
          <w:sz w:val="28"/>
          <w:szCs w:val="28"/>
          <w:lang w:eastAsia="zh-CN"/>
        </w:rPr>
        <w:t>）</w:t>
      </w:r>
      <w:r>
        <w:rPr>
          <w:rFonts w:hint="eastAsia"/>
          <w:sz w:val="28"/>
          <w:szCs w:val="28"/>
        </w:rPr>
        <w:t>劳动定员</w:t>
      </w:r>
    </w:p>
    <w:p w14:paraId="06434DD9">
      <w:pPr>
        <w:pStyle w:val="47"/>
        <w:ind w:firstLine="482"/>
        <w:rPr>
          <w:rFonts w:hint="eastAsia"/>
          <w:sz w:val="28"/>
          <w:szCs w:val="28"/>
        </w:rPr>
      </w:pPr>
      <w:r>
        <w:rPr>
          <w:rFonts w:hint="eastAsia"/>
          <w:sz w:val="28"/>
          <w:szCs w:val="28"/>
          <w:lang w:val="en-US" w:eastAsia="zh-CN"/>
        </w:rPr>
        <w:t>项目</w:t>
      </w:r>
      <w:r>
        <w:rPr>
          <w:rFonts w:hint="eastAsia"/>
          <w:sz w:val="28"/>
          <w:szCs w:val="28"/>
        </w:rPr>
        <w:t>劳动定员50人，年工作300天，三班制，每班工作8小时。</w:t>
      </w:r>
    </w:p>
    <w:p w14:paraId="2FAEB57C">
      <w:pPr>
        <w:pStyle w:val="47"/>
        <w:ind w:firstLine="482"/>
        <w:rPr>
          <w:rFonts w:hint="default" w:eastAsia="楷体"/>
          <w:sz w:val="28"/>
          <w:szCs w:val="28"/>
          <w:lang w:val="en-US" w:eastAsia="zh-CN"/>
        </w:rPr>
      </w:pPr>
      <w:r>
        <w:rPr>
          <w:rFonts w:hint="eastAsia"/>
          <w:sz w:val="28"/>
          <w:szCs w:val="28"/>
          <w:lang w:eastAsia="zh-CN"/>
        </w:rPr>
        <w:t>（</w:t>
      </w:r>
      <w:r>
        <w:rPr>
          <w:rFonts w:hint="eastAsia"/>
          <w:sz w:val="28"/>
          <w:szCs w:val="28"/>
          <w:lang w:val="en-US" w:eastAsia="zh-CN"/>
        </w:rPr>
        <w:t>6</w:t>
      </w:r>
      <w:r>
        <w:rPr>
          <w:rFonts w:hint="eastAsia"/>
          <w:sz w:val="28"/>
          <w:szCs w:val="28"/>
          <w:lang w:eastAsia="zh-CN"/>
        </w:rPr>
        <w:t>）</w:t>
      </w:r>
      <w:r>
        <w:rPr>
          <w:rFonts w:hint="eastAsia"/>
          <w:sz w:val="28"/>
          <w:szCs w:val="28"/>
          <w:lang w:val="en-US" w:eastAsia="zh-CN"/>
        </w:rPr>
        <w:t>平面布置</w:t>
      </w:r>
    </w:p>
    <w:p w14:paraId="550CFBE7">
      <w:pPr>
        <w:pStyle w:val="47"/>
        <w:ind w:firstLine="482"/>
      </w:pPr>
      <w:r>
        <w:rPr>
          <w:rFonts w:hint="eastAsia"/>
          <w:sz w:val="28"/>
          <w:szCs w:val="28"/>
          <w:lang w:val="en-US" w:eastAsia="zh-CN"/>
        </w:rPr>
        <w:t>项目1#生产车</w:t>
      </w:r>
      <w:r>
        <w:rPr>
          <w:rFonts w:hint="eastAsia"/>
          <w:sz w:val="28"/>
          <w:szCs w:val="28"/>
          <w:highlight w:val="none"/>
          <w:lang w:val="en-US" w:eastAsia="zh-CN"/>
        </w:rPr>
        <w:t>间、2#生产车间、</w:t>
      </w:r>
      <w:r>
        <w:rPr>
          <w:rFonts w:hint="eastAsia"/>
          <w:highlight w:val="none"/>
          <w:lang w:val="en-US" w:eastAsia="zh-CN"/>
        </w:rPr>
        <w:t>职工休息区</w:t>
      </w:r>
      <w:r>
        <w:rPr>
          <w:rFonts w:hint="eastAsia"/>
          <w:sz w:val="28"/>
          <w:szCs w:val="28"/>
          <w:highlight w:val="none"/>
          <w:lang w:val="en-US" w:eastAsia="zh-CN"/>
        </w:rPr>
        <w:t>位于厂区北部，原料车间位于厂区东部，3#生产车间位于厂区东</w:t>
      </w:r>
      <w:r>
        <w:rPr>
          <w:rFonts w:hint="eastAsia"/>
          <w:highlight w:val="none"/>
          <w:lang w:val="en-US" w:eastAsia="zh-CN"/>
        </w:rPr>
        <w:t>南部，办公室、一般固废暂存区、危废间位于厂区西南部。平面布置图见附图3。</w:t>
      </w:r>
    </w:p>
    <w:p w14:paraId="0B06F9EF">
      <w:pPr>
        <w:pStyle w:val="90"/>
        <w:bidi w:val="0"/>
        <w:ind w:left="0" w:leftChars="0" w:firstLine="0" w:firstLineChars="0"/>
      </w:pPr>
      <w:bookmarkStart w:id="41" w:name="_Toc28648"/>
      <w:r>
        <w:rPr>
          <w:rFonts w:hint="eastAsia"/>
        </w:rPr>
        <w:t>工艺流程及产污节点</w:t>
      </w:r>
      <w:bookmarkEnd w:id="41"/>
    </w:p>
    <w:p w14:paraId="5BB12697">
      <w:pPr>
        <w:pStyle w:val="92"/>
        <w:bidi w:val="0"/>
        <w:ind w:left="0" w:leftChars="0" w:firstLine="0" w:firstLineChars="0"/>
      </w:pPr>
      <w:r>
        <w:rPr>
          <w:rFonts w:hint="eastAsia"/>
        </w:rPr>
        <w:t>施工期</w:t>
      </w:r>
    </w:p>
    <w:p w14:paraId="72C9B6BF">
      <w:pPr>
        <w:pStyle w:val="47"/>
        <w:bidi w:val="0"/>
        <w:rPr>
          <w:rFonts w:hint="default"/>
        </w:rPr>
      </w:pPr>
      <w:r>
        <w:rPr>
          <w:rFonts w:hint="default"/>
        </w:rPr>
        <w:t>项目施工期整个过程分为场地平整阶段、基础工程阶段、主体结构工程阶段、装修工程阶段及扫尾工程阶段等五个阶段，具体施工流程及产污流程图见图</w:t>
      </w:r>
      <w:r>
        <w:rPr>
          <w:rFonts w:hint="default"/>
          <w:lang w:eastAsia="zh-CN"/>
        </w:rPr>
        <w:t>3.</w:t>
      </w:r>
      <w:r>
        <w:rPr>
          <w:rFonts w:hint="eastAsia"/>
          <w:lang w:val="en-US" w:eastAsia="zh-CN"/>
        </w:rPr>
        <w:t>3</w:t>
      </w:r>
      <w:r>
        <w:rPr>
          <w:rFonts w:hint="default"/>
          <w:lang w:eastAsia="zh-CN"/>
        </w:rPr>
        <w:t>-</w:t>
      </w:r>
      <w:r>
        <w:rPr>
          <w:rFonts w:hint="default"/>
        </w:rPr>
        <w:t>1。</w:t>
      </w:r>
    </w:p>
    <w:p w14:paraId="473E114B">
      <w:pPr>
        <w:pStyle w:val="47"/>
        <w:bidi w:val="0"/>
        <w:rPr>
          <w:rFonts w:hint="default"/>
        </w:rPr>
      </w:pPr>
    </w:p>
    <w:p w14:paraId="4D039571">
      <w:pPr>
        <w:pStyle w:val="47"/>
        <w:rPr>
          <w:rFonts w:hint="eastAsia"/>
        </w:rPr>
      </w:pPr>
      <w:r>
        <w:rPr>
          <w:rFonts w:hint="default"/>
        </w:rPr>
        <w:drawing>
          <wp:anchor distT="0" distB="0" distL="114300" distR="114300" simplePos="0" relativeHeight="251662336" behindDoc="0" locked="0" layoutInCell="1" allowOverlap="1">
            <wp:simplePos x="0" y="0"/>
            <wp:positionH relativeFrom="column">
              <wp:posOffset>1167765</wp:posOffset>
            </wp:positionH>
            <wp:positionV relativeFrom="paragraph">
              <wp:posOffset>125730</wp:posOffset>
            </wp:positionV>
            <wp:extent cx="3420745" cy="3962400"/>
            <wp:effectExtent l="0" t="0" r="8255" b="0"/>
            <wp:wrapNone/>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20"/>
                    <a:stretch>
                      <a:fillRect/>
                    </a:stretch>
                  </pic:blipFill>
                  <pic:spPr>
                    <a:xfrm>
                      <a:off x="0" y="0"/>
                      <a:ext cx="3420745" cy="3962400"/>
                    </a:xfrm>
                    <a:prstGeom prst="rect">
                      <a:avLst/>
                    </a:prstGeom>
                    <a:noFill/>
                    <a:ln>
                      <a:noFill/>
                    </a:ln>
                  </pic:spPr>
                </pic:pic>
              </a:graphicData>
            </a:graphic>
          </wp:anchor>
        </w:drawing>
      </w:r>
    </w:p>
    <w:p w14:paraId="117FD3D3">
      <w:pPr>
        <w:pStyle w:val="47"/>
        <w:rPr>
          <w:rFonts w:hint="eastAsia"/>
        </w:rPr>
      </w:pPr>
    </w:p>
    <w:p w14:paraId="6398A389">
      <w:pPr>
        <w:pStyle w:val="47"/>
        <w:rPr>
          <w:rFonts w:hint="eastAsia"/>
        </w:rPr>
      </w:pPr>
    </w:p>
    <w:p w14:paraId="243A547C">
      <w:pPr>
        <w:pStyle w:val="47"/>
        <w:rPr>
          <w:rFonts w:hint="eastAsia"/>
        </w:rPr>
      </w:pPr>
    </w:p>
    <w:p w14:paraId="7EC157EE">
      <w:pPr>
        <w:pStyle w:val="47"/>
        <w:rPr>
          <w:rFonts w:hint="eastAsia"/>
        </w:rPr>
      </w:pPr>
    </w:p>
    <w:p w14:paraId="5FD6E182">
      <w:pPr>
        <w:pStyle w:val="47"/>
        <w:rPr>
          <w:rFonts w:hint="eastAsia"/>
        </w:rPr>
      </w:pPr>
    </w:p>
    <w:p w14:paraId="43343927">
      <w:pPr>
        <w:pStyle w:val="47"/>
        <w:rPr>
          <w:rFonts w:hint="eastAsia" w:eastAsia="楷体"/>
          <w:lang w:eastAsia="zh-CN"/>
        </w:rPr>
      </w:pPr>
    </w:p>
    <w:p w14:paraId="0BC15547">
      <w:pPr>
        <w:pStyle w:val="47"/>
        <w:rPr>
          <w:rFonts w:hint="eastAsia" w:eastAsia="楷体"/>
          <w:lang w:eastAsia="zh-CN"/>
        </w:rPr>
      </w:pPr>
    </w:p>
    <w:p w14:paraId="1973F5E3">
      <w:pPr>
        <w:pStyle w:val="47"/>
        <w:rPr>
          <w:rFonts w:hint="eastAsia" w:eastAsia="楷体"/>
          <w:lang w:eastAsia="zh-CN"/>
        </w:rPr>
      </w:pPr>
    </w:p>
    <w:p w14:paraId="37B7C3BE">
      <w:pPr>
        <w:pStyle w:val="47"/>
        <w:rPr>
          <w:rFonts w:hint="eastAsia" w:eastAsia="楷体"/>
          <w:lang w:eastAsia="zh-CN"/>
        </w:rPr>
      </w:pPr>
    </w:p>
    <w:p w14:paraId="0E3A744D">
      <w:pPr>
        <w:pStyle w:val="47"/>
        <w:rPr>
          <w:rFonts w:hint="eastAsia"/>
        </w:rPr>
      </w:pPr>
    </w:p>
    <w:p w14:paraId="5B58D07F">
      <w:pPr>
        <w:pStyle w:val="47"/>
        <w:rPr>
          <w:rFonts w:hint="eastAsia"/>
        </w:rPr>
      </w:pPr>
    </w:p>
    <w:p w14:paraId="602A19CA">
      <w:pPr>
        <w:pStyle w:val="47"/>
        <w:ind w:firstLine="482"/>
        <w:jc w:val="center"/>
        <w:rPr>
          <w:lang w:val="en-US"/>
        </w:rPr>
      </w:pPr>
    </w:p>
    <w:p w14:paraId="11D4596D">
      <w:pPr>
        <w:pStyle w:val="98"/>
        <w:bidi w:val="0"/>
        <w:ind w:left="0" w:leftChars="0" w:firstLine="0" w:firstLineChars="0"/>
      </w:pPr>
      <w:r>
        <w:rPr>
          <w:rFonts w:hint="eastAsia"/>
        </w:rPr>
        <w:t>施工期</w:t>
      </w:r>
      <w:r>
        <w:t>工艺流程及排污节点图</w:t>
      </w:r>
    </w:p>
    <w:p w14:paraId="5F0F4ABD">
      <w:pPr>
        <w:pStyle w:val="47"/>
        <w:ind w:firstLine="482"/>
      </w:pPr>
      <w:r>
        <w:rPr>
          <w:rFonts w:hint="eastAsia"/>
        </w:rPr>
        <w:t>工艺</w:t>
      </w:r>
      <w:r>
        <w:t>流程简述</w:t>
      </w:r>
      <w:r>
        <w:rPr>
          <w:rFonts w:hint="eastAsia"/>
        </w:rPr>
        <w:t>：</w:t>
      </w:r>
    </w:p>
    <w:p w14:paraId="0FC17E3B">
      <w:pPr>
        <w:pStyle w:val="47"/>
        <w:ind w:firstLine="482"/>
        <w:rPr>
          <w:rFonts w:hint="eastAsia"/>
        </w:rPr>
      </w:pPr>
      <w:r>
        <w:rPr>
          <w:rFonts w:hint="eastAsia"/>
        </w:rPr>
        <w:t>项目施工采用机械与人工结合的施工方法，施工机械主要有挖掘机、装载机、振捣机、切割机、混凝土运送车、电锯、施工升降机、物料提升机、电焊机等。主要施工工艺有：</w:t>
      </w:r>
    </w:p>
    <w:p w14:paraId="45D79CA3">
      <w:pPr>
        <w:pStyle w:val="47"/>
        <w:ind w:firstLine="482"/>
        <w:rPr>
          <w:rFonts w:hint="eastAsia"/>
        </w:rPr>
      </w:pPr>
      <w:r>
        <w:rPr>
          <w:rFonts w:hint="eastAsia"/>
        </w:rPr>
        <w:t>场地平整及土方开挖过程中先用推土机剥离表层，存放于场地周边；再用挖掘机进行基坑开挖，并辅以人工开挖，土石方就近堆放于基坑两侧，待基础施工后用于回填并压实，以防雨水冲刷造成水土流失；本阶段污染物以施工扬尘、噪声为主，雨天时可能会有水土流失。</w:t>
      </w:r>
    </w:p>
    <w:p w14:paraId="54F8D9D7">
      <w:pPr>
        <w:pStyle w:val="47"/>
        <w:ind w:firstLine="482"/>
        <w:rPr>
          <w:rFonts w:hint="eastAsia"/>
        </w:rPr>
      </w:pPr>
      <w:r>
        <w:rPr>
          <w:rFonts w:hint="eastAsia"/>
        </w:rPr>
        <w:t>厂区建设施工主要施工机械有砂轮切割机、塔吊、施工升降机、物料提升机、电焊机等，污染物以建筑垃圾、施工噪声、施工扬尘为主。</w:t>
      </w:r>
    </w:p>
    <w:p w14:paraId="140731C9">
      <w:pPr>
        <w:pStyle w:val="47"/>
        <w:ind w:firstLine="482"/>
        <w:rPr>
          <w:rFonts w:hint="eastAsia"/>
        </w:rPr>
      </w:pPr>
      <w:r>
        <w:rPr>
          <w:rFonts w:hint="eastAsia"/>
        </w:rPr>
        <w:t>辅助设施建设主要有厂区道路等施工建设，施工过程产生施工扬尘、焊接烟气、油漆废气等。</w:t>
      </w:r>
    </w:p>
    <w:p w14:paraId="4BF9F69B">
      <w:pPr>
        <w:pStyle w:val="47"/>
        <w:ind w:firstLine="482"/>
      </w:pPr>
      <w:r>
        <w:rPr>
          <w:rFonts w:hint="eastAsia"/>
        </w:rPr>
        <w:t>项目用地范围内</w:t>
      </w:r>
      <w:r>
        <w:rPr>
          <w:rFonts w:hint="eastAsia"/>
          <w:lang w:val="en-US" w:eastAsia="zh-CN"/>
        </w:rPr>
        <w:t>不</w:t>
      </w:r>
      <w:r>
        <w:rPr>
          <w:rFonts w:hint="eastAsia"/>
        </w:rPr>
        <w:t>设施工营地，不占用临时用地，产生的主要污染物为施工人员生活产生的生活污水及生活垃圾。</w:t>
      </w:r>
    </w:p>
    <w:p w14:paraId="4BE2AF5D">
      <w:pPr>
        <w:pStyle w:val="92"/>
        <w:bidi w:val="0"/>
        <w:ind w:left="0" w:leftChars="0" w:firstLine="0" w:firstLineChars="0"/>
      </w:pPr>
      <w:r>
        <w:rPr>
          <w:rFonts w:hint="eastAsia"/>
        </w:rPr>
        <w:t>营运期</w:t>
      </w:r>
    </w:p>
    <w:p w14:paraId="6451AA29">
      <w:pPr>
        <w:pStyle w:val="47"/>
        <w:bidi w:val="0"/>
        <w:rPr>
          <w:rFonts w:hint="eastAsia" w:eastAsia="楷体"/>
          <w:lang w:eastAsia="zh-CN"/>
        </w:rPr>
      </w:pPr>
      <w:r>
        <w:rPr>
          <w:rFonts w:hint="eastAsia"/>
        </w:rPr>
        <w:t>项目造粒生产线工艺流程较为简单，主要包括破碎、清洗、造粒。运营期工艺流程及产排污环节图见图3.</w:t>
      </w:r>
      <w:r>
        <w:rPr>
          <w:rFonts w:hint="eastAsia"/>
          <w:lang w:val="en-US" w:eastAsia="zh-CN"/>
        </w:rPr>
        <w:t>3</w:t>
      </w:r>
      <w:r>
        <w:rPr>
          <w:rFonts w:hint="eastAsia"/>
        </w:rPr>
        <w:t>-2</w:t>
      </w:r>
      <w:r>
        <w:rPr>
          <w:rFonts w:hint="eastAsia"/>
          <w:lang w:eastAsia="zh-CN"/>
        </w:rPr>
        <w:t>。</w:t>
      </w:r>
    </w:p>
    <w:p w14:paraId="15A7AAFB">
      <w:pPr>
        <w:pStyle w:val="47"/>
        <w:bidi w:val="0"/>
        <w:rPr>
          <w:rFonts w:hint="eastAsia"/>
        </w:rPr>
      </w:pPr>
      <w:r>
        <w:rPr>
          <w:rFonts w:hint="eastAsia"/>
        </w:rPr>
        <w:pict>
          <v:shape id="_x0000_s1028" o:spid="_x0000_s1028" o:spt="75" type="#_x0000_t75" style="position:absolute;left:0pt;margin-left:77.95pt;margin-top:9.45pt;height:519.5pt;width:280.6pt;z-index:251665408;mso-width-relative:page;mso-height-relative:page;" o:ole="t" filled="f" o:preferrelative="t" stroked="f" coordsize="21600,21600">
            <v:path/>
            <v:fill on="f" focussize="0,0"/>
            <v:stroke on="f"/>
            <v:imagedata r:id="rId22" o:title=""/>
            <o:lock v:ext="edit" aspectratio="f"/>
          </v:shape>
          <o:OLEObject Type="Embed" ProgID="Visio.Drawing.15" ShapeID="_x0000_s1028" DrawAspect="Content" ObjectID="_1468075727" r:id="rId21">
            <o:LockedField>false</o:LockedField>
          </o:OLEObject>
        </w:pict>
      </w:r>
    </w:p>
    <w:p w14:paraId="1BCF713F">
      <w:pPr>
        <w:pStyle w:val="47"/>
        <w:bidi w:val="0"/>
        <w:rPr>
          <w:rFonts w:hint="eastAsia"/>
        </w:rPr>
      </w:pPr>
    </w:p>
    <w:p w14:paraId="61273105">
      <w:pPr>
        <w:pStyle w:val="47"/>
        <w:bidi w:val="0"/>
        <w:rPr>
          <w:rFonts w:hint="eastAsia"/>
        </w:rPr>
      </w:pPr>
    </w:p>
    <w:p w14:paraId="4D73CDD1">
      <w:pPr>
        <w:pStyle w:val="47"/>
        <w:bidi w:val="0"/>
        <w:rPr>
          <w:rFonts w:hint="eastAsia"/>
        </w:rPr>
      </w:pPr>
    </w:p>
    <w:p w14:paraId="0DF23768">
      <w:pPr>
        <w:pStyle w:val="47"/>
        <w:bidi w:val="0"/>
        <w:rPr>
          <w:rFonts w:hint="eastAsia"/>
        </w:rPr>
      </w:pPr>
    </w:p>
    <w:p w14:paraId="1BA8D762">
      <w:pPr>
        <w:pStyle w:val="47"/>
        <w:bidi w:val="0"/>
        <w:rPr>
          <w:rFonts w:hint="eastAsia"/>
        </w:rPr>
      </w:pPr>
      <w:r>
        <w:rPr>
          <w:sz w:val="28"/>
        </w:rPr>
        <mc:AlternateContent>
          <mc:Choice Requires="wps">
            <w:drawing>
              <wp:anchor distT="0" distB="0" distL="114300" distR="114300" simplePos="0" relativeHeight="251672576" behindDoc="0" locked="0" layoutInCell="1" allowOverlap="1">
                <wp:simplePos x="0" y="0"/>
                <wp:positionH relativeFrom="column">
                  <wp:posOffset>4794885</wp:posOffset>
                </wp:positionH>
                <wp:positionV relativeFrom="paragraph">
                  <wp:posOffset>227965</wp:posOffset>
                </wp:positionV>
                <wp:extent cx="390525" cy="365760"/>
                <wp:effectExtent l="0" t="0" r="0" b="0"/>
                <wp:wrapNone/>
                <wp:docPr id="11" name="文本框 11"/>
                <wp:cNvGraphicFramePr/>
                <a:graphic xmlns:a="http://schemas.openxmlformats.org/drawingml/2006/main">
                  <a:graphicData uri="http://schemas.microsoft.com/office/word/2010/wordprocessingShape">
                    <wps:wsp>
                      <wps:cNvSpPr txBox="1"/>
                      <wps:spPr>
                        <a:xfrm>
                          <a:off x="5828665" y="3430905"/>
                          <a:ext cx="390525" cy="3657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C84AF3">
                            <w:pPr>
                              <w:ind w:left="0" w:leftChars="0" w:firstLine="0"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S4</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77.55pt;margin-top:17.95pt;height:28.8pt;width:30.75pt;z-index:251672576;mso-width-relative:page;mso-height-relative:page;" filled="f" stroked="f" coordsize="21600,21600" o:gfxdata="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FvGn4PbAAAACQEAAA8AAAAAAAAA&#10;AQAgAAAAIgAAAGRycy9kb3ducmV2LnhtbFBLAQIUABQAAAAIAIdO4kD+DWxLRwIAAHMEAAAOAAAA&#10;AAAAAAEAIAAAACoBAABkcnMvZTJvRG9jLnhtbFBLBQYAAAAABgAGAFkBAADjBQAAAAA=&#10;">
                <v:fill on="f" focussize="0,0"/>
                <v:stroke on="f" weight="0.5pt"/>
                <v:imagedata o:title=""/>
                <o:lock v:ext="edit" aspectratio="f"/>
                <v:textbox>
                  <w:txbxContent>
                    <w:p w14:paraId="3AC84AF3">
                      <w:pPr>
                        <w:ind w:left="0" w:leftChars="0" w:firstLine="0"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S4</w:t>
                      </w:r>
                    </w:p>
                  </w:txbxContent>
                </v:textbox>
              </v:shape>
            </w:pict>
          </mc:Fallback>
        </mc:AlternateContent>
      </w:r>
    </w:p>
    <w:p w14:paraId="24603702">
      <w:pPr>
        <w:pStyle w:val="47"/>
        <w:bidi w:val="0"/>
        <w:rPr>
          <w:rFonts w:hint="eastAsia"/>
        </w:rPr>
      </w:pPr>
      <w:r>
        <w:rPr>
          <w:sz w:val="28"/>
        </w:rPr>
        <mc:AlternateContent>
          <mc:Choice Requires="wps">
            <w:drawing>
              <wp:anchor distT="0" distB="0" distL="114300" distR="114300" simplePos="0" relativeHeight="251671552" behindDoc="0" locked="0" layoutInCell="1" allowOverlap="1">
                <wp:simplePos x="0" y="0"/>
                <wp:positionH relativeFrom="column">
                  <wp:posOffset>4545330</wp:posOffset>
                </wp:positionH>
                <wp:positionV relativeFrom="paragraph">
                  <wp:posOffset>125095</wp:posOffset>
                </wp:positionV>
                <wp:extent cx="313690" cy="0"/>
                <wp:effectExtent l="0" t="38100" r="10160" b="38100"/>
                <wp:wrapNone/>
                <wp:docPr id="9" name="直接箭头连接符 9"/>
                <wp:cNvGraphicFramePr/>
                <a:graphic xmlns:a="http://schemas.openxmlformats.org/drawingml/2006/main">
                  <a:graphicData uri="http://schemas.microsoft.com/office/word/2010/wordprocessingShape">
                    <wps:wsp>
                      <wps:cNvCnPr/>
                      <wps:spPr>
                        <a:xfrm flipH="1">
                          <a:off x="5445125" y="4075430"/>
                          <a:ext cx="313690" cy="0"/>
                        </a:xfrm>
                        <a:prstGeom prst="straightConnector1">
                          <a:avLst/>
                        </a:prstGeom>
                        <a:ln>
                          <a:solidFill>
                            <a:schemeClr val="tx1"/>
                          </a:solidFill>
                          <a:prstDash val="sysDot"/>
                          <a:headEnd type="triangle" w="med" len="med"/>
                          <a:tailEnd type="none" w="med" len="med"/>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x;margin-left:357.9pt;margin-top:9.85pt;height:0pt;width:24.7pt;z-index:251671552;mso-width-relative:page;mso-height-relative:page;" filled="f" stroked="t" coordsize="21600,21600" o:gfxdata="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Q5K33tYAAAAJAQAADwAAAAAAAAABACAAAAAiAAAAZHJzL2Rvd25yZXYueG1s&#10;UEsBAhQAFAAAAAgAh07iQP5AWzMzAgAANAQAAA4AAAAAAAAAAQAgAAAAJQEAAGRycy9lMm9Eb2Mu&#10;eG1sUEsFBgAAAAAGAAYAWQEAAMoFAAAAAA==&#10;">
                <v:fill on="f" focussize="0,0"/>
                <v:stroke weight="1pt" color="#000000 [3213]" miterlimit="8" joinstyle="miter" dashstyle="1 1" startarrow="block"/>
                <v:imagedata o:title=""/>
                <o:lock v:ext="edit" aspectratio="f"/>
              </v:shape>
            </w:pict>
          </mc:Fallback>
        </mc:AlternateContent>
      </w:r>
    </w:p>
    <w:p w14:paraId="450DB218">
      <w:pPr>
        <w:pStyle w:val="47"/>
        <w:bidi w:val="0"/>
        <w:rPr>
          <w:rFonts w:hint="eastAsia"/>
        </w:rPr>
      </w:pPr>
    </w:p>
    <w:p w14:paraId="59B872E8">
      <w:pPr>
        <w:pStyle w:val="47"/>
        <w:bidi w:val="0"/>
        <w:rPr>
          <w:rFonts w:hint="eastAsia"/>
        </w:rPr>
      </w:pPr>
    </w:p>
    <w:p w14:paraId="6F5A481B">
      <w:pPr>
        <w:pStyle w:val="47"/>
        <w:bidi w:val="0"/>
        <w:rPr>
          <w:rFonts w:hint="eastAsia"/>
        </w:rPr>
      </w:pPr>
    </w:p>
    <w:p w14:paraId="6427C064">
      <w:pPr>
        <w:pStyle w:val="47"/>
        <w:bidi w:val="0"/>
        <w:rPr>
          <w:rFonts w:hint="eastAsia"/>
        </w:rPr>
      </w:pPr>
    </w:p>
    <w:p w14:paraId="5A2CAFBD">
      <w:pPr>
        <w:pStyle w:val="47"/>
        <w:bidi w:val="0"/>
        <w:rPr>
          <w:rFonts w:hint="eastAsia"/>
        </w:rPr>
      </w:pPr>
    </w:p>
    <w:p w14:paraId="246304A3">
      <w:pPr>
        <w:pStyle w:val="47"/>
        <w:bidi w:val="0"/>
        <w:rPr>
          <w:rFonts w:hint="eastAsia"/>
        </w:rPr>
      </w:pPr>
    </w:p>
    <w:p w14:paraId="3EFB9113">
      <w:pPr>
        <w:pStyle w:val="47"/>
        <w:bidi w:val="0"/>
        <w:rPr>
          <w:rFonts w:hint="eastAsia"/>
        </w:rPr>
      </w:pPr>
    </w:p>
    <w:p w14:paraId="276DE7EA">
      <w:pPr>
        <w:pStyle w:val="47"/>
        <w:bidi w:val="0"/>
        <w:rPr>
          <w:rFonts w:hint="eastAsia"/>
        </w:rPr>
      </w:pPr>
    </w:p>
    <w:p w14:paraId="41E339F1">
      <w:pPr>
        <w:pStyle w:val="47"/>
        <w:bidi w:val="0"/>
        <w:rPr>
          <w:rFonts w:hint="eastAsia"/>
        </w:rPr>
      </w:pPr>
    </w:p>
    <w:p w14:paraId="0C8DC8CF">
      <w:pPr>
        <w:pStyle w:val="47"/>
        <w:bidi w:val="0"/>
        <w:rPr>
          <w:rFonts w:hint="eastAsia"/>
        </w:rPr>
      </w:pPr>
    </w:p>
    <w:p w14:paraId="57568E82">
      <w:pPr>
        <w:pStyle w:val="47"/>
        <w:bidi w:val="0"/>
        <w:rPr>
          <w:rFonts w:hint="eastAsia"/>
        </w:rPr>
      </w:pPr>
    </w:p>
    <w:p w14:paraId="257D2C30">
      <w:pPr>
        <w:pStyle w:val="55"/>
      </w:pPr>
    </w:p>
    <w:p w14:paraId="33F970B5">
      <w:pPr>
        <w:pStyle w:val="55"/>
      </w:pPr>
    </w:p>
    <w:p w14:paraId="3DB867B3">
      <w:pPr>
        <w:pStyle w:val="55"/>
      </w:pPr>
    </w:p>
    <w:p w14:paraId="3C8E192A">
      <w:pPr>
        <w:pStyle w:val="55"/>
      </w:pPr>
    </w:p>
    <w:p w14:paraId="59DC3408">
      <w:pPr>
        <w:pStyle w:val="55"/>
      </w:pPr>
    </w:p>
    <w:p w14:paraId="56D9D0AE">
      <w:pPr>
        <w:pStyle w:val="55"/>
        <w:jc w:val="both"/>
      </w:pPr>
    </w:p>
    <w:p w14:paraId="712CAD18">
      <w:pPr>
        <w:pStyle w:val="55"/>
      </w:pPr>
      <w:r>
        <w:rPr>
          <w:rFonts w:hint="eastAsia"/>
        </w:rPr>
        <w:t>注：G废气；N噪声；S固体废物</w:t>
      </w:r>
    </w:p>
    <w:p w14:paraId="5A4EF295">
      <w:pPr>
        <w:pStyle w:val="98"/>
        <w:bidi w:val="0"/>
        <w:ind w:left="0" w:leftChars="0" w:firstLine="0" w:firstLineChars="0"/>
      </w:pPr>
      <w:r>
        <w:rPr>
          <w:rFonts w:hint="eastAsia"/>
        </w:rPr>
        <w:t>项目营运期工艺流程图</w:t>
      </w:r>
    </w:p>
    <w:p w14:paraId="249D113D">
      <w:pPr>
        <w:pStyle w:val="47"/>
        <w:ind w:firstLine="482"/>
        <w:rPr>
          <w:rFonts w:hint="eastAsia"/>
        </w:rPr>
      </w:pPr>
    </w:p>
    <w:p w14:paraId="4C0E9EA3">
      <w:pPr>
        <w:pStyle w:val="47"/>
        <w:ind w:firstLine="482"/>
      </w:pPr>
      <w:r>
        <w:rPr>
          <w:rFonts w:hint="eastAsia"/>
        </w:rPr>
        <w:t>工艺</w:t>
      </w:r>
      <w:r>
        <w:t>流程简述</w:t>
      </w:r>
      <w:r>
        <w:rPr>
          <w:rFonts w:hint="eastAsia"/>
        </w:rPr>
        <w:t>：</w:t>
      </w:r>
    </w:p>
    <w:p w14:paraId="5AC8B13D">
      <w:pPr>
        <w:keepNext w:val="0"/>
        <w:keepLines w:val="0"/>
        <w:pageBreakBefore w:val="0"/>
        <w:numPr>
          <w:ilvl w:val="0"/>
          <w:numId w:val="9"/>
        </w:numPr>
        <w:kinsoku/>
        <w:wordWrap/>
        <w:overflowPunct/>
        <w:topLinePunct w:val="0"/>
        <w:autoSpaceDE/>
        <w:autoSpaceDN/>
        <w:bidi w:val="0"/>
        <w:adjustRightInd w:val="0"/>
        <w:snapToGrid w:val="0"/>
        <w:spacing w:line="500" w:lineRule="exact"/>
        <w:ind w:leftChars="0" w:firstLine="560" w:firstLineChars="200"/>
        <w:jc w:val="left"/>
        <w:textAlignment w:val="auto"/>
        <w:rPr>
          <w:rFonts w:hint="default" w:ascii="Times New Roman" w:hAnsi="Times New Roman" w:eastAsia="楷体" w:cs="Times New Roman"/>
          <w:sz w:val="28"/>
          <w:szCs w:val="28"/>
          <w:highlight w:val="none"/>
          <w:lang w:val="en-US" w:eastAsia="zh-CN"/>
        </w:rPr>
      </w:pPr>
      <w:r>
        <w:rPr>
          <w:rFonts w:hint="default" w:ascii="Times New Roman" w:hAnsi="Times New Roman" w:eastAsia="楷体" w:cs="Times New Roman"/>
          <w:sz w:val="28"/>
          <w:szCs w:val="28"/>
          <w:highlight w:val="none"/>
          <w:lang w:val="en-US" w:eastAsia="zh-CN"/>
        </w:rPr>
        <w:t>人工分拣：将回收的PVC废旧塑料进行人工分拣，主要将原料中其他废旧塑料制品以及少许杂质（砂石、木柴、金属及废纸等）分拣出来。</w:t>
      </w:r>
    </w:p>
    <w:p w14:paraId="54E8B3DE">
      <w:pPr>
        <w:keepNext w:val="0"/>
        <w:keepLines w:val="0"/>
        <w:pageBreakBefore w:val="0"/>
        <w:numPr>
          <w:ilvl w:val="0"/>
          <w:numId w:val="0"/>
        </w:numPr>
        <w:kinsoku/>
        <w:wordWrap/>
        <w:overflowPunct/>
        <w:topLinePunct w:val="0"/>
        <w:autoSpaceDE/>
        <w:autoSpaceDN/>
        <w:bidi w:val="0"/>
        <w:adjustRightInd w:val="0"/>
        <w:snapToGrid w:val="0"/>
        <w:spacing w:line="500" w:lineRule="exact"/>
        <w:ind w:leftChars="200" w:firstLine="280" w:firstLineChars="100"/>
        <w:jc w:val="left"/>
        <w:textAlignment w:val="auto"/>
        <w:rPr>
          <w:rFonts w:hint="default" w:ascii="Times New Roman" w:hAnsi="Times New Roman" w:eastAsia="楷体" w:cs="Times New Roman"/>
          <w:sz w:val="28"/>
          <w:szCs w:val="28"/>
          <w:highlight w:val="none"/>
          <w:lang w:val="en-US" w:eastAsia="zh-CN"/>
        </w:rPr>
      </w:pPr>
      <w:r>
        <w:rPr>
          <w:rFonts w:hint="default" w:ascii="Times New Roman" w:hAnsi="Times New Roman" w:eastAsia="楷体" w:cs="Times New Roman"/>
          <w:sz w:val="28"/>
          <w:szCs w:val="28"/>
          <w:highlight w:val="none"/>
          <w:lang w:val="en-US" w:eastAsia="zh-CN"/>
        </w:rPr>
        <w:t>此工序会产生分拣废料；</w:t>
      </w:r>
    </w:p>
    <w:p w14:paraId="0243B512">
      <w:pPr>
        <w:keepNext w:val="0"/>
        <w:keepLines w:val="0"/>
        <w:pageBreakBefore w:val="0"/>
        <w:numPr>
          <w:ilvl w:val="0"/>
          <w:numId w:val="9"/>
        </w:numPr>
        <w:kinsoku/>
        <w:wordWrap/>
        <w:overflowPunct/>
        <w:topLinePunct w:val="0"/>
        <w:autoSpaceDE/>
        <w:autoSpaceDN/>
        <w:bidi w:val="0"/>
        <w:adjustRightInd w:val="0"/>
        <w:snapToGrid w:val="0"/>
        <w:spacing w:line="500" w:lineRule="exact"/>
        <w:ind w:left="0" w:leftChars="0" w:firstLine="560" w:firstLineChars="200"/>
        <w:textAlignment w:val="auto"/>
        <w:rPr>
          <w:rFonts w:hint="default" w:ascii="Times New Roman" w:hAnsi="Times New Roman" w:eastAsia="楷体" w:cs="Times New Roman"/>
          <w:sz w:val="28"/>
          <w:szCs w:val="28"/>
        </w:rPr>
      </w:pPr>
      <w:r>
        <w:rPr>
          <w:rFonts w:hint="default" w:ascii="Times New Roman" w:hAnsi="Times New Roman" w:eastAsia="楷体" w:cs="Times New Roman"/>
          <w:sz w:val="28"/>
          <w:szCs w:val="28"/>
          <w:highlight w:val="none"/>
          <w:lang w:val="en-US" w:eastAsia="zh-CN"/>
        </w:rPr>
        <w:t>破碎：将分拣后的废旧塑料经铲车送至破碎机进行破碎，破碎过程为带水破碎，其过程无粉尘产生，</w:t>
      </w:r>
      <w:r>
        <w:rPr>
          <w:rFonts w:hint="default" w:ascii="Times New Roman" w:hAnsi="Times New Roman" w:eastAsia="楷体" w:cs="Times New Roman"/>
          <w:sz w:val="28"/>
          <w:szCs w:val="28"/>
          <w:lang w:val="en-US" w:eastAsia="zh-CN"/>
        </w:rPr>
        <w:t>破碎</w:t>
      </w:r>
      <w:r>
        <w:rPr>
          <w:rFonts w:hint="default" w:ascii="Times New Roman" w:hAnsi="Times New Roman" w:eastAsia="楷体" w:cs="Times New Roman"/>
          <w:sz w:val="28"/>
          <w:szCs w:val="28"/>
        </w:rPr>
        <w:t>过程产生的废水进入</w:t>
      </w:r>
      <w:r>
        <w:rPr>
          <w:rFonts w:hint="default" w:ascii="Times New Roman" w:hAnsi="Times New Roman" w:eastAsia="楷体" w:cs="Times New Roman"/>
          <w:sz w:val="28"/>
          <w:szCs w:val="28"/>
          <w:lang w:val="en-US" w:eastAsia="zh-CN"/>
        </w:rPr>
        <w:t>沉淀池循环使用</w:t>
      </w:r>
      <w:r>
        <w:rPr>
          <w:rFonts w:hint="default" w:ascii="Times New Roman" w:hAnsi="Times New Roman" w:eastAsia="楷体" w:cs="Times New Roman"/>
          <w:sz w:val="28"/>
          <w:szCs w:val="28"/>
        </w:rPr>
        <w:t>；</w:t>
      </w:r>
    </w:p>
    <w:p w14:paraId="7B29E4CD">
      <w:pPr>
        <w:keepNext w:val="0"/>
        <w:keepLines w:val="0"/>
        <w:pageBreakBefore w:val="0"/>
        <w:numPr>
          <w:ilvl w:val="0"/>
          <w:numId w:val="0"/>
        </w:numPr>
        <w:kinsoku/>
        <w:wordWrap/>
        <w:overflowPunct/>
        <w:topLinePunct w:val="0"/>
        <w:autoSpaceDE/>
        <w:autoSpaceDN/>
        <w:bidi w:val="0"/>
        <w:adjustRightInd w:val="0"/>
        <w:snapToGrid w:val="0"/>
        <w:spacing w:line="500" w:lineRule="exact"/>
        <w:ind w:leftChars="200"/>
        <w:textAlignment w:val="auto"/>
        <w:rPr>
          <w:rFonts w:hint="default" w:ascii="Times New Roman" w:hAnsi="Times New Roman" w:eastAsia="楷体" w:cs="Times New Roman"/>
          <w:sz w:val="28"/>
          <w:szCs w:val="28"/>
          <w:lang w:val="en-US" w:eastAsia="zh-CN"/>
        </w:rPr>
      </w:pPr>
      <w:r>
        <w:rPr>
          <w:rFonts w:hint="default" w:ascii="Times New Roman" w:hAnsi="Times New Roman" w:eastAsia="楷体" w:cs="Times New Roman"/>
          <w:sz w:val="28"/>
          <w:szCs w:val="28"/>
          <w:lang w:val="en-US" w:eastAsia="zh-CN"/>
        </w:rPr>
        <w:t>此工序会产生</w:t>
      </w:r>
      <w:r>
        <w:rPr>
          <w:rFonts w:hint="eastAsia" w:eastAsia="楷体" w:cs="Times New Roman"/>
          <w:sz w:val="28"/>
          <w:szCs w:val="28"/>
          <w:lang w:val="en-US" w:eastAsia="zh-CN"/>
        </w:rPr>
        <w:t>设备</w:t>
      </w:r>
      <w:r>
        <w:rPr>
          <w:rFonts w:hint="default" w:ascii="Times New Roman" w:hAnsi="Times New Roman" w:eastAsia="楷体" w:cs="Times New Roman"/>
          <w:sz w:val="28"/>
          <w:szCs w:val="28"/>
          <w:lang w:val="en-US" w:eastAsia="zh-CN"/>
        </w:rPr>
        <w:t>噪声。</w:t>
      </w:r>
    </w:p>
    <w:p w14:paraId="40C62251">
      <w:pPr>
        <w:keepNext w:val="0"/>
        <w:keepLines w:val="0"/>
        <w:pageBreakBefore w:val="0"/>
        <w:kinsoku/>
        <w:wordWrap/>
        <w:overflowPunct/>
        <w:topLinePunct w:val="0"/>
        <w:autoSpaceDE/>
        <w:autoSpaceDN/>
        <w:bidi w:val="0"/>
        <w:adjustRightInd w:val="0"/>
        <w:snapToGrid w:val="0"/>
        <w:spacing w:line="500" w:lineRule="exact"/>
        <w:ind w:firstLine="560" w:firstLineChars="200"/>
        <w:textAlignment w:val="auto"/>
        <w:rPr>
          <w:rFonts w:hint="default" w:ascii="Times New Roman" w:hAnsi="Times New Roman" w:eastAsia="楷体" w:cs="Times New Roman"/>
          <w:sz w:val="28"/>
          <w:szCs w:val="28"/>
        </w:rPr>
      </w:pPr>
      <w:r>
        <w:rPr>
          <w:rFonts w:hint="default" w:ascii="Times New Roman" w:hAnsi="Times New Roman" w:eastAsia="楷体" w:cs="Times New Roman"/>
          <w:sz w:val="28"/>
          <w:szCs w:val="28"/>
          <w:lang w:eastAsia="zh-CN"/>
        </w:rPr>
        <w:t>（</w:t>
      </w:r>
      <w:r>
        <w:rPr>
          <w:rFonts w:hint="default" w:ascii="Times New Roman" w:hAnsi="Times New Roman" w:eastAsia="楷体" w:cs="Times New Roman"/>
          <w:sz w:val="28"/>
          <w:szCs w:val="28"/>
          <w:lang w:val="en-US" w:eastAsia="zh-CN"/>
        </w:rPr>
        <w:t>3</w:t>
      </w:r>
      <w:r>
        <w:rPr>
          <w:rFonts w:hint="default" w:ascii="Times New Roman" w:hAnsi="Times New Roman" w:eastAsia="楷体" w:cs="Times New Roman"/>
          <w:sz w:val="28"/>
          <w:szCs w:val="28"/>
          <w:lang w:eastAsia="zh-CN"/>
        </w:rPr>
        <w:t>）</w:t>
      </w:r>
      <w:r>
        <w:rPr>
          <w:rFonts w:hint="default" w:ascii="Times New Roman" w:hAnsi="Times New Roman" w:eastAsia="楷体" w:cs="Times New Roman"/>
          <w:sz w:val="28"/>
          <w:szCs w:val="28"/>
          <w:lang w:val="en-US" w:eastAsia="zh-CN"/>
        </w:rPr>
        <w:t>清洗：</w:t>
      </w:r>
      <w:r>
        <w:rPr>
          <w:rFonts w:hint="default" w:ascii="Times New Roman" w:hAnsi="Times New Roman" w:eastAsia="楷体" w:cs="Times New Roman"/>
          <w:sz w:val="28"/>
          <w:szCs w:val="28"/>
          <w:highlight w:val="none"/>
          <w:lang w:val="en-US" w:eastAsia="zh-CN"/>
        </w:rPr>
        <w:t>废旧塑料经破碎后，进入水浮分离机，</w:t>
      </w:r>
      <w:r>
        <w:rPr>
          <w:rFonts w:hint="default" w:ascii="Times New Roman" w:hAnsi="Times New Roman" w:eastAsia="楷体" w:cs="Times New Roman"/>
          <w:sz w:val="28"/>
          <w:szCs w:val="28"/>
        </w:rPr>
        <w:t>主要是清洗废旧塑料上附着的砂石、泥土等</w:t>
      </w:r>
      <w:r>
        <w:rPr>
          <w:rFonts w:hint="default" w:ascii="Times New Roman" w:hAnsi="Times New Roman" w:eastAsia="楷体" w:cs="Times New Roman"/>
          <w:sz w:val="28"/>
          <w:szCs w:val="28"/>
          <w:lang w:val="en-US" w:eastAsia="zh-CN"/>
        </w:rPr>
        <w:t>杂质</w:t>
      </w:r>
      <w:r>
        <w:rPr>
          <w:rFonts w:hint="default" w:ascii="Times New Roman" w:hAnsi="Times New Roman" w:eastAsia="楷体" w:cs="Times New Roman"/>
          <w:sz w:val="28"/>
          <w:szCs w:val="28"/>
        </w:rPr>
        <w:t>，清洗过程产生的</w:t>
      </w:r>
      <w:r>
        <w:rPr>
          <w:rFonts w:hint="eastAsia" w:eastAsia="楷体" w:cs="Times New Roman"/>
          <w:sz w:val="28"/>
          <w:szCs w:val="28"/>
          <w:lang w:val="en-US" w:eastAsia="zh-CN"/>
        </w:rPr>
        <w:t>废水</w:t>
      </w:r>
      <w:r>
        <w:rPr>
          <w:rFonts w:hint="default" w:ascii="Times New Roman" w:hAnsi="Times New Roman" w:eastAsia="楷体" w:cs="Times New Roman"/>
          <w:sz w:val="28"/>
          <w:szCs w:val="28"/>
        </w:rPr>
        <w:t>进入</w:t>
      </w:r>
      <w:r>
        <w:rPr>
          <w:rFonts w:hint="default" w:ascii="Times New Roman" w:hAnsi="Times New Roman" w:eastAsia="楷体" w:cs="Times New Roman"/>
          <w:sz w:val="28"/>
          <w:szCs w:val="28"/>
          <w:lang w:val="en-US" w:eastAsia="zh-CN"/>
        </w:rPr>
        <w:t>沉淀池循环使用</w:t>
      </w:r>
      <w:r>
        <w:rPr>
          <w:rFonts w:hint="default" w:ascii="Times New Roman" w:hAnsi="Times New Roman" w:eastAsia="楷体" w:cs="Times New Roman"/>
          <w:sz w:val="28"/>
          <w:szCs w:val="28"/>
        </w:rPr>
        <w:t>；项目不采用任何清洗剂清洗。</w:t>
      </w:r>
    </w:p>
    <w:p w14:paraId="3BBF8A2E">
      <w:pPr>
        <w:keepNext w:val="0"/>
        <w:keepLines w:val="0"/>
        <w:pageBreakBefore w:val="0"/>
        <w:numPr>
          <w:ilvl w:val="0"/>
          <w:numId w:val="0"/>
        </w:numPr>
        <w:kinsoku/>
        <w:wordWrap/>
        <w:overflowPunct/>
        <w:topLinePunct w:val="0"/>
        <w:autoSpaceDE/>
        <w:autoSpaceDN/>
        <w:bidi w:val="0"/>
        <w:adjustRightInd w:val="0"/>
        <w:snapToGrid w:val="0"/>
        <w:spacing w:line="500" w:lineRule="exact"/>
        <w:ind w:leftChars="200"/>
        <w:textAlignment w:val="auto"/>
        <w:rPr>
          <w:rFonts w:hint="default" w:ascii="Times New Roman" w:hAnsi="Times New Roman" w:eastAsia="楷体" w:cs="Times New Roman"/>
          <w:sz w:val="28"/>
          <w:szCs w:val="28"/>
        </w:rPr>
      </w:pPr>
      <w:r>
        <w:rPr>
          <w:rFonts w:hint="default" w:ascii="Times New Roman" w:hAnsi="Times New Roman" w:eastAsia="楷体" w:cs="Times New Roman"/>
          <w:sz w:val="28"/>
          <w:szCs w:val="28"/>
          <w:lang w:val="en-US" w:eastAsia="zh-CN"/>
        </w:rPr>
        <w:t>此工序会产生</w:t>
      </w:r>
      <w:r>
        <w:rPr>
          <w:rFonts w:hint="eastAsia" w:eastAsia="楷体" w:cs="Times New Roman"/>
          <w:sz w:val="28"/>
          <w:szCs w:val="28"/>
          <w:lang w:val="en-US" w:eastAsia="zh-CN"/>
        </w:rPr>
        <w:t>设备</w:t>
      </w:r>
      <w:r>
        <w:rPr>
          <w:rFonts w:hint="default" w:ascii="Times New Roman" w:hAnsi="Times New Roman" w:eastAsia="楷体" w:cs="Times New Roman"/>
          <w:sz w:val="28"/>
          <w:szCs w:val="28"/>
          <w:lang w:val="en-US" w:eastAsia="zh-CN"/>
        </w:rPr>
        <w:t>噪声</w:t>
      </w:r>
      <w:r>
        <w:rPr>
          <w:rFonts w:hint="eastAsia" w:eastAsia="楷体" w:cs="Times New Roman"/>
          <w:sz w:val="28"/>
          <w:szCs w:val="28"/>
          <w:lang w:val="en-US" w:eastAsia="zh-CN"/>
        </w:rPr>
        <w:t>，沉淀池产生固体废物污泥</w:t>
      </w:r>
      <w:r>
        <w:rPr>
          <w:rFonts w:hint="default" w:ascii="Times New Roman" w:hAnsi="Times New Roman" w:eastAsia="楷体" w:cs="Times New Roman"/>
          <w:sz w:val="28"/>
          <w:szCs w:val="28"/>
          <w:lang w:val="en-US" w:eastAsia="zh-CN"/>
        </w:rPr>
        <w:t>。</w:t>
      </w:r>
    </w:p>
    <w:p w14:paraId="3E44B374">
      <w:pPr>
        <w:keepNext w:val="0"/>
        <w:keepLines w:val="0"/>
        <w:pageBreakBefore w:val="0"/>
        <w:numPr>
          <w:ilvl w:val="0"/>
          <w:numId w:val="9"/>
        </w:numPr>
        <w:kinsoku/>
        <w:wordWrap/>
        <w:overflowPunct/>
        <w:topLinePunct w:val="0"/>
        <w:autoSpaceDE/>
        <w:autoSpaceDN/>
        <w:bidi w:val="0"/>
        <w:adjustRightInd w:val="0"/>
        <w:snapToGrid w:val="0"/>
        <w:spacing w:line="500" w:lineRule="exact"/>
        <w:ind w:left="0" w:leftChars="0" w:firstLine="560" w:firstLineChars="200"/>
        <w:textAlignment w:val="auto"/>
        <w:rPr>
          <w:rFonts w:hint="default" w:ascii="Times New Roman" w:hAnsi="Times New Roman" w:eastAsia="楷体" w:cs="Times New Roman"/>
          <w:sz w:val="28"/>
          <w:szCs w:val="28"/>
          <w:highlight w:val="none"/>
        </w:rPr>
      </w:pPr>
      <w:r>
        <w:rPr>
          <w:rFonts w:hint="default" w:ascii="Times New Roman" w:hAnsi="Times New Roman" w:eastAsia="楷体" w:cs="Times New Roman"/>
          <w:sz w:val="28"/>
          <w:szCs w:val="28"/>
        </w:rPr>
        <w:t>脱水：清洗</w:t>
      </w:r>
      <w:r>
        <w:rPr>
          <w:rFonts w:hint="default" w:ascii="Times New Roman" w:hAnsi="Times New Roman" w:eastAsia="楷体" w:cs="Times New Roman"/>
          <w:sz w:val="28"/>
          <w:szCs w:val="28"/>
          <w:highlight w:val="none"/>
        </w:rPr>
        <w:t>后塑料经输送带进入</w:t>
      </w:r>
      <w:r>
        <w:rPr>
          <w:rFonts w:hint="default" w:ascii="Times New Roman" w:hAnsi="Times New Roman" w:eastAsia="楷体" w:cs="Times New Roman"/>
          <w:i w:val="0"/>
          <w:iCs w:val="0"/>
          <w:color w:val="000000"/>
          <w:sz w:val="28"/>
          <w:szCs w:val="28"/>
          <w:highlight w:val="none"/>
          <w:u w:val="none"/>
          <w:vertAlign w:val="baseline"/>
          <w:lang w:val="en-US" w:eastAsia="zh-CN"/>
        </w:rPr>
        <w:t>卧式甩干机</w:t>
      </w:r>
      <w:r>
        <w:rPr>
          <w:rFonts w:hint="default" w:ascii="Times New Roman" w:hAnsi="Times New Roman" w:eastAsia="楷体" w:cs="Times New Roman"/>
          <w:sz w:val="28"/>
          <w:szCs w:val="28"/>
          <w:highlight w:val="none"/>
        </w:rPr>
        <w:t>进行脱水，脱水机采用离心脱水机进行脱水，此过程产生</w:t>
      </w:r>
      <w:r>
        <w:rPr>
          <w:rFonts w:hint="eastAsia" w:eastAsia="楷体" w:cs="Times New Roman"/>
          <w:sz w:val="28"/>
          <w:szCs w:val="28"/>
          <w:highlight w:val="none"/>
          <w:lang w:val="en-US" w:eastAsia="zh-CN"/>
        </w:rPr>
        <w:t>的</w:t>
      </w:r>
      <w:r>
        <w:rPr>
          <w:rFonts w:hint="default" w:ascii="Times New Roman" w:hAnsi="Times New Roman" w:eastAsia="楷体" w:cs="Times New Roman"/>
          <w:sz w:val="28"/>
          <w:szCs w:val="28"/>
          <w:highlight w:val="none"/>
        </w:rPr>
        <w:t>废水进入</w:t>
      </w:r>
      <w:r>
        <w:rPr>
          <w:rFonts w:hint="default" w:ascii="Times New Roman" w:hAnsi="Times New Roman" w:eastAsia="楷体" w:cs="Times New Roman"/>
          <w:sz w:val="28"/>
          <w:szCs w:val="28"/>
          <w:highlight w:val="none"/>
          <w:lang w:val="en-US" w:eastAsia="zh-CN"/>
        </w:rPr>
        <w:t>沉淀池</w:t>
      </w:r>
      <w:r>
        <w:rPr>
          <w:rFonts w:hint="default" w:ascii="Times New Roman" w:hAnsi="Times New Roman" w:eastAsia="楷体" w:cs="Times New Roman"/>
          <w:sz w:val="28"/>
          <w:szCs w:val="28"/>
          <w:highlight w:val="none"/>
        </w:rPr>
        <w:t>；</w:t>
      </w:r>
    </w:p>
    <w:p w14:paraId="2FA93BB8">
      <w:pPr>
        <w:keepNext w:val="0"/>
        <w:keepLines w:val="0"/>
        <w:pageBreakBefore w:val="0"/>
        <w:numPr>
          <w:ilvl w:val="0"/>
          <w:numId w:val="0"/>
        </w:numPr>
        <w:kinsoku/>
        <w:wordWrap/>
        <w:overflowPunct/>
        <w:topLinePunct w:val="0"/>
        <w:autoSpaceDE/>
        <w:autoSpaceDN/>
        <w:bidi w:val="0"/>
        <w:adjustRightInd w:val="0"/>
        <w:snapToGrid w:val="0"/>
        <w:spacing w:line="500" w:lineRule="exact"/>
        <w:ind w:leftChars="200"/>
        <w:textAlignment w:val="auto"/>
        <w:rPr>
          <w:rFonts w:hint="default" w:ascii="Times New Roman" w:hAnsi="Times New Roman" w:eastAsia="楷体" w:cs="Times New Roman"/>
          <w:sz w:val="28"/>
          <w:szCs w:val="28"/>
          <w:highlight w:val="none"/>
        </w:rPr>
      </w:pPr>
      <w:r>
        <w:rPr>
          <w:rFonts w:hint="default" w:ascii="Times New Roman" w:hAnsi="Times New Roman" w:eastAsia="楷体" w:cs="Times New Roman"/>
          <w:sz w:val="28"/>
          <w:szCs w:val="28"/>
          <w:lang w:val="en-US" w:eastAsia="zh-CN"/>
        </w:rPr>
        <w:t>此工序会产生</w:t>
      </w:r>
      <w:r>
        <w:rPr>
          <w:rFonts w:hint="eastAsia" w:eastAsia="楷体" w:cs="Times New Roman"/>
          <w:sz w:val="28"/>
          <w:szCs w:val="28"/>
          <w:lang w:val="en-US" w:eastAsia="zh-CN"/>
        </w:rPr>
        <w:t>设备</w:t>
      </w:r>
      <w:r>
        <w:rPr>
          <w:rFonts w:hint="default" w:ascii="Times New Roman" w:hAnsi="Times New Roman" w:eastAsia="楷体" w:cs="Times New Roman"/>
          <w:sz w:val="28"/>
          <w:szCs w:val="28"/>
          <w:lang w:val="en-US" w:eastAsia="zh-CN"/>
        </w:rPr>
        <w:t>噪声。</w:t>
      </w:r>
    </w:p>
    <w:p w14:paraId="2F21E419">
      <w:pPr>
        <w:keepNext w:val="0"/>
        <w:keepLines w:val="0"/>
        <w:pageBreakBefore w:val="0"/>
        <w:kinsoku/>
        <w:wordWrap/>
        <w:overflowPunct/>
        <w:topLinePunct w:val="0"/>
        <w:autoSpaceDE/>
        <w:autoSpaceDN/>
        <w:bidi w:val="0"/>
        <w:adjustRightInd w:val="0"/>
        <w:snapToGrid w:val="0"/>
        <w:spacing w:line="500" w:lineRule="exact"/>
        <w:ind w:firstLine="560" w:firstLineChars="200"/>
        <w:textAlignment w:val="auto"/>
        <w:rPr>
          <w:rFonts w:hint="default" w:ascii="Times New Roman" w:hAnsi="Times New Roman" w:eastAsia="楷体" w:cs="Times New Roman"/>
          <w:i w:val="0"/>
          <w:iCs w:val="0"/>
          <w:color w:val="000000"/>
          <w:sz w:val="28"/>
          <w:szCs w:val="28"/>
          <w:u w:val="none"/>
          <w:vertAlign w:val="baseline"/>
          <w:lang w:val="en-US" w:eastAsia="zh-CN"/>
        </w:rPr>
      </w:pPr>
      <w:r>
        <w:rPr>
          <w:rFonts w:hint="default" w:ascii="Times New Roman" w:hAnsi="Times New Roman" w:eastAsia="楷体" w:cs="Times New Roman"/>
          <w:sz w:val="28"/>
          <w:szCs w:val="28"/>
        </w:rPr>
        <w:t>（</w:t>
      </w:r>
      <w:r>
        <w:rPr>
          <w:rFonts w:hint="default" w:ascii="Times New Roman" w:hAnsi="Times New Roman" w:eastAsia="楷体" w:cs="Times New Roman"/>
          <w:sz w:val="28"/>
          <w:szCs w:val="28"/>
          <w:lang w:val="en-US" w:eastAsia="zh-CN"/>
        </w:rPr>
        <w:t>5</w:t>
      </w:r>
      <w:r>
        <w:rPr>
          <w:rFonts w:hint="default" w:ascii="Times New Roman" w:hAnsi="Times New Roman" w:eastAsia="楷体" w:cs="Times New Roman"/>
          <w:sz w:val="28"/>
          <w:szCs w:val="28"/>
        </w:rPr>
        <w:t>）</w:t>
      </w:r>
      <w:r>
        <w:rPr>
          <w:rFonts w:hint="default" w:ascii="Times New Roman" w:hAnsi="Times New Roman" w:eastAsia="楷体" w:cs="Times New Roman"/>
          <w:sz w:val="28"/>
          <w:szCs w:val="28"/>
          <w:lang w:val="en-US" w:eastAsia="zh-CN"/>
        </w:rPr>
        <w:t>搅拌</w:t>
      </w:r>
      <w:r>
        <w:rPr>
          <w:rFonts w:hint="default" w:ascii="Times New Roman" w:hAnsi="Times New Roman" w:eastAsia="楷体" w:cs="Times New Roman"/>
          <w:sz w:val="28"/>
          <w:szCs w:val="28"/>
        </w:rPr>
        <w:t>：</w:t>
      </w:r>
      <w:r>
        <w:rPr>
          <w:rFonts w:hint="default" w:ascii="Times New Roman" w:hAnsi="Times New Roman" w:eastAsia="楷体" w:cs="Times New Roman"/>
          <w:sz w:val="28"/>
          <w:szCs w:val="28"/>
          <w:lang w:val="en-US" w:eastAsia="zh-CN"/>
        </w:rPr>
        <w:t>破碎并清洗干净的塑料进入</w:t>
      </w:r>
      <w:r>
        <w:rPr>
          <w:rFonts w:hint="default" w:ascii="Times New Roman" w:hAnsi="Times New Roman" w:eastAsia="楷体" w:cs="Times New Roman"/>
          <w:i w:val="0"/>
          <w:iCs w:val="0"/>
          <w:color w:val="000000"/>
          <w:sz w:val="28"/>
          <w:szCs w:val="28"/>
          <w:u w:val="none"/>
          <w:vertAlign w:val="baseline"/>
          <w:lang w:val="en-US" w:eastAsia="zh-CN"/>
        </w:rPr>
        <w:t>高速混合机，同时人工按比例加入PVC颗粒、增塑剂、石蜡、色母、复合稳定剂及钙粉，原料在高速混合机中进行配料搅拌。</w:t>
      </w:r>
    </w:p>
    <w:p w14:paraId="4A310DF8">
      <w:pPr>
        <w:keepNext w:val="0"/>
        <w:keepLines w:val="0"/>
        <w:pageBreakBefore w:val="0"/>
        <w:kinsoku/>
        <w:wordWrap/>
        <w:overflowPunct/>
        <w:topLinePunct w:val="0"/>
        <w:autoSpaceDE/>
        <w:autoSpaceDN/>
        <w:bidi w:val="0"/>
        <w:adjustRightInd w:val="0"/>
        <w:snapToGrid w:val="0"/>
        <w:spacing w:line="500" w:lineRule="exact"/>
        <w:ind w:firstLine="560" w:firstLineChars="200"/>
        <w:textAlignment w:val="auto"/>
        <w:rPr>
          <w:rFonts w:hint="default" w:ascii="Times New Roman" w:hAnsi="Times New Roman" w:eastAsia="楷体" w:cs="Times New Roman"/>
          <w:sz w:val="28"/>
          <w:szCs w:val="28"/>
        </w:rPr>
      </w:pPr>
      <w:r>
        <w:rPr>
          <w:rFonts w:hint="default" w:ascii="Times New Roman" w:hAnsi="Times New Roman" w:eastAsia="楷体" w:cs="Times New Roman"/>
          <w:i w:val="0"/>
          <w:iCs w:val="0"/>
          <w:color w:val="000000"/>
          <w:sz w:val="28"/>
          <w:szCs w:val="28"/>
          <w:u w:val="none"/>
          <w:vertAlign w:val="baseline"/>
          <w:lang w:val="en-US" w:eastAsia="zh-CN"/>
        </w:rPr>
        <w:t>投料及搅拌</w:t>
      </w:r>
      <w:r>
        <w:rPr>
          <w:rFonts w:hint="eastAsia" w:eastAsia="楷体" w:cs="Times New Roman"/>
          <w:i w:val="0"/>
          <w:iCs w:val="0"/>
          <w:color w:val="000000"/>
          <w:sz w:val="28"/>
          <w:szCs w:val="28"/>
          <w:u w:val="none"/>
          <w:vertAlign w:val="baseline"/>
          <w:lang w:val="en-US" w:eastAsia="zh-CN"/>
        </w:rPr>
        <w:t>工序</w:t>
      </w:r>
      <w:r>
        <w:rPr>
          <w:rFonts w:hint="default" w:ascii="Times New Roman" w:hAnsi="Times New Roman" w:eastAsia="楷体" w:cs="Times New Roman"/>
          <w:i w:val="0"/>
          <w:iCs w:val="0"/>
          <w:color w:val="000000"/>
          <w:sz w:val="28"/>
          <w:szCs w:val="28"/>
          <w:u w:val="none"/>
          <w:vertAlign w:val="baseline"/>
          <w:lang w:val="en-US" w:eastAsia="zh-CN"/>
        </w:rPr>
        <w:t>会产生粉尘、</w:t>
      </w:r>
      <w:r>
        <w:rPr>
          <w:rFonts w:hint="eastAsia" w:eastAsia="楷体" w:cs="Times New Roman"/>
          <w:i w:val="0"/>
          <w:iCs w:val="0"/>
          <w:color w:val="000000"/>
          <w:sz w:val="28"/>
          <w:szCs w:val="28"/>
          <w:u w:val="none"/>
          <w:vertAlign w:val="baseline"/>
          <w:lang w:val="en-US" w:eastAsia="zh-CN"/>
        </w:rPr>
        <w:t>设备</w:t>
      </w:r>
      <w:r>
        <w:rPr>
          <w:rFonts w:hint="default" w:ascii="Times New Roman" w:hAnsi="Times New Roman" w:eastAsia="楷体" w:cs="Times New Roman"/>
          <w:i w:val="0"/>
          <w:iCs w:val="0"/>
          <w:color w:val="000000"/>
          <w:sz w:val="28"/>
          <w:szCs w:val="28"/>
          <w:u w:val="none"/>
          <w:vertAlign w:val="baseline"/>
          <w:lang w:val="en-US" w:eastAsia="zh-CN"/>
        </w:rPr>
        <w:t>噪声</w:t>
      </w:r>
      <w:r>
        <w:rPr>
          <w:rFonts w:hint="eastAsia" w:eastAsia="楷体" w:cs="Times New Roman"/>
          <w:i w:val="0"/>
          <w:iCs w:val="0"/>
          <w:color w:val="000000"/>
          <w:sz w:val="28"/>
          <w:szCs w:val="28"/>
          <w:u w:val="none"/>
          <w:vertAlign w:val="baseline"/>
          <w:lang w:val="en-US" w:eastAsia="zh-CN"/>
        </w:rPr>
        <w:t>、固体废物废包装袋</w:t>
      </w:r>
      <w:r>
        <w:rPr>
          <w:rFonts w:hint="default" w:ascii="Times New Roman" w:hAnsi="Times New Roman" w:eastAsia="楷体" w:cs="Times New Roman"/>
          <w:i w:val="0"/>
          <w:iCs w:val="0"/>
          <w:color w:val="000000"/>
          <w:sz w:val="28"/>
          <w:szCs w:val="28"/>
          <w:u w:val="none"/>
          <w:vertAlign w:val="baseline"/>
          <w:lang w:val="en-US" w:eastAsia="zh-CN"/>
        </w:rPr>
        <w:t>。</w:t>
      </w:r>
    </w:p>
    <w:p w14:paraId="1FDD6AE6">
      <w:pPr>
        <w:keepNext w:val="0"/>
        <w:keepLines w:val="0"/>
        <w:pageBreakBefore w:val="0"/>
        <w:kinsoku/>
        <w:wordWrap/>
        <w:overflowPunct/>
        <w:topLinePunct w:val="0"/>
        <w:autoSpaceDE/>
        <w:autoSpaceDN/>
        <w:bidi w:val="0"/>
        <w:adjustRightInd w:val="0"/>
        <w:snapToGrid w:val="0"/>
        <w:spacing w:line="500" w:lineRule="exact"/>
        <w:ind w:firstLine="560" w:firstLineChars="200"/>
        <w:textAlignment w:val="auto"/>
        <w:rPr>
          <w:rFonts w:hint="default" w:ascii="Times New Roman" w:hAnsi="Times New Roman" w:eastAsia="楷体" w:cs="Times New Roman"/>
          <w:sz w:val="28"/>
          <w:szCs w:val="28"/>
          <w:lang w:val="en-US"/>
        </w:rPr>
      </w:pPr>
      <w:r>
        <w:rPr>
          <w:rFonts w:hint="default" w:ascii="Times New Roman" w:hAnsi="Times New Roman" w:eastAsia="楷体" w:cs="Times New Roman"/>
          <w:sz w:val="28"/>
          <w:szCs w:val="28"/>
          <w:lang w:eastAsia="zh-CN"/>
        </w:rPr>
        <w:t>（</w:t>
      </w:r>
      <w:r>
        <w:rPr>
          <w:rFonts w:hint="default" w:ascii="Times New Roman" w:hAnsi="Times New Roman" w:eastAsia="楷体" w:cs="Times New Roman"/>
          <w:sz w:val="28"/>
          <w:szCs w:val="28"/>
          <w:lang w:val="en-US" w:eastAsia="zh-CN"/>
        </w:rPr>
        <w:t>6</w:t>
      </w:r>
      <w:r>
        <w:rPr>
          <w:rFonts w:hint="default" w:ascii="Times New Roman" w:hAnsi="Times New Roman" w:eastAsia="楷体" w:cs="Times New Roman"/>
          <w:sz w:val="28"/>
          <w:szCs w:val="28"/>
          <w:lang w:eastAsia="zh-CN"/>
        </w:rPr>
        <w:t>）</w:t>
      </w:r>
      <w:r>
        <w:rPr>
          <w:rFonts w:hint="default" w:ascii="Times New Roman" w:hAnsi="Times New Roman" w:eastAsia="楷体" w:cs="Times New Roman"/>
          <w:sz w:val="28"/>
          <w:szCs w:val="28"/>
          <w:lang w:val="en-US" w:eastAsia="zh-CN"/>
        </w:rPr>
        <w:t>挤出：搅拌均匀后的物料经</w:t>
      </w:r>
      <w:r>
        <w:rPr>
          <w:rFonts w:hint="eastAsia" w:eastAsia="楷体" w:cs="Times New Roman"/>
          <w:sz w:val="28"/>
          <w:szCs w:val="28"/>
          <w:lang w:val="en-US" w:eastAsia="zh-CN"/>
        </w:rPr>
        <w:t>密闭管道送入</w:t>
      </w:r>
      <w:r>
        <w:rPr>
          <w:rFonts w:hint="default" w:ascii="Times New Roman" w:hAnsi="Times New Roman" w:eastAsia="楷体" w:cs="Times New Roman"/>
          <w:sz w:val="28"/>
          <w:szCs w:val="28"/>
          <w:lang w:val="en-US" w:eastAsia="zh-CN"/>
        </w:rPr>
        <w:t>挤出机料筒内进行熔融，挤出机</w:t>
      </w:r>
      <w:r>
        <w:rPr>
          <w:rFonts w:hint="eastAsia" w:eastAsia="楷体" w:cs="Times New Roman"/>
          <w:sz w:val="28"/>
          <w:szCs w:val="28"/>
          <w:lang w:val="en-US" w:eastAsia="zh-CN"/>
        </w:rPr>
        <w:t>为</w:t>
      </w:r>
      <w:r>
        <w:rPr>
          <w:rFonts w:hint="default" w:ascii="Times New Roman" w:hAnsi="Times New Roman" w:eastAsia="楷体" w:cs="Times New Roman"/>
          <w:sz w:val="28"/>
          <w:szCs w:val="28"/>
          <w:lang w:val="en-US" w:eastAsia="zh-CN"/>
        </w:rPr>
        <w:t>电加热，加热温度为160~180℃，经高温螺杆热熔形成的熔料，经滤网过滤后，由挤出机模头连续挤出形成丝状线料。</w:t>
      </w:r>
    </w:p>
    <w:p w14:paraId="10749217">
      <w:pPr>
        <w:keepNext w:val="0"/>
        <w:keepLines w:val="0"/>
        <w:pageBreakBefore w:val="0"/>
        <w:kinsoku/>
        <w:wordWrap/>
        <w:overflowPunct/>
        <w:topLinePunct w:val="0"/>
        <w:autoSpaceDE/>
        <w:autoSpaceDN/>
        <w:bidi w:val="0"/>
        <w:adjustRightInd w:val="0"/>
        <w:snapToGrid w:val="0"/>
        <w:spacing w:line="500" w:lineRule="exact"/>
        <w:ind w:firstLine="560" w:firstLineChars="200"/>
        <w:textAlignment w:val="auto"/>
        <w:rPr>
          <w:rFonts w:hint="default" w:ascii="Times New Roman" w:hAnsi="Times New Roman" w:eastAsia="楷体" w:cs="Times New Roman"/>
          <w:sz w:val="28"/>
          <w:szCs w:val="28"/>
        </w:rPr>
      </w:pPr>
      <w:r>
        <w:rPr>
          <w:rFonts w:hint="default" w:ascii="Times New Roman" w:hAnsi="Times New Roman" w:eastAsia="楷体" w:cs="Times New Roman"/>
          <w:i w:val="0"/>
          <w:iCs w:val="0"/>
          <w:color w:val="000000"/>
          <w:sz w:val="28"/>
          <w:szCs w:val="28"/>
          <w:u w:val="none"/>
          <w:vertAlign w:val="baseline"/>
          <w:lang w:val="en-US" w:eastAsia="zh-CN"/>
        </w:rPr>
        <w:t>此工序挤出过程会产生</w:t>
      </w:r>
      <w:r>
        <w:rPr>
          <w:rFonts w:hint="eastAsia" w:eastAsia="楷体" w:cs="Times New Roman"/>
          <w:i w:val="0"/>
          <w:iCs w:val="0"/>
          <w:color w:val="000000"/>
          <w:sz w:val="28"/>
          <w:szCs w:val="28"/>
          <w:u w:val="none"/>
          <w:vertAlign w:val="baseline"/>
          <w:lang w:val="en-US" w:eastAsia="zh-CN"/>
        </w:rPr>
        <w:t>废气（颗粒物、</w:t>
      </w:r>
      <w:r>
        <w:rPr>
          <w:rFonts w:hint="default" w:ascii="Times New Roman" w:hAnsi="Times New Roman" w:eastAsia="楷体" w:cs="Times New Roman"/>
          <w:i w:val="0"/>
          <w:iCs w:val="0"/>
          <w:color w:val="000000"/>
          <w:sz w:val="28"/>
          <w:szCs w:val="28"/>
          <w:u w:val="none"/>
          <w:vertAlign w:val="baseline"/>
          <w:lang w:val="en-US" w:eastAsia="zh-CN"/>
        </w:rPr>
        <w:t>非甲烷总烃、氯化氢、臭气浓度</w:t>
      </w:r>
      <w:r>
        <w:rPr>
          <w:rFonts w:hint="eastAsia" w:eastAsia="楷体" w:cs="Times New Roman"/>
          <w:i w:val="0"/>
          <w:iCs w:val="0"/>
          <w:color w:val="000000"/>
          <w:sz w:val="28"/>
          <w:szCs w:val="28"/>
          <w:u w:val="none"/>
          <w:vertAlign w:val="baseline"/>
          <w:lang w:val="en-US" w:eastAsia="zh-CN"/>
        </w:rPr>
        <w:t>）</w:t>
      </w:r>
      <w:r>
        <w:rPr>
          <w:rFonts w:hint="default" w:ascii="Times New Roman" w:hAnsi="Times New Roman" w:eastAsia="楷体" w:cs="Times New Roman"/>
          <w:i w:val="0"/>
          <w:iCs w:val="0"/>
          <w:color w:val="000000"/>
          <w:sz w:val="28"/>
          <w:szCs w:val="28"/>
          <w:u w:val="none"/>
          <w:vertAlign w:val="baseline"/>
          <w:lang w:val="en-US" w:eastAsia="zh-CN"/>
        </w:rPr>
        <w:t>、</w:t>
      </w:r>
      <w:r>
        <w:rPr>
          <w:rFonts w:hint="eastAsia" w:eastAsia="楷体" w:cs="Times New Roman"/>
          <w:i w:val="0"/>
          <w:iCs w:val="0"/>
          <w:color w:val="000000"/>
          <w:sz w:val="28"/>
          <w:szCs w:val="28"/>
          <w:u w:val="none"/>
          <w:vertAlign w:val="baseline"/>
          <w:lang w:val="en-US" w:eastAsia="zh-CN"/>
        </w:rPr>
        <w:t>设备</w:t>
      </w:r>
      <w:r>
        <w:rPr>
          <w:rFonts w:hint="default" w:ascii="Times New Roman" w:hAnsi="Times New Roman" w:eastAsia="楷体" w:cs="Times New Roman"/>
          <w:i w:val="0"/>
          <w:iCs w:val="0"/>
          <w:color w:val="000000"/>
          <w:sz w:val="28"/>
          <w:szCs w:val="28"/>
          <w:u w:val="none"/>
          <w:vertAlign w:val="baseline"/>
          <w:lang w:val="en-US" w:eastAsia="zh-CN"/>
        </w:rPr>
        <w:t>噪声</w:t>
      </w:r>
      <w:r>
        <w:rPr>
          <w:rFonts w:hint="eastAsia" w:eastAsia="楷体" w:cs="Times New Roman"/>
          <w:i w:val="0"/>
          <w:iCs w:val="0"/>
          <w:color w:val="000000"/>
          <w:sz w:val="28"/>
          <w:szCs w:val="28"/>
          <w:u w:val="none"/>
          <w:vertAlign w:val="baseline"/>
          <w:lang w:val="en-US" w:eastAsia="zh-CN"/>
        </w:rPr>
        <w:t>、固体废物废滤网</w:t>
      </w:r>
      <w:r>
        <w:rPr>
          <w:rFonts w:hint="default" w:ascii="Times New Roman" w:hAnsi="Times New Roman" w:eastAsia="楷体" w:cs="Times New Roman"/>
          <w:i w:val="0"/>
          <w:iCs w:val="0"/>
          <w:color w:val="000000"/>
          <w:sz w:val="28"/>
          <w:szCs w:val="28"/>
          <w:u w:val="none"/>
          <w:vertAlign w:val="baseline"/>
          <w:lang w:val="en-US" w:eastAsia="zh-CN"/>
        </w:rPr>
        <w:t>。</w:t>
      </w:r>
    </w:p>
    <w:p w14:paraId="0DAFFD72">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560" w:firstLineChars="200"/>
        <w:jc w:val="left"/>
        <w:textAlignment w:val="auto"/>
        <w:rPr>
          <w:rFonts w:hint="default" w:ascii="Times New Roman" w:hAnsi="Times New Roman" w:eastAsia="楷体" w:cs="Times New Roman"/>
          <w:sz w:val="28"/>
          <w:szCs w:val="28"/>
        </w:rPr>
      </w:pPr>
      <w:r>
        <w:rPr>
          <w:rFonts w:hint="default" w:ascii="Times New Roman" w:hAnsi="Times New Roman" w:eastAsia="楷体" w:cs="Times New Roman"/>
          <w:color w:val="000000"/>
          <w:kern w:val="0"/>
          <w:sz w:val="28"/>
          <w:szCs w:val="28"/>
          <w:lang w:val="en-US" w:eastAsia="zh-CN" w:bidi="ar"/>
        </w:rPr>
        <w:t>（7）冷却：经挤出机挤出的丝状线料，进入冷却</w:t>
      </w:r>
      <w:r>
        <w:rPr>
          <w:rFonts w:hint="eastAsia" w:eastAsia="楷体" w:cs="Times New Roman"/>
          <w:color w:val="000000"/>
          <w:kern w:val="0"/>
          <w:sz w:val="28"/>
          <w:szCs w:val="28"/>
          <w:lang w:val="en-US" w:eastAsia="zh-CN" w:bidi="ar"/>
        </w:rPr>
        <w:t>池</w:t>
      </w:r>
      <w:r>
        <w:rPr>
          <w:rFonts w:hint="default" w:ascii="Times New Roman" w:hAnsi="Times New Roman" w:eastAsia="楷体" w:cs="Times New Roman"/>
          <w:color w:val="000000"/>
          <w:kern w:val="0"/>
          <w:sz w:val="28"/>
          <w:szCs w:val="28"/>
          <w:lang w:val="en-US" w:eastAsia="zh-CN" w:bidi="ar"/>
        </w:rPr>
        <w:t>进行迅速冷却，冷却水循环利用。</w:t>
      </w:r>
    </w:p>
    <w:p w14:paraId="7467C7AC">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560" w:firstLineChars="200"/>
        <w:jc w:val="both"/>
        <w:textAlignment w:val="auto"/>
        <w:rPr>
          <w:rFonts w:hint="default" w:ascii="Times New Roman" w:hAnsi="Times New Roman" w:eastAsia="楷体" w:cs="Times New Roman"/>
          <w:color w:val="000000"/>
          <w:kern w:val="0"/>
          <w:sz w:val="28"/>
          <w:szCs w:val="28"/>
          <w:lang w:val="en-US" w:eastAsia="zh-CN" w:bidi="ar"/>
        </w:rPr>
      </w:pPr>
      <w:r>
        <w:rPr>
          <w:rFonts w:hint="default" w:ascii="Times New Roman" w:hAnsi="Times New Roman" w:eastAsia="楷体" w:cs="Times New Roman"/>
          <w:color w:val="000000"/>
          <w:kern w:val="0"/>
          <w:sz w:val="28"/>
          <w:szCs w:val="28"/>
          <w:lang w:val="en-US" w:eastAsia="zh-CN" w:bidi="ar"/>
        </w:rPr>
        <w:t>（7）切粒：冷却后的丝状线料拉入切粒机进行切粒，粒径大小为0.4~0.8cm。满足要求粒径要求的塑料颗粒进入存料器中储存外售，不满足要求粒径要求的塑料颗粒返回</w:t>
      </w:r>
      <w:r>
        <w:rPr>
          <w:rFonts w:hint="eastAsia" w:eastAsia="楷体" w:cs="Times New Roman"/>
          <w:color w:val="000000"/>
          <w:kern w:val="0"/>
          <w:sz w:val="28"/>
          <w:szCs w:val="28"/>
          <w:lang w:val="en-US" w:eastAsia="zh-CN" w:bidi="ar"/>
        </w:rPr>
        <w:t>挤出机</w:t>
      </w:r>
      <w:r>
        <w:rPr>
          <w:rFonts w:hint="default" w:ascii="Times New Roman" w:hAnsi="Times New Roman" w:eastAsia="楷体" w:cs="Times New Roman"/>
          <w:color w:val="000000"/>
          <w:kern w:val="0"/>
          <w:sz w:val="28"/>
          <w:szCs w:val="28"/>
          <w:lang w:val="en-US" w:eastAsia="zh-CN" w:bidi="ar"/>
        </w:rPr>
        <w:t>。</w:t>
      </w:r>
    </w:p>
    <w:p w14:paraId="1BD10A35">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560" w:firstLineChars="200"/>
        <w:jc w:val="left"/>
        <w:textAlignment w:val="auto"/>
      </w:pPr>
      <w:r>
        <w:rPr>
          <w:rFonts w:hint="default" w:ascii="Times New Roman" w:hAnsi="Times New Roman" w:eastAsia="楷体" w:cs="Times New Roman"/>
          <w:sz w:val="28"/>
          <w:szCs w:val="28"/>
          <w:lang w:val="en-US" w:eastAsia="zh-CN"/>
        </w:rPr>
        <w:t>此工序会产生</w:t>
      </w:r>
      <w:r>
        <w:rPr>
          <w:rFonts w:hint="eastAsia" w:eastAsia="楷体" w:cs="Times New Roman"/>
          <w:sz w:val="28"/>
          <w:szCs w:val="28"/>
          <w:lang w:val="en-US" w:eastAsia="zh-CN"/>
        </w:rPr>
        <w:t>设备</w:t>
      </w:r>
      <w:r>
        <w:rPr>
          <w:rFonts w:hint="default" w:ascii="Times New Roman" w:hAnsi="Times New Roman" w:eastAsia="楷体" w:cs="Times New Roman"/>
          <w:sz w:val="28"/>
          <w:szCs w:val="28"/>
          <w:lang w:val="en-US" w:eastAsia="zh-CN"/>
        </w:rPr>
        <w:t>噪声。</w:t>
      </w:r>
    </w:p>
    <w:p w14:paraId="32B9F3F1">
      <w:pPr>
        <w:pStyle w:val="47"/>
        <w:ind w:firstLine="482"/>
      </w:pPr>
      <w:r>
        <w:rPr>
          <w:rFonts w:hint="eastAsia"/>
        </w:rPr>
        <w:t>根据工艺流程</w:t>
      </w:r>
      <w:r>
        <w:t>，项目产污环节一览表见下表</w:t>
      </w:r>
      <w:r>
        <w:rPr>
          <w:rFonts w:hint="eastAsia"/>
          <w:lang w:val="en-US" w:eastAsia="zh-CN"/>
        </w:rPr>
        <w:t>3.3-2</w:t>
      </w:r>
      <w:r>
        <w:rPr>
          <w:rFonts w:hint="eastAsia"/>
        </w:rPr>
        <w:t>。</w:t>
      </w:r>
    </w:p>
    <w:p w14:paraId="5C28F8AF">
      <w:pPr>
        <w:pStyle w:val="94"/>
        <w:bidi w:val="0"/>
        <w:ind w:left="0" w:leftChars="0" w:firstLine="0" w:firstLineChars="0"/>
      </w:pPr>
      <w:r>
        <w:rPr>
          <w:rFonts w:hint="eastAsia"/>
        </w:rPr>
        <w:t>产污</w:t>
      </w:r>
      <w:r>
        <w:t>环节</w:t>
      </w:r>
      <w:r>
        <w:rPr>
          <w:rFonts w:hint="eastAsia"/>
        </w:rPr>
        <w:t>一览表</w:t>
      </w:r>
    </w:p>
    <w:tbl>
      <w:tblPr>
        <w:tblStyle w:val="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2"/>
        <w:gridCol w:w="669"/>
        <w:gridCol w:w="724"/>
        <w:gridCol w:w="1273"/>
        <w:gridCol w:w="2386"/>
        <w:gridCol w:w="2627"/>
        <w:gridCol w:w="738"/>
      </w:tblGrid>
      <w:tr w14:paraId="229C8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469" w:type="pct"/>
            <w:vAlign w:val="center"/>
          </w:tcPr>
          <w:p w14:paraId="0956C000">
            <w:pPr>
              <w:pStyle w:val="55"/>
              <w:bidi w:val="0"/>
              <w:rPr>
                <w:sz w:val="24"/>
                <w:szCs w:val="24"/>
              </w:rPr>
            </w:pPr>
            <w:r>
              <w:rPr>
                <w:rFonts w:hint="eastAsia"/>
                <w:sz w:val="24"/>
                <w:szCs w:val="24"/>
              </w:rPr>
              <w:t>污染物</w:t>
            </w:r>
            <w:r>
              <w:rPr>
                <w:sz w:val="24"/>
                <w:szCs w:val="24"/>
              </w:rPr>
              <w:t>类型</w:t>
            </w:r>
          </w:p>
        </w:tc>
        <w:tc>
          <w:tcPr>
            <w:tcW w:w="360" w:type="pct"/>
            <w:vAlign w:val="center"/>
          </w:tcPr>
          <w:p w14:paraId="00C1EDAF">
            <w:pPr>
              <w:pStyle w:val="55"/>
              <w:bidi w:val="0"/>
              <w:rPr>
                <w:sz w:val="24"/>
                <w:szCs w:val="24"/>
              </w:rPr>
            </w:pPr>
            <w:r>
              <w:rPr>
                <w:rFonts w:hint="eastAsia"/>
                <w:sz w:val="24"/>
                <w:szCs w:val="24"/>
              </w:rPr>
              <w:t>序号</w:t>
            </w:r>
          </w:p>
        </w:tc>
        <w:tc>
          <w:tcPr>
            <w:tcW w:w="1074" w:type="pct"/>
            <w:gridSpan w:val="2"/>
            <w:vAlign w:val="center"/>
          </w:tcPr>
          <w:p w14:paraId="01CBA075">
            <w:pPr>
              <w:pStyle w:val="55"/>
              <w:bidi w:val="0"/>
              <w:rPr>
                <w:sz w:val="24"/>
                <w:szCs w:val="24"/>
              </w:rPr>
            </w:pPr>
            <w:r>
              <w:rPr>
                <w:rFonts w:hint="eastAsia"/>
                <w:sz w:val="24"/>
                <w:szCs w:val="24"/>
              </w:rPr>
              <w:t>来源</w:t>
            </w:r>
          </w:p>
        </w:tc>
        <w:tc>
          <w:tcPr>
            <w:tcW w:w="1284" w:type="pct"/>
            <w:vAlign w:val="center"/>
          </w:tcPr>
          <w:p w14:paraId="7B9954BE">
            <w:pPr>
              <w:pStyle w:val="55"/>
              <w:bidi w:val="0"/>
              <w:rPr>
                <w:sz w:val="24"/>
                <w:szCs w:val="24"/>
              </w:rPr>
            </w:pPr>
            <w:r>
              <w:rPr>
                <w:rFonts w:hint="eastAsia"/>
                <w:sz w:val="24"/>
                <w:szCs w:val="24"/>
              </w:rPr>
              <w:t>主要污染物</w:t>
            </w:r>
          </w:p>
        </w:tc>
        <w:tc>
          <w:tcPr>
            <w:tcW w:w="1414" w:type="pct"/>
            <w:vAlign w:val="center"/>
          </w:tcPr>
          <w:p w14:paraId="3F653169">
            <w:pPr>
              <w:pStyle w:val="55"/>
              <w:bidi w:val="0"/>
              <w:rPr>
                <w:sz w:val="24"/>
                <w:szCs w:val="24"/>
              </w:rPr>
            </w:pPr>
            <w:r>
              <w:rPr>
                <w:rFonts w:hint="eastAsia"/>
                <w:sz w:val="24"/>
                <w:szCs w:val="24"/>
              </w:rPr>
              <w:t>治理措施</w:t>
            </w:r>
          </w:p>
        </w:tc>
        <w:tc>
          <w:tcPr>
            <w:tcW w:w="397" w:type="pct"/>
            <w:vAlign w:val="center"/>
          </w:tcPr>
          <w:p w14:paraId="196B5FAB">
            <w:pPr>
              <w:pStyle w:val="55"/>
              <w:bidi w:val="0"/>
              <w:rPr>
                <w:sz w:val="24"/>
                <w:szCs w:val="24"/>
              </w:rPr>
            </w:pPr>
            <w:r>
              <w:rPr>
                <w:rFonts w:hint="eastAsia"/>
                <w:sz w:val="24"/>
                <w:szCs w:val="24"/>
              </w:rPr>
              <w:t>排放方式</w:t>
            </w:r>
          </w:p>
        </w:tc>
      </w:tr>
      <w:tr w14:paraId="30872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9" w:type="pct"/>
            <w:vMerge w:val="restart"/>
            <w:vAlign w:val="center"/>
          </w:tcPr>
          <w:p w14:paraId="56279362">
            <w:pPr>
              <w:pStyle w:val="55"/>
              <w:bidi w:val="0"/>
              <w:rPr>
                <w:sz w:val="24"/>
                <w:szCs w:val="24"/>
              </w:rPr>
            </w:pPr>
            <w:r>
              <w:rPr>
                <w:rFonts w:hint="eastAsia"/>
                <w:sz w:val="24"/>
                <w:szCs w:val="24"/>
              </w:rPr>
              <w:t>废气</w:t>
            </w:r>
          </w:p>
        </w:tc>
        <w:tc>
          <w:tcPr>
            <w:tcW w:w="360" w:type="pct"/>
            <w:vMerge w:val="restart"/>
            <w:vAlign w:val="center"/>
          </w:tcPr>
          <w:p w14:paraId="66ACD522">
            <w:pPr>
              <w:pStyle w:val="55"/>
              <w:bidi w:val="0"/>
              <w:rPr>
                <w:rFonts w:hint="default"/>
                <w:sz w:val="24"/>
                <w:szCs w:val="24"/>
                <w:lang w:val="en-US" w:eastAsia="zh-CN"/>
              </w:rPr>
            </w:pPr>
            <w:r>
              <w:rPr>
                <w:rFonts w:hint="eastAsia"/>
                <w:sz w:val="24"/>
                <w:szCs w:val="24"/>
              </w:rPr>
              <w:t>G1</w:t>
            </w:r>
            <w:r>
              <w:rPr>
                <w:rFonts w:hint="eastAsia"/>
                <w:sz w:val="24"/>
                <w:szCs w:val="24"/>
                <w:lang w:eastAsia="zh-CN"/>
              </w:rPr>
              <w:t>、</w:t>
            </w:r>
            <w:r>
              <w:rPr>
                <w:rFonts w:hint="eastAsia"/>
                <w:sz w:val="24"/>
                <w:szCs w:val="24"/>
                <w:lang w:val="en-US" w:eastAsia="zh-CN"/>
              </w:rPr>
              <w:t>G2</w:t>
            </w:r>
          </w:p>
        </w:tc>
        <w:tc>
          <w:tcPr>
            <w:tcW w:w="389" w:type="pct"/>
            <w:vMerge w:val="restart"/>
            <w:vAlign w:val="center"/>
          </w:tcPr>
          <w:p w14:paraId="149E19EE">
            <w:pPr>
              <w:pStyle w:val="55"/>
              <w:bidi w:val="0"/>
              <w:rPr>
                <w:sz w:val="24"/>
                <w:szCs w:val="24"/>
              </w:rPr>
            </w:pPr>
            <w:r>
              <w:rPr>
                <w:rFonts w:hint="eastAsia"/>
                <w:sz w:val="24"/>
                <w:szCs w:val="24"/>
              </w:rPr>
              <w:t>1#生产车间</w:t>
            </w:r>
          </w:p>
        </w:tc>
        <w:tc>
          <w:tcPr>
            <w:tcW w:w="685" w:type="pct"/>
            <w:vAlign w:val="center"/>
          </w:tcPr>
          <w:p w14:paraId="275A71BC">
            <w:pPr>
              <w:pStyle w:val="55"/>
              <w:bidi w:val="0"/>
              <w:rPr>
                <w:rFonts w:hint="eastAsia"/>
                <w:sz w:val="24"/>
                <w:szCs w:val="24"/>
              </w:rPr>
            </w:pPr>
            <w:r>
              <w:rPr>
                <w:rFonts w:hint="eastAsia"/>
                <w:sz w:val="24"/>
                <w:szCs w:val="24"/>
              </w:rPr>
              <w:t>投料搅拌工序</w:t>
            </w:r>
          </w:p>
        </w:tc>
        <w:tc>
          <w:tcPr>
            <w:tcW w:w="1284" w:type="pct"/>
            <w:vAlign w:val="center"/>
          </w:tcPr>
          <w:p w14:paraId="7C97148F">
            <w:pPr>
              <w:pStyle w:val="55"/>
              <w:bidi w:val="0"/>
              <w:rPr>
                <w:rFonts w:hint="eastAsia"/>
                <w:sz w:val="24"/>
                <w:szCs w:val="24"/>
                <w:lang w:val="en-US" w:eastAsia="zh-CN"/>
              </w:rPr>
            </w:pPr>
            <w:r>
              <w:rPr>
                <w:rFonts w:hint="eastAsia"/>
                <w:sz w:val="24"/>
                <w:szCs w:val="24"/>
                <w:lang w:val="en-US" w:eastAsia="zh-CN"/>
              </w:rPr>
              <w:t>颗粒物</w:t>
            </w:r>
          </w:p>
        </w:tc>
        <w:tc>
          <w:tcPr>
            <w:tcW w:w="1414" w:type="pct"/>
            <w:vMerge w:val="restart"/>
            <w:vAlign w:val="center"/>
          </w:tcPr>
          <w:p w14:paraId="74D37887">
            <w:pPr>
              <w:pStyle w:val="55"/>
              <w:bidi w:val="0"/>
              <w:rPr>
                <w:sz w:val="24"/>
                <w:szCs w:val="24"/>
              </w:rPr>
            </w:pPr>
            <w:r>
              <w:rPr>
                <w:rFonts w:hint="eastAsia"/>
                <w:sz w:val="24"/>
                <w:szCs w:val="24"/>
              </w:rPr>
              <w:t>经集气罩收集，引入1套“布袋除尘器+两级活性炭吸附装置”处理后，由15m高排气筒（DA001）排放</w:t>
            </w:r>
          </w:p>
        </w:tc>
        <w:tc>
          <w:tcPr>
            <w:tcW w:w="397" w:type="pct"/>
            <w:vMerge w:val="restart"/>
            <w:shd w:val="clear" w:color="auto" w:fill="auto"/>
            <w:vAlign w:val="center"/>
          </w:tcPr>
          <w:p w14:paraId="2DF5C3ED">
            <w:pPr>
              <w:pStyle w:val="55"/>
              <w:bidi w:val="0"/>
              <w:rPr>
                <w:rFonts w:hint="default"/>
                <w:sz w:val="24"/>
                <w:szCs w:val="24"/>
                <w:lang w:val="en-US" w:eastAsia="zh-CN"/>
              </w:rPr>
            </w:pPr>
            <w:r>
              <w:rPr>
                <w:rFonts w:hint="eastAsia"/>
                <w:sz w:val="24"/>
                <w:szCs w:val="24"/>
                <w:lang w:val="en-US" w:eastAsia="zh-CN"/>
              </w:rPr>
              <w:t>连续</w:t>
            </w:r>
          </w:p>
        </w:tc>
      </w:tr>
      <w:tr w14:paraId="76CE1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9" w:type="pct"/>
            <w:vMerge w:val="continue"/>
            <w:vAlign w:val="center"/>
          </w:tcPr>
          <w:p w14:paraId="5D44C031">
            <w:pPr>
              <w:pStyle w:val="55"/>
              <w:bidi w:val="0"/>
              <w:rPr>
                <w:rFonts w:hint="eastAsia"/>
                <w:sz w:val="24"/>
                <w:szCs w:val="24"/>
              </w:rPr>
            </w:pPr>
          </w:p>
        </w:tc>
        <w:tc>
          <w:tcPr>
            <w:tcW w:w="360" w:type="pct"/>
            <w:vMerge w:val="continue"/>
            <w:vAlign w:val="center"/>
          </w:tcPr>
          <w:p w14:paraId="6827C2E5">
            <w:pPr>
              <w:pStyle w:val="55"/>
              <w:bidi w:val="0"/>
              <w:rPr>
                <w:rFonts w:hint="eastAsia"/>
                <w:sz w:val="24"/>
                <w:szCs w:val="24"/>
              </w:rPr>
            </w:pPr>
          </w:p>
        </w:tc>
        <w:tc>
          <w:tcPr>
            <w:tcW w:w="389" w:type="pct"/>
            <w:vMerge w:val="continue"/>
            <w:vAlign w:val="center"/>
          </w:tcPr>
          <w:p w14:paraId="0019E003">
            <w:pPr>
              <w:pStyle w:val="55"/>
              <w:bidi w:val="0"/>
              <w:rPr>
                <w:rFonts w:hint="eastAsia"/>
                <w:sz w:val="24"/>
                <w:szCs w:val="24"/>
              </w:rPr>
            </w:pPr>
          </w:p>
        </w:tc>
        <w:tc>
          <w:tcPr>
            <w:tcW w:w="685" w:type="pct"/>
            <w:vAlign w:val="center"/>
          </w:tcPr>
          <w:p w14:paraId="20DA1504">
            <w:pPr>
              <w:pStyle w:val="55"/>
              <w:bidi w:val="0"/>
              <w:rPr>
                <w:rFonts w:hint="eastAsia"/>
                <w:sz w:val="24"/>
                <w:szCs w:val="24"/>
              </w:rPr>
            </w:pPr>
            <w:r>
              <w:rPr>
                <w:rFonts w:hint="eastAsia"/>
                <w:sz w:val="24"/>
                <w:szCs w:val="24"/>
              </w:rPr>
              <w:t>挤出工序</w:t>
            </w:r>
          </w:p>
        </w:tc>
        <w:tc>
          <w:tcPr>
            <w:tcW w:w="1284" w:type="pct"/>
            <w:vAlign w:val="center"/>
          </w:tcPr>
          <w:p w14:paraId="0A0A3F05">
            <w:pPr>
              <w:pStyle w:val="55"/>
              <w:bidi w:val="0"/>
              <w:rPr>
                <w:sz w:val="24"/>
                <w:szCs w:val="24"/>
              </w:rPr>
            </w:pPr>
            <w:r>
              <w:rPr>
                <w:rFonts w:hint="eastAsia"/>
                <w:sz w:val="24"/>
                <w:szCs w:val="24"/>
              </w:rPr>
              <w:t>颗粒物</w:t>
            </w:r>
            <w:r>
              <w:rPr>
                <w:rFonts w:hint="eastAsia"/>
                <w:sz w:val="24"/>
                <w:szCs w:val="24"/>
                <w:lang w:eastAsia="zh-CN"/>
              </w:rPr>
              <w:t>、</w:t>
            </w:r>
            <w:r>
              <w:rPr>
                <w:rFonts w:hint="eastAsia"/>
                <w:sz w:val="24"/>
                <w:szCs w:val="24"/>
              </w:rPr>
              <w:t>非甲烷总烃</w:t>
            </w:r>
            <w:r>
              <w:rPr>
                <w:rFonts w:hint="eastAsia"/>
                <w:sz w:val="24"/>
                <w:szCs w:val="24"/>
                <w:lang w:eastAsia="zh-CN"/>
              </w:rPr>
              <w:t>、</w:t>
            </w:r>
            <w:r>
              <w:rPr>
                <w:rFonts w:hint="eastAsia"/>
                <w:sz w:val="24"/>
                <w:szCs w:val="24"/>
              </w:rPr>
              <w:t>氯化氢</w:t>
            </w:r>
            <w:r>
              <w:rPr>
                <w:rFonts w:hint="eastAsia"/>
                <w:sz w:val="24"/>
                <w:szCs w:val="24"/>
                <w:lang w:eastAsia="zh-CN"/>
              </w:rPr>
              <w:t>、</w:t>
            </w:r>
            <w:r>
              <w:rPr>
                <w:rFonts w:hint="eastAsia"/>
                <w:sz w:val="24"/>
                <w:szCs w:val="24"/>
              </w:rPr>
              <w:t>臭气浓度</w:t>
            </w:r>
          </w:p>
        </w:tc>
        <w:tc>
          <w:tcPr>
            <w:tcW w:w="1414" w:type="pct"/>
            <w:vMerge w:val="continue"/>
            <w:vAlign w:val="center"/>
          </w:tcPr>
          <w:p w14:paraId="3766A326">
            <w:pPr>
              <w:pStyle w:val="55"/>
              <w:bidi w:val="0"/>
              <w:rPr>
                <w:rFonts w:hint="eastAsia"/>
                <w:sz w:val="24"/>
                <w:szCs w:val="24"/>
              </w:rPr>
            </w:pPr>
          </w:p>
        </w:tc>
        <w:tc>
          <w:tcPr>
            <w:tcW w:w="397" w:type="pct"/>
            <w:vMerge w:val="continue"/>
            <w:shd w:val="clear" w:color="auto" w:fill="auto"/>
            <w:vAlign w:val="center"/>
          </w:tcPr>
          <w:p w14:paraId="260BA384">
            <w:pPr>
              <w:pStyle w:val="55"/>
              <w:bidi w:val="0"/>
              <w:rPr>
                <w:rFonts w:hint="eastAsia"/>
                <w:sz w:val="24"/>
                <w:szCs w:val="24"/>
              </w:rPr>
            </w:pPr>
          </w:p>
        </w:tc>
      </w:tr>
      <w:tr w14:paraId="3B5C5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9" w:type="pct"/>
            <w:vMerge w:val="continue"/>
            <w:vAlign w:val="center"/>
          </w:tcPr>
          <w:p w14:paraId="6AB742BA">
            <w:pPr>
              <w:pStyle w:val="55"/>
              <w:bidi w:val="0"/>
              <w:rPr>
                <w:rFonts w:hint="eastAsia"/>
                <w:sz w:val="24"/>
                <w:szCs w:val="24"/>
              </w:rPr>
            </w:pPr>
          </w:p>
        </w:tc>
        <w:tc>
          <w:tcPr>
            <w:tcW w:w="360" w:type="pct"/>
            <w:vMerge w:val="continue"/>
            <w:vAlign w:val="center"/>
          </w:tcPr>
          <w:p w14:paraId="04287C45">
            <w:pPr>
              <w:pStyle w:val="55"/>
              <w:bidi w:val="0"/>
              <w:rPr>
                <w:rFonts w:hint="eastAsia"/>
                <w:sz w:val="24"/>
                <w:szCs w:val="24"/>
              </w:rPr>
            </w:pPr>
          </w:p>
        </w:tc>
        <w:tc>
          <w:tcPr>
            <w:tcW w:w="389" w:type="pct"/>
            <w:vMerge w:val="restart"/>
            <w:vAlign w:val="center"/>
          </w:tcPr>
          <w:p w14:paraId="5AC25827">
            <w:pPr>
              <w:pStyle w:val="55"/>
              <w:bidi w:val="0"/>
              <w:rPr>
                <w:sz w:val="24"/>
                <w:szCs w:val="24"/>
              </w:rPr>
            </w:pPr>
            <w:r>
              <w:rPr>
                <w:rFonts w:hint="eastAsia"/>
                <w:sz w:val="24"/>
                <w:szCs w:val="24"/>
                <w:lang w:val="en-US" w:eastAsia="zh-CN"/>
              </w:rPr>
              <w:t>2</w:t>
            </w:r>
            <w:r>
              <w:rPr>
                <w:rFonts w:hint="eastAsia"/>
                <w:sz w:val="24"/>
                <w:szCs w:val="24"/>
              </w:rPr>
              <w:t>#生产车间</w:t>
            </w:r>
          </w:p>
        </w:tc>
        <w:tc>
          <w:tcPr>
            <w:tcW w:w="685" w:type="pct"/>
            <w:vAlign w:val="center"/>
          </w:tcPr>
          <w:p w14:paraId="7BCA60AF">
            <w:pPr>
              <w:pStyle w:val="55"/>
              <w:bidi w:val="0"/>
              <w:rPr>
                <w:rFonts w:hint="eastAsia"/>
                <w:sz w:val="24"/>
                <w:szCs w:val="24"/>
                <w:lang w:val="en-US" w:eastAsia="zh-CN"/>
              </w:rPr>
            </w:pPr>
            <w:r>
              <w:rPr>
                <w:rFonts w:hint="eastAsia"/>
                <w:sz w:val="24"/>
                <w:szCs w:val="24"/>
              </w:rPr>
              <w:t>投料搅拌工序</w:t>
            </w:r>
          </w:p>
        </w:tc>
        <w:tc>
          <w:tcPr>
            <w:tcW w:w="1284" w:type="pct"/>
            <w:vAlign w:val="center"/>
          </w:tcPr>
          <w:p w14:paraId="7E07287F">
            <w:pPr>
              <w:pStyle w:val="55"/>
              <w:bidi w:val="0"/>
              <w:rPr>
                <w:sz w:val="24"/>
                <w:szCs w:val="24"/>
              </w:rPr>
            </w:pPr>
            <w:r>
              <w:rPr>
                <w:rFonts w:hint="eastAsia"/>
                <w:sz w:val="24"/>
                <w:szCs w:val="24"/>
                <w:lang w:val="en-US" w:eastAsia="zh-CN"/>
              </w:rPr>
              <w:t>颗粒物</w:t>
            </w:r>
          </w:p>
        </w:tc>
        <w:tc>
          <w:tcPr>
            <w:tcW w:w="1414" w:type="pct"/>
            <w:vMerge w:val="restart"/>
            <w:vAlign w:val="center"/>
          </w:tcPr>
          <w:p w14:paraId="34A423E7">
            <w:pPr>
              <w:pStyle w:val="55"/>
              <w:bidi w:val="0"/>
              <w:rPr>
                <w:rFonts w:hint="eastAsia"/>
                <w:sz w:val="24"/>
                <w:szCs w:val="24"/>
              </w:rPr>
            </w:pPr>
            <w:r>
              <w:rPr>
                <w:rFonts w:hint="eastAsia"/>
                <w:sz w:val="24"/>
                <w:szCs w:val="24"/>
              </w:rPr>
              <w:t>经集气罩收集，引入1套“布袋除尘器+两级活性炭吸附装置”处理后，由15m高排气筒（DA00</w:t>
            </w:r>
            <w:r>
              <w:rPr>
                <w:rFonts w:hint="eastAsia"/>
                <w:sz w:val="24"/>
                <w:szCs w:val="24"/>
                <w:lang w:val="en-US" w:eastAsia="zh-CN"/>
              </w:rPr>
              <w:t>2</w:t>
            </w:r>
            <w:r>
              <w:rPr>
                <w:rFonts w:hint="eastAsia"/>
                <w:sz w:val="24"/>
                <w:szCs w:val="24"/>
              </w:rPr>
              <w:t>）排放</w:t>
            </w:r>
          </w:p>
        </w:tc>
        <w:tc>
          <w:tcPr>
            <w:tcW w:w="397" w:type="pct"/>
            <w:vMerge w:val="restart"/>
            <w:shd w:val="clear" w:color="auto" w:fill="auto"/>
            <w:vAlign w:val="center"/>
          </w:tcPr>
          <w:p w14:paraId="3B30C7D4">
            <w:pPr>
              <w:pStyle w:val="55"/>
              <w:bidi w:val="0"/>
              <w:rPr>
                <w:sz w:val="24"/>
                <w:szCs w:val="24"/>
                <w:lang w:val="en-US" w:eastAsia="zh-CN"/>
              </w:rPr>
            </w:pPr>
            <w:r>
              <w:rPr>
                <w:rFonts w:hint="eastAsia"/>
                <w:sz w:val="24"/>
                <w:szCs w:val="24"/>
                <w:lang w:val="en-US" w:eastAsia="zh-CN"/>
              </w:rPr>
              <w:t>连续</w:t>
            </w:r>
          </w:p>
        </w:tc>
      </w:tr>
      <w:tr w14:paraId="0DDAD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9" w:type="pct"/>
            <w:vMerge w:val="continue"/>
            <w:vAlign w:val="center"/>
          </w:tcPr>
          <w:p w14:paraId="2E38FEB7">
            <w:pPr>
              <w:pStyle w:val="55"/>
              <w:bidi w:val="0"/>
              <w:rPr>
                <w:rFonts w:hint="eastAsia"/>
                <w:sz w:val="24"/>
                <w:szCs w:val="24"/>
              </w:rPr>
            </w:pPr>
          </w:p>
        </w:tc>
        <w:tc>
          <w:tcPr>
            <w:tcW w:w="360" w:type="pct"/>
            <w:vMerge w:val="continue"/>
            <w:vAlign w:val="center"/>
          </w:tcPr>
          <w:p w14:paraId="31F3E9F6">
            <w:pPr>
              <w:pStyle w:val="55"/>
              <w:bidi w:val="0"/>
              <w:rPr>
                <w:rFonts w:hint="eastAsia"/>
                <w:sz w:val="24"/>
                <w:szCs w:val="24"/>
              </w:rPr>
            </w:pPr>
          </w:p>
        </w:tc>
        <w:tc>
          <w:tcPr>
            <w:tcW w:w="389" w:type="pct"/>
            <w:vMerge w:val="continue"/>
            <w:vAlign w:val="center"/>
          </w:tcPr>
          <w:p w14:paraId="346F2F2B">
            <w:pPr>
              <w:pStyle w:val="55"/>
              <w:bidi w:val="0"/>
              <w:rPr>
                <w:rFonts w:hint="eastAsia"/>
                <w:sz w:val="24"/>
                <w:szCs w:val="24"/>
                <w:lang w:val="en-US" w:eastAsia="zh-CN"/>
              </w:rPr>
            </w:pPr>
          </w:p>
        </w:tc>
        <w:tc>
          <w:tcPr>
            <w:tcW w:w="685" w:type="pct"/>
            <w:vAlign w:val="center"/>
          </w:tcPr>
          <w:p w14:paraId="24A21B84">
            <w:pPr>
              <w:pStyle w:val="55"/>
              <w:bidi w:val="0"/>
              <w:rPr>
                <w:rFonts w:hint="eastAsia"/>
                <w:sz w:val="24"/>
                <w:szCs w:val="24"/>
                <w:lang w:val="en-US" w:eastAsia="zh-CN"/>
              </w:rPr>
            </w:pPr>
            <w:r>
              <w:rPr>
                <w:rFonts w:hint="eastAsia"/>
                <w:sz w:val="24"/>
                <w:szCs w:val="24"/>
              </w:rPr>
              <w:t>挤出工序</w:t>
            </w:r>
          </w:p>
        </w:tc>
        <w:tc>
          <w:tcPr>
            <w:tcW w:w="1284" w:type="pct"/>
            <w:vAlign w:val="center"/>
          </w:tcPr>
          <w:p w14:paraId="292F7444">
            <w:pPr>
              <w:pStyle w:val="55"/>
              <w:bidi w:val="0"/>
              <w:rPr>
                <w:sz w:val="24"/>
                <w:szCs w:val="24"/>
              </w:rPr>
            </w:pPr>
            <w:r>
              <w:rPr>
                <w:rFonts w:hint="eastAsia"/>
                <w:sz w:val="24"/>
                <w:szCs w:val="24"/>
              </w:rPr>
              <w:t>颗粒物</w:t>
            </w:r>
            <w:r>
              <w:rPr>
                <w:rFonts w:hint="eastAsia"/>
                <w:sz w:val="24"/>
                <w:szCs w:val="24"/>
                <w:lang w:eastAsia="zh-CN"/>
              </w:rPr>
              <w:t>、</w:t>
            </w:r>
            <w:r>
              <w:rPr>
                <w:rFonts w:hint="eastAsia"/>
                <w:sz w:val="24"/>
                <w:szCs w:val="24"/>
              </w:rPr>
              <w:t>非甲烷总烃</w:t>
            </w:r>
            <w:r>
              <w:rPr>
                <w:rFonts w:hint="eastAsia"/>
                <w:sz w:val="24"/>
                <w:szCs w:val="24"/>
                <w:lang w:eastAsia="zh-CN"/>
              </w:rPr>
              <w:t>、</w:t>
            </w:r>
            <w:r>
              <w:rPr>
                <w:rFonts w:hint="eastAsia"/>
                <w:sz w:val="24"/>
                <w:szCs w:val="24"/>
              </w:rPr>
              <w:t>氯化氢</w:t>
            </w:r>
            <w:r>
              <w:rPr>
                <w:rFonts w:hint="eastAsia"/>
                <w:sz w:val="24"/>
                <w:szCs w:val="24"/>
                <w:lang w:eastAsia="zh-CN"/>
              </w:rPr>
              <w:t>、</w:t>
            </w:r>
            <w:r>
              <w:rPr>
                <w:rFonts w:hint="eastAsia"/>
                <w:sz w:val="24"/>
                <w:szCs w:val="24"/>
              </w:rPr>
              <w:t>臭气浓度</w:t>
            </w:r>
          </w:p>
        </w:tc>
        <w:tc>
          <w:tcPr>
            <w:tcW w:w="1414" w:type="pct"/>
            <w:vMerge w:val="continue"/>
            <w:vAlign w:val="center"/>
          </w:tcPr>
          <w:p w14:paraId="178E9BBD">
            <w:pPr>
              <w:pStyle w:val="55"/>
              <w:bidi w:val="0"/>
              <w:rPr>
                <w:rFonts w:hint="eastAsia"/>
                <w:sz w:val="24"/>
                <w:szCs w:val="24"/>
              </w:rPr>
            </w:pPr>
          </w:p>
        </w:tc>
        <w:tc>
          <w:tcPr>
            <w:tcW w:w="397" w:type="pct"/>
            <w:vMerge w:val="continue"/>
            <w:shd w:val="clear" w:color="auto" w:fill="auto"/>
            <w:vAlign w:val="center"/>
          </w:tcPr>
          <w:p w14:paraId="5183F88D">
            <w:pPr>
              <w:pStyle w:val="55"/>
              <w:bidi w:val="0"/>
              <w:rPr>
                <w:rFonts w:hint="eastAsia"/>
                <w:sz w:val="24"/>
                <w:szCs w:val="24"/>
              </w:rPr>
            </w:pPr>
          </w:p>
        </w:tc>
      </w:tr>
      <w:tr w14:paraId="694EE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9" w:type="pct"/>
            <w:vMerge w:val="continue"/>
            <w:vAlign w:val="center"/>
          </w:tcPr>
          <w:p w14:paraId="7FF09FEF">
            <w:pPr>
              <w:pStyle w:val="55"/>
              <w:bidi w:val="0"/>
              <w:rPr>
                <w:rFonts w:hint="eastAsia"/>
                <w:sz w:val="24"/>
                <w:szCs w:val="24"/>
              </w:rPr>
            </w:pPr>
          </w:p>
        </w:tc>
        <w:tc>
          <w:tcPr>
            <w:tcW w:w="360" w:type="pct"/>
            <w:vMerge w:val="continue"/>
            <w:vAlign w:val="center"/>
          </w:tcPr>
          <w:p w14:paraId="60A13023">
            <w:pPr>
              <w:pStyle w:val="55"/>
              <w:bidi w:val="0"/>
              <w:rPr>
                <w:rFonts w:hint="eastAsia"/>
                <w:sz w:val="24"/>
                <w:szCs w:val="24"/>
              </w:rPr>
            </w:pPr>
          </w:p>
        </w:tc>
        <w:tc>
          <w:tcPr>
            <w:tcW w:w="389" w:type="pct"/>
            <w:vMerge w:val="restart"/>
            <w:vAlign w:val="center"/>
          </w:tcPr>
          <w:p w14:paraId="7A919CAF">
            <w:pPr>
              <w:pStyle w:val="55"/>
              <w:bidi w:val="0"/>
              <w:rPr>
                <w:sz w:val="24"/>
                <w:szCs w:val="24"/>
              </w:rPr>
            </w:pPr>
            <w:r>
              <w:rPr>
                <w:rFonts w:hint="eastAsia"/>
                <w:sz w:val="24"/>
                <w:szCs w:val="24"/>
                <w:lang w:val="en-US" w:eastAsia="zh-CN"/>
              </w:rPr>
              <w:t>3</w:t>
            </w:r>
            <w:r>
              <w:rPr>
                <w:rFonts w:hint="eastAsia"/>
                <w:sz w:val="24"/>
                <w:szCs w:val="24"/>
              </w:rPr>
              <w:t>#生产车间</w:t>
            </w:r>
          </w:p>
        </w:tc>
        <w:tc>
          <w:tcPr>
            <w:tcW w:w="685" w:type="pct"/>
            <w:vAlign w:val="center"/>
          </w:tcPr>
          <w:p w14:paraId="26C481D6">
            <w:pPr>
              <w:pStyle w:val="55"/>
              <w:bidi w:val="0"/>
              <w:rPr>
                <w:rFonts w:hint="eastAsia"/>
                <w:sz w:val="24"/>
                <w:szCs w:val="24"/>
                <w:lang w:val="en-US" w:eastAsia="zh-CN"/>
              </w:rPr>
            </w:pPr>
            <w:r>
              <w:rPr>
                <w:rFonts w:hint="eastAsia"/>
                <w:sz w:val="24"/>
                <w:szCs w:val="24"/>
              </w:rPr>
              <w:t>投料搅拌工序</w:t>
            </w:r>
          </w:p>
        </w:tc>
        <w:tc>
          <w:tcPr>
            <w:tcW w:w="1284" w:type="pct"/>
            <w:vAlign w:val="center"/>
          </w:tcPr>
          <w:p w14:paraId="22997201">
            <w:pPr>
              <w:pStyle w:val="55"/>
              <w:bidi w:val="0"/>
              <w:rPr>
                <w:sz w:val="24"/>
                <w:szCs w:val="24"/>
              </w:rPr>
            </w:pPr>
            <w:r>
              <w:rPr>
                <w:rFonts w:hint="eastAsia"/>
                <w:sz w:val="24"/>
                <w:szCs w:val="24"/>
                <w:lang w:val="en-US" w:eastAsia="zh-CN"/>
              </w:rPr>
              <w:t>颗粒物</w:t>
            </w:r>
          </w:p>
        </w:tc>
        <w:tc>
          <w:tcPr>
            <w:tcW w:w="1414" w:type="pct"/>
            <w:vMerge w:val="restart"/>
            <w:vAlign w:val="center"/>
          </w:tcPr>
          <w:p w14:paraId="70AD7D72">
            <w:pPr>
              <w:pStyle w:val="55"/>
              <w:bidi w:val="0"/>
              <w:rPr>
                <w:rFonts w:hint="eastAsia"/>
                <w:sz w:val="24"/>
                <w:szCs w:val="24"/>
              </w:rPr>
            </w:pPr>
            <w:r>
              <w:rPr>
                <w:rFonts w:hint="eastAsia"/>
                <w:sz w:val="24"/>
                <w:szCs w:val="24"/>
              </w:rPr>
              <w:t>经集气罩收集，引入1套“布袋除尘器+两级活性炭吸附装置”处理后，由15m高排气筒（DA00</w:t>
            </w:r>
            <w:r>
              <w:rPr>
                <w:rFonts w:hint="eastAsia"/>
                <w:sz w:val="24"/>
                <w:szCs w:val="24"/>
                <w:lang w:val="en-US" w:eastAsia="zh-CN"/>
              </w:rPr>
              <w:t>3</w:t>
            </w:r>
            <w:r>
              <w:rPr>
                <w:rFonts w:hint="eastAsia"/>
                <w:sz w:val="24"/>
                <w:szCs w:val="24"/>
              </w:rPr>
              <w:t>）排放</w:t>
            </w:r>
          </w:p>
        </w:tc>
        <w:tc>
          <w:tcPr>
            <w:tcW w:w="397" w:type="pct"/>
            <w:vMerge w:val="restart"/>
            <w:shd w:val="clear" w:color="auto" w:fill="auto"/>
            <w:vAlign w:val="center"/>
          </w:tcPr>
          <w:p w14:paraId="25921E2F">
            <w:pPr>
              <w:pStyle w:val="55"/>
              <w:bidi w:val="0"/>
              <w:rPr>
                <w:sz w:val="24"/>
                <w:szCs w:val="24"/>
                <w:lang w:val="en-US" w:eastAsia="zh-CN"/>
              </w:rPr>
            </w:pPr>
            <w:r>
              <w:rPr>
                <w:rFonts w:hint="eastAsia"/>
                <w:sz w:val="24"/>
                <w:szCs w:val="24"/>
                <w:lang w:val="en-US" w:eastAsia="zh-CN"/>
              </w:rPr>
              <w:t>连续</w:t>
            </w:r>
          </w:p>
        </w:tc>
      </w:tr>
      <w:tr w14:paraId="54FAB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9" w:type="pct"/>
            <w:vMerge w:val="continue"/>
            <w:vAlign w:val="center"/>
          </w:tcPr>
          <w:p w14:paraId="791C29CD">
            <w:pPr>
              <w:pStyle w:val="55"/>
              <w:bidi w:val="0"/>
              <w:rPr>
                <w:rFonts w:hint="eastAsia"/>
                <w:sz w:val="24"/>
                <w:szCs w:val="24"/>
              </w:rPr>
            </w:pPr>
          </w:p>
        </w:tc>
        <w:tc>
          <w:tcPr>
            <w:tcW w:w="360" w:type="pct"/>
            <w:vMerge w:val="continue"/>
            <w:vAlign w:val="center"/>
          </w:tcPr>
          <w:p w14:paraId="6D80209E">
            <w:pPr>
              <w:pStyle w:val="55"/>
              <w:bidi w:val="0"/>
              <w:rPr>
                <w:rFonts w:hint="eastAsia"/>
                <w:sz w:val="24"/>
                <w:szCs w:val="24"/>
              </w:rPr>
            </w:pPr>
          </w:p>
        </w:tc>
        <w:tc>
          <w:tcPr>
            <w:tcW w:w="389" w:type="pct"/>
            <w:vMerge w:val="continue"/>
            <w:vAlign w:val="center"/>
          </w:tcPr>
          <w:p w14:paraId="66AA9D9D">
            <w:pPr>
              <w:pStyle w:val="55"/>
              <w:bidi w:val="0"/>
              <w:rPr>
                <w:rFonts w:hint="eastAsia"/>
                <w:sz w:val="24"/>
                <w:szCs w:val="24"/>
                <w:lang w:val="en-US" w:eastAsia="zh-CN"/>
              </w:rPr>
            </w:pPr>
          </w:p>
        </w:tc>
        <w:tc>
          <w:tcPr>
            <w:tcW w:w="685" w:type="pct"/>
            <w:vAlign w:val="center"/>
          </w:tcPr>
          <w:p w14:paraId="5D475A4F">
            <w:pPr>
              <w:pStyle w:val="55"/>
              <w:bidi w:val="0"/>
              <w:rPr>
                <w:rFonts w:hint="eastAsia"/>
                <w:sz w:val="24"/>
                <w:szCs w:val="24"/>
                <w:lang w:val="en-US" w:eastAsia="zh-CN"/>
              </w:rPr>
            </w:pPr>
            <w:r>
              <w:rPr>
                <w:rFonts w:hint="eastAsia"/>
                <w:sz w:val="24"/>
                <w:szCs w:val="24"/>
              </w:rPr>
              <w:t>挤出工序</w:t>
            </w:r>
          </w:p>
        </w:tc>
        <w:tc>
          <w:tcPr>
            <w:tcW w:w="1284" w:type="pct"/>
            <w:vAlign w:val="center"/>
          </w:tcPr>
          <w:p w14:paraId="0DC4BECF">
            <w:pPr>
              <w:pStyle w:val="55"/>
              <w:bidi w:val="0"/>
              <w:rPr>
                <w:sz w:val="24"/>
                <w:szCs w:val="24"/>
              </w:rPr>
            </w:pPr>
            <w:r>
              <w:rPr>
                <w:rFonts w:hint="eastAsia"/>
                <w:sz w:val="24"/>
                <w:szCs w:val="24"/>
              </w:rPr>
              <w:t>颗粒物</w:t>
            </w:r>
            <w:r>
              <w:rPr>
                <w:rFonts w:hint="eastAsia"/>
                <w:sz w:val="24"/>
                <w:szCs w:val="24"/>
                <w:lang w:eastAsia="zh-CN"/>
              </w:rPr>
              <w:t>、</w:t>
            </w:r>
            <w:r>
              <w:rPr>
                <w:rFonts w:hint="eastAsia"/>
                <w:sz w:val="24"/>
                <w:szCs w:val="24"/>
              </w:rPr>
              <w:t>非甲烷总烃</w:t>
            </w:r>
            <w:r>
              <w:rPr>
                <w:rFonts w:hint="eastAsia"/>
                <w:sz w:val="24"/>
                <w:szCs w:val="24"/>
                <w:lang w:eastAsia="zh-CN"/>
              </w:rPr>
              <w:t>、</w:t>
            </w:r>
            <w:r>
              <w:rPr>
                <w:rFonts w:hint="eastAsia"/>
                <w:sz w:val="24"/>
                <w:szCs w:val="24"/>
              </w:rPr>
              <w:t>氯化氢</w:t>
            </w:r>
            <w:r>
              <w:rPr>
                <w:rFonts w:hint="eastAsia"/>
                <w:sz w:val="24"/>
                <w:szCs w:val="24"/>
                <w:lang w:eastAsia="zh-CN"/>
              </w:rPr>
              <w:t>、</w:t>
            </w:r>
            <w:r>
              <w:rPr>
                <w:rFonts w:hint="eastAsia"/>
                <w:sz w:val="24"/>
                <w:szCs w:val="24"/>
              </w:rPr>
              <w:t>臭气浓度</w:t>
            </w:r>
          </w:p>
        </w:tc>
        <w:tc>
          <w:tcPr>
            <w:tcW w:w="1414" w:type="pct"/>
            <w:vMerge w:val="continue"/>
            <w:vAlign w:val="center"/>
          </w:tcPr>
          <w:p w14:paraId="43902B99">
            <w:pPr>
              <w:pStyle w:val="55"/>
              <w:bidi w:val="0"/>
              <w:rPr>
                <w:rFonts w:hint="eastAsia"/>
                <w:sz w:val="24"/>
                <w:szCs w:val="24"/>
              </w:rPr>
            </w:pPr>
          </w:p>
        </w:tc>
        <w:tc>
          <w:tcPr>
            <w:tcW w:w="397" w:type="pct"/>
            <w:vMerge w:val="continue"/>
            <w:shd w:val="clear" w:color="auto" w:fill="auto"/>
            <w:vAlign w:val="center"/>
          </w:tcPr>
          <w:p w14:paraId="0B4533CA">
            <w:pPr>
              <w:pStyle w:val="55"/>
              <w:bidi w:val="0"/>
              <w:rPr>
                <w:rFonts w:hint="eastAsia"/>
                <w:sz w:val="24"/>
                <w:szCs w:val="24"/>
              </w:rPr>
            </w:pPr>
          </w:p>
        </w:tc>
      </w:tr>
      <w:tr w14:paraId="06247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9" w:type="pct"/>
            <w:vAlign w:val="center"/>
          </w:tcPr>
          <w:p w14:paraId="4349893C">
            <w:pPr>
              <w:pStyle w:val="55"/>
              <w:bidi w:val="0"/>
              <w:rPr>
                <w:sz w:val="24"/>
                <w:szCs w:val="24"/>
              </w:rPr>
            </w:pPr>
            <w:r>
              <w:rPr>
                <w:rFonts w:hint="eastAsia"/>
                <w:sz w:val="24"/>
                <w:szCs w:val="24"/>
              </w:rPr>
              <w:t>废水</w:t>
            </w:r>
          </w:p>
        </w:tc>
        <w:tc>
          <w:tcPr>
            <w:tcW w:w="360" w:type="pct"/>
            <w:vAlign w:val="center"/>
          </w:tcPr>
          <w:p w14:paraId="4003E619">
            <w:pPr>
              <w:pStyle w:val="55"/>
              <w:bidi w:val="0"/>
              <w:rPr>
                <w:rFonts w:hint="eastAsia"/>
                <w:sz w:val="24"/>
                <w:szCs w:val="24"/>
                <w:lang w:val="en-US" w:eastAsia="zh-CN"/>
              </w:rPr>
            </w:pPr>
            <w:r>
              <w:rPr>
                <w:rFonts w:hint="eastAsia"/>
                <w:sz w:val="24"/>
                <w:szCs w:val="24"/>
              </w:rPr>
              <w:t>W</w:t>
            </w:r>
            <w:r>
              <w:rPr>
                <w:rFonts w:hint="eastAsia"/>
                <w:sz w:val="24"/>
                <w:szCs w:val="24"/>
                <w:lang w:val="en-US" w:eastAsia="zh-CN"/>
              </w:rPr>
              <w:t>2</w:t>
            </w:r>
          </w:p>
        </w:tc>
        <w:tc>
          <w:tcPr>
            <w:tcW w:w="1074" w:type="pct"/>
            <w:gridSpan w:val="2"/>
            <w:vAlign w:val="center"/>
          </w:tcPr>
          <w:p w14:paraId="6D3FFC01">
            <w:pPr>
              <w:pStyle w:val="55"/>
              <w:bidi w:val="0"/>
              <w:rPr>
                <w:rFonts w:hint="eastAsia"/>
                <w:sz w:val="24"/>
                <w:szCs w:val="24"/>
                <w:lang w:val="en-US" w:eastAsia="zh-CN"/>
              </w:rPr>
            </w:pPr>
            <w:r>
              <w:rPr>
                <w:rFonts w:hint="eastAsia"/>
                <w:sz w:val="24"/>
                <w:szCs w:val="24"/>
                <w:lang w:val="en-US" w:eastAsia="zh-CN"/>
              </w:rPr>
              <w:t>生活污水</w:t>
            </w:r>
          </w:p>
        </w:tc>
        <w:tc>
          <w:tcPr>
            <w:tcW w:w="1284" w:type="pct"/>
            <w:vAlign w:val="center"/>
          </w:tcPr>
          <w:p w14:paraId="458121E0">
            <w:pPr>
              <w:pStyle w:val="55"/>
              <w:bidi w:val="0"/>
              <w:rPr>
                <w:rFonts w:hint="eastAsia"/>
                <w:sz w:val="24"/>
                <w:szCs w:val="24"/>
                <w:lang w:val="en-US" w:eastAsia="zh-CN"/>
              </w:rPr>
            </w:pPr>
            <w:r>
              <w:rPr>
                <w:rFonts w:hint="eastAsia"/>
                <w:sz w:val="24"/>
                <w:szCs w:val="24"/>
                <w:lang w:val="en-US" w:eastAsia="zh-CN"/>
              </w:rPr>
              <w:t>/</w:t>
            </w:r>
          </w:p>
        </w:tc>
        <w:tc>
          <w:tcPr>
            <w:tcW w:w="1414" w:type="pct"/>
            <w:vAlign w:val="center"/>
          </w:tcPr>
          <w:p w14:paraId="415CCDEA">
            <w:pPr>
              <w:pStyle w:val="55"/>
              <w:bidi w:val="0"/>
              <w:rPr>
                <w:rFonts w:hint="default"/>
                <w:sz w:val="24"/>
                <w:szCs w:val="24"/>
                <w:lang w:val="en-US" w:eastAsia="zh-CN"/>
              </w:rPr>
            </w:pPr>
            <w:r>
              <w:rPr>
                <w:rFonts w:hint="eastAsia"/>
                <w:sz w:val="24"/>
                <w:szCs w:val="24"/>
              </w:rPr>
              <w:t>泼洒地面抑尘，厂区设防渗旱厕，定期清掏不外排</w:t>
            </w:r>
          </w:p>
        </w:tc>
        <w:tc>
          <w:tcPr>
            <w:tcW w:w="397" w:type="pct"/>
            <w:vAlign w:val="center"/>
          </w:tcPr>
          <w:p w14:paraId="5ACDF9FF">
            <w:pPr>
              <w:pStyle w:val="55"/>
              <w:bidi w:val="0"/>
              <w:rPr>
                <w:rFonts w:hint="default"/>
                <w:sz w:val="24"/>
                <w:szCs w:val="24"/>
                <w:lang w:val="en-US" w:eastAsia="zh-CN"/>
              </w:rPr>
            </w:pPr>
            <w:r>
              <w:rPr>
                <w:rFonts w:hint="eastAsia"/>
                <w:sz w:val="24"/>
                <w:szCs w:val="24"/>
                <w:lang w:val="en-US" w:eastAsia="zh-CN"/>
              </w:rPr>
              <w:t>间断</w:t>
            </w:r>
          </w:p>
        </w:tc>
      </w:tr>
      <w:tr w14:paraId="5652C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9" w:type="pct"/>
            <w:vAlign w:val="center"/>
          </w:tcPr>
          <w:p w14:paraId="27A3DB62">
            <w:pPr>
              <w:pStyle w:val="55"/>
              <w:bidi w:val="0"/>
              <w:rPr>
                <w:sz w:val="24"/>
                <w:szCs w:val="24"/>
              </w:rPr>
            </w:pPr>
            <w:r>
              <w:rPr>
                <w:rFonts w:hint="eastAsia"/>
                <w:sz w:val="24"/>
                <w:szCs w:val="24"/>
              </w:rPr>
              <w:t>噪声</w:t>
            </w:r>
          </w:p>
        </w:tc>
        <w:tc>
          <w:tcPr>
            <w:tcW w:w="360" w:type="pct"/>
            <w:vAlign w:val="center"/>
          </w:tcPr>
          <w:p w14:paraId="3E68DBCF">
            <w:pPr>
              <w:pStyle w:val="55"/>
              <w:bidi w:val="0"/>
              <w:rPr>
                <w:rFonts w:hint="default"/>
                <w:sz w:val="24"/>
                <w:szCs w:val="24"/>
                <w:lang w:val="en-US" w:eastAsia="zh-CN"/>
              </w:rPr>
            </w:pPr>
            <w:r>
              <w:rPr>
                <w:rFonts w:hint="eastAsia"/>
                <w:sz w:val="24"/>
                <w:szCs w:val="24"/>
              </w:rPr>
              <w:t>N1</w:t>
            </w:r>
            <w:r>
              <w:rPr>
                <w:rFonts w:hint="default"/>
                <w:sz w:val="24"/>
                <w:szCs w:val="24"/>
              </w:rPr>
              <w:t>~</w:t>
            </w:r>
            <w:r>
              <w:rPr>
                <w:rFonts w:hint="eastAsia"/>
                <w:sz w:val="24"/>
                <w:szCs w:val="24"/>
                <w:lang w:val="en-US" w:eastAsia="zh-CN"/>
              </w:rPr>
              <w:t>N7</w:t>
            </w:r>
          </w:p>
        </w:tc>
        <w:tc>
          <w:tcPr>
            <w:tcW w:w="1074" w:type="pct"/>
            <w:gridSpan w:val="2"/>
            <w:vAlign w:val="center"/>
          </w:tcPr>
          <w:p w14:paraId="3C25CD9C">
            <w:pPr>
              <w:pStyle w:val="55"/>
              <w:bidi w:val="0"/>
              <w:rPr>
                <w:sz w:val="24"/>
                <w:szCs w:val="24"/>
              </w:rPr>
            </w:pPr>
            <w:r>
              <w:rPr>
                <w:rFonts w:hint="eastAsia"/>
                <w:sz w:val="24"/>
                <w:szCs w:val="24"/>
              </w:rPr>
              <w:t>破碎机</w:t>
            </w:r>
            <w:r>
              <w:rPr>
                <w:rFonts w:hint="eastAsia"/>
                <w:sz w:val="24"/>
                <w:szCs w:val="24"/>
                <w:lang w:eastAsia="zh-CN"/>
              </w:rPr>
              <w:t>、</w:t>
            </w:r>
            <w:r>
              <w:rPr>
                <w:rFonts w:hint="eastAsia"/>
                <w:sz w:val="24"/>
                <w:szCs w:val="24"/>
              </w:rPr>
              <w:t>水浮分离机</w:t>
            </w:r>
            <w:r>
              <w:rPr>
                <w:rFonts w:hint="eastAsia"/>
                <w:sz w:val="24"/>
                <w:szCs w:val="24"/>
                <w:lang w:eastAsia="zh-CN"/>
              </w:rPr>
              <w:t>、</w:t>
            </w:r>
            <w:r>
              <w:rPr>
                <w:rFonts w:hint="eastAsia"/>
                <w:sz w:val="24"/>
                <w:szCs w:val="24"/>
              </w:rPr>
              <w:t>卧式甩干机</w:t>
            </w:r>
            <w:r>
              <w:rPr>
                <w:rFonts w:hint="eastAsia"/>
                <w:sz w:val="24"/>
                <w:szCs w:val="24"/>
                <w:lang w:eastAsia="zh-CN"/>
              </w:rPr>
              <w:t>、</w:t>
            </w:r>
            <w:r>
              <w:rPr>
                <w:rFonts w:hint="eastAsia"/>
                <w:sz w:val="24"/>
                <w:szCs w:val="24"/>
              </w:rPr>
              <w:t>高速混合机</w:t>
            </w:r>
            <w:r>
              <w:rPr>
                <w:rFonts w:hint="eastAsia"/>
                <w:sz w:val="24"/>
                <w:szCs w:val="24"/>
                <w:lang w:eastAsia="zh-CN"/>
              </w:rPr>
              <w:t>、</w:t>
            </w:r>
            <w:r>
              <w:rPr>
                <w:rFonts w:hint="eastAsia"/>
                <w:sz w:val="24"/>
                <w:szCs w:val="24"/>
              </w:rPr>
              <w:t>挤出机</w:t>
            </w:r>
            <w:r>
              <w:rPr>
                <w:rFonts w:hint="eastAsia"/>
                <w:sz w:val="24"/>
                <w:szCs w:val="24"/>
                <w:lang w:eastAsia="zh-CN"/>
              </w:rPr>
              <w:t>、</w:t>
            </w:r>
            <w:r>
              <w:rPr>
                <w:rFonts w:hint="eastAsia"/>
                <w:sz w:val="24"/>
                <w:szCs w:val="24"/>
                <w:lang w:val="en-US" w:eastAsia="zh-CN"/>
              </w:rPr>
              <w:t>风机等设备</w:t>
            </w:r>
          </w:p>
        </w:tc>
        <w:tc>
          <w:tcPr>
            <w:tcW w:w="1284" w:type="pct"/>
            <w:vAlign w:val="center"/>
          </w:tcPr>
          <w:p w14:paraId="4BD791F6">
            <w:pPr>
              <w:pStyle w:val="55"/>
              <w:bidi w:val="0"/>
              <w:rPr>
                <w:sz w:val="24"/>
                <w:szCs w:val="24"/>
              </w:rPr>
            </w:pPr>
            <w:r>
              <w:rPr>
                <w:rFonts w:hint="default"/>
                <w:sz w:val="24"/>
                <w:szCs w:val="24"/>
                <w:lang w:val="en-US" w:eastAsia="zh-CN"/>
              </w:rPr>
              <w:t>LeqdB</w:t>
            </w:r>
            <w:r>
              <w:rPr>
                <w:rFonts w:hint="eastAsia"/>
                <w:sz w:val="24"/>
                <w:szCs w:val="24"/>
                <w:lang w:val="en-US" w:eastAsia="zh-CN"/>
              </w:rPr>
              <w:t>（</w:t>
            </w:r>
            <w:r>
              <w:rPr>
                <w:rFonts w:hint="default"/>
                <w:sz w:val="24"/>
                <w:szCs w:val="24"/>
                <w:lang w:val="en-US" w:eastAsia="zh-CN"/>
              </w:rPr>
              <w:t>A</w:t>
            </w:r>
            <w:r>
              <w:rPr>
                <w:rFonts w:hint="eastAsia"/>
                <w:sz w:val="24"/>
                <w:szCs w:val="24"/>
                <w:lang w:val="en-US" w:eastAsia="zh-CN"/>
              </w:rPr>
              <w:t>）</w:t>
            </w:r>
          </w:p>
        </w:tc>
        <w:tc>
          <w:tcPr>
            <w:tcW w:w="1414" w:type="pct"/>
            <w:vAlign w:val="center"/>
          </w:tcPr>
          <w:p w14:paraId="444C5FF7">
            <w:pPr>
              <w:pStyle w:val="55"/>
              <w:bidi w:val="0"/>
              <w:rPr>
                <w:sz w:val="24"/>
                <w:szCs w:val="24"/>
              </w:rPr>
            </w:pPr>
            <w:r>
              <w:rPr>
                <w:rFonts w:hint="eastAsia"/>
                <w:sz w:val="24"/>
                <w:szCs w:val="24"/>
                <w:lang w:val="en-US" w:eastAsia="zh-CN"/>
              </w:rPr>
              <w:t>生产设备选用低噪声设备，采用减振、降噪等措施</w:t>
            </w:r>
          </w:p>
        </w:tc>
        <w:tc>
          <w:tcPr>
            <w:tcW w:w="397" w:type="pct"/>
            <w:vAlign w:val="center"/>
          </w:tcPr>
          <w:p w14:paraId="6FC1E23A">
            <w:pPr>
              <w:pStyle w:val="55"/>
              <w:bidi w:val="0"/>
              <w:rPr>
                <w:sz w:val="24"/>
                <w:szCs w:val="24"/>
              </w:rPr>
            </w:pPr>
            <w:r>
              <w:rPr>
                <w:rFonts w:hint="default"/>
                <w:sz w:val="24"/>
                <w:szCs w:val="24"/>
                <w:lang w:val="en-US" w:eastAsia="zh-CN"/>
              </w:rPr>
              <w:t>连续</w:t>
            </w:r>
          </w:p>
        </w:tc>
      </w:tr>
      <w:tr w14:paraId="0A5FC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9" w:type="pct"/>
            <w:vMerge w:val="restart"/>
            <w:vAlign w:val="center"/>
          </w:tcPr>
          <w:p w14:paraId="083621BA">
            <w:pPr>
              <w:pStyle w:val="55"/>
              <w:bidi w:val="0"/>
              <w:rPr>
                <w:sz w:val="24"/>
                <w:szCs w:val="24"/>
              </w:rPr>
            </w:pPr>
            <w:r>
              <w:rPr>
                <w:rFonts w:hint="eastAsia"/>
                <w:sz w:val="24"/>
                <w:szCs w:val="24"/>
              </w:rPr>
              <w:t>固废</w:t>
            </w:r>
          </w:p>
        </w:tc>
        <w:tc>
          <w:tcPr>
            <w:tcW w:w="360" w:type="pct"/>
            <w:vAlign w:val="center"/>
          </w:tcPr>
          <w:p w14:paraId="7DF5A193">
            <w:pPr>
              <w:pStyle w:val="55"/>
              <w:bidi w:val="0"/>
              <w:rPr>
                <w:sz w:val="24"/>
                <w:szCs w:val="24"/>
              </w:rPr>
            </w:pPr>
            <w:r>
              <w:rPr>
                <w:sz w:val="24"/>
                <w:szCs w:val="24"/>
              </w:rPr>
              <w:t>S</w:t>
            </w:r>
            <w:r>
              <w:rPr>
                <w:rFonts w:hint="eastAsia"/>
                <w:sz w:val="24"/>
                <w:szCs w:val="24"/>
              </w:rPr>
              <w:t>1</w:t>
            </w:r>
          </w:p>
        </w:tc>
        <w:tc>
          <w:tcPr>
            <w:tcW w:w="1074" w:type="pct"/>
            <w:gridSpan w:val="2"/>
            <w:vAlign w:val="center"/>
          </w:tcPr>
          <w:p w14:paraId="48F91BB1">
            <w:pPr>
              <w:pStyle w:val="55"/>
              <w:bidi w:val="0"/>
              <w:rPr>
                <w:rFonts w:hint="default"/>
                <w:sz w:val="24"/>
                <w:szCs w:val="24"/>
                <w:lang w:val="en-US" w:eastAsia="zh-CN"/>
              </w:rPr>
            </w:pPr>
            <w:r>
              <w:rPr>
                <w:rFonts w:hint="eastAsia"/>
                <w:sz w:val="24"/>
                <w:szCs w:val="24"/>
                <w:lang w:val="en-US" w:eastAsia="zh-CN"/>
              </w:rPr>
              <w:t>分拣工序</w:t>
            </w:r>
          </w:p>
        </w:tc>
        <w:tc>
          <w:tcPr>
            <w:tcW w:w="1284" w:type="pct"/>
            <w:vAlign w:val="center"/>
          </w:tcPr>
          <w:p w14:paraId="5A595188">
            <w:pPr>
              <w:pStyle w:val="55"/>
              <w:bidi w:val="0"/>
              <w:rPr>
                <w:sz w:val="24"/>
                <w:szCs w:val="24"/>
              </w:rPr>
            </w:pPr>
            <w:r>
              <w:rPr>
                <w:rFonts w:hint="eastAsia"/>
                <w:sz w:val="24"/>
                <w:szCs w:val="24"/>
              </w:rPr>
              <w:t>分拣废物</w:t>
            </w:r>
          </w:p>
        </w:tc>
        <w:tc>
          <w:tcPr>
            <w:tcW w:w="1414" w:type="pct"/>
            <w:vAlign w:val="center"/>
          </w:tcPr>
          <w:p w14:paraId="15768EC2">
            <w:pPr>
              <w:pStyle w:val="55"/>
              <w:bidi w:val="0"/>
              <w:rPr>
                <w:sz w:val="24"/>
                <w:szCs w:val="24"/>
              </w:rPr>
            </w:pPr>
            <w:r>
              <w:rPr>
                <w:rFonts w:hint="eastAsia"/>
                <w:sz w:val="24"/>
                <w:szCs w:val="24"/>
              </w:rPr>
              <w:t>定期送往环卫部门指定地点处置</w:t>
            </w:r>
          </w:p>
        </w:tc>
        <w:tc>
          <w:tcPr>
            <w:tcW w:w="397" w:type="pct"/>
            <w:vAlign w:val="center"/>
          </w:tcPr>
          <w:p w14:paraId="3A487262">
            <w:pPr>
              <w:pStyle w:val="55"/>
              <w:bidi w:val="0"/>
              <w:rPr>
                <w:sz w:val="24"/>
                <w:szCs w:val="24"/>
              </w:rPr>
            </w:pPr>
            <w:r>
              <w:rPr>
                <w:rFonts w:hint="eastAsia"/>
                <w:sz w:val="24"/>
                <w:szCs w:val="24"/>
                <w:lang w:val="en-US" w:eastAsia="zh-CN"/>
              </w:rPr>
              <w:t>间断</w:t>
            </w:r>
          </w:p>
        </w:tc>
      </w:tr>
      <w:tr w14:paraId="44CEE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9" w:type="pct"/>
            <w:vMerge w:val="continue"/>
            <w:vAlign w:val="center"/>
          </w:tcPr>
          <w:p w14:paraId="30A9C220">
            <w:pPr>
              <w:pStyle w:val="55"/>
              <w:bidi w:val="0"/>
              <w:rPr>
                <w:rFonts w:hint="eastAsia"/>
                <w:sz w:val="24"/>
                <w:szCs w:val="24"/>
              </w:rPr>
            </w:pPr>
          </w:p>
        </w:tc>
        <w:tc>
          <w:tcPr>
            <w:tcW w:w="360" w:type="pct"/>
            <w:vAlign w:val="center"/>
          </w:tcPr>
          <w:p w14:paraId="4A3E6DBF">
            <w:pPr>
              <w:pStyle w:val="55"/>
              <w:bidi w:val="0"/>
              <w:rPr>
                <w:sz w:val="24"/>
                <w:szCs w:val="24"/>
              </w:rPr>
            </w:pPr>
            <w:r>
              <w:rPr>
                <w:sz w:val="24"/>
                <w:szCs w:val="24"/>
              </w:rPr>
              <w:t>S</w:t>
            </w:r>
            <w:r>
              <w:rPr>
                <w:rFonts w:hint="eastAsia"/>
                <w:sz w:val="24"/>
                <w:szCs w:val="24"/>
              </w:rPr>
              <w:t>2</w:t>
            </w:r>
          </w:p>
        </w:tc>
        <w:tc>
          <w:tcPr>
            <w:tcW w:w="1074" w:type="pct"/>
            <w:gridSpan w:val="2"/>
            <w:vAlign w:val="center"/>
          </w:tcPr>
          <w:p w14:paraId="1E16E3A5">
            <w:pPr>
              <w:pStyle w:val="55"/>
              <w:bidi w:val="0"/>
              <w:rPr>
                <w:rFonts w:hint="default"/>
                <w:sz w:val="24"/>
                <w:szCs w:val="24"/>
                <w:lang w:val="en-US" w:eastAsia="zh-CN"/>
              </w:rPr>
            </w:pPr>
            <w:r>
              <w:rPr>
                <w:rFonts w:hint="eastAsia"/>
                <w:sz w:val="24"/>
                <w:szCs w:val="24"/>
                <w:lang w:eastAsia="zh-CN"/>
              </w:rPr>
              <w:t>原料包装</w:t>
            </w:r>
          </w:p>
        </w:tc>
        <w:tc>
          <w:tcPr>
            <w:tcW w:w="1284" w:type="pct"/>
            <w:vAlign w:val="center"/>
          </w:tcPr>
          <w:p w14:paraId="468806B3">
            <w:pPr>
              <w:pStyle w:val="55"/>
              <w:bidi w:val="0"/>
              <w:rPr>
                <w:rFonts w:hint="eastAsia" w:eastAsia="楷体"/>
                <w:sz w:val="24"/>
                <w:szCs w:val="24"/>
                <w:lang w:val="en-US" w:eastAsia="zh-CN"/>
              </w:rPr>
            </w:pPr>
            <w:r>
              <w:rPr>
                <w:rFonts w:hint="eastAsia"/>
                <w:sz w:val="24"/>
                <w:szCs w:val="24"/>
                <w:lang w:val="en-US" w:eastAsia="zh-CN"/>
              </w:rPr>
              <w:t>废包装袋</w:t>
            </w:r>
          </w:p>
        </w:tc>
        <w:tc>
          <w:tcPr>
            <w:tcW w:w="1414" w:type="pct"/>
            <w:vAlign w:val="center"/>
          </w:tcPr>
          <w:p w14:paraId="2C78E85C">
            <w:pPr>
              <w:pStyle w:val="55"/>
              <w:bidi w:val="0"/>
              <w:rPr>
                <w:rFonts w:hint="eastAsia"/>
                <w:sz w:val="24"/>
                <w:szCs w:val="24"/>
              </w:rPr>
            </w:pPr>
            <w:r>
              <w:rPr>
                <w:rFonts w:hint="eastAsia"/>
                <w:sz w:val="24"/>
                <w:szCs w:val="24"/>
              </w:rPr>
              <w:t>定期外售废品收购站</w:t>
            </w:r>
          </w:p>
        </w:tc>
        <w:tc>
          <w:tcPr>
            <w:tcW w:w="397" w:type="pct"/>
            <w:vAlign w:val="center"/>
          </w:tcPr>
          <w:p w14:paraId="63B57A69">
            <w:pPr>
              <w:pStyle w:val="55"/>
              <w:bidi w:val="0"/>
              <w:rPr>
                <w:rFonts w:hint="eastAsia"/>
                <w:sz w:val="24"/>
                <w:szCs w:val="24"/>
                <w:lang w:val="en-US" w:eastAsia="zh-CN"/>
              </w:rPr>
            </w:pPr>
          </w:p>
        </w:tc>
      </w:tr>
      <w:tr w14:paraId="2C188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9" w:type="pct"/>
            <w:vMerge w:val="continue"/>
            <w:vAlign w:val="center"/>
          </w:tcPr>
          <w:p w14:paraId="582E51E7">
            <w:pPr>
              <w:pStyle w:val="55"/>
              <w:bidi w:val="0"/>
              <w:rPr>
                <w:sz w:val="24"/>
                <w:szCs w:val="24"/>
              </w:rPr>
            </w:pPr>
          </w:p>
        </w:tc>
        <w:tc>
          <w:tcPr>
            <w:tcW w:w="360" w:type="pct"/>
            <w:vAlign w:val="center"/>
          </w:tcPr>
          <w:p w14:paraId="54788E4C">
            <w:pPr>
              <w:pStyle w:val="55"/>
              <w:bidi w:val="0"/>
              <w:rPr>
                <w:rFonts w:hint="eastAsia" w:eastAsia="楷体"/>
                <w:sz w:val="24"/>
                <w:szCs w:val="24"/>
                <w:lang w:eastAsia="zh-CN"/>
              </w:rPr>
            </w:pPr>
            <w:r>
              <w:rPr>
                <w:sz w:val="24"/>
                <w:szCs w:val="24"/>
              </w:rPr>
              <w:t>S</w:t>
            </w:r>
            <w:r>
              <w:rPr>
                <w:rFonts w:hint="eastAsia"/>
                <w:sz w:val="24"/>
                <w:szCs w:val="24"/>
                <w:lang w:val="en-US" w:eastAsia="zh-CN"/>
              </w:rPr>
              <w:t>3</w:t>
            </w:r>
          </w:p>
        </w:tc>
        <w:tc>
          <w:tcPr>
            <w:tcW w:w="1074" w:type="pct"/>
            <w:gridSpan w:val="2"/>
            <w:vAlign w:val="center"/>
          </w:tcPr>
          <w:p w14:paraId="3CF69CB9">
            <w:pPr>
              <w:pStyle w:val="55"/>
              <w:bidi w:val="0"/>
              <w:rPr>
                <w:rFonts w:hint="default"/>
                <w:sz w:val="24"/>
                <w:szCs w:val="24"/>
                <w:lang w:val="en-US" w:eastAsia="zh-CN"/>
              </w:rPr>
            </w:pPr>
            <w:r>
              <w:rPr>
                <w:rFonts w:hint="eastAsia"/>
                <w:sz w:val="24"/>
                <w:szCs w:val="24"/>
                <w:lang w:val="en-US" w:eastAsia="zh-CN"/>
              </w:rPr>
              <w:t>挤出工序</w:t>
            </w:r>
          </w:p>
        </w:tc>
        <w:tc>
          <w:tcPr>
            <w:tcW w:w="1284" w:type="pct"/>
            <w:vAlign w:val="center"/>
          </w:tcPr>
          <w:p w14:paraId="5B7C4488">
            <w:pPr>
              <w:pStyle w:val="55"/>
              <w:bidi w:val="0"/>
              <w:rPr>
                <w:sz w:val="24"/>
                <w:szCs w:val="24"/>
              </w:rPr>
            </w:pPr>
            <w:r>
              <w:rPr>
                <w:rFonts w:hint="eastAsia"/>
                <w:sz w:val="24"/>
                <w:szCs w:val="24"/>
              </w:rPr>
              <w:t>废滤网</w:t>
            </w:r>
          </w:p>
        </w:tc>
        <w:tc>
          <w:tcPr>
            <w:tcW w:w="1414" w:type="pct"/>
            <w:vAlign w:val="center"/>
          </w:tcPr>
          <w:p w14:paraId="78969BD8">
            <w:pPr>
              <w:pStyle w:val="55"/>
              <w:bidi w:val="0"/>
              <w:rPr>
                <w:sz w:val="24"/>
                <w:szCs w:val="24"/>
              </w:rPr>
            </w:pPr>
            <w:r>
              <w:rPr>
                <w:rFonts w:hint="eastAsia"/>
                <w:sz w:val="24"/>
                <w:szCs w:val="24"/>
              </w:rPr>
              <w:t>厂区暂存后交由原厂家回收</w:t>
            </w:r>
          </w:p>
        </w:tc>
        <w:tc>
          <w:tcPr>
            <w:tcW w:w="397" w:type="pct"/>
            <w:vAlign w:val="center"/>
          </w:tcPr>
          <w:p w14:paraId="264DDCF3">
            <w:pPr>
              <w:pStyle w:val="55"/>
              <w:bidi w:val="0"/>
              <w:rPr>
                <w:sz w:val="24"/>
                <w:szCs w:val="24"/>
              </w:rPr>
            </w:pPr>
            <w:r>
              <w:rPr>
                <w:rFonts w:hint="eastAsia"/>
                <w:sz w:val="24"/>
                <w:szCs w:val="24"/>
                <w:lang w:val="en-US" w:eastAsia="zh-CN"/>
              </w:rPr>
              <w:t>间断</w:t>
            </w:r>
          </w:p>
        </w:tc>
      </w:tr>
      <w:tr w14:paraId="75F9F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9" w:type="pct"/>
            <w:vMerge w:val="continue"/>
            <w:vAlign w:val="center"/>
          </w:tcPr>
          <w:p w14:paraId="6BECA6B9">
            <w:pPr>
              <w:pStyle w:val="55"/>
              <w:bidi w:val="0"/>
              <w:rPr>
                <w:sz w:val="24"/>
                <w:szCs w:val="24"/>
              </w:rPr>
            </w:pPr>
          </w:p>
        </w:tc>
        <w:tc>
          <w:tcPr>
            <w:tcW w:w="360" w:type="pct"/>
            <w:vAlign w:val="center"/>
          </w:tcPr>
          <w:p w14:paraId="102AD990">
            <w:pPr>
              <w:pStyle w:val="55"/>
              <w:bidi w:val="0"/>
              <w:rPr>
                <w:rFonts w:hint="default"/>
                <w:sz w:val="24"/>
                <w:szCs w:val="24"/>
                <w:lang w:val="en-US" w:eastAsia="zh-CN"/>
              </w:rPr>
            </w:pPr>
            <w:r>
              <w:rPr>
                <w:rFonts w:hint="eastAsia"/>
                <w:sz w:val="24"/>
                <w:szCs w:val="24"/>
                <w:lang w:val="en-US" w:eastAsia="zh-CN"/>
              </w:rPr>
              <w:t>S4</w:t>
            </w:r>
          </w:p>
        </w:tc>
        <w:tc>
          <w:tcPr>
            <w:tcW w:w="1074" w:type="pct"/>
            <w:gridSpan w:val="2"/>
            <w:vAlign w:val="center"/>
          </w:tcPr>
          <w:p w14:paraId="3594DEEA">
            <w:pPr>
              <w:pStyle w:val="55"/>
              <w:bidi w:val="0"/>
              <w:rPr>
                <w:rFonts w:hint="default"/>
                <w:sz w:val="24"/>
                <w:szCs w:val="24"/>
                <w:lang w:val="en-US" w:eastAsia="zh-CN"/>
              </w:rPr>
            </w:pPr>
            <w:r>
              <w:rPr>
                <w:rFonts w:hint="eastAsia"/>
                <w:sz w:val="24"/>
                <w:szCs w:val="24"/>
                <w:lang w:val="en-US" w:eastAsia="zh-CN"/>
              </w:rPr>
              <w:t>沉淀池</w:t>
            </w:r>
          </w:p>
        </w:tc>
        <w:tc>
          <w:tcPr>
            <w:tcW w:w="1284" w:type="pct"/>
            <w:vAlign w:val="center"/>
          </w:tcPr>
          <w:p w14:paraId="22685CFC">
            <w:pPr>
              <w:pStyle w:val="55"/>
              <w:bidi w:val="0"/>
              <w:rPr>
                <w:rFonts w:hint="eastAsia"/>
                <w:sz w:val="24"/>
                <w:szCs w:val="24"/>
                <w:lang w:val="en-US" w:eastAsia="zh-CN"/>
              </w:rPr>
            </w:pPr>
            <w:r>
              <w:rPr>
                <w:rFonts w:hint="eastAsia"/>
                <w:sz w:val="24"/>
                <w:szCs w:val="24"/>
                <w:lang w:val="en-US" w:eastAsia="zh-CN"/>
              </w:rPr>
              <w:t>污泥</w:t>
            </w:r>
          </w:p>
        </w:tc>
        <w:tc>
          <w:tcPr>
            <w:tcW w:w="1414" w:type="pct"/>
            <w:vAlign w:val="center"/>
          </w:tcPr>
          <w:p w14:paraId="392C037C">
            <w:pPr>
              <w:pStyle w:val="55"/>
              <w:bidi w:val="0"/>
              <w:rPr>
                <w:sz w:val="24"/>
                <w:szCs w:val="24"/>
              </w:rPr>
            </w:pPr>
            <w:r>
              <w:rPr>
                <w:rFonts w:hint="eastAsia"/>
                <w:sz w:val="24"/>
                <w:szCs w:val="24"/>
              </w:rPr>
              <w:t>经清掏自然干化后交由环卫部门处理处置</w:t>
            </w:r>
          </w:p>
        </w:tc>
        <w:tc>
          <w:tcPr>
            <w:tcW w:w="397" w:type="pct"/>
            <w:vAlign w:val="center"/>
          </w:tcPr>
          <w:p w14:paraId="471CC758">
            <w:pPr>
              <w:pStyle w:val="55"/>
              <w:bidi w:val="0"/>
              <w:rPr>
                <w:sz w:val="24"/>
                <w:szCs w:val="24"/>
              </w:rPr>
            </w:pPr>
            <w:r>
              <w:rPr>
                <w:rFonts w:hint="eastAsia"/>
                <w:sz w:val="24"/>
                <w:szCs w:val="24"/>
                <w:lang w:val="en-US" w:eastAsia="zh-CN"/>
              </w:rPr>
              <w:t>间断</w:t>
            </w:r>
          </w:p>
        </w:tc>
      </w:tr>
      <w:tr w14:paraId="7CD65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9" w:type="pct"/>
            <w:vMerge w:val="continue"/>
            <w:vAlign w:val="center"/>
          </w:tcPr>
          <w:p w14:paraId="314D0C5B">
            <w:pPr>
              <w:pStyle w:val="55"/>
              <w:bidi w:val="0"/>
              <w:rPr>
                <w:sz w:val="24"/>
                <w:szCs w:val="24"/>
              </w:rPr>
            </w:pPr>
          </w:p>
        </w:tc>
        <w:tc>
          <w:tcPr>
            <w:tcW w:w="360" w:type="pct"/>
            <w:tcBorders>
              <w:bottom w:val="single" w:color="000000" w:sz="4" w:space="0"/>
            </w:tcBorders>
            <w:vAlign w:val="center"/>
          </w:tcPr>
          <w:p w14:paraId="3EBC9399">
            <w:pPr>
              <w:pStyle w:val="55"/>
              <w:bidi w:val="0"/>
              <w:rPr>
                <w:rFonts w:hint="eastAsia"/>
                <w:sz w:val="24"/>
                <w:szCs w:val="24"/>
                <w:lang w:val="en-US" w:eastAsia="zh-CN"/>
              </w:rPr>
            </w:pPr>
            <w:r>
              <w:rPr>
                <w:rFonts w:hint="eastAsia"/>
                <w:sz w:val="24"/>
                <w:szCs w:val="24"/>
                <w:lang w:val="en-US" w:eastAsia="zh-CN"/>
              </w:rPr>
              <w:t>S5</w:t>
            </w:r>
          </w:p>
        </w:tc>
        <w:tc>
          <w:tcPr>
            <w:tcW w:w="1074" w:type="pct"/>
            <w:gridSpan w:val="2"/>
            <w:tcBorders>
              <w:bottom w:val="single" w:color="000000" w:sz="4" w:space="0"/>
            </w:tcBorders>
            <w:shd w:val="clear" w:color="auto" w:fill="auto"/>
            <w:vAlign w:val="center"/>
          </w:tcPr>
          <w:p w14:paraId="155212B1">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ascii="Times New Roman" w:hAnsi="Times New Roman" w:eastAsia="楷体" w:cstheme="minorBidi"/>
                <w:snapToGrid w:val="0"/>
                <w:kern w:val="0"/>
                <w:sz w:val="24"/>
                <w:szCs w:val="24"/>
                <w:lang w:val="en-US" w:eastAsia="zh-CN" w:bidi="ar-SA"/>
              </w:rPr>
            </w:pPr>
            <w:r>
              <w:rPr>
                <w:rFonts w:hint="eastAsia"/>
                <w:sz w:val="24"/>
                <w:szCs w:val="24"/>
              </w:rPr>
              <w:t>布袋除尘器</w:t>
            </w:r>
          </w:p>
        </w:tc>
        <w:tc>
          <w:tcPr>
            <w:tcW w:w="1284" w:type="pct"/>
            <w:shd w:val="clear" w:color="auto" w:fill="auto"/>
            <w:vAlign w:val="center"/>
          </w:tcPr>
          <w:p w14:paraId="47D98857">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ascii="Times New Roman" w:hAnsi="Times New Roman" w:eastAsia="楷体" w:cstheme="minorBidi"/>
                <w:snapToGrid w:val="0"/>
                <w:kern w:val="0"/>
                <w:sz w:val="24"/>
                <w:szCs w:val="24"/>
                <w:lang w:val="en-US" w:eastAsia="zh-CN" w:bidi="ar-SA"/>
              </w:rPr>
            </w:pPr>
            <w:r>
              <w:rPr>
                <w:rFonts w:hint="eastAsia"/>
                <w:sz w:val="24"/>
                <w:szCs w:val="24"/>
              </w:rPr>
              <w:t>除尘灰</w:t>
            </w:r>
          </w:p>
        </w:tc>
        <w:tc>
          <w:tcPr>
            <w:tcW w:w="1414" w:type="pct"/>
            <w:vAlign w:val="center"/>
          </w:tcPr>
          <w:p w14:paraId="0578C5D2">
            <w:pPr>
              <w:pStyle w:val="55"/>
              <w:bidi w:val="0"/>
              <w:rPr>
                <w:rFonts w:hint="eastAsia"/>
                <w:sz w:val="24"/>
                <w:szCs w:val="24"/>
              </w:rPr>
            </w:pPr>
            <w:r>
              <w:rPr>
                <w:rFonts w:hint="eastAsia"/>
                <w:lang w:eastAsia="zh-CN"/>
              </w:rPr>
              <w:t>全部回用于生产</w:t>
            </w:r>
          </w:p>
        </w:tc>
        <w:tc>
          <w:tcPr>
            <w:tcW w:w="397" w:type="pct"/>
            <w:vAlign w:val="center"/>
          </w:tcPr>
          <w:p w14:paraId="3390A9E8">
            <w:pPr>
              <w:pStyle w:val="55"/>
              <w:bidi w:val="0"/>
              <w:rPr>
                <w:rFonts w:hint="eastAsia"/>
                <w:sz w:val="24"/>
                <w:szCs w:val="24"/>
                <w:lang w:val="en-US" w:eastAsia="zh-CN"/>
              </w:rPr>
            </w:pPr>
            <w:r>
              <w:rPr>
                <w:rFonts w:hint="eastAsia"/>
                <w:sz w:val="24"/>
                <w:szCs w:val="24"/>
                <w:lang w:val="en-US" w:eastAsia="zh-CN"/>
              </w:rPr>
              <w:t>间断</w:t>
            </w:r>
          </w:p>
        </w:tc>
      </w:tr>
      <w:tr w14:paraId="54DCA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9" w:type="pct"/>
            <w:vMerge w:val="continue"/>
            <w:vAlign w:val="center"/>
          </w:tcPr>
          <w:p w14:paraId="6E5F3A99">
            <w:pPr>
              <w:pStyle w:val="55"/>
              <w:bidi w:val="0"/>
              <w:rPr>
                <w:sz w:val="24"/>
                <w:szCs w:val="24"/>
              </w:rPr>
            </w:pPr>
          </w:p>
        </w:tc>
        <w:tc>
          <w:tcPr>
            <w:tcW w:w="360" w:type="pct"/>
            <w:vMerge w:val="restart"/>
            <w:tcBorders>
              <w:top w:val="single" w:color="000000" w:sz="4" w:space="0"/>
            </w:tcBorders>
            <w:vAlign w:val="center"/>
          </w:tcPr>
          <w:p w14:paraId="07911524">
            <w:pPr>
              <w:pStyle w:val="55"/>
              <w:bidi w:val="0"/>
              <w:rPr>
                <w:rFonts w:hint="default"/>
                <w:sz w:val="24"/>
                <w:szCs w:val="24"/>
                <w:lang w:val="en-US" w:eastAsia="zh-CN"/>
              </w:rPr>
            </w:pPr>
            <w:r>
              <w:rPr>
                <w:rFonts w:hint="eastAsia"/>
                <w:sz w:val="24"/>
                <w:szCs w:val="24"/>
                <w:lang w:val="en-US" w:eastAsia="zh-CN"/>
              </w:rPr>
              <w:t>S6</w:t>
            </w:r>
          </w:p>
        </w:tc>
        <w:tc>
          <w:tcPr>
            <w:tcW w:w="1074" w:type="pct"/>
            <w:gridSpan w:val="2"/>
            <w:vMerge w:val="restart"/>
            <w:tcBorders>
              <w:top w:val="single" w:color="000000" w:sz="4" w:space="0"/>
            </w:tcBorders>
            <w:vAlign w:val="center"/>
          </w:tcPr>
          <w:p w14:paraId="683179C7">
            <w:pPr>
              <w:pStyle w:val="55"/>
              <w:bidi w:val="0"/>
              <w:rPr>
                <w:rFonts w:hint="eastAsia"/>
                <w:sz w:val="24"/>
                <w:szCs w:val="24"/>
                <w:lang w:val="en-US" w:eastAsia="zh-CN"/>
              </w:rPr>
            </w:pPr>
            <w:r>
              <w:rPr>
                <w:rFonts w:hint="eastAsia"/>
                <w:sz w:val="24"/>
                <w:szCs w:val="24"/>
                <w:lang w:val="en-US" w:eastAsia="zh-CN"/>
              </w:rPr>
              <w:t>环保装置</w:t>
            </w:r>
          </w:p>
        </w:tc>
        <w:tc>
          <w:tcPr>
            <w:tcW w:w="1284" w:type="pct"/>
            <w:vAlign w:val="center"/>
          </w:tcPr>
          <w:p w14:paraId="1A00FFC9">
            <w:pPr>
              <w:pStyle w:val="55"/>
              <w:bidi w:val="0"/>
              <w:rPr>
                <w:rFonts w:hint="default"/>
                <w:sz w:val="24"/>
                <w:szCs w:val="24"/>
                <w:lang w:val="en-US" w:eastAsia="zh-CN"/>
              </w:rPr>
            </w:pPr>
            <w:r>
              <w:rPr>
                <w:rFonts w:hint="eastAsia"/>
                <w:sz w:val="24"/>
                <w:szCs w:val="24"/>
                <w:lang w:val="en-US" w:eastAsia="zh-CN"/>
              </w:rPr>
              <w:t>废活性炭</w:t>
            </w:r>
          </w:p>
        </w:tc>
        <w:tc>
          <w:tcPr>
            <w:tcW w:w="1414" w:type="pct"/>
            <w:vMerge w:val="restart"/>
            <w:vAlign w:val="center"/>
          </w:tcPr>
          <w:p w14:paraId="5CA7453B">
            <w:pPr>
              <w:pStyle w:val="55"/>
              <w:bidi w:val="0"/>
              <w:rPr>
                <w:sz w:val="24"/>
                <w:szCs w:val="24"/>
              </w:rPr>
            </w:pPr>
            <w:r>
              <w:rPr>
                <w:rFonts w:hint="eastAsia"/>
                <w:sz w:val="24"/>
                <w:szCs w:val="24"/>
                <w:lang w:val="en-US" w:eastAsia="zh-CN"/>
              </w:rPr>
              <w:t>暂存危废间内，定期交由有资质单位处理</w:t>
            </w:r>
          </w:p>
        </w:tc>
        <w:tc>
          <w:tcPr>
            <w:tcW w:w="397" w:type="pct"/>
            <w:vMerge w:val="restart"/>
            <w:vAlign w:val="center"/>
          </w:tcPr>
          <w:p w14:paraId="632D264E">
            <w:pPr>
              <w:pStyle w:val="55"/>
              <w:bidi w:val="0"/>
              <w:rPr>
                <w:rFonts w:hint="eastAsia"/>
                <w:sz w:val="24"/>
                <w:szCs w:val="24"/>
                <w:lang w:val="en-US" w:eastAsia="zh-CN"/>
              </w:rPr>
            </w:pPr>
            <w:r>
              <w:rPr>
                <w:rFonts w:hint="eastAsia"/>
                <w:sz w:val="24"/>
                <w:szCs w:val="24"/>
                <w:lang w:val="en-US" w:eastAsia="zh-CN"/>
              </w:rPr>
              <w:t>间断</w:t>
            </w:r>
          </w:p>
        </w:tc>
      </w:tr>
      <w:tr w14:paraId="42E64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9" w:type="pct"/>
            <w:vMerge w:val="continue"/>
            <w:vAlign w:val="center"/>
          </w:tcPr>
          <w:p w14:paraId="0D9C33AF">
            <w:pPr>
              <w:pStyle w:val="55"/>
              <w:bidi w:val="0"/>
              <w:rPr>
                <w:sz w:val="24"/>
                <w:szCs w:val="24"/>
              </w:rPr>
            </w:pPr>
          </w:p>
        </w:tc>
        <w:tc>
          <w:tcPr>
            <w:tcW w:w="360" w:type="pct"/>
            <w:vMerge w:val="continue"/>
            <w:tcBorders>
              <w:top w:val="single" w:color="000000" w:sz="4" w:space="0"/>
              <w:bottom w:val="single" w:color="000000" w:sz="4" w:space="0"/>
            </w:tcBorders>
            <w:vAlign w:val="center"/>
          </w:tcPr>
          <w:p w14:paraId="43EFC465">
            <w:pPr>
              <w:pStyle w:val="55"/>
              <w:bidi w:val="0"/>
              <w:rPr>
                <w:rFonts w:hint="eastAsia"/>
                <w:sz w:val="24"/>
                <w:szCs w:val="24"/>
                <w:lang w:val="en-US" w:eastAsia="zh-CN"/>
              </w:rPr>
            </w:pPr>
          </w:p>
        </w:tc>
        <w:tc>
          <w:tcPr>
            <w:tcW w:w="1074" w:type="pct"/>
            <w:gridSpan w:val="2"/>
            <w:vMerge w:val="continue"/>
            <w:tcBorders>
              <w:top w:val="single" w:color="000000" w:sz="4" w:space="0"/>
              <w:bottom w:val="single" w:color="000000" w:sz="4" w:space="0"/>
            </w:tcBorders>
            <w:vAlign w:val="center"/>
          </w:tcPr>
          <w:p w14:paraId="522E204F">
            <w:pPr>
              <w:pStyle w:val="55"/>
              <w:bidi w:val="0"/>
              <w:rPr>
                <w:rFonts w:hint="eastAsia"/>
                <w:sz w:val="24"/>
                <w:szCs w:val="24"/>
                <w:lang w:val="en-US" w:eastAsia="zh-CN"/>
              </w:rPr>
            </w:pPr>
          </w:p>
        </w:tc>
        <w:tc>
          <w:tcPr>
            <w:tcW w:w="1284" w:type="pct"/>
            <w:vAlign w:val="center"/>
          </w:tcPr>
          <w:p w14:paraId="6710F20F">
            <w:pPr>
              <w:pStyle w:val="55"/>
              <w:bidi w:val="0"/>
              <w:rPr>
                <w:rFonts w:hint="default"/>
                <w:sz w:val="24"/>
                <w:szCs w:val="24"/>
                <w:lang w:val="en-US" w:eastAsia="zh-CN"/>
              </w:rPr>
            </w:pPr>
            <w:r>
              <w:rPr>
                <w:rFonts w:hint="eastAsia"/>
                <w:sz w:val="24"/>
                <w:szCs w:val="24"/>
                <w:lang w:val="en-US" w:eastAsia="zh-CN"/>
              </w:rPr>
              <w:t>废过滤棉</w:t>
            </w:r>
          </w:p>
        </w:tc>
        <w:tc>
          <w:tcPr>
            <w:tcW w:w="1414" w:type="pct"/>
            <w:vMerge w:val="continue"/>
            <w:vAlign w:val="center"/>
          </w:tcPr>
          <w:p w14:paraId="0F250131">
            <w:pPr>
              <w:pStyle w:val="55"/>
              <w:bidi w:val="0"/>
              <w:rPr>
                <w:sz w:val="24"/>
                <w:szCs w:val="24"/>
              </w:rPr>
            </w:pPr>
          </w:p>
        </w:tc>
        <w:tc>
          <w:tcPr>
            <w:tcW w:w="397" w:type="pct"/>
            <w:vMerge w:val="continue"/>
            <w:vAlign w:val="center"/>
          </w:tcPr>
          <w:p w14:paraId="2C236E9C">
            <w:pPr>
              <w:pStyle w:val="55"/>
              <w:bidi w:val="0"/>
              <w:rPr>
                <w:sz w:val="24"/>
                <w:szCs w:val="24"/>
              </w:rPr>
            </w:pPr>
          </w:p>
        </w:tc>
      </w:tr>
      <w:tr w14:paraId="60A9C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9" w:type="pct"/>
            <w:vMerge w:val="continue"/>
            <w:vAlign w:val="center"/>
          </w:tcPr>
          <w:p w14:paraId="362711A4">
            <w:pPr>
              <w:pStyle w:val="55"/>
              <w:bidi w:val="0"/>
              <w:rPr>
                <w:sz w:val="24"/>
                <w:szCs w:val="24"/>
              </w:rPr>
            </w:pPr>
          </w:p>
        </w:tc>
        <w:tc>
          <w:tcPr>
            <w:tcW w:w="360" w:type="pct"/>
            <w:vMerge w:val="restart"/>
            <w:tcBorders>
              <w:top w:val="single" w:color="000000" w:sz="4" w:space="0"/>
              <w:bottom w:val="single" w:color="000000" w:sz="4" w:space="0"/>
            </w:tcBorders>
            <w:vAlign w:val="center"/>
          </w:tcPr>
          <w:p w14:paraId="030F607B">
            <w:pPr>
              <w:pStyle w:val="55"/>
              <w:bidi w:val="0"/>
              <w:rPr>
                <w:rFonts w:hint="default"/>
                <w:sz w:val="24"/>
                <w:szCs w:val="24"/>
                <w:lang w:val="en-US" w:eastAsia="zh-CN"/>
              </w:rPr>
            </w:pPr>
            <w:r>
              <w:rPr>
                <w:rFonts w:hint="eastAsia"/>
                <w:sz w:val="24"/>
                <w:szCs w:val="24"/>
                <w:lang w:val="en-US" w:eastAsia="zh-CN"/>
              </w:rPr>
              <w:t>S7</w:t>
            </w:r>
          </w:p>
        </w:tc>
        <w:tc>
          <w:tcPr>
            <w:tcW w:w="1074" w:type="pct"/>
            <w:gridSpan w:val="2"/>
            <w:vMerge w:val="restart"/>
            <w:tcBorders>
              <w:top w:val="single" w:color="000000" w:sz="4" w:space="0"/>
              <w:bottom w:val="single" w:color="000000" w:sz="4" w:space="0"/>
            </w:tcBorders>
            <w:vAlign w:val="center"/>
          </w:tcPr>
          <w:p w14:paraId="105D5C95">
            <w:pPr>
              <w:pStyle w:val="55"/>
              <w:bidi w:val="0"/>
              <w:rPr>
                <w:rFonts w:hint="default"/>
                <w:sz w:val="24"/>
                <w:szCs w:val="24"/>
                <w:lang w:val="en-US" w:eastAsia="zh-CN"/>
              </w:rPr>
            </w:pPr>
            <w:r>
              <w:rPr>
                <w:rFonts w:hint="eastAsia"/>
                <w:sz w:val="24"/>
                <w:szCs w:val="24"/>
                <w:lang w:val="en-US" w:eastAsia="zh-CN"/>
              </w:rPr>
              <w:t>设备维修</w:t>
            </w:r>
          </w:p>
        </w:tc>
        <w:tc>
          <w:tcPr>
            <w:tcW w:w="1284" w:type="pct"/>
            <w:vAlign w:val="center"/>
          </w:tcPr>
          <w:p w14:paraId="30EE41F8">
            <w:pPr>
              <w:pStyle w:val="55"/>
              <w:bidi w:val="0"/>
              <w:rPr>
                <w:rFonts w:hint="default"/>
                <w:sz w:val="24"/>
                <w:szCs w:val="24"/>
                <w:lang w:val="en-US" w:eastAsia="zh-CN"/>
              </w:rPr>
            </w:pPr>
            <w:r>
              <w:rPr>
                <w:rFonts w:hint="eastAsia"/>
                <w:sz w:val="24"/>
                <w:szCs w:val="24"/>
                <w:lang w:val="en-US" w:eastAsia="zh-CN"/>
              </w:rPr>
              <w:t>废润滑油</w:t>
            </w:r>
          </w:p>
        </w:tc>
        <w:tc>
          <w:tcPr>
            <w:tcW w:w="1414" w:type="pct"/>
            <w:vMerge w:val="continue"/>
            <w:vAlign w:val="center"/>
          </w:tcPr>
          <w:p w14:paraId="6FB5EA12">
            <w:pPr>
              <w:pStyle w:val="55"/>
              <w:bidi w:val="0"/>
              <w:rPr>
                <w:sz w:val="24"/>
                <w:szCs w:val="24"/>
              </w:rPr>
            </w:pPr>
          </w:p>
        </w:tc>
        <w:tc>
          <w:tcPr>
            <w:tcW w:w="397" w:type="pct"/>
            <w:vMerge w:val="restart"/>
            <w:vAlign w:val="center"/>
          </w:tcPr>
          <w:p w14:paraId="1B4779E3">
            <w:pPr>
              <w:pStyle w:val="55"/>
              <w:bidi w:val="0"/>
              <w:rPr>
                <w:rFonts w:hint="eastAsia"/>
                <w:sz w:val="24"/>
                <w:szCs w:val="24"/>
                <w:lang w:val="en-US" w:eastAsia="zh-CN"/>
              </w:rPr>
            </w:pPr>
            <w:r>
              <w:rPr>
                <w:rFonts w:hint="eastAsia"/>
                <w:sz w:val="24"/>
                <w:szCs w:val="24"/>
                <w:lang w:val="en-US" w:eastAsia="zh-CN"/>
              </w:rPr>
              <w:t>间断</w:t>
            </w:r>
          </w:p>
        </w:tc>
      </w:tr>
      <w:tr w14:paraId="180CE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9" w:type="pct"/>
            <w:vMerge w:val="continue"/>
            <w:vAlign w:val="center"/>
          </w:tcPr>
          <w:p w14:paraId="6D108027">
            <w:pPr>
              <w:pStyle w:val="55"/>
              <w:bidi w:val="0"/>
              <w:rPr>
                <w:sz w:val="24"/>
                <w:szCs w:val="24"/>
              </w:rPr>
            </w:pPr>
          </w:p>
        </w:tc>
        <w:tc>
          <w:tcPr>
            <w:tcW w:w="360" w:type="pct"/>
            <w:vMerge w:val="continue"/>
            <w:tcBorders>
              <w:top w:val="single" w:color="000000" w:sz="4" w:space="0"/>
              <w:bottom w:val="single" w:color="000000" w:sz="4" w:space="0"/>
            </w:tcBorders>
            <w:vAlign w:val="center"/>
          </w:tcPr>
          <w:p w14:paraId="44397E0C">
            <w:pPr>
              <w:pStyle w:val="55"/>
              <w:bidi w:val="0"/>
              <w:rPr>
                <w:rFonts w:hint="eastAsia"/>
                <w:sz w:val="24"/>
                <w:szCs w:val="24"/>
                <w:lang w:val="en-US" w:eastAsia="zh-CN"/>
              </w:rPr>
            </w:pPr>
          </w:p>
        </w:tc>
        <w:tc>
          <w:tcPr>
            <w:tcW w:w="1074" w:type="pct"/>
            <w:gridSpan w:val="2"/>
            <w:vMerge w:val="continue"/>
            <w:tcBorders>
              <w:top w:val="single" w:color="000000" w:sz="4" w:space="0"/>
              <w:bottom w:val="single" w:color="000000" w:sz="4" w:space="0"/>
            </w:tcBorders>
            <w:vAlign w:val="center"/>
          </w:tcPr>
          <w:p w14:paraId="2E30933D">
            <w:pPr>
              <w:pStyle w:val="55"/>
              <w:bidi w:val="0"/>
              <w:rPr>
                <w:rFonts w:hint="eastAsia"/>
                <w:sz w:val="24"/>
                <w:szCs w:val="24"/>
                <w:lang w:val="en-US" w:eastAsia="zh-CN"/>
              </w:rPr>
            </w:pPr>
          </w:p>
        </w:tc>
        <w:tc>
          <w:tcPr>
            <w:tcW w:w="1284" w:type="pct"/>
            <w:vAlign w:val="center"/>
          </w:tcPr>
          <w:p w14:paraId="46531E96">
            <w:pPr>
              <w:pStyle w:val="55"/>
              <w:bidi w:val="0"/>
              <w:rPr>
                <w:rFonts w:hint="eastAsia"/>
                <w:sz w:val="24"/>
                <w:szCs w:val="24"/>
                <w:lang w:val="en-US" w:eastAsia="zh-CN"/>
              </w:rPr>
            </w:pPr>
            <w:r>
              <w:rPr>
                <w:rFonts w:hint="eastAsia"/>
                <w:sz w:val="24"/>
                <w:szCs w:val="24"/>
                <w:lang w:val="en-US" w:eastAsia="zh-CN"/>
              </w:rPr>
              <w:t>废</w:t>
            </w:r>
            <w:r>
              <w:rPr>
                <w:rFonts w:hint="eastAsia" w:ascii="Times New Roman" w:hAnsi="Times New Roman" w:eastAsia="楷体" w:cs="Times New Roman"/>
                <w:color w:val="000000" w:themeColor="text1"/>
                <w:sz w:val="24"/>
                <w:szCs w:val="24"/>
                <w:highlight w:val="none"/>
                <w:lang w:val="en-US" w:eastAsia="zh-CN"/>
                <w14:textFill>
                  <w14:solidFill>
                    <w14:schemeClr w14:val="tx1"/>
                  </w14:solidFill>
                </w14:textFill>
              </w:rPr>
              <w:t>润滑油</w:t>
            </w:r>
            <w:r>
              <w:rPr>
                <w:rFonts w:hint="eastAsia"/>
                <w:sz w:val="24"/>
                <w:szCs w:val="24"/>
                <w:lang w:val="en-US" w:eastAsia="zh-CN"/>
              </w:rPr>
              <w:t>桶</w:t>
            </w:r>
          </w:p>
        </w:tc>
        <w:tc>
          <w:tcPr>
            <w:tcW w:w="1414" w:type="pct"/>
            <w:vMerge w:val="continue"/>
            <w:vAlign w:val="center"/>
          </w:tcPr>
          <w:p w14:paraId="47A7054A">
            <w:pPr>
              <w:pStyle w:val="55"/>
              <w:bidi w:val="0"/>
              <w:rPr>
                <w:sz w:val="24"/>
                <w:szCs w:val="24"/>
              </w:rPr>
            </w:pPr>
          </w:p>
        </w:tc>
        <w:tc>
          <w:tcPr>
            <w:tcW w:w="397" w:type="pct"/>
            <w:vMerge w:val="continue"/>
            <w:vAlign w:val="center"/>
          </w:tcPr>
          <w:p w14:paraId="2B032140">
            <w:pPr>
              <w:pStyle w:val="55"/>
              <w:bidi w:val="0"/>
              <w:rPr>
                <w:sz w:val="24"/>
                <w:szCs w:val="24"/>
              </w:rPr>
            </w:pPr>
          </w:p>
        </w:tc>
      </w:tr>
      <w:tr w14:paraId="075F5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9" w:type="pct"/>
            <w:vMerge w:val="continue"/>
            <w:vAlign w:val="center"/>
          </w:tcPr>
          <w:p w14:paraId="2E0A9675">
            <w:pPr>
              <w:pStyle w:val="55"/>
              <w:bidi w:val="0"/>
              <w:rPr>
                <w:sz w:val="24"/>
                <w:szCs w:val="24"/>
              </w:rPr>
            </w:pPr>
          </w:p>
        </w:tc>
        <w:tc>
          <w:tcPr>
            <w:tcW w:w="360" w:type="pct"/>
            <w:tcBorders>
              <w:top w:val="single" w:color="000000" w:sz="4" w:space="0"/>
            </w:tcBorders>
            <w:vAlign w:val="center"/>
          </w:tcPr>
          <w:p w14:paraId="33DD5285">
            <w:pPr>
              <w:pStyle w:val="55"/>
              <w:bidi w:val="0"/>
              <w:rPr>
                <w:rFonts w:hint="default"/>
                <w:sz w:val="24"/>
                <w:szCs w:val="24"/>
                <w:lang w:val="en-US" w:eastAsia="zh-CN"/>
              </w:rPr>
            </w:pPr>
            <w:r>
              <w:rPr>
                <w:rFonts w:hint="eastAsia"/>
                <w:sz w:val="24"/>
                <w:szCs w:val="24"/>
                <w:lang w:val="en-US" w:eastAsia="zh-CN"/>
              </w:rPr>
              <w:t>S8</w:t>
            </w:r>
          </w:p>
        </w:tc>
        <w:tc>
          <w:tcPr>
            <w:tcW w:w="1074" w:type="pct"/>
            <w:gridSpan w:val="2"/>
            <w:tcBorders>
              <w:top w:val="single" w:color="000000" w:sz="4" w:space="0"/>
            </w:tcBorders>
            <w:vAlign w:val="center"/>
          </w:tcPr>
          <w:p w14:paraId="055EB55D">
            <w:pPr>
              <w:pStyle w:val="55"/>
              <w:bidi w:val="0"/>
              <w:rPr>
                <w:rFonts w:hint="eastAsia"/>
                <w:sz w:val="24"/>
                <w:szCs w:val="24"/>
                <w:lang w:val="en-US" w:eastAsia="zh-CN"/>
              </w:rPr>
            </w:pPr>
            <w:r>
              <w:rPr>
                <w:rFonts w:hint="eastAsia"/>
                <w:sz w:val="24"/>
                <w:szCs w:val="24"/>
                <w:lang w:val="en-US" w:eastAsia="zh-CN"/>
              </w:rPr>
              <w:t>职工生活</w:t>
            </w:r>
          </w:p>
        </w:tc>
        <w:tc>
          <w:tcPr>
            <w:tcW w:w="1284" w:type="pct"/>
            <w:vAlign w:val="center"/>
          </w:tcPr>
          <w:p w14:paraId="20EB444B">
            <w:pPr>
              <w:pStyle w:val="55"/>
              <w:bidi w:val="0"/>
              <w:rPr>
                <w:rFonts w:hint="eastAsia"/>
                <w:sz w:val="24"/>
                <w:szCs w:val="24"/>
                <w:lang w:val="en-US" w:eastAsia="zh-CN"/>
              </w:rPr>
            </w:pPr>
            <w:r>
              <w:rPr>
                <w:rFonts w:hint="eastAsia"/>
                <w:sz w:val="24"/>
                <w:szCs w:val="24"/>
                <w:lang w:val="en-US" w:eastAsia="zh-CN"/>
              </w:rPr>
              <w:t>生活垃圾</w:t>
            </w:r>
          </w:p>
        </w:tc>
        <w:tc>
          <w:tcPr>
            <w:tcW w:w="1414" w:type="pct"/>
            <w:vAlign w:val="center"/>
          </w:tcPr>
          <w:p w14:paraId="3EEA5E8B">
            <w:pPr>
              <w:pStyle w:val="55"/>
              <w:bidi w:val="0"/>
              <w:rPr>
                <w:sz w:val="24"/>
                <w:szCs w:val="24"/>
              </w:rPr>
            </w:pPr>
            <w:r>
              <w:rPr>
                <w:rFonts w:hint="eastAsia"/>
                <w:sz w:val="24"/>
                <w:szCs w:val="24"/>
              </w:rPr>
              <w:t>由环卫部门集中收集后统一处置</w:t>
            </w:r>
          </w:p>
        </w:tc>
        <w:tc>
          <w:tcPr>
            <w:tcW w:w="397" w:type="pct"/>
            <w:vAlign w:val="center"/>
          </w:tcPr>
          <w:p w14:paraId="67982B2A">
            <w:pPr>
              <w:pStyle w:val="55"/>
              <w:bidi w:val="0"/>
              <w:rPr>
                <w:sz w:val="24"/>
                <w:szCs w:val="24"/>
              </w:rPr>
            </w:pPr>
            <w:r>
              <w:rPr>
                <w:rFonts w:hint="eastAsia"/>
                <w:sz w:val="24"/>
                <w:szCs w:val="24"/>
                <w:lang w:val="en-US" w:eastAsia="zh-CN"/>
              </w:rPr>
              <w:t>间断</w:t>
            </w:r>
          </w:p>
        </w:tc>
      </w:tr>
    </w:tbl>
    <w:p w14:paraId="1165CDFB">
      <w:pPr>
        <w:pStyle w:val="90"/>
        <w:bidi w:val="0"/>
        <w:ind w:left="0" w:leftChars="0" w:firstLine="0" w:firstLineChars="0"/>
      </w:pPr>
      <w:bookmarkStart w:id="42" w:name="_Toc325"/>
      <w:r>
        <w:rPr>
          <w:rFonts w:hint="eastAsia"/>
        </w:rPr>
        <w:t>污染源分析与</w:t>
      </w:r>
      <w:r>
        <w:t>治理措施</w:t>
      </w:r>
      <w:bookmarkEnd w:id="42"/>
    </w:p>
    <w:p w14:paraId="34B82892">
      <w:pPr>
        <w:pStyle w:val="92"/>
        <w:bidi w:val="0"/>
        <w:ind w:left="0" w:leftChars="0" w:firstLine="0" w:firstLineChars="0"/>
      </w:pPr>
      <w:r>
        <w:rPr>
          <w:rFonts w:hint="eastAsia"/>
        </w:rPr>
        <w:t>施工期</w:t>
      </w:r>
    </w:p>
    <w:p w14:paraId="4713AB86">
      <w:pPr>
        <w:pStyle w:val="47"/>
        <w:bidi w:val="0"/>
        <w:rPr>
          <w:rFonts w:hint="default"/>
        </w:rPr>
      </w:pPr>
      <w:r>
        <w:rPr>
          <w:rFonts w:hint="default"/>
        </w:rPr>
        <w:t>项目建设内容主要包括</w:t>
      </w:r>
      <w:r>
        <w:rPr>
          <w:rFonts w:hint="eastAsia"/>
          <w:lang w:val="en-US" w:eastAsia="zh-CN"/>
        </w:rPr>
        <w:t>生产车间、原料车间</w:t>
      </w:r>
      <w:r>
        <w:rPr>
          <w:rFonts w:hint="default"/>
        </w:rPr>
        <w:t>及相关环保设施等的建设。施工过程中产生的主要污染工序包括以下几部分：</w:t>
      </w:r>
    </w:p>
    <w:p w14:paraId="23EE5FCF">
      <w:pPr>
        <w:pStyle w:val="47"/>
        <w:ind w:firstLine="482"/>
        <w:rPr>
          <w:rFonts w:hint="default" w:eastAsia="楷体"/>
          <w:lang w:val="en-US" w:eastAsia="zh-CN"/>
        </w:rPr>
      </w:pPr>
      <w:r>
        <w:rPr>
          <w:rFonts w:hint="eastAsia"/>
          <w:lang w:eastAsia="zh-CN"/>
        </w:rPr>
        <w:t>（</w:t>
      </w:r>
      <w:r>
        <w:rPr>
          <w:rFonts w:hint="eastAsia"/>
          <w:lang w:val="en-US" w:eastAsia="zh-CN"/>
        </w:rPr>
        <w:t>1</w:t>
      </w:r>
      <w:r>
        <w:rPr>
          <w:rFonts w:hint="eastAsia"/>
          <w:lang w:eastAsia="zh-CN"/>
        </w:rPr>
        <w:t>）</w:t>
      </w:r>
      <w:r>
        <w:rPr>
          <w:rFonts w:hint="eastAsia"/>
          <w:lang w:val="en-US" w:eastAsia="zh-CN"/>
        </w:rPr>
        <w:t>废气</w:t>
      </w:r>
    </w:p>
    <w:p w14:paraId="08FE4B91">
      <w:pPr>
        <w:pStyle w:val="47"/>
        <w:ind w:firstLine="482"/>
        <w:rPr>
          <w:rFonts w:hint="eastAsia"/>
        </w:rPr>
      </w:pPr>
      <w:r>
        <w:rPr>
          <w:rFonts w:hint="eastAsia"/>
        </w:rPr>
        <w:t>项目施工期产生的大气污染物主要包括施工场地扬尘、施工机械废气和装修阶段产生的废气。</w:t>
      </w:r>
    </w:p>
    <w:p w14:paraId="3CACCF07">
      <w:pPr>
        <w:pStyle w:val="47"/>
        <w:ind w:firstLine="482"/>
        <w:rPr>
          <w:rFonts w:hint="eastAsia"/>
        </w:rPr>
      </w:pPr>
      <w:r>
        <w:rPr>
          <w:rFonts w:hint="eastAsia"/>
        </w:rPr>
        <w:t>①施工期清理现场、平整场地、建筑物建设等施工行为产生的扬尘；</w:t>
      </w:r>
    </w:p>
    <w:p w14:paraId="42DB87A3">
      <w:pPr>
        <w:pStyle w:val="47"/>
        <w:ind w:firstLine="482"/>
        <w:rPr>
          <w:rFonts w:hint="eastAsia"/>
        </w:rPr>
      </w:pPr>
      <w:r>
        <w:rPr>
          <w:rFonts w:hint="eastAsia"/>
        </w:rPr>
        <w:t>②施工建筑材料（如水泥、石灰、砂石料）的装卸、运输、堆砌过程以及开挖弃土的堆砌、运输过程中造成尘土的扬起和洒落；</w:t>
      </w:r>
    </w:p>
    <w:p w14:paraId="1F91D6B2">
      <w:pPr>
        <w:pStyle w:val="47"/>
        <w:ind w:firstLine="482"/>
        <w:rPr>
          <w:rFonts w:hint="eastAsia"/>
        </w:rPr>
      </w:pPr>
      <w:r>
        <w:rPr>
          <w:rFonts w:hint="eastAsia" w:ascii="楷体" w:hAnsi="楷体" w:eastAsia="楷体" w:cs="楷体"/>
        </w:rPr>
        <w:t>③</w:t>
      </w:r>
      <w:r>
        <w:rPr>
          <w:rFonts w:hint="eastAsia"/>
        </w:rPr>
        <w:t>各类燃油动力机械（如汽车、铲运车、吊车等）在进行建筑材料运输、原料库房建设等作业时排放的废气，主要污染因子为HC、NOx、CO等。产生量小，为无组织间断排放，可通过大气环境自然扩散和稀释。</w:t>
      </w:r>
    </w:p>
    <w:p w14:paraId="1F37F7C5">
      <w:pPr>
        <w:pStyle w:val="47"/>
        <w:ind w:firstLine="482"/>
        <w:rPr>
          <w:rFonts w:hint="default" w:eastAsia="楷体"/>
          <w:lang w:val="en-US" w:eastAsia="zh-CN"/>
        </w:rPr>
      </w:pPr>
      <w:r>
        <w:rPr>
          <w:rFonts w:hint="eastAsia"/>
          <w:lang w:eastAsia="zh-CN"/>
        </w:rPr>
        <w:t>（</w:t>
      </w:r>
      <w:r>
        <w:rPr>
          <w:rFonts w:hint="eastAsia"/>
          <w:lang w:val="en-US" w:eastAsia="zh-CN"/>
        </w:rPr>
        <w:t>2</w:t>
      </w:r>
      <w:r>
        <w:rPr>
          <w:rFonts w:hint="eastAsia"/>
          <w:lang w:eastAsia="zh-CN"/>
        </w:rPr>
        <w:t>）</w:t>
      </w:r>
      <w:r>
        <w:rPr>
          <w:rFonts w:hint="eastAsia"/>
          <w:lang w:val="en-US" w:eastAsia="zh-CN"/>
        </w:rPr>
        <w:t>废水</w:t>
      </w:r>
    </w:p>
    <w:p w14:paraId="48BDB627">
      <w:pPr>
        <w:pStyle w:val="47"/>
        <w:ind w:firstLine="482"/>
        <w:rPr>
          <w:rFonts w:hint="eastAsia"/>
        </w:rPr>
      </w:pPr>
      <w:r>
        <w:rPr>
          <w:rFonts w:hint="eastAsia"/>
        </w:rPr>
        <w:t>施工期废水主要为车辆清洗水和施工人员生活污水。</w:t>
      </w:r>
    </w:p>
    <w:p w14:paraId="058E569F">
      <w:pPr>
        <w:pStyle w:val="47"/>
        <w:ind w:firstLine="482"/>
        <w:rPr>
          <w:rFonts w:hint="eastAsia"/>
        </w:rPr>
      </w:pPr>
      <w:r>
        <w:rPr>
          <w:rFonts w:hint="eastAsia"/>
          <w:lang w:val="en-US" w:eastAsia="zh-CN"/>
        </w:rPr>
        <w:t>车辆冲洗废水</w:t>
      </w:r>
      <w:r>
        <w:rPr>
          <w:rFonts w:hint="eastAsia"/>
        </w:rPr>
        <w:t>经沉淀池处理后回用，不外排。</w:t>
      </w:r>
    </w:p>
    <w:p w14:paraId="7874A45A">
      <w:pPr>
        <w:pStyle w:val="47"/>
        <w:ind w:firstLine="482"/>
        <w:rPr>
          <w:rFonts w:hint="eastAsia"/>
          <w:lang w:eastAsia="zh-CN"/>
        </w:rPr>
      </w:pPr>
      <w:r>
        <w:rPr>
          <w:rFonts w:hint="eastAsia"/>
        </w:rPr>
        <w:t>生活污水产生量为</w:t>
      </w:r>
      <w:r>
        <w:rPr>
          <w:rFonts w:hint="eastAsia"/>
          <w:lang w:val="en-US" w:eastAsia="zh-CN"/>
        </w:rPr>
        <w:t>1</w:t>
      </w:r>
      <w:r>
        <w:rPr>
          <w:rFonts w:hint="eastAsia"/>
        </w:rPr>
        <w:t>m</w:t>
      </w:r>
      <w:r>
        <w:rPr>
          <w:rFonts w:hint="eastAsia"/>
          <w:vertAlign w:val="superscript"/>
        </w:rPr>
        <w:t>3</w:t>
      </w:r>
      <w:r>
        <w:rPr>
          <w:rFonts w:hint="eastAsia"/>
        </w:rPr>
        <w:t>/</w:t>
      </w:r>
      <w:r>
        <w:rPr>
          <w:rFonts w:hint="eastAsia"/>
          <w:lang w:val="en-US" w:eastAsia="zh-CN"/>
        </w:rPr>
        <w:t>d</w:t>
      </w:r>
      <w:r>
        <w:rPr>
          <w:rFonts w:hint="eastAsia"/>
        </w:rPr>
        <w:t>（施工人数为</w:t>
      </w:r>
      <w:r>
        <w:rPr>
          <w:rFonts w:hint="eastAsia"/>
          <w:lang w:val="en-US" w:eastAsia="zh-CN"/>
        </w:rPr>
        <w:t>2</w:t>
      </w:r>
      <w:r>
        <w:rPr>
          <w:rFonts w:hint="eastAsia"/>
        </w:rPr>
        <w:t>0人，产生量按50L/d·人），施工期生活污水产生量按照用水的80%核算，则</w:t>
      </w:r>
      <w:r>
        <w:rPr>
          <w:rFonts w:hint="eastAsia"/>
          <w:lang w:val="en-US" w:eastAsia="zh-CN"/>
        </w:rPr>
        <w:t>生活污水排放量为0.8</w:t>
      </w:r>
      <w:r>
        <w:rPr>
          <w:rFonts w:hint="eastAsia"/>
        </w:rPr>
        <w:t>m</w:t>
      </w:r>
      <w:r>
        <w:rPr>
          <w:rFonts w:hint="eastAsia"/>
          <w:vertAlign w:val="superscript"/>
        </w:rPr>
        <w:t>3</w:t>
      </w:r>
      <w:r>
        <w:rPr>
          <w:rFonts w:hint="eastAsia"/>
        </w:rPr>
        <w:t>/</w:t>
      </w:r>
      <w:r>
        <w:rPr>
          <w:rFonts w:hint="eastAsia"/>
          <w:lang w:val="en-US" w:eastAsia="zh-CN"/>
        </w:rPr>
        <w:t>d</w:t>
      </w:r>
      <w:r>
        <w:rPr>
          <w:rFonts w:hint="eastAsia"/>
          <w:lang w:eastAsia="zh-CN"/>
        </w:rPr>
        <w:t>，</w:t>
      </w:r>
      <w:r>
        <w:rPr>
          <w:rFonts w:hint="eastAsia"/>
          <w:lang w:val="en-US" w:eastAsia="zh-CN"/>
        </w:rPr>
        <w:t>泼洒厂区抑尘。</w:t>
      </w:r>
    </w:p>
    <w:p w14:paraId="7A8EFAF2">
      <w:pPr>
        <w:pStyle w:val="47"/>
        <w:ind w:firstLine="482"/>
        <w:rPr>
          <w:rFonts w:hint="default" w:eastAsia="楷体"/>
          <w:lang w:val="en-US" w:eastAsia="zh-CN"/>
        </w:rPr>
      </w:pPr>
      <w:r>
        <w:rPr>
          <w:rFonts w:hint="eastAsia"/>
          <w:lang w:eastAsia="zh-CN"/>
        </w:rPr>
        <w:t>（</w:t>
      </w:r>
      <w:r>
        <w:rPr>
          <w:rFonts w:hint="eastAsia"/>
          <w:lang w:val="en-US" w:eastAsia="zh-CN"/>
        </w:rPr>
        <w:t>3</w:t>
      </w:r>
      <w:r>
        <w:rPr>
          <w:rFonts w:hint="eastAsia"/>
          <w:lang w:eastAsia="zh-CN"/>
        </w:rPr>
        <w:t>）</w:t>
      </w:r>
      <w:r>
        <w:rPr>
          <w:rFonts w:hint="eastAsia"/>
          <w:lang w:val="en-US" w:eastAsia="zh-CN"/>
        </w:rPr>
        <w:t>噪声</w:t>
      </w:r>
    </w:p>
    <w:p w14:paraId="0A6CC24E">
      <w:pPr>
        <w:pStyle w:val="47"/>
        <w:bidi w:val="0"/>
        <w:rPr>
          <w:rFonts w:hint="default"/>
        </w:rPr>
      </w:pPr>
      <w:r>
        <w:rPr>
          <w:rFonts w:hint="default"/>
        </w:rPr>
        <w:t>施工期噪声污染源主要为施工过程中的机械噪声与交通运输噪声。如装载机、混凝土搅拌机、推土机、挖掘机、电锯及材料运输过程产生的机械及振动噪声等。</w:t>
      </w:r>
    </w:p>
    <w:p w14:paraId="62F039D8">
      <w:pPr>
        <w:pStyle w:val="47"/>
        <w:bidi w:val="0"/>
        <w:rPr>
          <w:rFonts w:hint="default"/>
        </w:rPr>
      </w:pPr>
      <w:r>
        <w:rPr>
          <w:rFonts w:hint="default"/>
        </w:rPr>
        <w:t>根据类比调查，本项目施工期主要噪声源在75~90dB（A）之间。</w:t>
      </w:r>
    </w:p>
    <w:p w14:paraId="63DA93B3">
      <w:pPr>
        <w:pStyle w:val="47"/>
        <w:ind w:firstLine="482"/>
        <w:rPr>
          <w:rFonts w:hint="default" w:eastAsia="楷体"/>
          <w:lang w:val="en-US" w:eastAsia="zh-CN"/>
        </w:rPr>
      </w:pPr>
      <w:r>
        <w:rPr>
          <w:rFonts w:hint="eastAsia"/>
          <w:lang w:eastAsia="zh-CN"/>
        </w:rPr>
        <w:t>（</w:t>
      </w:r>
      <w:r>
        <w:rPr>
          <w:rFonts w:hint="eastAsia"/>
          <w:lang w:val="en-US" w:eastAsia="zh-CN"/>
        </w:rPr>
        <w:t>4</w:t>
      </w:r>
      <w:r>
        <w:rPr>
          <w:rFonts w:hint="eastAsia"/>
          <w:lang w:eastAsia="zh-CN"/>
        </w:rPr>
        <w:t>）</w:t>
      </w:r>
      <w:r>
        <w:rPr>
          <w:rFonts w:hint="eastAsia"/>
          <w:lang w:val="en-US" w:eastAsia="zh-CN"/>
        </w:rPr>
        <w:t>固体废物</w:t>
      </w:r>
    </w:p>
    <w:p w14:paraId="60F74FB5">
      <w:pPr>
        <w:pStyle w:val="47"/>
        <w:ind w:firstLine="482"/>
        <w:rPr>
          <w:rFonts w:hint="eastAsia"/>
        </w:rPr>
      </w:pPr>
      <w:r>
        <w:rPr>
          <w:rFonts w:hint="eastAsia"/>
        </w:rPr>
        <w:t>施工过程中产生的固体废物主要为堆场建设过程产生的固废和施工人员的生活垃圾。</w:t>
      </w:r>
    </w:p>
    <w:p w14:paraId="19027E50">
      <w:pPr>
        <w:pStyle w:val="47"/>
        <w:ind w:firstLine="482"/>
        <w:rPr>
          <w:rFonts w:hint="eastAsia"/>
        </w:rPr>
      </w:pPr>
      <w:r>
        <w:rPr>
          <w:rFonts w:hint="eastAsia"/>
        </w:rPr>
        <w:t>根据一般建筑建设情况，建筑垃圾按0.02</w:t>
      </w:r>
      <w:r>
        <w:rPr>
          <w:rFonts w:hint="eastAsia"/>
          <w:lang w:val="en-US" w:eastAsia="zh-CN"/>
        </w:rPr>
        <w:t>t</w:t>
      </w:r>
      <w:r>
        <w:rPr>
          <w:rFonts w:hint="eastAsia"/>
        </w:rPr>
        <w:t>/m</w:t>
      </w:r>
      <w:r>
        <w:rPr>
          <w:rFonts w:hint="eastAsia"/>
          <w:vertAlign w:val="superscript"/>
        </w:rPr>
        <w:t>2</w:t>
      </w:r>
      <w:r>
        <w:rPr>
          <w:rFonts w:hint="eastAsia"/>
        </w:rPr>
        <w:t>计算，本项目</w:t>
      </w:r>
      <w:r>
        <w:rPr>
          <w:rFonts w:hint="eastAsia"/>
          <w:lang w:val="en-US" w:eastAsia="zh-CN"/>
        </w:rPr>
        <w:t>面积为9000m</w:t>
      </w:r>
      <w:r>
        <w:rPr>
          <w:rFonts w:hint="eastAsia"/>
          <w:vertAlign w:val="superscript"/>
          <w:lang w:val="en-US" w:eastAsia="zh-CN"/>
        </w:rPr>
        <w:t>2</w:t>
      </w:r>
      <w:r>
        <w:rPr>
          <w:rFonts w:hint="eastAsia"/>
        </w:rPr>
        <w:t>，本项目建筑垃圾产生量为</w:t>
      </w:r>
      <w:r>
        <w:rPr>
          <w:rFonts w:hint="eastAsia"/>
          <w:lang w:val="en-US" w:eastAsia="zh-CN"/>
        </w:rPr>
        <w:t>180</w:t>
      </w:r>
      <w:r>
        <w:rPr>
          <w:rFonts w:hint="eastAsia"/>
        </w:rPr>
        <w:t>t。</w:t>
      </w:r>
    </w:p>
    <w:p w14:paraId="68519F9A">
      <w:pPr>
        <w:pStyle w:val="47"/>
        <w:ind w:firstLine="482"/>
        <w:rPr>
          <w:rFonts w:hint="eastAsia"/>
        </w:rPr>
      </w:pPr>
      <w:r>
        <w:rPr>
          <w:rFonts w:hint="eastAsia"/>
        </w:rPr>
        <w:t>项目施工员工生活垃圾量按0.5kg/（人·d）计算，施工人员约</w:t>
      </w:r>
      <w:r>
        <w:rPr>
          <w:rFonts w:hint="eastAsia"/>
          <w:lang w:val="en-US" w:eastAsia="zh-CN"/>
        </w:rPr>
        <w:t>20</w:t>
      </w:r>
      <w:r>
        <w:rPr>
          <w:rFonts w:hint="eastAsia"/>
        </w:rPr>
        <w:t>人，生活垃圾产生量为</w:t>
      </w:r>
      <w:r>
        <w:rPr>
          <w:rFonts w:hint="eastAsia"/>
          <w:lang w:val="en-US" w:eastAsia="zh-CN"/>
        </w:rPr>
        <w:t>10</w:t>
      </w:r>
      <w:r>
        <w:rPr>
          <w:rFonts w:hint="eastAsia"/>
        </w:rPr>
        <w:t>kg/d。生活垃圾集中收集后由环卫部门定期清运处理。</w:t>
      </w:r>
    </w:p>
    <w:p w14:paraId="2BC0853A">
      <w:pPr>
        <w:pStyle w:val="92"/>
        <w:bidi w:val="0"/>
        <w:ind w:left="0" w:leftChars="0" w:firstLine="0" w:firstLineChars="0"/>
      </w:pPr>
      <w:r>
        <w:rPr>
          <w:rFonts w:hint="eastAsia"/>
        </w:rPr>
        <w:t>营运期</w:t>
      </w:r>
    </w:p>
    <w:p w14:paraId="0EF98C67">
      <w:pPr>
        <w:pStyle w:val="96"/>
        <w:bidi w:val="0"/>
        <w:ind w:left="0" w:leftChars="0" w:firstLine="0" w:firstLineChars="0"/>
      </w:pPr>
      <w:r>
        <w:rPr>
          <w:rFonts w:hint="eastAsia"/>
        </w:rPr>
        <w:t>废</w:t>
      </w:r>
      <w:r>
        <w:rPr>
          <w:rFonts w:hint="eastAsia"/>
          <w:lang w:val="en-US" w:eastAsia="zh-CN"/>
        </w:rPr>
        <w:t>气</w:t>
      </w:r>
    </w:p>
    <w:p w14:paraId="7D6FB2AA">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default"/>
          <w:lang w:val="en-US" w:eastAsia="zh-CN"/>
        </w:rPr>
      </w:pPr>
      <w:r>
        <w:rPr>
          <w:rFonts w:hint="eastAsia" w:ascii="楷体" w:hAnsi="楷体" w:cs="楷体"/>
          <w:lang w:val="en-US" w:eastAsia="zh-CN"/>
        </w:rPr>
        <w:t>（1）</w:t>
      </w:r>
      <w:r>
        <w:rPr>
          <w:rFonts w:hint="default"/>
          <w:lang w:val="en-US" w:eastAsia="zh-CN"/>
        </w:rPr>
        <w:t>1#生产车间</w:t>
      </w:r>
    </w:p>
    <w:p w14:paraId="024A494A">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default"/>
          <w:lang w:val="en-US" w:eastAsia="zh-CN"/>
        </w:rPr>
      </w:pPr>
      <w:r>
        <w:rPr>
          <w:rFonts w:hint="default"/>
          <w:lang w:val="en-US" w:eastAsia="zh-CN"/>
        </w:rPr>
        <w:t>1#生产车间放置高速混合机、挤出机等生产设备，</w:t>
      </w:r>
      <w:r>
        <w:rPr>
          <w:rFonts w:hint="eastAsia"/>
          <w:lang w:val="en-US" w:eastAsia="zh-CN"/>
        </w:rPr>
        <w:t>根据建设单位提供资料，</w:t>
      </w:r>
      <w:r>
        <w:rPr>
          <w:rFonts w:hint="default"/>
          <w:lang w:val="en-US" w:eastAsia="zh-CN"/>
        </w:rPr>
        <w:t>1#生产车间产能为10000t/a电缆颗粒</w:t>
      </w:r>
      <w:r>
        <w:rPr>
          <w:rFonts w:hint="eastAsia"/>
          <w:lang w:val="en-US" w:eastAsia="zh-CN"/>
        </w:rPr>
        <w:t>，</w:t>
      </w:r>
      <w:r>
        <w:rPr>
          <w:rFonts w:hint="default"/>
          <w:lang w:val="en-US" w:eastAsia="zh-CN"/>
        </w:rPr>
        <w:t>生产过程中产生的主要废气为投料搅拌工序产生的颗粒物，挤出工序产生的颗粒物、非甲烷总烃、氯化氢及臭气浓度，废气经集气罩收集，引入1套</w:t>
      </w:r>
      <w:r>
        <w:rPr>
          <w:rFonts w:hint="eastAsia"/>
          <w:lang w:val="en-US" w:eastAsia="zh-CN"/>
        </w:rPr>
        <w:t>“</w:t>
      </w:r>
      <w:r>
        <w:rPr>
          <w:rFonts w:hint="default"/>
          <w:lang w:val="en-US" w:eastAsia="zh-CN"/>
        </w:rPr>
        <w:t>布袋除尘器+两级活性炭吸附装置</w:t>
      </w:r>
      <w:r>
        <w:rPr>
          <w:rFonts w:hint="eastAsia"/>
          <w:lang w:val="en-US" w:eastAsia="zh-CN"/>
        </w:rPr>
        <w:t>”</w:t>
      </w:r>
      <w:r>
        <w:rPr>
          <w:rFonts w:hint="default"/>
          <w:lang w:val="en-US" w:eastAsia="zh-CN"/>
        </w:rPr>
        <w:t>处理后，由15m高排气筒（DA001）排放</w:t>
      </w:r>
      <w:r>
        <w:rPr>
          <w:rFonts w:hint="eastAsia"/>
          <w:lang w:val="en-US" w:eastAsia="zh-CN"/>
        </w:rPr>
        <w:t>，风机风量为30000m</w:t>
      </w:r>
      <w:r>
        <w:rPr>
          <w:rFonts w:hint="eastAsia"/>
          <w:vertAlign w:val="superscript"/>
          <w:lang w:val="en-US" w:eastAsia="zh-CN"/>
        </w:rPr>
        <w:t>3</w:t>
      </w:r>
      <w:r>
        <w:rPr>
          <w:rFonts w:hint="eastAsia"/>
          <w:lang w:val="en-US" w:eastAsia="zh-CN"/>
        </w:rPr>
        <w:t>/h</w:t>
      </w:r>
      <w:r>
        <w:rPr>
          <w:rFonts w:hint="default"/>
          <w:lang w:val="en-US" w:eastAsia="zh-CN"/>
        </w:rPr>
        <w:t>。</w:t>
      </w:r>
    </w:p>
    <w:p w14:paraId="39A82674">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default"/>
          <w:lang w:val="en-US" w:eastAsia="zh-CN"/>
        </w:rPr>
      </w:pPr>
      <w:r>
        <w:rPr>
          <w:rFonts w:hint="eastAsia" w:ascii="楷体" w:hAnsi="楷体" w:eastAsia="楷体" w:cs="楷体"/>
          <w:lang w:val="en-US" w:eastAsia="zh-CN"/>
        </w:rPr>
        <w:t>①</w:t>
      </w:r>
      <w:r>
        <w:rPr>
          <w:rFonts w:hint="default"/>
          <w:lang w:val="en-US" w:eastAsia="zh-CN"/>
        </w:rPr>
        <w:t>投料及搅拌工序废气</w:t>
      </w:r>
    </w:p>
    <w:p w14:paraId="530D7A25">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default"/>
          <w:lang w:val="en-US" w:eastAsia="zh-CN"/>
        </w:rPr>
      </w:pPr>
      <w:r>
        <w:rPr>
          <w:rFonts w:hint="default"/>
          <w:lang w:val="en-US" w:eastAsia="zh-CN"/>
        </w:rPr>
        <w:t>项目人工将PVC颗粒、增塑剂、石蜡、色母、钙粉等原料投入高速混合机中，投料及搅拌过程中产生废气颗粒物，参考《排放源统计调查产排污核算方法和系数手册》中塑料制品行业系数手册——292塑料制品行业系数手册，颗粒物产污系数2.5kg/t-产品，1#生产车间产能为10000t/a，废气颗粒物产生量为25t/a。</w:t>
      </w:r>
    </w:p>
    <w:p w14:paraId="23CECE33">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default"/>
          <w:lang w:val="en-US" w:eastAsia="zh-CN"/>
        </w:rPr>
      </w:pPr>
      <w:r>
        <w:rPr>
          <w:rFonts w:hint="eastAsia" w:ascii="楷体" w:hAnsi="楷体" w:eastAsia="楷体" w:cs="楷体"/>
          <w:lang w:val="en-US" w:eastAsia="zh-CN"/>
        </w:rPr>
        <w:t>②</w:t>
      </w:r>
      <w:r>
        <w:rPr>
          <w:rFonts w:hint="default"/>
          <w:lang w:val="en-US" w:eastAsia="zh-CN"/>
        </w:rPr>
        <w:t>挤出</w:t>
      </w:r>
      <w:r>
        <w:rPr>
          <w:rFonts w:hint="eastAsia"/>
          <w:lang w:val="en-US" w:eastAsia="zh-CN"/>
        </w:rPr>
        <w:t>工序</w:t>
      </w:r>
      <w:r>
        <w:rPr>
          <w:rFonts w:hint="default"/>
          <w:lang w:val="en-US" w:eastAsia="zh-CN"/>
        </w:rPr>
        <w:t>废气</w:t>
      </w:r>
    </w:p>
    <w:p w14:paraId="07860C0C">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default"/>
          <w:lang w:val="en-US" w:eastAsia="zh-CN"/>
        </w:rPr>
      </w:pPr>
      <w:r>
        <w:rPr>
          <w:rFonts w:hint="default"/>
          <w:lang w:val="en-US" w:eastAsia="zh-CN"/>
        </w:rPr>
        <w:t>项目挤出</w:t>
      </w:r>
      <w:r>
        <w:rPr>
          <w:rFonts w:hint="eastAsia"/>
          <w:lang w:val="en-US" w:eastAsia="zh-CN"/>
        </w:rPr>
        <w:t>工序</w:t>
      </w:r>
      <w:r>
        <w:rPr>
          <w:rFonts w:hint="default"/>
          <w:lang w:val="en-US" w:eastAsia="zh-CN"/>
        </w:rPr>
        <w:t>采用电加热，原料在热解熔融过程由于分子间的剪切挤压下断链、分解、降解过程中产生游离单体等挥发性有机物（以非甲烷总烃计）和氯化氢。此外，塑料在加温过程中因为温度不够而无法完全热解，将产生大量的塑料颗粒烟尘。因此项目在挤出工序产生污染物为颗粒物、非甲烷总烃</w:t>
      </w:r>
      <w:r>
        <w:rPr>
          <w:rFonts w:hint="eastAsia"/>
          <w:lang w:val="en-US" w:eastAsia="zh-CN"/>
        </w:rPr>
        <w:t>、</w:t>
      </w:r>
      <w:r>
        <w:rPr>
          <w:rFonts w:hint="default"/>
          <w:lang w:val="en-US" w:eastAsia="zh-CN"/>
        </w:rPr>
        <w:t>氯化氢、臭气浓度。</w:t>
      </w:r>
    </w:p>
    <w:p w14:paraId="18DC08BE">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lang w:val="en-US" w:eastAsia="zh-CN"/>
        </w:rPr>
      </w:pPr>
      <w:r>
        <w:rPr>
          <w:rFonts w:hint="eastAsia"/>
          <w:lang w:val="en-US" w:eastAsia="zh-CN"/>
        </w:rPr>
        <w:t>a</w:t>
      </w:r>
      <w:r>
        <w:rPr>
          <w:rFonts w:hint="default"/>
          <w:lang w:val="en-US" w:eastAsia="zh-CN"/>
        </w:rPr>
        <w:t>颗粒物</w:t>
      </w:r>
    </w:p>
    <w:p w14:paraId="41064497">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default"/>
          <w:lang w:val="en-US" w:eastAsia="zh-CN"/>
        </w:rPr>
      </w:pPr>
      <w:r>
        <w:rPr>
          <w:rFonts w:hint="default"/>
          <w:lang w:val="en-US" w:eastAsia="zh-CN"/>
        </w:rPr>
        <w:t>根据《废塑料预处理行业环境影响评价中常见污染物源强估算及污染治理》（李飞，中国资源综合利用，2019年1月）挤出工序颗粒物产生量约为有机废气产生量20%-45%，项目按照</w:t>
      </w:r>
      <w:r>
        <w:rPr>
          <w:rFonts w:hint="eastAsia"/>
          <w:lang w:val="en-US" w:eastAsia="zh-CN"/>
        </w:rPr>
        <w:t>最不利情况</w:t>
      </w:r>
      <w:r>
        <w:rPr>
          <w:rFonts w:hint="default"/>
          <w:lang w:val="en-US" w:eastAsia="zh-CN"/>
        </w:rPr>
        <w:t>45%考虑，则挤出工序颗粒物产生量为20.7t/a。</w:t>
      </w:r>
    </w:p>
    <w:p w14:paraId="164EFB09">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default"/>
          <w:lang w:val="en-US" w:eastAsia="zh-CN"/>
        </w:rPr>
      </w:pPr>
      <w:r>
        <w:rPr>
          <w:rFonts w:hint="eastAsia"/>
          <w:lang w:val="en-US" w:eastAsia="zh-CN"/>
        </w:rPr>
        <w:t>b</w:t>
      </w:r>
      <w:r>
        <w:rPr>
          <w:rFonts w:hint="default"/>
          <w:lang w:val="en-US" w:eastAsia="zh-CN"/>
        </w:rPr>
        <w:t>非甲烷总烃</w:t>
      </w:r>
    </w:p>
    <w:p w14:paraId="0F2A0B9C">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default"/>
          <w:lang w:val="en-US" w:eastAsia="zh-CN"/>
        </w:rPr>
      </w:pPr>
      <w:r>
        <w:rPr>
          <w:rFonts w:hint="default"/>
          <w:lang w:val="en-US" w:eastAsia="zh-CN"/>
        </w:rPr>
        <w:t>根据《排放源统计调查产排污核算方法和系数手册》中塑料制品行业系数手册——2929塑料零件及其他塑料制品制造行业系数表，挥发性有机物产生系数为4.6kg/吨-产品，1#生产车间产能为10000t/a，则挤出工序挥发性有机物（以非甲烷总烃计）产生量为46t/a。</w:t>
      </w:r>
    </w:p>
    <w:p w14:paraId="50D97E81">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default"/>
          <w:lang w:val="en-US" w:eastAsia="zh-CN"/>
        </w:rPr>
      </w:pPr>
      <w:r>
        <w:rPr>
          <w:rFonts w:hint="eastAsia"/>
          <w:lang w:val="en-US" w:eastAsia="zh-CN"/>
        </w:rPr>
        <w:t>c</w:t>
      </w:r>
      <w:r>
        <w:rPr>
          <w:rFonts w:hint="default"/>
          <w:lang w:val="en-US" w:eastAsia="zh-CN"/>
        </w:rPr>
        <w:t>氯化氢</w:t>
      </w:r>
    </w:p>
    <w:p w14:paraId="03504E59">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default"/>
          <w:lang w:val="en-US" w:eastAsia="zh-CN"/>
        </w:rPr>
      </w:pPr>
      <w:r>
        <w:rPr>
          <w:rFonts w:hint="default"/>
          <w:lang w:val="en-US" w:eastAsia="zh-CN"/>
        </w:rPr>
        <w:t>参考我国《塑料加工手册》及美国国家环保局编写的《工业污染源调查与研究》等相关资料，1kg聚氯乙烯约产生3.2mg氯化氢，1#生产车间年消耗PVC原料约9333t，计算得到氯化氢产生量约0.0</w:t>
      </w:r>
      <w:r>
        <w:rPr>
          <w:rFonts w:hint="eastAsia"/>
          <w:lang w:val="en-US" w:eastAsia="zh-CN"/>
        </w:rPr>
        <w:t>3</w:t>
      </w:r>
      <w:r>
        <w:rPr>
          <w:rFonts w:hint="default"/>
          <w:lang w:val="en-US" w:eastAsia="zh-CN"/>
        </w:rPr>
        <w:t>t/a。</w:t>
      </w:r>
    </w:p>
    <w:p w14:paraId="1D644F95">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default"/>
          <w:lang w:val="en-US" w:eastAsia="zh-CN"/>
        </w:rPr>
      </w:pPr>
      <w:r>
        <w:rPr>
          <w:rFonts w:hint="eastAsia"/>
          <w:lang w:val="en-US" w:eastAsia="zh-CN"/>
        </w:rPr>
        <w:t>d</w:t>
      </w:r>
      <w:r>
        <w:rPr>
          <w:rFonts w:hint="default"/>
          <w:lang w:val="en-US" w:eastAsia="zh-CN"/>
        </w:rPr>
        <w:t>恶臭气体</w:t>
      </w:r>
    </w:p>
    <w:p w14:paraId="377954DE">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default"/>
          <w:lang w:val="en-US" w:eastAsia="zh-CN"/>
        </w:rPr>
      </w:pPr>
      <w:r>
        <w:rPr>
          <w:rFonts w:hint="default"/>
          <w:lang w:val="en-US" w:eastAsia="zh-CN"/>
        </w:rPr>
        <w:t>项目的臭气主要来源于挤出工序产生的臭气浓度，由于臭气浓度污染量化，因此仅做定性分析。</w:t>
      </w:r>
    </w:p>
    <w:p w14:paraId="220877A3">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default"/>
          <w:lang w:val="en-US" w:eastAsia="zh-CN"/>
        </w:rPr>
      </w:pPr>
      <w:r>
        <w:rPr>
          <w:rFonts w:hint="eastAsia"/>
          <w:lang w:val="en-US" w:eastAsia="zh-CN"/>
        </w:rPr>
        <w:t>1#生产车间废气排放情况详见下表3.4-2。</w:t>
      </w:r>
    </w:p>
    <w:p w14:paraId="4D483D64">
      <w:pPr>
        <w:pStyle w:val="94"/>
        <w:bidi w:val="0"/>
        <w:ind w:left="0" w:leftChars="0" w:firstLine="0" w:firstLineChars="0"/>
        <w:rPr>
          <w:rFonts w:hint="eastAsia"/>
          <w:lang w:val="en-US" w:eastAsia="zh-CN"/>
        </w:rPr>
      </w:pPr>
      <w:r>
        <w:rPr>
          <w:rFonts w:hint="eastAsia"/>
          <w:lang w:val="en-US" w:eastAsia="zh-CN"/>
        </w:rPr>
        <w:t>1#生产车间废气一览表</w:t>
      </w:r>
    </w:p>
    <w:tbl>
      <w:tblPr>
        <w:tblStyle w:val="3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5"/>
        <w:gridCol w:w="700"/>
        <w:gridCol w:w="1017"/>
        <w:gridCol w:w="917"/>
        <w:gridCol w:w="1400"/>
        <w:gridCol w:w="733"/>
        <w:gridCol w:w="717"/>
        <w:gridCol w:w="1250"/>
        <w:gridCol w:w="966"/>
        <w:gridCol w:w="1116"/>
      </w:tblGrid>
      <w:tr w14:paraId="68606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blHeader/>
          <w:jc w:val="center"/>
        </w:trPr>
        <w:tc>
          <w:tcPr>
            <w:tcW w:w="250" w:type="pct"/>
            <w:vMerge w:val="restart"/>
            <w:vAlign w:val="center"/>
          </w:tcPr>
          <w:p w14:paraId="54D43D3F">
            <w:pPr>
              <w:pStyle w:val="55"/>
              <w:bidi w:val="0"/>
              <w:rPr>
                <w:rFonts w:hint="default"/>
                <w:lang w:val="en-US" w:eastAsia="zh-CN"/>
              </w:rPr>
            </w:pPr>
            <w:r>
              <w:rPr>
                <w:rFonts w:hint="eastAsia"/>
                <w:lang w:val="en-US" w:eastAsia="zh-CN"/>
              </w:rPr>
              <w:t>序号</w:t>
            </w:r>
          </w:p>
        </w:tc>
        <w:tc>
          <w:tcPr>
            <w:tcW w:w="377" w:type="pct"/>
            <w:vMerge w:val="restart"/>
            <w:vAlign w:val="center"/>
          </w:tcPr>
          <w:p w14:paraId="0F0C6609">
            <w:pPr>
              <w:pStyle w:val="55"/>
              <w:bidi w:val="0"/>
              <w:rPr>
                <w:rFonts w:hint="default"/>
                <w:lang w:val="en-US" w:eastAsia="zh-CN"/>
              </w:rPr>
            </w:pPr>
            <w:r>
              <w:rPr>
                <w:rFonts w:hint="eastAsia"/>
                <w:lang w:val="en-US" w:eastAsia="zh-CN"/>
              </w:rPr>
              <w:t>工序</w:t>
            </w:r>
          </w:p>
        </w:tc>
        <w:tc>
          <w:tcPr>
            <w:tcW w:w="547" w:type="pct"/>
            <w:vMerge w:val="restart"/>
            <w:vAlign w:val="center"/>
          </w:tcPr>
          <w:p w14:paraId="0EF87EF3">
            <w:pPr>
              <w:pStyle w:val="55"/>
              <w:bidi w:val="0"/>
              <w:rPr>
                <w:rFonts w:hint="default"/>
                <w:lang w:val="en-US" w:eastAsia="zh-CN"/>
              </w:rPr>
            </w:pPr>
            <w:r>
              <w:rPr>
                <w:rFonts w:hint="eastAsia"/>
                <w:lang w:val="en-US" w:eastAsia="zh-CN"/>
              </w:rPr>
              <w:t>污染物</w:t>
            </w:r>
          </w:p>
        </w:tc>
        <w:tc>
          <w:tcPr>
            <w:tcW w:w="2029" w:type="pct"/>
            <w:gridSpan w:val="4"/>
            <w:vAlign w:val="center"/>
          </w:tcPr>
          <w:p w14:paraId="4713FF89">
            <w:pPr>
              <w:pStyle w:val="55"/>
              <w:bidi w:val="0"/>
              <w:rPr>
                <w:rFonts w:hint="eastAsia"/>
                <w:lang w:val="en-US" w:eastAsia="zh-CN"/>
              </w:rPr>
            </w:pPr>
            <w:r>
              <w:rPr>
                <w:rFonts w:hint="eastAsia"/>
                <w:lang w:val="en-US" w:eastAsia="zh-CN"/>
              </w:rPr>
              <w:t>产生情况</w:t>
            </w:r>
          </w:p>
        </w:tc>
        <w:tc>
          <w:tcPr>
            <w:tcW w:w="673" w:type="pct"/>
            <w:vMerge w:val="restart"/>
            <w:vAlign w:val="center"/>
          </w:tcPr>
          <w:p w14:paraId="2ABD89F9">
            <w:pPr>
              <w:pStyle w:val="55"/>
              <w:bidi w:val="0"/>
              <w:rPr>
                <w:rFonts w:hint="default"/>
                <w:lang w:val="en-US" w:eastAsia="zh-CN"/>
              </w:rPr>
            </w:pPr>
            <w:r>
              <w:rPr>
                <w:rFonts w:hint="eastAsia"/>
                <w:lang w:val="en-US" w:eastAsia="zh-CN"/>
              </w:rPr>
              <w:t>环保设施</w:t>
            </w:r>
          </w:p>
        </w:tc>
        <w:tc>
          <w:tcPr>
            <w:tcW w:w="1121" w:type="pct"/>
            <w:gridSpan w:val="2"/>
            <w:vAlign w:val="center"/>
          </w:tcPr>
          <w:p w14:paraId="0F6D3423">
            <w:pPr>
              <w:pStyle w:val="55"/>
              <w:bidi w:val="0"/>
              <w:rPr>
                <w:rFonts w:hint="eastAsia"/>
                <w:lang w:val="en-US" w:eastAsia="zh-CN"/>
              </w:rPr>
            </w:pPr>
            <w:r>
              <w:rPr>
                <w:rFonts w:hint="eastAsia"/>
                <w:lang w:val="en-US" w:eastAsia="zh-CN"/>
              </w:rPr>
              <w:t>排放情况</w:t>
            </w:r>
          </w:p>
        </w:tc>
      </w:tr>
      <w:tr w14:paraId="116CB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250" w:type="pct"/>
            <w:vMerge w:val="continue"/>
            <w:vAlign w:val="center"/>
          </w:tcPr>
          <w:p w14:paraId="61CFE944">
            <w:pPr>
              <w:pStyle w:val="55"/>
              <w:bidi w:val="0"/>
              <w:rPr>
                <w:rFonts w:hint="eastAsia"/>
                <w:lang w:val="en-US" w:eastAsia="zh-CN"/>
              </w:rPr>
            </w:pPr>
          </w:p>
        </w:tc>
        <w:tc>
          <w:tcPr>
            <w:tcW w:w="377" w:type="pct"/>
            <w:vMerge w:val="continue"/>
            <w:vAlign w:val="center"/>
          </w:tcPr>
          <w:p w14:paraId="354302E6">
            <w:pPr>
              <w:pStyle w:val="55"/>
              <w:bidi w:val="0"/>
              <w:rPr>
                <w:rFonts w:hint="eastAsia"/>
                <w:lang w:val="en-US" w:eastAsia="zh-CN"/>
              </w:rPr>
            </w:pPr>
          </w:p>
        </w:tc>
        <w:tc>
          <w:tcPr>
            <w:tcW w:w="547" w:type="pct"/>
            <w:vMerge w:val="continue"/>
            <w:vAlign w:val="center"/>
          </w:tcPr>
          <w:p w14:paraId="215B426F">
            <w:pPr>
              <w:pStyle w:val="55"/>
              <w:bidi w:val="0"/>
              <w:rPr>
                <w:rFonts w:hint="eastAsia"/>
                <w:lang w:val="en-US" w:eastAsia="zh-CN"/>
              </w:rPr>
            </w:pPr>
          </w:p>
        </w:tc>
        <w:tc>
          <w:tcPr>
            <w:tcW w:w="494" w:type="pct"/>
            <w:vAlign w:val="center"/>
          </w:tcPr>
          <w:p w14:paraId="35F3B988">
            <w:pPr>
              <w:pStyle w:val="55"/>
              <w:bidi w:val="0"/>
              <w:rPr>
                <w:rFonts w:hint="default"/>
                <w:lang w:val="en-US" w:eastAsia="zh-CN"/>
              </w:rPr>
            </w:pPr>
            <w:r>
              <w:rPr>
                <w:rFonts w:hint="eastAsia"/>
                <w:lang w:val="en-US" w:eastAsia="zh-CN"/>
              </w:rPr>
              <w:t>产生量（t/a）</w:t>
            </w:r>
          </w:p>
        </w:tc>
        <w:tc>
          <w:tcPr>
            <w:tcW w:w="754" w:type="pct"/>
            <w:tcBorders>
              <w:right w:val="single" w:color="000000" w:sz="4" w:space="0"/>
            </w:tcBorders>
            <w:vAlign w:val="center"/>
          </w:tcPr>
          <w:p w14:paraId="3A81D622">
            <w:pPr>
              <w:pStyle w:val="55"/>
              <w:bidi w:val="0"/>
              <w:rPr>
                <w:rFonts w:hint="default"/>
                <w:lang w:val="en-US" w:eastAsia="zh-CN"/>
              </w:rPr>
            </w:pPr>
            <w:r>
              <w:rPr>
                <w:rFonts w:hint="eastAsia"/>
                <w:lang w:val="en-US" w:eastAsia="zh-CN"/>
              </w:rPr>
              <w:t>产生浓度（mg/m</w:t>
            </w:r>
            <w:r>
              <w:rPr>
                <w:rFonts w:hint="eastAsia"/>
                <w:vertAlign w:val="superscript"/>
                <w:lang w:val="en-US" w:eastAsia="zh-CN"/>
              </w:rPr>
              <w:t>3</w:t>
            </w:r>
            <w:r>
              <w:rPr>
                <w:rFonts w:hint="eastAsia"/>
                <w:lang w:val="en-US" w:eastAsia="zh-CN"/>
              </w:rPr>
              <w:t>）</w:t>
            </w:r>
          </w:p>
        </w:tc>
        <w:tc>
          <w:tcPr>
            <w:tcW w:w="394" w:type="pct"/>
            <w:tcBorders>
              <w:left w:val="single" w:color="000000" w:sz="4" w:space="0"/>
              <w:right w:val="single" w:color="000000" w:sz="4" w:space="0"/>
            </w:tcBorders>
            <w:vAlign w:val="center"/>
          </w:tcPr>
          <w:p w14:paraId="29A28CC7">
            <w:pPr>
              <w:pStyle w:val="55"/>
              <w:bidi w:val="0"/>
              <w:rPr>
                <w:rFonts w:hint="default"/>
                <w:lang w:val="en-US" w:eastAsia="zh-CN"/>
              </w:rPr>
            </w:pPr>
            <w:r>
              <w:rPr>
                <w:rFonts w:hint="eastAsia"/>
                <w:lang w:val="en-US" w:eastAsia="zh-CN"/>
              </w:rPr>
              <w:t>收集效率</w:t>
            </w:r>
          </w:p>
        </w:tc>
        <w:tc>
          <w:tcPr>
            <w:tcW w:w="386" w:type="pct"/>
            <w:tcBorders>
              <w:left w:val="single" w:color="000000" w:sz="4" w:space="0"/>
            </w:tcBorders>
            <w:vAlign w:val="center"/>
          </w:tcPr>
          <w:p w14:paraId="1036449B">
            <w:pPr>
              <w:pStyle w:val="55"/>
              <w:bidi w:val="0"/>
              <w:rPr>
                <w:rFonts w:hint="default"/>
                <w:lang w:val="en-US" w:eastAsia="zh-CN"/>
              </w:rPr>
            </w:pPr>
            <w:r>
              <w:rPr>
                <w:rFonts w:hint="eastAsia"/>
                <w:lang w:val="en-US" w:eastAsia="zh-CN"/>
              </w:rPr>
              <w:t>去除效率</w:t>
            </w:r>
          </w:p>
        </w:tc>
        <w:tc>
          <w:tcPr>
            <w:tcW w:w="673" w:type="pct"/>
            <w:vMerge w:val="continue"/>
            <w:vAlign w:val="center"/>
          </w:tcPr>
          <w:p w14:paraId="422491E5">
            <w:pPr>
              <w:pStyle w:val="55"/>
              <w:bidi w:val="0"/>
              <w:rPr>
                <w:rFonts w:hint="default"/>
                <w:lang w:val="en-US" w:eastAsia="zh-CN"/>
              </w:rPr>
            </w:pPr>
          </w:p>
        </w:tc>
        <w:tc>
          <w:tcPr>
            <w:tcW w:w="520" w:type="pct"/>
            <w:vAlign w:val="center"/>
          </w:tcPr>
          <w:p w14:paraId="395E5210">
            <w:pPr>
              <w:pStyle w:val="55"/>
              <w:bidi w:val="0"/>
              <w:rPr>
                <w:rFonts w:hint="default"/>
                <w:lang w:val="en-US" w:eastAsia="zh-CN"/>
              </w:rPr>
            </w:pPr>
            <w:r>
              <w:rPr>
                <w:rFonts w:hint="eastAsia"/>
                <w:lang w:val="en-US" w:eastAsia="zh-CN"/>
              </w:rPr>
              <w:t>排放量（t/a）</w:t>
            </w:r>
          </w:p>
        </w:tc>
        <w:tc>
          <w:tcPr>
            <w:tcW w:w="601" w:type="pct"/>
            <w:vAlign w:val="center"/>
          </w:tcPr>
          <w:p w14:paraId="33A0DBA1">
            <w:pPr>
              <w:pStyle w:val="55"/>
              <w:bidi w:val="0"/>
              <w:rPr>
                <w:rFonts w:hint="default"/>
                <w:lang w:val="en-US" w:eastAsia="zh-CN"/>
              </w:rPr>
            </w:pPr>
            <w:r>
              <w:rPr>
                <w:rFonts w:hint="eastAsia"/>
                <w:lang w:val="en-US" w:eastAsia="zh-CN"/>
              </w:rPr>
              <w:t>排放浓度</w:t>
            </w:r>
            <w:r>
              <w:rPr>
                <w:rFonts w:hint="eastAsia"/>
                <w:spacing w:val="-20"/>
                <w:lang w:val="en-US" w:eastAsia="zh-CN"/>
              </w:rPr>
              <w:t>（mg/m</w:t>
            </w:r>
            <w:r>
              <w:rPr>
                <w:rFonts w:hint="eastAsia"/>
                <w:spacing w:val="-20"/>
                <w:vertAlign w:val="superscript"/>
                <w:lang w:val="en-US" w:eastAsia="zh-CN"/>
              </w:rPr>
              <w:t>3</w:t>
            </w:r>
            <w:r>
              <w:rPr>
                <w:rFonts w:hint="eastAsia"/>
                <w:spacing w:val="-20"/>
                <w:lang w:val="en-US" w:eastAsia="zh-CN"/>
              </w:rPr>
              <w:t>）</w:t>
            </w:r>
          </w:p>
        </w:tc>
      </w:tr>
      <w:tr w14:paraId="4D929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0" w:type="pct"/>
            <w:vAlign w:val="center"/>
          </w:tcPr>
          <w:p w14:paraId="31350706">
            <w:pPr>
              <w:pStyle w:val="55"/>
              <w:bidi w:val="0"/>
              <w:rPr>
                <w:rFonts w:hint="default"/>
                <w:lang w:val="en-US" w:eastAsia="zh-CN"/>
              </w:rPr>
            </w:pPr>
            <w:r>
              <w:rPr>
                <w:rFonts w:hint="eastAsia"/>
                <w:lang w:val="en-US" w:eastAsia="zh-CN"/>
              </w:rPr>
              <w:t>1</w:t>
            </w:r>
          </w:p>
        </w:tc>
        <w:tc>
          <w:tcPr>
            <w:tcW w:w="377" w:type="pct"/>
            <w:vAlign w:val="center"/>
          </w:tcPr>
          <w:p w14:paraId="63B4BF09">
            <w:pPr>
              <w:pStyle w:val="55"/>
              <w:bidi w:val="0"/>
              <w:rPr>
                <w:rFonts w:hint="default"/>
                <w:lang w:val="en-US" w:eastAsia="zh-CN"/>
              </w:rPr>
            </w:pPr>
            <w:r>
              <w:rPr>
                <w:rFonts w:hint="eastAsia"/>
                <w:lang w:val="en-US" w:eastAsia="zh-CN"/>
              </w:rPr>
              <w:t>投料搅拌</w:t>
            </w:r>
            <w:r>
              <w:rPr>
                <w:rFonts w:hint="default"/>
                <w:lang w:val="en-US" w:eastAsia="zh-CN"/>
              </w:rPr>
              <w:t>工序</w:t>
            </w:r>
          </w:p>
        </w:tc>
        <w:tc>
          <w:tcPr>
            <w:tcW w:w="547" w:type="pct"/>
            <w:vAlign w:val="center"/>
          </w:tcPr>
          <w:p w14:paraId="36A8572D">
            <w:pPr>
              <w:pStyle w:val="55"/>
              <w:bidi w:val="0"/>
              <w:rPr>
                <w:rFonts w:hint="default"/>
                <w:lang w:val="en-US" w:eastAsia="zh-CN"/>
              </w:rPr>
            </w:pPr>
            <w:r>
              <w:rPr>
                <w:rFonts w:hint="eastAsia"/>
                <w:lang w:val="en-US" w:eastAsia="zh-CN"/>
              </w:rPr>
              <w:t>颗粒物</w:t>
            </w:r>
          </w:p>
        </w:tc>
        <w:tc>
          <w:tcPr>
            <w:tcW w:w="494" w:type="pct"/>
            <w:vAlign w:val="center"/>
          </w:tcPr>
          <w:p w14:paraId="1423887F">
            <w:pPr>
              <w:pStyle w:val="55"/>
              <w:bidi w:val="0"/>
              <w:rPr>
                <w:rFonts w:hint="default"/>
                <w:lang w:val="en-US" w:eastAsia="zh-CN"/>
              </w:rPr>
            </w:pPr>
            <w:r>
              <w:rPr>
                <w:rFonts w:hint="eastAsia"/>
                <w:lang w:val="en-US" w:eastAsia="zh-CN"/>
              </w:rPr>
              <w:t>25</w:t>
            </w:r>
          </w:p>
        </w:tc>
        <w:tc>
          <w:tcPr>
            <w:tcW w:w="754" w:type="pct"/>
            <w:tcBorders>
              <w:right w:val="single" w:color="000000" w:sz="4" w:space="0"/>
            </w:tcBorders>
            <w:vAlign w:val="center"/>
          </w:tcPr>
          <w:p w14:paraId="63465950">
            <w:pPr>
              <w:pStyle w:val="55"/>
              <w:bidi w:val="0"/>
              <w:rPr>
                <w:rFonts w:hint="default"/>
                <w:lang w:val="en-US" w:eastAsia="zh-CN"/>
              </w:rPr>
            </w:pPr>
            <w:r>
              <w:rPr>
                <w:rFonts w:hint="eastAsia"/>
                <w:lang w:val="en-US" w:eastAsia="zh-CN"/>
              </w:rPr>
              <w:t>115.7</w:t>
            </w:r>
          </w:p>
        </w:tc>
        <w:tc>
          <w:tcPr>
            <w:tcW w:w="394" w:type="pct"/>
            <w:vMerge w:val="restart"/>
            <w:tcBorders>
              <w:left w:val="single" w:color="000000" w:sz="4" w:space="0"/>
              <w:right w:val="single" w:color="000000" w:sz="4" w:space="0"/>
            </w:tcBorders>
            <w:vAlign w:val="center"/>
          </w:tcPr>
          <w:p w14:paraId="1B14A1A2">
            <w:pPr>
              <w:pStyle w:val="55"/>
              <w:bidi w:val="0"/>
              <w:rPr>
                <w:rFonts w:hint="eastAsia"/>
                <w:lang w:val="en-US" w:eastAsia="zh-CN"/>
              </w:rPr>
            </w:pPr>
            <w:r>
              <w:rPr>
                <w:rFonts w:hint="eastAsia"/>
                <w:lang w:val="en-US" w:eastAsia="zh-CN"/>
              </w:rPr>
              <w:t>99%</w:t>
            </w:r>
          </w:p>
        </w:tc>
        <w:tc>
          <w:tcPr>
            <w:tcW w:w="386" w:type="pct"/>
            <w:vMerge w:val="restart"/>
            <w:tcBorders>
              <w:left w:val="single" w:color="000000" w:sz="4" w:space="0"/>
            </w:tcBorders>
            <w:vAlign w:val="center"/>
          </w:tcPr>
          <w:p w14:paraId="5BA2D8CE">
            <w:pPr>
              <w:pStyle w:val="55"/>
              <w:bidi w:val="0"/>
              <w:rPr>
                <w:rFonts w:hint="eastAsia"/>
                <w:lang w:val="en-US" w:eastAsia="zh-CN"/>
              </w:rPr>
            </w:pPr>
            <w:r>
              <w:rPr>
                <w:rFonts w:hint="eastAsia"/>
                <w:lang w:val="en-US" w:eastAsia="zh-CN"/>
              </w:rPr>
              <w:t>97%</w:t>
            </w:r>
          </w:p>
        </w:tc>
        <w:tc>
          <w:tcPr>
            <w:tcW w:w="673" w:type="pct"/>
            <w:vMerge w:val="restart"/>
            <w:vAlign w:val="center"/>
          </w:tcPr>
          <w:p w14:paraId="21CCADED">
            <w:pPr>
              <w:pStyle w:val="55"/>
              <w:bidi w:val="0"/>
              <w:rPr>
                <w:rFonts w:hint="default"/>
                <w:lang w:val="en-US" w:eastAsia="zh-CN"/>
              </w:rPr>
            </w:pPr>
            <w:r>
              <w:rPr>
                <w:rFonts w:hint="eastAsia"/>
                <w:lang w:val="en-US" w:eastAsia="zh-CN"/>
              </w:rPr>
              <w:t>经集气罩收集，引入“布袋除尘器+两级活性炭吸附装置”处理后，由15m高排气筒（DA001）排放</w:t>
            </w:r>
          </w:p>
        </w:tc>
        <w:tc>
          <w:tcPr>
            <w:tcW w:w="520" w:type="pct"/>
            <w:vMerge w:val="restart"/>
            <w:vAlign w:val="center"/>
          </w:tcPr>
          <w:p w14:paraId="29BBBD51">
            <w:pPr>
              <w:pStyle w:val="55"/>
              <w:bidi w:val="0"/>
              <w:rPr>
                <w:rFonts w:hint="default"/>
                <w:lang w:val="en-US" w:eastAsia="zh-CN"/>
              </w:rPr>
            </w:pPr>
            <w:r>
              <w:rPr>
                <w:rFonts w:hint="eastAsia"/>
                <w:lang w:val="en-US" w:eastAsia="zh-CN"/>
              </w:rPr>
              <w:t>1.357</w:t>
            </w:r>
          </w:p>
        </w:tc>
        <w:tc>
          <w:tcPr>
            <w:tcW w:w="601" w:type="pct"/>
            <w:vMerge w:val="restart"/>
            <w:vAlign w:val="center"/>
          </w:tcPr>
          <w:p w14:paraId="46DD950E">
            <w:pPr>
              <w:pStyle w:val="55"/>
              <w:bidi w:val="0"/>
              <w:rPr>
                <w:rFonts w:hint="default"/>
                <w:lang w:val="en-US" w:eastAsia="zh-CN"/>
              </w:rPr>
            </w:pPr>
            <w:r>
              <w:rPr>
                <w:rFonts w:hint="eastAsia"/>
                <w:lang w:val="en-US" w:eastAsia="zh-CN"/>
              </w:rPr>
              <w:t>6.284</w:t>
            </w:r>
          </w:p>
        </w:tc>
      </w:tr>
      <w:tr w14:paraId="3DBD1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0" w:type="pct"/>
            <w:vMerge w:val="restart"/>
            <w:vAlign w:val="center"/>
          </w:tcPr>
          <w:p w14:paraId="2448232E">
            <w:pPr>
              <w:pStyle w:val="55"/>
              <w:bidi w:val="0"/>
              <w:rPr>
                <w:rFonts w:hint="default"/>
                <w:lang w:val="en-US" w:eastAsia="zh-CN"/>
              </w:rPr>
            </w:pPr>
            <w:r>
              <w:rPr>
                <w:rFonts w:hint="eastAsia"/>
                <w:lang w:val="en-US" w:eastAsia="zh-CN"/>
              </w:rPr>
              <w:t>2</w:t>
            </w:r>
          </w:p>
        </w:tc>
        <w:tc>
          <w:tcPr>
            <w:tcW w:w="377" w:type="pct"/>
            <w:vMerge w:val="restart"/>
            <w:vAlign w:val="center"/>
          </w:tcPr>
          <w:p w14:paraId="3F422FBB">
            <w:pPr>
              <w:pStyle w:val="55"/>
              <w:bidi w:val="0"/>
              <w:rPr>
                <w:rFonts w:hint="default"/>
                <w:lang w:val="en-US" w:eastAsia="zh-CN"/>
              </w:rPr>
            </w:pPr>
            <w:r>
              <w:rPr>
                <w:rFonts w:hint="default"/>
                <w:lang w:val="en-US" w:eastAsia="zh-CN"/>
              </w:rPr>
              <w:t>挤出工序</w:t>
            </w:r>
          </w:p>
        </w:tc>
        <w:tc>
          <w:tcPr>
            <w:tcW w:w="547" w:type="pct"/>
            <w:vAlign w:val="center"/>
          </w:tcPr>
          <w:p w14:paraId="47CA1E62">
            <w:pPr>
              <w:pStyle w:val="55"/>
              <w:bidi w:val="0"/>
              <w:rPr>
                <w:rFonts w:hint="default"/>
                <w:lang w:val="en-US" w:eastAsia="zh-CN"/>
              </w:rPr>
            </w:pPr>
            <w:r>
              <w:rPr>
                <w:rFonts w:hint="default"/>
                <w:lang w:val="en-US" w:eastAsia="zh-CN"/>
              </w:rPr>
              <w:t>颗粒物</w:t>
            </w:r>
          </w:p>
        </w:tc>
        <w:tc>
          <w:tcPr>
            <w:tcW w:w="494" w:type="pct"/>
            <w:vAlign w:val="center"/>
          </w:tcPr>
          <w:p w14:paraId="4C1A4D8C">
            <w:pPr>
              <w:pStyle w:val="55"/>
              <w:bidi w:val="0"/>
              <w:rPr>
                <w:rFonts w:hint="default"/>
                <w:lang w:val="en-US" w:eastAsia="zh-CN"/>
              </w:rPr>
            </w:pPr>
            <w:r>
              <w:rPr>
                <w:rFonts w:hint="eastAsia"/>
                <w:lang w:val="en-US" w:eastAsia="zh-CN"/>
              </w:rPr>
              <w:t>20.7</w:t>
            </w:r>
          </w:p>
        </w:tc>
        <w:tc>
          <w:tcPr>
            <w:tcW w:w="754" w:type="pct"/>
            <w:tcBorders>
              <w:right w:val="single" w:color="000000" w:sz="4" w:space="0"/>
            </w:tcBorders>
            <w:vAlign w:val="center"/>
          </w:tcPr>
          <w:p w14:paraId="64BFE968">
            <w:pPr>
              <w:pStyle w:val="55"/>
              <w:bidi w:val="0"/>
              <w:rPr>
                <w:rFonts w:hint="default"/>
                <w:lang w:val="en-US" w:eastAsia="zh-CN"/>
              </w:rPr>
            </w:pPr>
            <w:r>
              <w:rPr>
                <w:rFonts w:hint="eastAsia"/>
                <w:lang w:val="en-US" w:eastAsia="zh-CN"/>
              </w:rPr>
              <w:t>95.8</w:t>
            </w:r>
          </w:p>
        </w:tc>
        <w:tc>
          <w:tcPr>
            <w:tcW w:w="394" w:type="pct"/>
            <w:vMerge w:val="continue"/>
            <w:tcBorders>
              <w:left w:val="single" w:color="000000" w:sz="4" w:space="0"/>
              <w:right w:val="single" w:color="000000" w:sz="4" w:space="0"/>
            </w:tcBorders>
            <w:vAlign w:val="center"/>
          </w:tcPr>
          <w:p w14:paraId="59D8C1AB">
            <w:pPr>
              <w:pStyle w:val="55"/>
              <w:bidi w:val="0"/>
              <w:rPr>
                <w:rFonts w:hint="eastAsia"/>
                <w:lang w:val="en-US" w:eastAsia="zh-CN"/>
              </w:rPr>
            </w:pPr>
          </w:p>
        </w:tc>
        <w:tc>
          <w:tcPr>
            <w:tcW w:w="386" w:type="pct"/>
            <w:vMerge w:val="continue"/>
            <w:tcBorders>
              <w:left w:val="single" w:color="000000" w:sz="4" w:space="0"/>
            </w:tcBorders>
            <w:vAlign w:val="center"/>
          </w:tcPr>
          <w:p w14:paraId="59FF4454">
            <w:pPr>
              <w:pStyle w:val="55"/>
              <w:bidi w:val="0"/>
              <w:rPr>
                <w:rFonts w:hint="eastAsia"/>
                <w:lang w:val="en-US" w:eastAsia="zh-CN"/>
              </w:rPr>
            </w:pPr>
          </w:p>
        </w:tc>
        <w:tc>
          <w:tcPr>
            <w:tcW w:w="673" w:type="pct"/>
            <w:vMerge w:val="continue"/>
            <w:vAlign w:val="center"/>
          </w:tcPr>
          <w:p w14:paraId="4B31417B">
            <w:pPr>
              <w:pStyle w:val="55"/>
              <w:bidi w:val="0"/>
              <w:rPr>
                <w:rFonts w:hint="default"/>
                <w:lang w:val="en-US" w:eastAsia="zh-CN"/>
              </w:rPr>
            </w:pPr>
          </w:p>
        </w:tc>
        <w:tc>
          <w:tcPr>
            <w:tcW w:w="520" w:type="pct"/>
            <w:vMerge w:val="continue"/>
            <w:vAlign w:val="center"/>
          </w:tcPr>
          <w:p w14:paraId="093BF139">
            <w:pPr>
              <w:pStyle w:val="55"/>
              <w:bidi w:val="0"/>
              <w:rPr>
                <w:rFonts w:hint="default"/>
                <w:lang w:val="en-US" w:eastAsia="zh-CN"/>
              </w:rPr>
            </w:pPr>
          </w:p>
        </w:tc>
        <w:tc>
          <w:tcPr>
            <w:tcW w:w="601" w:type="pct"/>
            <w:vMerge w:val="continue"/>
            <w:vAlign w:val="center"/>
          </w:tcPr>
          <w:p w14:paraId="79E379A2">
            <w:pPr>
              <w:pStyle w:val="55"/>
              <w:bidi w:val="0"/>
              <w:rPr>
                <w:rFonts w:hint="default"/>
                <w:lang w:val="en-US" w:eastAsia="zh-CN"/>
              </w:rPr>
            </w:pPr>
          </w:p>
        </w:tc>
      </w:tr>
      <w:tr w14:paraId="7759A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250" w:type="pct"/>
            <w:vMerge w:val="continue"/>
            <w:vAlign w:val="center"/>
          </w:tcPr>
          <w:p w14:paraId="255BEBE7">
            <w:pPr>
              <w:pStyle w:val="55"/>
              <w:bidi w:val="0"/>
              <w:rPr>
                <w:rFonts w:hint="eastAsia"/>
                <w:lang w:val="en-US" w:eastAsia="zh-CN"/>
              </w:rPr>
            </w:pPr>
          </w:p>
        </w:tc>
        <w:tc>
          <w:tcPr>
            <w:tcW w:w="377" w:type="pct"/>
            <w:vMerge w:val="continue"/>
            <w:vAlign w:val="center"/>
          </w:tcPr>
          <w:p w14:paraId="6DB02826">
            <w:pPr>
              <w:pStyle w:val="55"/>
              <w:bidi w:val="0"/>
              <w:rPr>
                <w:rFonts w:hint="default"/>
                <w:lang w:val="en-US" w:eastAsia="zh-CN"/>
              </w:rPr>
            </w:pPr>
          </w:p>
        </w:tc>
        <w:tc>
          <w:tcPr>
            <w:tcW w:w="547" w:type="pct"/>
            <w:vAlign w:val="center"/>
          </w:tcPr>
          <w:p w14:paraId="7047063D">
            <w:pPr>
              <w:pStyle w:val="55"/>
              <w:bidi w:val="0"/>
              <w:rPr>
                <w:rFonts w:hint="default"/>
                <w:lang w:val="en-US" w:eastAsia="zh-CN"/>
              </w:rPr>
            </w:pPr>
            <w:r>
              <w:rPr>
                <w:rFonts w:hint="eastAsia"/>
                <w:lang w:val="en-US" w:eastAsia="zh-CN"/>
              </w:rPr>
              <w:t>非甲烷总烃</w:t>
            </w:r>
          </w:p>
        </w:tc>
        <w:tc>
          <w:tcPr>
            <w:tcW w:w="494" w:type="pct"/>
            <w:vAlign w:val="center"/>
          </w:tcPr>
          <w:p w14:paraId="0935779E">
            <w:pPr>
              <w:pStyle w:val="55"/>
              <w:bidi w:val="0"/>
              <w:rPr>
                <w:rFonts w:hint="default"/>
                <w:lang w:val="en-US" w:eastAsia="zh-CN"/>
              </w:rPr>
            </w:pPr>
            <w:r>
              <w:rPr>
                <w:rFonts w:hint="eastAsia"/>
                <w:lang w:val="en-US" w:eastAsia="zh-CN"/>
              </w:rPr>
              <w:t>46</w:t>
            </w:r>
          </w:p>
        </w:tc>
        <w:tc>
          <w:tcPr>
            <w:tcW w:w="754" w:type="pct"/>
            <w:tcBorders>
              <w:right w:val="single" w:color="000000" w:sz="4" w:space="0"/>
            </w:tcBorders>
            <w:vAlign w:val="center"/>
          </w:tcPr>
          <w:p w14:paraId="271C5A1D">
            <w:pPr>
              <w:pStyle w:val="55"/>
              <w:bidi w:val="0"/>
              <w:rPr>
                <w:rFonts w:hint="default"/>
                <w:lang w:val="en-US" w:eastAsia="zh-CN"/>
              </w:rPr>
            </w:pPr>
            <w:r>
              <w:rPr>
                <w:rFonts w:hint="eastAsia"/>
                <w:lang w:val="en-US" w:eastAsia="zh-CN"/>
              </w:rPr>
              <w:t>213.0</w:t>
            </w:r>
          </w:p>
        </w:tc>
        <w:tc>
          <w:tcPr>
            <w:tcW w:w="394" w:type="pct"/>
            <w:tcBorders>
              <w:left w:val="single" w:color="000000" w:sz="4" w:space="0"/>
              <w:right w:val="single" w:color="000000" w:sz="4" w:space="0"/>
            </w:tcBorders>
            <w:vAlign w:val="center"/>
          </w:tcPr>
          <w:p w14:paraId="7468ED22">
            <w:pPr>
              <w:pStyle w:val="55"/>
              <w:bidi w:val="0"/>
              <w:rPr>
                <w:rFonts w:hint="eastAsia"/>
                <w:lang w:val="en-US" w:eastAsia="zh-CN"/>
              </w:rPr>
            </w:pPr>
            <w:r>
              <w:rPr>
                <w:rFonts w:hint="eastAsia"/>
                <w:lang w:val="en-US" w:eastAsia="zh-CN"/>
              </w:rPr>
              <w:t>99%</w:t>
            </w:r>
          </w:p>
        </w:tc>
        <w:tc>
          <w:tcPr>
            <w:tcW w:w="386" w:type="pct"/>
            <w:tcBorders>
              <w:left w:val="single" w:color="000000" w:sz="4" w:space="0"/>
            </w:tcBorders>
            <w:vAlign w:val="center"/>
          </w:tcPr>
          <w:p w14:paraId="166D61CB">
            <w:pPr>
              <w:pStyle w:val="55"/>
              <w:bidi w:val="0"/>
              <w:rPr>
                <w:rFonts w:hint="eastAsia"/>
                <w:lang w:val="en-US" w:eastAsia="zh-CN"/>
              </w:rPr>
            </w:pPr>
            <w:r>
              <w:rPr>
                <w:rFonts w:hint="eastAsia"/>
                <w:lang w:val="en-US" w:eastAsia="zh-CN"/>
              </w:rPr>
              <w:t>95%</w:t>
            </w:r>
          </w:p>
        </w:tc>
        <w:tc>
          <w:tcPr>
            <w:tcW w:w="673" w:type="pct"/>
            <w:vMerge w:val="continue"/>
            <w:vAlign w:val="center"/>
          </w:tcPr>
          <w:p w14:paraId="4DD088C0">
            <w:pPr>
              <w:pStyle w:val="55"/>
              <w:bidi w:val="0"/>
              <w:rPr>
                <w:rFonts w:hint="default"/>
                <w:lang w:val="en-US" w:eastAsia="zh-CN"/>
              </w:rPr>
            </w:pPr>
          </w:p>
        </w:tc>
        <w:tc>
          <w:tcPr>
            <w:tcW w:w="520" w:type="pct"/>
            <w:vAlign w:val="center"/>
          </w:tcPr>
          <w:p w14:paraId="266BADCC">
            <w:pPr>
              <w:pStyle w:val="55"/>
              <w:bidi w:val="0"/>
              <w:rPr>
                <w:rFonts w:hint="default"/>
                <w:lang w:val="en-US" w:eastAsia="zh-CN"/>
              </w:rPr>
            </w:pPr>
            <w:r>
              <w:rPr>
                <w:rFonts w:hint="eastAsia"/>
                <w:lang w:val="en-US" w:eastAsia="zh-CN"/>
              </w:rPr>
              <w:t>2.277</w:t>
            </w:r>
          </w:p>
        </w:tc>
        <w:tc>
          <w:tcPr>
            <w:tcW w:w="601" w:type="pct"/>
            <w:vAlign w:val="center"/>
          </w:tcPr>
          <w:p w14:paraId="181ED7B6">
            <w:pPr>
              <w:pStyle w:val="55"/>
              <w:bidi w:val="0"/>
              <w:rPr>
                <w:rFonts w:hint="default"/>
                <w:lang w:val="en-US" w:eastAsia="zh-CN"/>
              </w:rPr>
            </w:pPr>
            <w:r>
              <w:rPr>
                <w:rFonts w:hint="eastAsia"/>
                <w:lang w:val="en-US" w:eastAsia="zh-CN"/>
              </w:rPr>
              <w:t>10.5</w:t>
            </w:r>
          </w:p>
        </w:tc>
      </w:tr>
      <w:tr w14:paraId="7C3FF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250" w:type="pct"/>
            <w:vMerge w:val="continue"/>
            <w:vAlign w:val="center"/>
          </w:tcPr>
          <w:p w14:paraId="39F4F15A">
            <w:pPr>
              <w:pStyle w:val="55"/>
              <w:bidi w:val="0"/>
              <w:rPr>
                <w:rFonts w:hint="eastAsia"/>
                <w:lang w:val="en-US" w:eastAsia="zh-CN"/>
              </w:rPr>
            </w:pPr>
          </w:p>
        </w:tc>
        <w:tc>
          <w:tcPr>
            <w:tcW w:w="377" w:type="pct"/>
            <w:vMerge w:val="continue"/>
            <w:vAlign w:val="center"/>
          </w:tcPr>
          <w:p w14:paraId="7501E697">
            <w:pPr>
              <w:pStyle w:val="55"/>
              <w:bidi w:val="0"/>
              <w:rPr>
                <w:rFonts w:hint="default"/>
                <w:lang w:val="en-US" w:eastAsia="zh-CN"/>
              </w:rPr>
            </w:pPr>
          </w:p>
        </w:tc>
        <w:tc>
          <w:tcPr>
            <w:tcW w:w="547" w:type="pct"/>
            <w:vAlign w:val="center"/>
          </w:tcPr>
          <w:p w14:paraId="1D8B1D31">
            <w:pPr>
              <w:pStyle w:val="55"/>
              <w:bidi w:val="0"/>
              <w:rPr>
                <w:rFonts w:hint="default"/>
                <w:lang w:val="en-US" w:eastAsia="zh-CN"/>
              </w:rPr>
            </w:pPr>
            <w:r>
              <w:rPr>
                <w:rFonts w:hint="default"/>
                <w:lang w:val="en-US" w:eastAsia="zh-CN"/>
              </w:rPr>
              <w:t>氯化氢</w:t>
            </w:r>
          </w:p>
        </w:tc>
        <w:tc>
          <w:tcPr>
            <w:tcW w:w="494" w:type="pct"/>
            <w:vAlign w:val="center"/>
          </w:tcPr>
          <w:p w14:paraId="1180CC06">
            <w:pPr>
              <w:pStyle w:val="55"/>
              <w:bidi w:val="0"/>
              <w:rPr>
                <w:rFonts w:hint="default"/>
                <w:lang w:val="en-US" w:eastAsia="zh-CN"/>
              </w:rPr>
            </w:pPr>
            <w:r>
              <w:rPr>
                <w:rFonts w:hint="eastAsia"/>
                <w:lang w:val="en-US" w:eastAsia="zh-CN"/>
              </w:rPr>
              <w:t>0.030</w:t>
            </w:r>
          </w:p>
        </w:tc>
        <w:tc>
          <w:tcPr>
            <w:tcW w:w="754" w:type="pct"/>
            <w:tcBorders>
              <w:right w:val="single" w:color="000000" w:sz="4" w:space="0"/>
            </w:tcBorders>
            <w:vAlign w:val="center"/>
          </w:tcPr>
          <w:p w14:paraId="37FC638A">
            <w:pPr>
              <w:pStyle w:val="55"/>
              <w:bidi w:val="0"/>
              <w:rPr>
                <w:rFonts w:hint="default"/>
                <w:lang w:val="en-US" w:eastAsia="zh-CN"/>
              </w:rPr>
            </w:pPr>
            <w:r>
              <w:rPr>
                <w:rFonts w:hint="eastAsia"/>
                <w:lang w:val="en-US" w:eastAsia="zh-CN"/>
              </w:rPr>
              <w:t>0.138</w:t>
            </w:r>
          </w:p>
        </w:tc>
        <w:tc>
          <w:tcPr>
            <w:tcW w:w="394" w:type="pct"/>
            <w:tcBorders>
              <w:left w:val="single" w:color="000000" w:sz="4" w:space="0"/>
              <w:right w:val="single" w:color="000000" w:sz="4" w:space="0"/>
            </w:tcBorders>
            <w:vAlign w:val="center"/>
          </w:tcPr>
          <w:p w14:paraId="36A6D56B">
            <w:pPr>
              <w:pStyle w:val="55"/>
              <w:bidi w:val="0"/>
              <w:rPr>
                <w:rFonts w:hint="eastAsia"/>
                <w:lang w:val="en-US" w:eastAsia="zh-CN"/>
              </w:rPr>
            </w:pPr>
            <w:r>
              <w:rPr>
                <w:rFonts w:hint="eastAsia"/>
                <w:lang w:val="en-US" w:eastAsia="zh-CN"/>
              </w:rPr>
              <w:t>99%</w:t>
            </w:r>
          </w:p>
        </w:tc>
        <w:tc>
          <w:tcPr>
            <w:tcW w:w="386" w:type="pct"/>
            <w:tcBorders>
              <w:left w:val="single" w:color="000000" w:sz="4" w:space="0"/>
            </w:tcBorders>
            <w:vAlign w:val="center"/>
          </w:tcPr>
          <w:p w14:paraId="4BC41B80">
            <w:pPr>
              <w:pStyle w:val="55"/>
              <w:bidi w:val="0"/>
              <w:rPr>
                <w:rFonts w:hint="eastAsia"/>
                <w:lang w:val="en-US" w:eastAsia="zh-CN"/>
              </w:rPr>
            </w:pPr>
            <w:r>
              <w:rPr>
                <w:rFonts w:hint="eastAsia"/>
                <w:lang w:val="en-US" w:eastAsia="zh-CN"/>
              </w:rPr>
              <w:t>95%</w:t>
            </w:r>
          </w:p>
        </w:tc>
        <w:tc>
          <w:tcPr>
            <w:tcW w:w="673" w:type="pct"/>
            <w:vMerge w:val="continue"/>
            <w:vAlign w:val="center"/>
          </w:tcPr>
          <w:p w14:paraId="6D021F64">
            <w:pPr>
              <w:pStyle w:val="55"/>
              <w:bidi w:val="0"/>
              <w:rPr>
                <w:rFonts w:hint="default"/>
                <w:lang w:val="en-US" w:eastAsia="zh-CN"/>
              </w:rPr>
            </w:pPr>
          </w:p>
        </w:tc>
        <w:tc>
          <w:tcPr>
            <w:tcW w:w="520" w:type="pct"/>
            <w:vAlign w:val="center"/>
          </w:tcPr>
          <w:p w14:paraId="46844A83">
            <w:pPr>
              <w:pStyle w:val="55"/>
              <w:bidi w:val="0"/>
              <w:rPr>
                <w:rFonts w:hint="default"/>
                <w:lang w:val="en-US" w:eastAsia="zh-CN"/>
              </w:rPr>
            </w:pPr>
            <w:r>
              <w:rPr>
                <w:rFonts w:hint="eastAsia"/>
                <w:lang w:val="en-US" w:eastAsia="zh-CN"/>
              </w:rPr>
              <w:t>0.0015</w:t>
            </w:r>
          </w:p>
        </w:tc>
        <w:tc>
          <w:tcPr>
            <w:tcW w:w="601" w:type="pct"/>
            <w:vAlign w:val="center"/>
          </w:tcPr>
          <w:p w14:paraId="28549A27">
            <w:pPr>
              <w:pStyle w:val="55"/>
              <w:bidi w:val="0"/>
              <w:rPr>
                <w:rFonts w:hint="default"/>
                <w:lang w:val="en-US" w:eastAsia="zh-CN"/>
              </w:rPr>
            </w:pPr>
            <w:r>
              <w:rPr>
                <w:rFonts w:hint="eastAsia"/>
                <w:lang w:val="en-US" w:eastAsia="zh-CN"/>
              </w:rPr>
              <w:t>0.007</w:t>
            </w:r>
          </w:p>
        </w:tc>
      </w:tr>
      <w:tr w14:paraId="05DA6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0" w:type="pct"/>
            <w:vMerge w:val="continue"/>
            <w:vAlign w:val="center"/>
          </w:tcPr>
          <w:p w14:paraId="748559E1">
            <w:pPr>
              <w:pStyle w:val="55"/>
              <w:bidi w:val="0"/>
              <w:rPr>
                <w:rFonts w:hint="eastAsia"/>
                <w:lang w:val="en-US" w:eastAsia="zh-CN"/>
              </w:rPr>
            </w:pPr>
          </w:p>
        </w:tc>
        <w:tc>
          <w:tcPr>
            <w:tcW w:w="377" w:type="pct"/>
            <w:vMerge w:val="continue"/>
            <w:vAlign w:val="center"/>
          </w:tcPr>
          <w:p w14:paraId="234A37BF">
            <w:pPr>
              <w:pStyle w:val="55"/>
              <w:bidi w:val="0"/>
              <w:rPr>
                <w:rFonts w:hint="default"/>
                <w:lang w:val="en-US" w:eastAsia="zh-CN"/>
              </w:rPr>
            </w:pPr>
          </w:p>
        </w:tc>
        <w:tc>
          <w:tcPr>
            <w:tcW w:w="547" w:type="pct"/>
            <w:vAlign w:val="center"/>
          </w:tcPr>
          <w:p w14:paraId="2BD750FC">
            <w:pPr>
              <w:pStyle w:val="55"/>
              <w:bidi w:val="0"/>
              <w:rPr>
                <w:rFonts w:hint="default"/>
                <w:lang w:val="en-US" w:eastAsia="zh-CN"/>
              </w:rPr>
            </w:pPr>
            <w:r>
              <w:rPr>
                <w:rFonts w:hint="eastAsia"/>
                <w:lang w:val="en-US" w:eastAsia="zh-CN"/>
              </w:rPr>
              <w:t>臭气浓度</w:t>
            </w:r>
          </w:p>
        </w:tc>
        <w:tc>
          <w:tcPr>
            <w:tcW w:w="494" w:type="pct"/>
            <w:vAlign w:val="center"/>
          </w:tcPr>
          <w:p w14:paraId="501D1098">
            <w:pPr>
              <w:pStyle w:val="55"/>
              <w:bidi w:val="0"/>
              <w:rPr>
                <w:rFonts w:hint="default"/>
                <w:lang w:val="en-US" w:eastAsia="zh-CN"/>
              </w:rPr>
            </w:pPr>
            <w:r>
              <w:rPr>
                <w:rFonts w:hint="eastAsia"/>
                <w:lang w:val="en-US" w:eastAsia="zh-CN"/>
              </w:rPr>
              <w:t>/</w:t>
            </w:r>
          </w:p>
        </w:tc>
        <w:tc>
          <w:tcPr>
            <w:tcW w:w="754" w:type="pct"/>
            <w:tcBorders>
              <w:right w:val="single" w:color="000000" w:sz="4" w:space="0"/>
            </w:tcBorders>
            <w:vAlign w:val="center"/>
          </w:tcPr>
          <w:p w14:paraId="5DCAB076">
            <w:pPr>
              <w:pStyle w:val="55"/>
              <w:bidi w:val="0"/>
              <w:rPr>
                <w:rFonts w:hint="default"/>
                <w:lang w:val="en-US" w:eastAsia="zh-CN"/>
              </w:rPr>
            </w:pPr>
            <w:r>
              <w:rPr>
                <w:rFonts w:hint="eastAsia"/>
                <w:lang w:val="en-US" w:eastAsia="zh-CN"/>
              </w:rPr>
              <w:t>/</w:t>
            </w:r>
          </w:p>
        </w:tc>
        <w:tc>
          <w:tcPr>
            <w:tcW w:w="394" w:type="pct"/>
            <w:tcBorders>
              <w:left w:val="single" w:color="000000" w:sz="4" w:space="0"/>
              <w:right w:val="single" w:color="000000" w:sz="4" w:space="0"/>
            </w:tcBorders>
            <w:vAlign w:val="center"/>
          </w:tcPr>
          <w:p w14:paraId="1C861AA2">
            <w:pPr>
              <w:pStyle w:val="55"/>
              <w:bidi w:val="0"/>
              <w:rPr>
                <w:rFonts w:hint="eastAsia"/>
                <w:lang w:val="en-US" w:eastAsia="zh-CN"/>
              </w:rPr>
            </w:pPr>
            <w:r>
              <w:rPr>
                <w:rFonts w:hint="eastAsia"/>
                <w:lang w:val="en-US" w:eastAsia="zh-CN"/>
              </w:rPr>
              <w:t>/</w:t>
            </w:r>
          </w:p>
        </w:tc>
        <w:tc>
          <w:tcPr>
            <w:tcW w:w="386" w:type="pct"/>
            <w:tcBorders>
              <w:left w:val="single" w:color="000000" w:sz="4" w:space="0"/>
            </w:tcBorders>
            <w:vAlign w:val="center"/>
          </w:tcPr>
          <w:p w14:paraId="5746A031">
            <w:pPr>
              <w:pStyle w:val="55"/>
              <w:bidi w:val="0"/>
              <w:rPr>
                <w:rFonts w:hint="eastAsia"/>
                <w:lang w:val="en-US" w:eastAsia="zh-CN"/>
              </w:rPr>
            </w:pPr>
            <w:r>
              <w:rPr>
                <w:rFonts w:hint="eastAsia"/>
                <w:lang w:val="en-US" w:eastAsia="zh-CN"/>
              </w:rPr>
              <w:t>/</w:t>
            </w:r>
          </w:p>
        </w:tc>
        <w:tc>
          <w:tcPr>
            <w:tcW w:w="673" w:type="pct"/>
            <w:vMerge w:val="continue"/>
            <w:vAlign w:val="center"/>
          </w:tcPr>
          <w:p w14:paraId="3D875BB1">
            <w:pPr>
              <w:pStyle w:val="55"/>
              <w:bidi w:val="0"/>
              <w:rPr>
                <w:rFonts w:hint="default"/>
                <w:lang w:val="en-US" w:eastAsia="zh-CN"/>
              </w:rPr>
            </w:pPr>
          </w:p>
        </w:tc>
        <w:tc>
          <w:tcPr>
            <w:tcW w:w="520" w:type="pct"/>
            <w:vAlign w:val="center"/>
          </w:tcPr>
          <w:p w14:paraId="2B2D9D4F">
            <w:pPr>
              <w:pStyle w:val="55"/>
              <w:bidi w:val="0"/>
              <w:rPr>
                <w:rFonts w:hint="default"/>
                <w:lang w:val="en-US" w:eastAsia="zh-CN"/>
              </w:rPr>
            </w:pPr>
            <w:r>
              <w:rPr>
                <w:rFonts w:hint="eastAsia"/>
                <w:lang w:val="en-US" w:eastAsia="zh-CN"/>
              </w:rPr>
              <w:t>/</w:t>
            </w:r>
          </w:p>
        </w:tc>
        <w:tc>
          <w:tcPr>
            <w:tcW w:w="601" w:type="pct"/>
            <w:vAlign w:val="center"/>
          </w:tcPr>
          <w:p w14:paraId="09291410">
            <w:pPr>
              <w:pStyle w:val="55"/>
              <w:bidi w:val="0"/>
              <w:rPr>
                <w:rFonts w:hint="default"/>
                <w:lang w:val="en-US" w:eastAsia="zh-CN"/>
              </w:rPr>
            </w:pPr>
            <w:r>
              <w:rPr>
                <w:rFonts w:hint="eastAsia"/>
                <w:lang w:val="en-US" w:eastAsia="zh-CN"/>
              </w:rPr>
              <w:t>/</w:t>
            </w:r>
          </w:p>
        </w:tc>
      </w:tr>
      <w:tr w14:paraId="6B9AA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0" w:type="pct"/>
            <w:vMerge w:val="restart"/>
            <w:vAlign w:val="center"/>
          </w:tcPr>
          <w:p w14:paraId="43A745D4">
            <w:pPr>
              <w:pStyle w:val="55"/>
              <w:bidi w:val="0"/>
              <w:rPr>
                <w:rFonts w:hint="default"/>
                <w:lang w:val="en-US" w:eastAsia="zh-CN"/>
              </w:rPr>
            </w:pPr>
            <w:r>
              <w:rPr>
                <w:rFonts w:hint="eastAsia"/>
                <w:lang w:val="en-US" w:eastAsia="zh-CN"/>
              </w:rPr>
              <w:t>3</w:t>
            </w:r>
          </w:p>
        </w:tc>
        <w:tc>
          <w:tcPr>
            <w:tcW w:w="377" w:type="pct"/>
            <w:vMerge w:val="restart"/>
            <w:vAlign w:val="center"/>
          </w:tcPr>
          <w:p w14:paraId="7857C0FD">
            <w:pPr>
              <w:pStyle w:val="55"/>
              <w:bidi w:val="0"/>
              <w:rPr>
                <w:rFonts w:hint="default"/>
                <w:lang w:val="en-US" w:eastAsia="zh-CN"/>
              </w:rPr>
            </w:pPr>
            <w:r>
              <w:rPr>
                <w:rFonts w:hint="eastAsia"/>
                <w:lang w:val="en-US" w:eastAsia="zh-CN"/>
              </w:rPr>
              <w:t>无组织</w:t>
            </w:r>
          </w:p>
        </w:tc>
        <w:tc>
          <w:tcPr>
            <w:tcW w:w="547" w:type="pct"/>
            <w:vAlign w:val="center"/>
          </w:tcPr>
          <w:p w14:paraId="5FF477F9">
            <w:pPr>
              <w:pStyle w:val="55"/>
              <w:bidi w:val="0"/>
              <w:rPr>
                <w:rFonts w:hint="eastAsia"/>
                <w:lang w:val="en-US" w:eastAsia="zh-CN"/>
              </w:rPr>
            </w:pPr>
            <w:r>
              <w:rPr>
                <w:rFonts w:hint="default"/>
                <w:lang w:val="en-US" w:eastAsia="zh-CN"/>
              </w:rPr>
              <w:t>颗粒物</w:t>
            </w:r>
          </w:p>
        </w:tc>
        <w:tc>
          <w:tcPr>
            <w:tcW w:w="494" w:type="pct"/>
            <w:vAlign w:val="center"/>
          </w:tcPr>
          <w:p w14:paraId="79A61A60">
            <w:pPr>
              <w:pStyle w:val="55"/>
              <w:bidi w:val="0"/>
              <w:rPr>
                <w:rFonts w:hint="eastAsia"/>
                <w:lang w:val="en-US" w:eastAsia="zh-CN"/>
              </w:rPr>
            </w:pPr>
            <w:r>
              <w:rPr>
                <w:rFonts w:hint="eastAsia"/>
                <w:lang w:val="en-US" w:eastAsia="zh-CN"/>
              </w:rPr>
              <w:t>0.457</w:t>
            </w:r>
          </w:p>
        </w:tc>
        <w:tc>
          <w:tcPr>
            <w:tcW w:w="754" w:type="pct"/>
            <w:tcBorders>
              <w:right w:val="single" w:color="000000" w:sz="4" w:space="0"/>
            </w:tcBorders>
            <w:vAlign w:val="center"/>
          </w:tcPr>
          <w:p w14:paraId="5CD0189A">
            <w:pPr>
              <w:pStyle w:val="55"/>
              <w:bidi w:val="0"/>
              <w:rPr>
                <w:rFonts w:hint="default"/>
                <w:lang w:val="en-US" w:eastAsia="zh-CN"/>
              </w:rPr>
            </w:pPr>
            <w:r>
              <w:rPr>
                <w:rFonts w:hint="eastAsia"/>
                <w:lang w:val="en-US" w:eastAsia="zh-CN"/>
              </w:rPr>
              <w:t>/</w:t>
            </w:r>
          </w:p>
        </w:tc>
        <w:tc>
          <w:tcPr>
            <w:tcW w:w="394" w:type="pct"/>
            <w:tcBorders>
              <w:left w:val="single" w:color="000000" w:sz="4" w:space="0"/>
              <w:right w:val="single" w:color="000000" w:sz="4" w:space="0"/>
            </w:tcBorders>
            <w:vAlign w:val="center"/>
          </w:tcPr>
          <w:p w14:paraId="1A9E09F4">
            <w:pPr>
              <w:pStyle w:val="55"/>
              <w:bidi w:val="0"/>
              <w:rPr>
                <w:rFonts w:hint="eastAsia"/>
                <w:lang w:val="en-US" w:eastAsia="zh-CN"/>
              </w:rPr>
            </w:pPr>
            <w:r>
              <w:rPr>
                <w:rFonts w:hint="eastAsia"/>
                <w:lang w:val="en-US" w:eastAsia="zh-CN"/>
              </w:rPr>
              <w:t>/</w:t>
            </w:r>
          </w:p>
        </w:tc>
        <w:tc>
          <w:tcPr>
            <w:tcW w:w="386" w:type="pct"/>
            <w:tcBorders>
              <w:left w:val="single" w:color="000000" w:sz="4" w:space="0"/>
            </w:tcBorders>
            <w:vAlign w:val="center"/>
          </w:tcPr>
          <w:p w14:paraId="70EC2E95">
            <w:pPr>
              <w:pStyle w:val="55"/>
              <w:bidi w:val="0"/>
              <w:rPr>
                <w:rFonts w:hint="eastAsia"/>
                <w:lang w:val="en-US" w:eastAsia="zh-CN"/>
              </w:rPr>
            </w:pPr>
            <w:r>
              <w:rPr>
                <w:rFonts w:hint="eastAsia"/>
                <w:lang w:val="en-US" w:eastAsia="zh-CN"/>
              </w:rPr>
              <w:t>/</w:t>
            </w:r>
          </w:p>
        </w:tc>
        <w:tc>
          <w:tcPr>
            <w:tcW w:w="673" w:type="pct"/>
            <w:vMerge w:val="restart"/>
            <w:vAlign w:val="center"/>
          </w:tcPr>
          <w:p w14:paraId="70E8BCB6">
            <w:pPr>
              <w:pStyle w:val="55"/>
              <w:bidi w:val="0"/>
              <w:rPr>
                <w:rFonts w:hint="default"/>
                <w:lang w:val="en-US" w:eastAsia="zh-CN"/>
              </w:rPr>
            </w:pPr>
            <w:r>
              <w:rPr>
                <w:rFonts w:hint="eastAsia"/>
                <w:lang w:val="en-US" w:eastAsia="zh-CN"/>
              </w:rPr>
              <w:t>/</w:t>
            </w:r>
          </w:p>
        </w:tc>
        <w:tc>
          <w:tcPr>
            <w:tcW w:w="520" w:type="pct"/>
            <w:vAlign w:val="center"/>
          </w:tcPr>
          <w:p w14:paraId="78432832">
            <w:pPr>
              <w:pStyle w:val="55"/>
              <w:bidi w:val="0"/>
              <w:rPr>
                <w:rFonts w:hint="eastAsia"/>
                <w:lang w:val="en-US" w:eastAsia="zh-CN"/>
              </w:rPr>
            </w:pPr>
            <w:r>
              <w:rPr>
                <w:rFonts w:hint="eastAsia"/>
                <w:lang w:val="en-US" w:eastAsia="zh-CN"/>
              </w:rPr>
              <w:t>0.457</w:t>
            </w:r>
          </w:p>
        </w:tc>
        <w:tc>
          <w:tcPr>
            <w:tcW w:w="601" w:type="pct"/>
            <w:vAlign w:val="center"/>
          </w:tcPr>
          <w:p w14:paraId="70309203">
            <w:pPr>
              <w:pStyle w:val="55"/>
              <w:bidi w:val="0"/>
              <w:rPr>
                <w:rFonts w:hint="default"/>
                <w:lang w:val="en-US" w:eastAsia="zh-CN"/>
              </w:rPr>
            </w:pPr>
            <w:r>
              <w:rPr>
                <w:rFonts w:hint="eastAsia"/>
                <w:lang w:val="en-US" w:eastAsia="zh-CN"/>
              </w:rPr>
              <w:t>/</w:t>
            </w:r>
          </w:p>
        </w:tc>
      </w:tr>
      <w:tr w14:paraId="19BC5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0" w:type="pct"/>
            <w:vMerge w:val="continue"/>
            <w:vAlign w:val="center"/>
          </w:tcPr>
          <w:p w14:paraId="19CB46A3">
            <w:pPr>
              <w:pStyle w:val="55"/>
              <w:bidi w:val="0"/>
              <w:rPr>
                <w:rFonts w:hint="eastAsia"/>
                <w:lang w:val="en-US" w:eastAsia="zh-CN"/>
              </w:rPr>
            </w:pPr>
          </w:p>
        </w:tc>
        <w:tc>
          <w:tcPr>
            <w:tcW w:w="377" w:type="pct"/>
            <w:vMerge w:val="continue"/>
            <w:vAlign w:val="center"/>
          </w:tcPr>
          <w:p w14:paraId="755490E7">
            <w:pPr>
              <w:pStyle w:val="55"/>
              <w:bidi w:val="0"/>
              <w:rPr>
                <w:rFonts w:hint="eastAsia"/>
                <w:lang w:val="en-US" w:eastAsia="zh-CN"/>
              </w:rPr>
            </w:pPr>
          </w:p>
        </w:tc>
        <w:tc>
          <w:tcPr>
            <w:tcW w:w="547" w:type="pct"/>
            <w:vAlign w:val="center"/>
          </w:tcPr>
          <w:p w14:paraId="3BFDD5ED">
            <w:pPr>
              <w:pStyle w:val="55"/>
              <w:bidi w:val="0"/>
              <w:rPr>
                <w:rFonts w:hint="eastAsia"/>
                <w:lang w:val="en-US" w:eastAsia="zh-CN"/>
              </w:rPr>
            </w:pPr>
            <w:r>
              <w:rPr>
                <w:rFonts w:hint="eastAsia"/>
                <w:lang w:val="en-US" w:eastAsia="zh-CN"/>
              </w:rPr>
              <w:t>非甲烷总烃</w:t>
            </w:r>
          </w:p>
        </w:tc>
        <w:tc>
          <w:tcPr>
            <w:tcW w:w="494" w:type="pct"/>
            <w:vAlign w:val="center"/>
          </w:tcPr>
          <w:p w14:paraId="2C2705B0">
            <w:pPr>
              <w:pStyle w:val="55"/>
              <w:bidi w:val="0"/>
              <w:rPr>
                <w:rFonts w:hint="eastAsia"/>
                <w:lang w:val="en-US" w:eastAsia="zh-CN"/>
              </w:rPr>
            </w:pPr>
            <w:r>
              <w:rPr>
                <w:rFonts w:hint="eastAsia"/>
                <w:lang w:val="en-US" w:eastAsia="zh-CN"/>
              </w:rPr>
              <w:t>0.460</w:t>
            </w:r>
          </w:p>
        </w:tc>
        <w:tc>
          <w:tcPr>
            <w:tcW w:w="754" w:type="pct"/>
            <w:tcBorders>
              <w:right w:val="single" w:color="000000" w:sz="4" w:space="0"/>
            </w:tcBorders>
            <w:vAlign w:val="center"/>
          </w:tcPr>
          <w:p w14:paraId="0FCAF2B4">
            <w:pPr>
              <w:pStyle w:val="55"/>
              <w:bidi w:val="0"/>
              <w:rPr>
                <w:rFonts w:hint="default"/>
                <w:lang w:val="en-US" w:eastAsia="zh-CN"/>
              </w:rPr>
            </w:pPr>
            <w:r>
              <w:rPr>
                <w:rFonts w:hint="eastAsia"/>
                <w:lang w:val="en-US" w:eastAsia="zh-CN"/>
              </w:rPr>
              <w:t>/</w:t>
            </w:r>
          </w:p>
        </w:tc>
        <w:tc>
          <w:tcPr>
            <w:tcW w:w="394" w:type="pct"/>
            <w:tcBorders>
              <w:left w:val="single" w:color="000000" w:sz="4" w:space="0"/>
              <w:right w:val="single" w:color="000000" w:sz="4" w:space="0"/>
            </w:tcBorders>
            <w:vAlign w:val="center"/>
          </w:tcPr>
          <w:p w14:paraId="19C1FBF1">
            <w:pPr>
              <w:pStyle w:val="55"/>
              <w:bidi w:val="0"/>
              <w:rPr>
                <w:rFonts w:hint="eastAsia"/>
                <w:lang w:val="en-US" w:eastAsia="zh-CN"/>
              </w:rPr>
            </w:pPr>
            <w:r>
              <w:rPr>
                <w:rFonts w:hint="eastAsia"/>
                <w:lang w:val="en-US" w:eastAsia="zh-CN"/>
              </w:rPr>
              <w:t>/</w:t>
            </w:r>
          </w:p>
        </w:tc>
        <w:tc>
          <w:tcPr>
            <w:tcW w:w="386" w:type="pct"/>
            <w:tcBorders>
              <w:left w:val="single" w:color="000000" w:sz="4" w:space="0"/>
            </w:tcBorders>
            <w:vAlign w:val="center"/>
          </w:tcPr>
          <w:p w14:paraId="12E66573">
            <w:pPr>
              <w:pStyle w:val="55"/>
              <w:bidi w:val="0"/>
              <w:rPr>
                <w:rFonts w:hint="eastAsia"/>
                <w:lang w:val="en-US" w:eastAsia="zh-CN"/>
              </w:rPr>
            </w:pPr>
            <w:r>
              <w:rPr>
                <w:rFonts w:hint="eastAsia"/>
                <w:lang w:val="en-US" w:eastAsia="zh-CN"/>
              </w:rPr>
              <w:t>/</w:t>
            </w:r>
          </w:p>
        </w:tc>
        <w:tc>
          <w:tcPr>
            <w:tcW w:w="673" w:type="pct"/>
            <w:vMerge w:val="continue"/>
            <w:vAlign w:val="center"/>
          </w:tcPr>
          <w:p w14:paraId="13BBA7CB">
            <w:pPr>
              <w:pStyle w:val="55"/>
              <w:bidi w:val="0"/>
              <w:rPr>
                <w:rFonts w:hint="default"/>
                <w:lang w:val="en-US" w:eastAsia="zh-CN"/>
              </w:rPr>
            </w:pPr>
          </w:p>
        </w:tc>
        <w:tc>
          <w:tcPr>
            <w:tcW w:w="520" w:type="pct"/>
            <w:vAlign w:val="center"/>
          </w:tcPr>
          <w:p w14:paraId="65B24FD9">
            <w:pPr>
              <w:pStyle w:val="55"/>
              <w:bidi w:val="0"/>
              <w:rPr>
                <w:rFonts w:hint="eastAsia"/>
                <w:lang w:val="en-US" w:eastAsia="zh-CN"/>
              </w:rPr>
            </w:pPr>
            <w:r>
              <w:rPr>
                <w:rFonts w:hint="eastAsia"/>
                <w:lang w:val="en-US" w:eastAsia="zh-CN"/>
              </w:rPr>
              <w:t>0.460</w:t>
            </w:r>
          </w:p>
        </w:tc>
        <w:tc>
          <w:tcPr>
            <w:tcW w:w="601" w:type="pct"/>
            <w:vAlign w:val="center"/>
          </w:tcPr>
          <w:p w14:paraId="2C7B6E11">
            <w:pPr>
              <w:pStyle w:val="55"/>
              <w:bidi w:val="0"/>
              <w:rPr>
                <w:rFonts w:hint="default"/>
                <w:lang w:val="en-US" w:eastAsia="zh-CN"/>
              </w:rPr>
            </w:pPr>
            <w:r>
              <w:rPr>
                <w:rFonts w:hint="eastAsia"/>
                <w:lang w:val="en-US" w:eastAsia="zh-CN"/>
              </w:rPr>
              <w:t>/</w:t>
            </w:r>
          </w:p>
        </w:tc>
      </w:tr>
      <w:tr w14:paraId="652C5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0" w:type="pct"/>
            <w:vMerge w:val="continue"/>
            <w:vAlign w:val="center"/>
          </w:tcPr>
          <w:p w14:paraId="346EEE4E">
            <w:pPr>
              <w:pStyle w:val="55"/>
              <w:bidi w:val="0"/>
              <w:rPr>
                <w:rFonts w:hint="eastAsia"/>
                <w:lang w:val="en-US" w:eastAsia="zh-CN"/>
              </w:rPr>
            </w:pPr>
          </w:p>
        </w:tc>
        <w:tc>
          <w:tcPr>
            <w:tcW w:w="377" w:type="pct"/>
            <w:vMerge w:val="continue"/>
            <w:vAlign w:val="center"/>
          </w:tcPr>
          <w:p w14:paraId="2A9FD47F">
            <w:pPr>
              <w:pStyle w:val="55"/>
              <w:bidi w:val="0"/>
              <w:rPr>
                <w:rFonts w:hint="eastAsia"/>
                <w:lang w:val="en-US" w:eastAsia="zh-CN"/>
              </w:rPr>
            </w:pPr>
          </w:p>
        </w:tc>
        <w:tc>
          <w:tcPr>
            <w:tcW w:w="547" w:type="pct"/>
            <w:vAlign w:val="center"/>
          </w:tcPr>
          <w:p w14:paraId="7E4945A7">
            <w:pPr>
              <w:pStyle w:val="55"/>
              <w:bidi w:val="0"/>
              <w:rPr>
                <w:rFonts w:hint="eastAsia"/>
                <w:lang w:val="en-US" w:eastAsia="zh-CN"/>
              </w:rPr>
            </w:pPr>
            <w:r>
              <w:rPr>
                <w:rFonts w:hint="default"/>
                <w:lang w:val="en-US" w:eastAsia="zh-CN"/>
              </w:rPr>
              <w:t>氯化氢</w:t>
            </w:r>
          </w:p>
        </w:tc>
        <w:tc>
          <w:tcPr>
            <w:tcW w:w="494" w:type="pct"/>
            <w:vAlign w:val="center"/>
          </w:tcPr>
          <w:p w14:paraId="5A998274">
            <w:pPr>
              <w:pStyle w:val="55"/>
              <w:bidi w:val="0"/>
              <w:rPr>
                <w:rFonts w:hint="eastAsia"/>
                <w:lang w:val="en-US" w:eastAsia="zh-CN"/>
              </w:rPr>
            </w:pPr>
            <w:r>
              <w:rPr>
                <w:rFonts w:hint="eastAsia"/>
                <w:lang w:val="en-US" w:eastAsia="zh-CN"/>
              </w:rPr>
              <w:t>0.0003</w:t>
            </w:r>
          </w:p>
        </w:tc>
        <w:tc>
          <w:tcPr>
            <w:tcW w:w="754" w:type="pct"/>
            <w:tcBorders>
              <w:right w:val="single" w:color="000000" w:sz="4" w:space="0"/>
            </w:tcBorders>
            <w:vAlign w:val="center"/>
          </w:tcPr>
          <w:p w14:paraId="1EAA2470">
            <w:pPr>
              <w:pStyle w:val="55"/>
              <w:bidi w:val="0"/>
              <w:rPr>
                <w:rFonts w:hint="default"/>
                <w:lang w:val="en-US" w:eastAsia="zh-CN"/>
              </w:rPr>
            </w:pPr>
            <w:r>
              <w:rPr>
                <w:rFonts w:hint="eastAsia"/>
                <w:lang w:val="en-US" w:eastAsia="zh-CN"/>
              </w:rPr>
              <w:t>/</w:t>
            </w:r>
          </w:p>
        </w:tc>
        <w:tc>
          <w:tcPr>
            <w:tcW w:w="394" w:type="pct"/>
            <w:tcBorders>
              <w:left w:val="single" w:color="000000" w:sz="4" w:space="0"/>
              <w:right w:val="single" w:color="000000" w:sz="4" w:space="0"/>
            </w:tcBorders>
            <w:vAlign w:val="center"/>
          </w:tcPr>
          <w:p w14:paraId="5AC3FCCE">
            <w:pPr>
              <w:pStyle w:val="55"/>
              <w:bidi w:val="0"/>
              <w:rPr>
                <w:rFonts w:hint="eastAsia"/>
                <w:lang w:val="en-US" w:eastAsia="zh-CN"/>
              </w:rPr>
            </w:pPr>
            <w:r>
              <w:rPr>
                <w:rFonts w:hint="eastAsia"/>
                <w:lang w:val="en-US" w:eastAsia="zh-CN"/>
              </w:rPr>
              <w:t>/</w:t>
            </w:r>
          </w:p>
        </w:tc>
        <w:tc>
          <w:tcPr>
            <w:tcW w:w="386" w:type="pct"/>
            <w:tcBorders>
              <w:left w:val="single" w:color="000000" w:sz="4" w:space="0"/>
            </w:tcBorders>
            <w:vAlign w:val="center"/>
          </w:tcPr>
          <w:p w14:paraId="36765D10">
            <w:pPr>
              <w:pStyle w:val="55"/>
              <w:bidi w:val="0"/>
              <w:rPr>
                <w:rFonts w:hint="eastAsia"/>
                <w:lang w:val="en-US" w:eastAsia="zh-CN"/>
              </w:rPr>
            </w:pPr>
            <w:r>
              <w:rPr>
                <w:rFonts w:hint="eastAsia"/>
                <w:lang w:val="en-US" w:eastAsia="zh-CN"/>
              </w:rPr>
              <w:t>/</w:t>
            </w:r>
          </w:p>
        </w:tc>
        <w:tc>
          <w:tcPr>
            <w:tcW w:w="673" w:type="pct"/>
            <w:vMerge w:val="continue"/>
            <w:vAlign w:val="center"/>
          </w:tcPr>
          <w:p w14:paraId="55D2E424">
            <w:pPr>
              <w:pStyle w:val="55"/>
              <w:bidi w:val="0"/>
              <w:rPr>
                <w:rFonts w:hint="default"/>
                <w:lang w:val="en-US" w:eastAsia="zh-CN"/>
              </w:rPr>
            </w:pPr>
          </w:p>
        </w:tc>
        <w:tc>
          <w:tcPr>
            <w:tcW w:w="520" w:type="pct"/>
            <w:vAlign w:val="center"/>
          </w:tcPr>
          <w:p w14:paraId="3B5FDDD8">
            <w:pPr>
              <w:pStyle w:val="55"/>
              <w:bidi w:val="0"/>
              <w:rPr>
                <w:rFonts w:hint="default"/>
                <w:lang w:val="en-US" w:eastAsia="zh-CN"/>
              </w:rPr>
            </w:pPr>
            <w:r>
              <w:rPr>
                <w:rFonts w:hint="eastAsia"/>
                <w:lang w:val="en-US" w:eastAsia="zh-CN"/>
              </w:rPr>
              <w:t>0.0003</w:t>
            </w:r>
          </w:p>
        </w:tc>
        <w:tc>
          <w:tcPr>
            <w:tcW w:w="601" w:type="pct"/>
            <w:vAlign w:val="center"/>
          </w:tcPr>
          <w:p w14:paraId="5769FEC6">
            <w:pPr>
              <w:pStyle w:val="55"/>
              <w:bidi w:val="0"/>
              <w:rPr>
                <w:rFonts w:hint="default"/>
                <w:lang w:val="en-US" w:eastAsia="zh-CN"/>
              </w:rPr>
            </w:pPr>
            <w:r>
              <w:rPr>
                <w:rFonts w:hint="eastAsia"/>
                <w:lang w:val="en-US" w:eastAsia="zh-CN"/>
              </w:rPr>
              <w:t>/</w:t>
            </w:r>
          </w:p>
        </w:tc>
      </w:tr>
      <w:tr w14:paraId="60A56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0" w:type="pct"/>
            <w:vMerge w:val="continue"/>
            <w:vAlign w:val="center"/>
          </w:tcPr>
          <w:p w14:paraId="114CA141">
            <w:pPr>
              <w:pStyle w:val="55"/>
              <w:bidi w:val="0"/>
              <w:rPr>
                <w:rFonts w:hint="eastAsia"/>
                <w:lang w:val="en-US" w:eastAsia="zh-CN"/>
              </w:rPr>
            </w:pPr>
          </w:p>
        </w:tc>
        <w:tc>
          <w:tcPr>
            <w:tcW w:w="377" w:type="pct"/>
            <w:vMerge w:val="continue"/>
            <w:vAlign w:val="center"/>
          </w:tcPr>
          <w:p w14:paraId="15BAE2BA">
            <w:pPr>
              <w:pStyle w:val="55"/>
              <w:bidi w:val="0"/>
              <w:rPr>
                <w:rFonts w:hint="eastAsia"/>
                <w:lang w:val="en-US" w:eastAsia="zh-CN"/>
              </w:rPr>
            </w:pPr>
          </w:p>
        </w:tc>
        <w:tc>
          <w:tcPr>
            <w:tcW w:w="547" w:type="pct"/>
            <w:vAlign w:val="center"/>
          </w:tcPr>
          <w:p w14:paraId="5AE8B142">
            <w:pPr>
              <w:pStyle w:val="55"/>
              <w:bidi w:val="0"/>
              <w:rPr>
                <w:rFonts w:hint="eastAsia"/>
                <w:lang w:val="en-US" w:eastAsia="zh-CN"/>
              </w:rPr>
            </w:pPr>
            <w:r>
              <w:rPr>
                <w:rFonts w:hint="eastAsia"/>
                <w:lang w:val="en-US" w:eastAsia="zh-CN"/>
              </w:rPr>
              <w:t>臭气浓度</w:t>
            </w:r>
          </w:p>
        </w:tc>
        <w:tc>
          <w:tcPr>
            <w:tcW w:w="494" w:type="pct"/>
            <w:vAlign w:val="center"/>
          </w:tcPr>
          <w:p w14:paraId="381B00EB">
            <w:pPr>
              <w:pStyle w:val="55"/>
              <w:bidi w:val="0"/>
              <w:rPr>
                <w:rFonts w:hint="default"/>
                <w:lang w:val="en-US" w:eastAsia="zh-CN"/>
              </w:rPr>
            </w:pPr>
            <w:r>
              <w:rPr>
                <w:rFonts w:hint="eastAsia"/>
                <w:lang w:val="en-US" w:eastAsia="zh-CN"/>
              </w:rPr>
              <w:t>/</w:t>
            </w:r>
          </w:p>
        </w:tc>
        <w:tc>
          <w:tcPr>
            <w:tcW w:w="754" w:type="pct"/>
            <w:tcBorders>
              <w:right w:val="single" w:color="000000" w:sz="4" w:space="0"/>
            </w:tcBorders>
            <w:vAlign w:val="center"/>
          </w:tcPr>
          <w:p w14:paraId="79A52D81">
            <w:pPr>
              <w:pStyle w:val="55"/>
              <w:bidi w:val="0"/>
              <w:rPr>
                <w:rFonts w:hint="eastAsia"/>
                <w:lang w:val="en-US" w:eastAsia="zh-CN"/>
              </w:rPr>
            </w:pPr>
            <w:r>
              <w:rPr>
                <w:rFonts w:hint="eastAsia"/>
                <w:lang w:val="en-US" w:eastAsia="zh-CN"/>
              </w:rPr>
              <w:t>/</w:t>
            </w:r>
          </w:p>
        </w:tc>
        <w:tc>
          <w:tcPr>
            <w:tcW w:w="394" w:type="pct"/>
            <w:tcBorders>
              <w:left w:val="single" w:color="000000" w:sz="4" w:space="0"/>
              <w:right w:val="single" w:color="000000" w:sz="4" w:space="0"/>
            </w:tcBorders>
            <w:vAlign w:val="center"/>
          </w:tcPr>
          <w:p w14:paraId="0B3CD56F">
            <w:pPr>
              <w:pStyle w:val="55"/>
              <w:bidi w:val="0"/>
              <w:rPr>
                <w:rFonts w:hint="eastAsia"/>
                <w:lang w:val="en-US" w:eastAsia="zh-CN"/>
              </w:rPr>
            </w:pPr>
            <w:r>
              <w:rPr>
                <w:rFonts w:hint="eastAsia"/>
                <w:lang w:val="en-US" w:eastAsia="zh-CN"/>
              </w:rPr>
              <w:t>/</w:t>
            </w:r>
          </w:p>
        </w:tc>
        <w:tc>
          <w:tcPr>
            <w:tcW w:w="386" w:type="pct"/>
            <w:tcBorders>
              <w:left w:val="single" w:color="000000" w:sz="4" w:space="0"/>
            </w:tcBorders>
            <w:vAlign w:val="center"/>
          </w:tcPr>
          <w:p w14:paraId="75D252A9">
            <w:pPr>
              <w:pStyle w:val="55"/>
              <w:bidi w:val="0"/>
              <w:rPr>
                <w:rFonts w:hint="eastAsia"/>
                <w:lang w:val="en-US" w:eastAsia="zh-CN"/>
              </w:rPr>
            </w:pPr>
            <w:r>
              <w:rPr>
                <w:rFonts w:hint="eastAsia"/>
                <w:lang w:val="en-US" w:eastAsia="zh-CN"/>
              </w:rPr>
              <w:t>/</w:t>
            </w:r>
          </w:p>
        </w:tc>
        <w:tc>
          <w:tcPr>
            <w:tcW w:w="673" w:type="pct"/>
            <w:vMerge w:val="continue"/>
            <w:vAlign w:val="center"/>
          </w:tcPr>
          <w:p w14:paraId="4BAC5A79">
            <w:pPr>
              <w:pStyle w:val="55"/>
              <w:bidi w:val="0"/>
              <w:rPr>
                <w:rFonts w:hint="default"/>
                <w:lang w:val="en-US" w:eastAsia="zh-CN"/>
              </w:rPr>
            </w:pPr>
          </w:p>
        </w:tc>
        <w:tc>
          <w:tcPr>
            <w:tcW w:w="520" w:type="pct"/>
            <w:vAlign w:val="center"/>
          </w:tcPr>
          <w:p w14:paraId="4AA575AD">
            <w:pPr>
              <w:pStyle w:val="55"/>
              <w:bidi w:val="0"/>
              <w:rPr>
                <w:rFonts w:hint="eastAsia"/>
                <w:lang w:val="en-US" w:eastAsia="zh-CN"/>
              </w:rPr>
            </w:pPr>
            <w:r>
              <w:rPr>
                <w:rFonts w:hint="eastAsia"/>
                <w:lang w:val="en-US" w:eastAsia="zh-CN"/>
              </w:rPr>
              <w:t>/</w:t>
            </w:r>
          </w:p>
        </w:tc>
        <w:tc>
          <w:tcPr>
            <w:tcW w:w="601" w:type="pct"/>
            <w:vAlign w:val="center"/>
          </w:tcPr>
          <w:p w14:paraId="36657FE9">
            <w:pPr>
              <w:pStyle w:val="55"/>
              <w:bidi w:val="0"/>
              <w:rPr>
                <w:rFonts w:hint="eastAsia"/>
                <w:lang w:val="en-US" w:eastAsia="zh-CN"/>
              </w:rPr>
            </w:pPr>
            <w:r>
              <w:rPr>
                <w:rFonts w:hint="eastAsia"/>
                <w:lang w:val="en-US" w:eastAsia="zh-CN"/>
              </w:rPr>
              <w:t>/</w:t>
            </w:r>
          </w:p>
        </w:tc>
      </w:tr>
    </w:tbl>
    <w:p w14:paraId="6385F6DD">
      <w:pPr>
        <w:pStyle w:val="47"/>
        <w:bidi w:val="0"/>
        <w:rPr>
          <w:rFonts w:hint="eastAsia"/>
          <w:lang w:val="en-US" w:eastAsia="zh-CN"/>
        </w:rPr>
      </w:pPr>
      <w:r>
        <w:rPr>
          <w:rFonts w:hint="eastAsia"/>
          <w:lang w:val="en-US" w:eastAsia="zh-CN"/>
        </w:rPr>
        <w:t>（2）2#生产车间废气</w:t>
      </w:r>
    </w:p>
    <w:p w14:paraId="59C0ABA0">
      <w:pPr>
        <w:pStyle w:val="47"/>
        <w:bidi w:val="0"/>
        <w:rPr>
          <w:rFonts w:hint="default"/>
          <w:lang w:val="en-US" w:eastAsia="zh-CN"/>
        </w:rPr>
      </w:pPr>
      <w:r>
        <w:rPr>
          <w:rFonts w:hint="eastAsia"/>
          <w:lang w:val="en-US" w:eastAsia="zh-CN"/>
        </w:rPr>
        <w:t>2#生产车间</w:t>
      </w:r>
      <w:r>
        <w:rPr>
          <w:rFonts w:hint="default"/>
          <w:lang w:val="en-US" w:eastAsia="zh-CN"/>
        </w:rPr>
        <w:t>主要废气为</w:t>
      </w:r>
      <w:r>
        <w:rPr>
          <w:rFonts w:hint="eastAsia"/>
          <w:lang w:val="en-US" w:eastAsia="zh-CN"/>
        </w:rPr>
        <w:t>投料搅拌</w:t>
      </w:r>
      <w:r>
        <w:rPr>
          <w:rFonts w:hint="default"/>
          <w:lang w:val="en-US" w:eastAsia="zh-CN"/>
        </w:rPr>
        <w:t>工序产生的颗粒物，挤出工序产生的颗粒物、</w:t>
      </w:r>
      <w:r>
        <w:rPr>
          <w:rFonts w:hint="eastAsia"/>
          <w:lang w:val="en-US" w:eastAsia="zh-CN"/>
        </w:rPr>
        <w:t>非甲烷总烃、</w:t>
      </w:r>
      <w:r>
        <w:rPr>
          <w:rFonts w:hint="default"/>
          <w:lang w:val="en-US" w:eastAsia="zh-CN"/>
        </w:rPr>
        <w:t>氯化氢</w:t>
      </w:r>
      <w:r>
        <w:rPr>
          <w:rFonts w:hint="eastAsia"/>
          <w:lang w:val="en-US" w:eastAsia="zh-CN"/>
        </w:rPr>
        <w:t>及臭气浓度，废气经集气罩收集，引入1套“布袋除尘器+两级活性炭吸附装置”处理后，由15m高排气筒（DA002）排放。2#生产车间与1#生产车间产能、原料使用量、环保设施均一致，因此废气产生量及排放量与1#生产车间废气产生量及排放量一致，详见表3.4-2。</w:t>
      </w:r>
    </w:p>
    <w:p w14:paraId="4138EDCB">
      <w:pPr>
        <w:pStyle w:val="47"/>
        <w:bidi w:val="0"/>
        <w:rPr>
          <w:rFonts w:hint="default"/>
          <w:lang w:val="en-US" w:eastAsia="zh-CN"/>
        </w:rPr>
      </w:pPr>
      <w:r>
        <w:rPr>
          <w:rFonts w:hint="eastAsia"/>
          <w:lang w:val="en-US" w:eastAsia="zh-CN"/>
        </w:rPr>
        <w:t>（3）3#生产车间废气</w:t>
      </w:r>
    </w:p>
    <w:p w14:paraId="07FCE1F2">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lang w:val="en-US" w:eastAsia="zh-CN"/>
        </w:rPr>
      </w:pPr>
      <w:r>
        <w:rPr>
          <w:rFonts w:hint="eastAsia"/>
          <w:lang w:val="en-US" w:eastAsia="zh-CN"/>
        </w:rPr>
        <w:t>3#生产车间放置高速混合机、挤出机等生产设备，根据建设单位提供资料，</w:t>
      </w:r>
      <w:r>
        <w:rPr>
          <w:rFonts w:hint="default"/>
          <w:lang w:val="en-US" w:eastAsia="zh-CN"/>
        </w:rPr>
        <w:t>1#生产车间产能为</w:t>
      </w:r>
      <w:r>
        <w:rPr>
          <w:rFonts w:hint="eastAsia"/>
          <w:lang w:val="en-US" w:eastAsia="zh-CN"/>
        </w:rPr>
        <w:t>5</w:t>
      </w:r>
      <w:r>
        <w:rPr>
          <w:rFonts w:hint="default"/>
          <w:lang w:val="en-US" w:eastAsia="zh-CN"/>
        </w:rPr>
        <w:t>000t/a电缆颗粒</w:t>
      </w:r>
      <w:r>
        <w:rPr>
          <w:rFonts w:hint="eastAsia"/>
          <w:lang w:val="en-US" w:eastAsia="zh-CN"/>
        </w:rPr>
        <w:t>，</w:t>
      </w:r>
      <w:r>
        <w:rPr>
          <w:rFonts w:hint="default"/>
          <w:lang w:val="en-US" w:eastAsia="zh-CN"/>
        </w:rPr>
        <w:t>生产过程中产生的主要废气为</w:t>
      </w:r>
      <w:r>
        <w:rPr>
          <w:rFonts w:hint="eastAsia"/>
          <w:lang w:val="en-US" w:eastAsia="zh-CN"/>
        </w:rPr>
        <w:t>投料搅拌</w:t>
      </w:r>
      <w:r>
        <w:rPr>
          <w:rFonts w:hint="default"/>
          <w:lang w:val="en-US" w:eastAsia="zh-CN"/>
        </w:rPr>
        <w:t>工序产生的颗粒物，挤出工序产生的颗粒物、</w:t>
      </w:r>
      <w:r>
        <w:rPr>
          <w:rFonts w:hint="eastAsia"/>
          <w:lang w:val="en-US" w:eastAsia="zh-CN"/>
        </w:rPr>
        <w:t>非甲烷总烃、</w:t>
      </w:r>
      <w:r>
        <w:rPr>
          <w:rFonts w:hint="default"/>
          <w:lang w:val="en-US" w:eastAsia="zh-CN"/>
        </w:rPr>
        <w:t>氯化氢</w:t>
      </w:r>
      <w:r>
        <w:rPr>
          <w:rFonts w:hint="eastAsia"/>
          <w:lang w:val="en-US" w:eastAsia="zh-CN"/>
        </w:rPr>
        <w:t>及臭气浓度，废气经集气罩收集，引入1套“布袋除尘器+两级活性炭吸附装置”处理后，由15m高排气筒（DA003）排放，风机风量为30000m</w:t>
      </w:r>
      <w:r>
        <w:rPr>
          <w:rFonts w:hint="eastAsia"/>
          <w:vertAlign w:val="superscript"/>
          <w:lang w:val="en-US" w:eastAsia="zh-CN"/>
        </w:rPr>
        <w:t>3</w:t>
      </w:r>
      <w:r>
        <w:rPr>
          <w:rFonts w:hint="eastAsia"/>
          <w:lang w:val="en-US" w:eastAsia="zh-CN"/>
        </w:rPr>
        <w:t>/h</w:t>
      </w:r>
      <w:r>
        <w:rPr>
          <w:rFonts w:hint="default"/>
          <w:lang w:val="en-US" w:eastAsia="zh-CN"/>
        </w:rPr>
        <w:t>。</w:t>
      </w:r>
    </w:p>
    <w:p w14:paraId="6E9177EF">
      <w:pPr>
        <w:pStyle w:val="47"/>
        <w:bidi w:val="0"/>
        <w:rPr>
          <w:rFonts w:hint="default"/>
          <w:lang w:val="en-US" w:eastAsia="zh-CN"/>
        </w:rPr>
      </w:pPr>
      <w:r>
        <w:rPr>
          <w:rFonts w:hint="default"/>
          <w:lang w:val="en-US" w:eastAsia="zh-CN"/>
        </w:rPr>
        <w:t>①投料及搅拌工序废气</w:t>
      </w:r>
    </w:p>
    <w:p w14:paraId="12B122EE">
      <w:pPr>
        <w:pStyle w:val="47"/>
        <w:bidi w:val="0"/>
        <w:rPr>
          <w:rFonts w:hint="default"/>
          <w:lang w:val="en-US" w:eastAsia="zh-CN"/>
        </w:rPr>
      </w:pPr>
      <w:r>
        <w:rPr>
          <w:rFonts w:hint="default"/>
          <w:lang w:val="en-US" w:eastAsia="zh-CN"/>
        </w:rPr>
        <w:t>项目人工将PVC颗粒、增塑剂、石蜡、色母、钙粉等原料投入高速混合机中，投料及搅拌过程中产生废气颗粒物，参考《排放源统计调查产排污核算方法和系数手册》</w:t>
      </w:r>
      <w:r>
        <w:rPr>
          <w:rFonts w:hint="eastAsia"/>
          <w:lang w:val="en-US" w:eastAsia="zh-CN"/>
        </w:rPr>
        <w:t>中塑料制品行业系数手册——</w:t>
      </w:r>
      <w:r>
        <w:rPr>
          <w:rFonts w:hint="default"/>
          <w:lang w:val="en-US" w:eastAsia="zh-CN"/>
        </w:rPr>
        <w:t>292塑料制品行业系数手册，颗粒物产污系数</w:t>
      </w:r>
      <w:r>
        <w:rPr>
          <w:rFonts w:hint="eastAsia"/>
          <w:lang w:val="en-US" w:eastAsia="zh-CN"/>
        </w:rPr>
        <w:t>2.5</w:t>
      </w:r>
      <w:r>
        <w:rPr>
          <w:rFonts w:hint="default"/>
          <w:lang w:val="en-US" w:eastAsia="zh-CN"/>
        </w:rPr>
        <w:t>kg/t-产品，</w:t>
      </w:r>
      <w:r>
        <w:rPr>
          <w:rFonts w:hint="eastAsia"/>
          <w:lang w:val="en-US" w:eastAsia="zh-CN"/>
        </w:rPr>
        <w:t>1#生产车间</w:t>
      </w:r>
      <w:r>
        <w:rPr>
          <w:rFonts w:hint="default"/>
          <w:lang w:val="en-US" w:eastAsia="zh-CN"/>
        </w:rPr>
        <w:t>产能为</w:t>
      </w:r>
      <w:r>
        <w:rPr>
          <w:rFonts w:hint="eastAsia"/>
          <w:lang w:val="en-US" w:eastAsia="zh-CN"/>
        </w:rPr>
        <w:t>5</w:t>
      </w:r>
      <w:r>
        <w:rPr>
          <w:rFonts w:hint="default"/>
          <w:lang w:val="en-US" w:eastAsia="zh-CN"/>
        </w:rPr>
        <w:t>000t/a，因此废气颗粒物产生量为</w:t>
      </w:r>
      <w:r>
        <w:rPr>
          <w:rFonts w:hint="eastAsia"/>
          <w:lang w:val="en-US" w:eastAsia="zh-CN"/>
        </w:rPr>
        <w:t>12.5</w:t>
      </w:r>
      <w:r>
        <w:rPr>
          <w:rFonts w:hint="default"/>
          <w:lang w:val="en-US" w:eastAsia="zh-CN"/>
        </w:rPr>
        <w:t>t/a。</w:t>
      </w:r>
    </w:p>
    <w:p w14:paraId="1FA38EF7">
      <w:pPr>
        <w:pStyle w:val="47"/>
        <w:bidi w:val="0"/>
        <w:rPr>
          <w:rFonts w:hint="default"/>
          <w:lang w:val="en-US" w:eastAsia="zh-CN"/>
        </w:rPr>
      </w:pPr>
      <w:r>
        <w:rPr>
          <w:rFonts w:hint="default"/>
          <w:lang w:val="en-US" w:eastAsia="zh-CN"/>
        </w:rPr>
        <w:t>②</w:t>
      </w:r>
      <w:r>
        <w:rPr>
          <w:rFonts w:hint="eastAsia"/>
          <w:lang w:val="en-US" w:eastAsia="zh-CN"/>
        </w:rPr>
        <w:t>挤出废气</w:t>
      </w:r>
    </w:p>
    <w:p w14:paraId="0B0C22E7">
      <w:pPr>
        <w:pStyle w:val="47"/>
        <w:bidi w:val="0"/>
        <w:rPr>
          <w:rFonts w:hint="eastAsia"/>
          <w:lang w:val="en-US" w:eastAsia="zh-CN"/>
        </w:rPr>
      </w:pPr>
      <w:r>
        <w:rPr>
          <w:rFonts w:hint="eastAsia"/>
          <w:lang w:val="en-US" w:eastAsia="zh-CN"/>
        </w:rPr>
        <w:t>项目挤出工序产生污染物为颗粒物、非甲烷总烃和氯化氢、臭气浓度。</w:t>
      </w:r>
    </w:p>
    <w:p w14:paraId="7BA38917">
      <w:pPr>
        <w:pStyle w:val="47"/>
        <w:bidi w:val="0"/>
        <w:rPr>
          <w:rFonts w:hint="eastAsia"/>
          <w:lang w:val="en-US" w:eastAsia="zh-CN"/>
        </w:rPr>
      </w:pPr>
      <w:r>
        <w:rPr>
          <w:rFonts w:hint="eastAsia"/>
          <w:lang w:val="en-US" w:eastAsia="zh-CN"/>
        </w:rPr>
        <w:t>a颗粒物</w:t>
      </w:r>
    </w:p>
    <w:p w14:paraId="560B57D5">
      <w:pPr>
        <w:pStyle w:val="47"/>
        <w:bidi w:val="0"/>
        <w:rPr>
          <w:rFonts w:hint="eastAsia"/>
          <w:lang w:val="en-US" w:eastAsia="zh-CN"/>
        </w:rPr>
      </w:pPr>
      <w:r>
        <w:rPr>
          <w:rFonts w:hint="eastAsia"/>
          <w:lang w:val="en-US" w:eastAsia="zh-CN"/>
        </w:rPr>
        <w:t>根据《废塑料预处理行业环境影响评价中常见污染物源强估算及污染治理》（李飞，中国资源综合利用，2019年1月）挤出工序颗粒物产生量约为有机废气产生量20%-45%，</w:t>
      </w:r>
      <w:r>
        <w:rPr>
          <w:rFonts w:hint="default"/>
          <w:lang w:val="en-US" w:eastAsia="zh-CN"/>
        </w:rPr>
        <w:t>项目按照</w:t>
      </w:r>
      <w:r>
        <w:rPr>
          <w:rFonts w:hint="eastAsia"/>
          <w:lang w:val="en-US" w:eastAsia="zh-CN"/>
        </w:rPr>
        <w:t>最不利情况</w:t>
      </w:r>
      <w:r>
        <w:rPr>
          <w:rFonts w:hint="default"/>
          <w:lang w:val="en-US" w:eastAsia="zh-CN"/>
        </w:rPr>
        <w:t>45%考虑</w:t>
      </w:r>
      <w:r>
        <w:rPr>
          <w:rFonts w:hint="eastAsia"/>
          <w:lang w:val="en-US" w:eastAsia="zh-CN"/>
        </w:rPr>
        <w:t>，则挤出工序颗粒物产生量为10.4t/a。</w:t>
      </w:r>
    </w:p>
    <w:p w14:paraId="40B1BAF2">
      <w:pPr>
        <w:pStyle w:val="47"/>
        <w:bidi w:val="0"/>
        <w:rPr>
          <w:rFonts w:hint="eastAsia"/>
          <w:lang w:val="en-US" w:eastAsia="zh-CN"/>
        </w:rPr>
      </w:pPr>
      <w:r>
        <w:rPr>
          <w:rFonts w:hint="eastAsia"/>
          <w:lang w:val="en-US" w:eastAsia="zh-CN"/>
        </w:rPr>
        <w:t>b非甲烷总烃</w:t>
      </w:r>
    </w:p>
    <w:p w14:paraId="2D9F816D">
      <w:pPr>
        <w:pStyle w:val="47"/>
        <w:bidi w:val="0"/>
        <w:rPr>
          <w:rFonts w:hint="eastAsia"/>
          <w:lang w:val="en-US" w:eastAsia="zh-CN"/>
        </w:rPr>
      </w:pPr>
      <w:r>
        <w:rPr>
          <w:rFonts w:hint="eastAsia"/>
          <w:lang w:val="en-US" w:eastAsia="zh-CN"/>
        </w:rPr>
        <w:t>根据《排放源统计调查产排污核算方法和系数手册》中塑料制品行业系数手册——2929塑料零件及其他塑料制品制造行业系数表，挥发性有机物产生系数为4.6kg/吨-产品，1#生产车间</w:t>
      </w:r>
      <w:r>
        <w:rPr>
          <w:rFonts w:hint="default"/>
          <w:lang w:val="en-US" w:eastAsia="zh-CN"/>
        </w:rPr>
        <w:t>产能为</w:t>
      </w:r>
      <w:r>
        <w:rPr>
          <w:rFonts w:hint="eastAsia"/>
          <w:lang w:val="en-US" w:eastAsia="zh-CN"/>
        </w:rPr>
        <w:t>5</w:t>
      </w:r>
      <w:r>
        <w:rPr>
          <w:rFonts w:hint="default"/>
          <w:lang w:val="en-US" w:eastAsia="zh-CN"/>
        </w:rPr>
        <w:t>000t/a，</w:t>
      </w:r>
      <w:r>
        <w:rPr>
          <w:rFonts w:hint="eastAsia"/>
          <w:lang w:val="en-US" w:eastAsia="zh-CN"/>
        </w:rPr>
        <w:t>则挤出工序挥发性有机物（以非甲烷总烃计）产生量为23t/a。</w:t>
      </w:r>
    </w:p>
    <w:p w14:paraId="45570426">
      <w:pPr>
        <w:pStyle w:val="47"/>
        <w:bidi w:val="0"/>
        <w:rPr>
          <w:rFonts w:hint="eastAsia"/>
          <w:lang w:val="en-US" w:eastAsia="zh-CN"/>
        </w:rPr>
      </w:pPr>
      <w:r>
        <w:rPr>
          <w:rFonts w:hint="eastAsia"/>
          <w:lang w:val="en-US" w:eastAsia="zh-CN"/>
        </w:rPr>
        <w:t>c氯化氢</w:t>
      </w:r>
    </w:p>
    <w:p w14:paraId="2ACFB765">
      <w:pPr>
        <w:pStyle w:val="47"/>
        <w:bidi w:val="0"/>
        <w:rPr>
          <w:rFonts w:hint="eastAsia"/>
          <w:lang w:val="en-US" w:eastAsia="zh-CN"/>
        </w:rPr>
      </w:pPr>
      <w:r>
        <w:rPr>
          <w:rFonts w:hint="eastAsia"/>
          <w:lang w:val="en-US" w:eastAsia="zh-CN"/>
        </w:rPr>
        <w:t>参考我国《塑料加工手册》及美国国家环保局编写的《工业污染源调查与研究》等相关资料，1kg聚氯乙烯约产生3.2mg氯化氢，3#生产车间年消耗PVC原料约4667t，计算得到氯化氢产生量约0.015t/a。</w:t>
      </w:r>
    </w:p>
    <w:p w14:paraId="22C7D257">
      <w:pPr>
        <w:pStyle w:val="47"/>
        <w:bidi w:val="0"/>
        <w:rPr>
          <w:rFonts w:hint="default"/>
          <w:lang w:val="en-US" w:eastAsia="zh-CN"/>
        </w:rPr>
      </w:pPr>
      <w:r>
        <w:rPr>
          <w:rFonts w:hint="eastAsia"/>
          <w:lang w:val="en-US" w:eastAsia="zh-CN"/>
        </w:rPr>
        <w:t>d恶臭气体</w:t>
      </w:r>
    </w:p>
    <w:p w14:paraId="0AD69685">
      <w:pPr>
        <w:pStyle w:val="47"/>
        <w:bidi w:val="0"/>
        <w:rPr>
          <w:rFonts w:hint="eastAsia"/>
          <w:lang w:val="en-US" w:eastAsia="zh-CN"/>
        </w:rPr>
      </w:pPr>
      <w:r>
        <w:rPr>
          <w:rFonts w:hint="eastAsia"/>
          <w:lang w:val="en-US" w:eastAsia="zh-CN"/>
        </w:rPr>
        <w:t>项目的臭气主要来源于挤出工序产生的臭气浓度，由于臭气浓度污染量化，因此仅做定性分析。</w:t>
      </w:r>
    </w:p>
    <w:p w14:paraId="788368E0">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lang w:val="en-US" w:eastAsia="zh-CN"/>
        </w:rPr>
      </w:pPr>
      <w:r>
        <w:rPr>
          <w:rFonts w:hint="eastAsia"/>
          <w:lang w:val="en-US" w:eastAsia="zh-CN"/>
        </w:rPr>
        <w:t>3#生产车间废气排放情况详见下表3.4-3。</w:t>
      </w:r>
    </w:p>
    <w:p w14:paraId="57FE6C63">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lang w:val="en-US" w:eastAsia="zh-CN"/>
        </w:rPr>
      </w:pPr>
    </w:p>
    <w:p w14:paraId="69FF4AAC">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lang w:val="en-US" w:eastAsia="zh-CN"/>
        </w:rPr>
      </w:pPr>
    </w:p>
    <w:p w14:paraId="52DE4A7F">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lang w:val="en-US" w:eastAsia="zh-CN"/>
        </w:rPr>
      </w:pPr>
    </w:p>
    <w:p w14:paraId="3DD8C20D">
      <w:pPr>
        <w:pStyle w:val="94"/>
        <w:bidi w:val="0"/>
        <w:ind w:left="0" w:leftChars="0" w:firstLine="0" w:firstLineChars="0"/>
        <w:rPr>
          <w:rFonts w:hint="eastAsia"/>
          <w:lang w:val="en-US" w:eastAsia="zh-CN"/>
        </w:rPr>
      </w:pPr>
      <w:r>
        <w:rPr>
          <w:rFonts w:hint="eastAsia"/>
          <w:lang w:val="en-US" w:eastAsia="zh-CN"/>
        </w:rPr>
        <w:t>3#生产车间废气一览表</w:t>
      </w:r>
    </w:p>
    <w:tbl>
      <w:tblPr>
        <w:tblStyle w:val="3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722"/>
        <w:gridCol w:w="904"/>
        <w:gridCol w:w="936"/>
        <w:gridCol w:w="1371"/>
        <w:gridCol w:w="700"/>
        <w:gridCol w:w="695"/>
        <w:gridCol w:w="1404"/>
        <w:gridCol w:w="936"/>
        <w:gridCol w:w="1157"/>
      </w:tblGrid>
      <w:tr w14:paraId="630FD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5" w:type="pct"/>
            <w:vMerge w:val="restart"/>
            <w:vAlign w:val="center"/>
          </w:tcPr>
          <w:p w14:paraId="2F5697E3">
            <w:pPr>
              <w:pStyle w:val="55"/>
              <w:bidi w:val="0"/>
              <w:rPr>
                <w:rFonts w:hint="default"/>
                <w:sz w:val="24"/>
                <w:szCs w:val="24"/>
                <w:lang w:val="en-US" w:eastAsia="zh-CN"/>
              </w:rPr>
            </w:pPr>
            <w:r>
              <w:rPr>
                <w:rFonts w:hint="eastAsia"/>
                <w:sz w:val="24"/>
                <w:szCs w:val="24"/>
                <w:lang w:val="en-US" w:eastAsia="zh-CN"/>
              </w:rPr>
              <w:t>序号</w:t>
            </w:r>
          </w:p>
        </w:tc>
        <w:tc>
          <w:tcPr>
            <w:tcW w:w="389" w:type="pct"/>
            <w:vMerge w:val="restart"/>
            <w:vAlign w:val="center"/>
          </w:tcPr>
          <w:p w14:paraId="5A00EBD6">
            <w:pPr>
              <w:pStyle w:val="55"/>
              <w:bidi w:val="0"/>
              <w:rPr>
                <w:rFonts w:hint="default"/>
                <w:sz w:val="24"/>
                <w:szCs w:val="24"/>
                <w:lang w:val="en-US" w:eastAsia="zh-CN"/>
              </w:rPr>
            </w:pPr>
            <w:r>
              <w:rPr>
                <w:rFonts w:hint="eastAsia"/>
                <w:sz w:val="24"/>
                <w:szCs w:val="24"/>
                <w:lang w:val="en-US" w:eastAsia="zh-CN"/>
              </w:rPr>
              <w:t>工序</w:t>
            </w:r>
          </w:p>
        </w:tc>
        <w:tc>
          <w:tcPr>
            <w:tcW w:w="487" w:type="pct"/>
            <w:vMerge w:val="restart"/>
            <w:vAlign w:val="center"/>
          </w:tcPr>
          <w:p w14:paraId="2E07B94A">
            <w:pPr>
              <w:pStyle w:val="55"/>
              <w:bidi w:val="0"/>
              <w:rPr>
                <w:rFonts w:hint="default"/>
                <w:sz w:val="24"/>
                <w:szCs w:val="24"/>
                <w:lang w:val="en-US" w:eastAsia="zh-CN"/>
              </w:rPr>
            </w:pPr>
            <w:r>
              <w:rPr>
                <w:rFonts w:hint="eastAsia"/>
                <w:sz w:val="24"/>
                <w:szCs w:val="24"/>
                <w:lang w:val="en-US" w:eastAsia="zh-CN"/>
              </w:rPr>
              <w:t>污染物</w:t>
            </w:r>
          </w:p>
        </w:tc>
        <w:tc>
          <w:tcPr>
            <w:tcW w:w="1993" w:type="pct"/>
            <w:gridSpan w:val="4"/>
            <w:vAlign w:val="center"/>
          </w:tcPr>
          <w:p w14:paraId="7804CBE7">
            <w:pPr>
              <w:pStyle w:val="55"/>
              <w:bidi w:val="0"/>
              <w:rPr>
                <w:rFonts w:hint="eastAsia"/>
                <w:sz w:val="24"/>
                <w:szCs w:val="24"/>
                <w:lang w:val="en-US" w:eastAsia="zh-CN"/>
              </w:rPr>
            </w:pPr>
            <w:r>
              <w:rPr>
                <w:rFonts w:hint="eastAsia"/>
                <w:sz w:val="24"/>
                <w:szCs w:val="24"/>
                <w:lang w:val="en-US" w:eastAsia="zh-CN"/>
              </w:rPr>
              <w:t>产生情况</w:t>
            </w:r>
          </w:p>
        </w:tc>
        <w:tc>
          <w:tcPr>
            <w:tcW w:w="756" w:type="pct"/>
            <w:vMerge w:val="restart"/>
            <w:vAlign w:val="center"/>
          </w:tcPr>
          <w:p w14:paraId="4A16F2A8">
            <w:pPr>
              <w:pStyle w:val="55"/>
              <w:bidi w:val="0"/>
              <w:rPr>
                <w:rFonts w:hint="default"/>
                <w:sz w:val="24"/>
                <w:szCs w:val="24"/>
                <w:lang w:val="en-US" w:eastAsia="zh-CN"/>
              </w:rPr>
            </w:pPr>
            <w:r>
              <w:rPr>
                <w:rFonts w:hint="eastAsia"/>
                <w:sz w:val="24"/>
                <w:szCs w:val="24"/>
                <w:lang w:val="en-US" w:eastAsia="zh-CN"/>
              </w:rPr>
              <w:t>环保设施</w:t>
            </w:r>
          </w:p>
        </w:tc>
        <w:tc>
          <w:tcPr>
            <w:tcW w:w="1127" w:type="pct"/>
            <w:gridSpan w:val="2"/>
            <w:vAlign w:val="center"/>
          </w:tcPr>
          <w:p w14:paraId="566844B4">
            <w:pPr>
              <w:pStyle w:val="55"/>
              <w:bidi w:val="0"/>
              <w:rPr>
                <w:rFonts w:hint="eastAsia"/>
                <w:sz w:val="24"/>
                <w:szCs w:val="24"/>
                <w:lang w:val="en-US" w:eastAsia="zh-CN"/>
              </w:rPr>
            </w:pPr>
            <w:r>
              <w:rPr>
                <w:rFonts w:hint="eastAsia"/>
                <w:sz w:val="24"/>
                <w:szCs w:val="24"/>
                <w:lang w:val="en-US" w:eastAsia="zh-CN"/>
              </w:rPr>
              <w:t>排放情况</w:t>
            </w:r>
          </w:p>
        </w:tc>
      </w:tr>
      <w:tr w14:paraId="49A13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5" w:type="pct"/>
            <w:vMerge w:val="continue"/>
            <w:vAlign w:val="center"/>
          </w:tcPr>
          <w:p w14:paraId="640EE115">
            <w:pPr>
              <w:pStyle w:val="55"/>
              <w:bidi w:val="0"/>
              <w:rPr>
                <w:rFonts w:hint="eastAsia"/>
                <w:sz w:val="24"/>
                <w:szCs w:val="24"/>
                <w:lang w:val="en-US" w:eastAsia="zh-CN"/>
              </w:rPr>
            </w:pPr>
          </w:p>
        </w:tc>
        <w:tc>
          <w:tcPr>
            <w:tcW w:w="389" w:type="pct"/>
            <w:vMerge w:val="continue"/>
            <w:vAlign w:val="center"/>
          </w:tcPr>
          <w:p w14:paraId="656955E4">
            <w:pPr>
              <w:pStyle w:val="55"/>
              <w:bidi w:val="0"/>
              <w:rPr>
                <w:rFonts w:hint="eastAsia"/>
                <w:sz w:val="24"/>
                <w:szCs w:val="24"/>
                <w:lang w:val="en-US" w:eastAsia="zh-CN"/>
              </w:rPr>
            </w:pPr>
          </w:p>
        </w:tc>
        <w:tc>
          <w:tcPr>
            <w:tcW w:w="487" w:type="pct"/>
            <w:vMerge w:val="continue"/>
            <w:vAlign w:val="center"/>
          </w:tcPr>
          <w:p w14:paraId="72ADF335">
            <w:pPr>
              <w:pStyle w:val="55"/>
              <w:bidi w:val="0"/>
              <w:rPr>
                <w:rFonts w:hint="eastAsia"/>
                <w:sz w:val="24"/>
                <w:szCs w:val="24"/>
                <w:lang w:val="en-US" w:eastAsia="zh-CN"/>
              </w:rPr>
            </w:pPr>
          </w:p>
        </w:tc>
        <w:tc>
          <w:tcPr>
            <w:tcW w:w="504" w:type="pct"/>
            <w:vAlign w:val="center"/>
          </w:tcPr>
          <w:p w14:paraId="4492ECC0">
            <w:pPr>
              <w:pStyle w:val="55"/>
              <w:bidi w:val="0"/>
              <w:rPr>
                <w:rFonts w:hint="default"/>
                <w:sz w:val="24"/>
                <w:szCs w:val="24"/>
                <w:lang w:val="en-US" w:eastAsia="zh-CN"/>
              </w:rPr>
            </w:pPr>
            <w:r>
              <w:rPr>
                <w:rFonts w:hint="eastAsia"/>
                <w:sz w:val="24"/>
                <w:szCs w:val="24"/>
                <w:lang w:val="en-US" w:eastAsia="zh-CN"/>
              </w:rPr>
              <w:t>产生量（t/a）</w:t>
            </w:r>
          </w:p>
        </w:tc>
        <w:tc>
          <w:tcPr>
            <w:tcW w:w="738" w:type="pct"/>
            <w:tcBorders>
              <w:right w:val="single" w:color="000000" w:sz="4" w:space="0"/>
            </w:tcBorders>
            <w:vAlign w:val="center"/>
          </w:tcPr>
          <w:p w14:paraId="04A8681A">
            <w:pPr>
              <w:pStyle w:val="55"/>
              <w:bidi w:val="0"/>
              <w:rPr>
                <w:rFonts w:hint="default"/>
                <w:sz w:val="24"/>
                <w:szCs w:val="24"/>
                <w:lang w:val="en-US" w:eastAsia="zh-CN"/>
              </w:rPr>
            </w:pPr>
            <w:r>
              <w:rPr>
                <w:rFonts w:hint="eastAsia"/>
                <w:sz w:val="24"/>
                <w:szCs w:val="24"/>
                <w:lang w:val="en-US" w:eastAsia="zh-CN"/>
              </w:rPr>
              <w:t>产生浓度（mg/m</w:t>
            </w:r>
            <w:r>
              <w:rPr>
                <w:rFonts w:hint="eastAsia"/>
                <w:sz w:val="24"/>
                <w:szCs w:val="24"/>
                <w:vertAlign w:val="superscript"/>
                <w:lang w:val="en-US" w:eastAsia="zh-CN"/>
              </w:rPr>
              <w:t>3</w:t>
            </w:r>
            <w:r>
              <w:rPr>
                <w:rFonts w:hint="eastAsia"/>
                <w:sz w:val="24"/>
                <w:szCs w:val="24"/>
                <w:lang w:val="en-US" w:eastAsia="zh-CN"/>
              </w:rPr>
              <w:t>）</w:t>
            </w:r>
          </w:p>
        </w:tc>
        <w:tc>
          <w:tcPr>
            <w:tcW w:w="377" w:type="pct"/>
            <w:tcBorders>
              <w:left w:val="single" w:color="000000" w:sz="4" w:space="0"/>
              <w:right w:val="single" w:color="000000" w:sz="4" w:space="0"/>
            </w:tcBorders>
            <w:vAlign w:val="center"/>
          </w:tcPr>
          <w:p w14:paraId="5915E3BE">
            <w:pPr>
              <w:pStyle w:val="55"/>
              <w:bidi w:val="0"/>
              <w:rPr>
                <w:rFonts w:hint="default"/>
                <w:sz w:val="24"/>
                <w:szCs w:val="24"/>
                <w:lang w:val="en-US" w:eastAsia="zh-CN"/>
              </w:rPr>
            </w:pPr>
            <w:r>
              <w:rPr>
                <w:rFonts w:hint="eastAsia"/>
                <w:sz w:val="24"/>
                <w:szCs w:val="24"/>
                <w:lang w:val="en-US" w:eastAsia="zh-CN"/>
              </w:rPr>
              <w:t>收集效率</w:t>
            </w:r>
          </w:p>
        </w:tc>
        <w:tc>
          <w:tcPr>
            <w:tcW w:w="373" w:type="pct"/>
            <w:tcBorders>
              <w:left w:val="single" w:color="000000" w:sz="4" w:space="0"/>
            </w:tcBorders>
            <w:vAlign w:val="center"/>
          </w:tcPr>
          <w:p w14:paraId="4C117EFC">
            <w:pPr>
              <w:pStyle w:val="55"/>
              <w:bidi w:val="0"/>
              <w:rPr>
                <w:rFonts w:hint="default"/>
                <w:sz w:val="24"/>
                <w:szCs w:val="24"/>
                <w:lang w:val="en-US" w:eastAsia="zh-CN"/>
              </w:rPr>
            </w:pPr>
            <w:r>
              <w:rPr>
                <w:rFonts w:hint="eastAsia"/>
                <w:sz w:val="24"/>
                <w:szCs w:val="24"/>
                <w:lang w:val="en-US" w:eastAsia="zh-CN"/>
              </w:rPr>
              <w:t>去除效率</w:t>
            </w:r>
          </w:p>
        </w:tc>
        <w:tc>
          <w:tcPr>
            <w:tcW w:w="756" w:type="pct"/>
            <w:vMerge w:val="continue"/>
            <w:vAlign w:val="center"/>
          </w:tcPr>
          <w:p w14:paraId="0AB13116">
            <w:pPr>
              <w:pStyle w:val="55"/>
              <w:bidi w:val="0"/>
              <w:rPr>
                <w:rFonts w:hint="default"/>
                <w:sz w:val="24"/>
                <w:szCs w:val="24"/>
                <w:lang w:val="en-US" w:eastAsia="zh-CN"/>
              </w:rPr>
            </w:pPr>
          </w:p>
        </w:tc>
        <w:tc>
          <w:tcPr>
            <w:tcW w:w="504" w:type="pct"/>
            <w:vAlign w:val="center"/>
          </w:tcPr>
          <w:p w14:paraId="7B5C83A1">
            <w:pPr>
              <w:pStyle w:val="55"/>
              <w:bidi w:val="0"/>
              <w:rPr>
                <w:rFonts w:hint="default"/>
                <w:sz w:val="24"/>
                <w:szCs w:val="24"/>
                <w:lang w:val="en-US" w:eastAsia="zh-CN"/>
              </w:rPr>
            </w:pPr>
            <w:r>
              <w:rPr>
                <w:rFonts w:hint="eastAsia"/>
                <w:sz w:val="24"/>
                <w:szCs w:val="24"/>
                <w:lang w:val="en-US" w:eastAsia="zh-CN"/>
              </w:rPr>
              <w:t>排放量（t/a）</w:t>
            </w:r>
          </w:p>
        </w:tc>
        <w:tc>
          <w:tcPr>
            <w:tcW w:w="623" w:type="pct"/>
            <w:vAlign w:val="center"/>
          </w:tcPr>
          <w:p w14:paraId="79C36D80">
            <w:pPr>
              <w:pStyle w:val="55"/>
              <w:bidi w:val="0"/>
              <w:rPr>
                <w:rFonts w:hint="default"/>
                <w:sz w:val="24"/>
                <w:szCs w:val="24"/>
                <w:lang w:val="en-US" w:eastAsia="zh-CN"/>
              </w:rPr>
            </w:pPr>
            <w:r>
              <w:rPr>
                <w:rFonts w:hint="eastAsia"/>
                <w:sz w:val="24"/>
                <w:szCs w:val="24"/>
                <w:lang w:val="en-US" w:eastAsia="zh-CN"/>
              </w:rPr>
              <w:t>排放浓度</w:t>
            </w:r>
            <w:r>
              <w:rPr>
                <w:rFonts w:hint="eastAsia"/>
                <w:spacing w:val="-20"/>
                <w:sz w:val="24"/>
                <w:szCs w:val="24"/>
                <w:lang w:val="en-US" w:eastAsia="zh-CN"/>
              </w:rPr>
              <w:t>（mg/m</w:t>
            </w:r>
            <w:r>
              <w:rPr>
                <w:rFonts w:hint="eastAsia"/>
                <w:spacing w:val="-20"/>
                <w:sz w:val="24"/>
                <w:szCs w:val="24"/>
                <w:vertAlign w:val="superscript"/>
                <w:lang w:val="en-US" w:eastAsia="zh-CN"/>
              </w:rPr>
              <w:t>3</w:t>
            </w:r>
            <w:r>
              <w:rPr>
                <w:rFonts w:hint="eastAsia"/>
                <w:spacing w:val="-20"/>
                <w:sz w:val="24"/>
                <w:szCs w:val="24"/>
                <w:lang w:val="en-US" w:eastAsia="zh-CN"/>
              </w:rPr>
              <w:t>）</w:t>
            </w:r>
          </w:p>
        </w:tc>
      </w:tr>
      <w:tr w14:paraId="05906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5" w:type="pct"/>
            <w:vAlign w:val="center"/>
          </w:tcPr>
          <w:p w14:paraId="0741286C">
            <w:pPr>
              <w:pStyle w:val="55"/>
              <w:bidi w:val="0"/>
              <w:rPr>
                <w:rFonts w:hint="default"/>
                <w:sz w:val="24"/>
                <w:szCs w:val="24"/>
                <w:lang w:val="en-US" w:eastAsia="zh-CN"/>
              </w:rPr>
            </w:pPr>
            <w:r>
              <w:rPr>
                <w:rFonts w:hint="eastAsia"/>
                <w:sz w:val="24"/>
                <w:szCs w:val="24"/>
                <w:lang w:val="en-US" w:eastAsia="zh-CN"/>
              </w:rPr>
              <w:t>1</w:t>
            </w:r>
          </w:p>
        </w:tc>
        <w:tc>
          <w:tcPr>
            <w:tcW w:w="389" w:type="pct"/>
            <w:vAlign w:val="center"/>
          </w:tcPr>
          <w:p w14:paraId="586D2D01">
            <w:pPr>
              <w:pStyle w:val="55"/>
              <w:bidi w:val="0"/>
              <w:rPr>
                <w:rFonts w:hint="default"/>
                <w:sz w:val="24"/>
                <w:szCs w:val="24"/>
                <w:lang w:val="en-US" w:eastAsia="zh-CN"/>
              </w:rPr>
            </w:pPr>
            <w:r>
              <w:rPr>
                <w:rFonts w:hint="eastAsia"/>
                <w:sz w:val="24"/>
                <w:szCs w:val="24"/>
                <w:lang w:val="en-US" w:eastAsia="zh-CN"/>
              </w:rPr>
              <w:t>投料搅拌</w:t>
            </w:r>
            <w:r>
              <w:rPr>
                <w:rFonts w:hint="default"/>
                <w:sz w:val="24"/>
                <w:szCs w:val="24"/>
                <w:lang w:val="en-US" w:eastAsia="zh-CN"/>
              </w:rPr>
              <w:t>工序</w:t>
            </w:r>
          </w:p>
        </w:tc>
        <w:tc>
          <w:tcPr>
            <w:tcW w:w="487" w:type="pct"/>
            <w:vAlign w:val="center"/>
          </w:tcPr>
          <w:p w14:paraId="7DC411FE">
            <w:pPr>
              <w:pStyle w:val="55"/>
              <w:bidi w:val="0"/>
              <w:rPr>
                <w:rFonts w:hint="default"/>
                <w:sz w:val="24"/>
                <w:szCs w:val="24"/>
                <w:lang w:val="en-US" w:eastAsia="zh-CN"/>
              </w:rPr>
            </w:pPr>
            <w:r>
              <w:rPr>
                <w:rFonts w:hint="eastAsia"/>
                <w:sz w:val="24"/>
                <w:szCs w:val="24"/>
                <w:lang w:val="en-US" w:eastAsia="zh-CN"/>
              </w:rPr>
              <w:t>颗粒物</w:t>
            </w:r>
          </w:p>
        </w:tc>
        <w:tc>
          <w:tcPr>
            <w:tcW w:w="504" w:type="pct"/>
            <w:vAlign w:val="center"/>
          </w:tcPr>
          <w:p w14:paraId="1A5D7E1D">
            <w:pPr>
              <w:pStyle w:val="55"/>
              <w:bidi w:val="0"/>
              <w:rPr>
                <w:rFonts w:hint="default" w:ascii="Times New Roman" w:hAnsi="Times New Roman"/>
                <w:sz w:val="24"/>
                <w:szCs w:val="24"/>
                <w:lang w:val="en-US" w:eastAsia="zh-CN"/>
              </w:rPr>
            </w:pPr>
            <w:r>
              <w:rPr>
                <w:rFonts w:hint="eastAsia" w:ascii="Times New Roman" w:hAnsi="Times New Roman"/>
                <w:sz w:val="24"/>
                <w:szCs w:val="24"/>
                <w:lang w:val="en-US" w:eastAsia="zh-CN"/>
              </w:rPr>
              <w:t>12.5</w:t>
            </w:r>
          </w:p>
        </w:tc>
        <w:tc>
          <w:tcPr>
            <w:tcW w:w="738" w:type="pct"/>
            <w:tcBorders>
              <w:right w:val="single" w:color="000000" w:sz="4" w:space="0"/>
            </w:tcBorders>
            <w:vAlign w:val="center"/>
          </w:tcPr>
          <w:p w14:paraId="0B957288">
            <w:pPr>
              <w:pStyle w:val="55"/>
              <w:bidi w:val="0"/>
              <w:rPr>
                <w:rFonts w:hint="default" w:ascii="Times New Roman" w:hAnsi="Times New Roman"/>
                <w:sz w:val="24"/>
                <w:szCs w:val="24"/>
                <w:lang w:val="en-US" w:eastAsia="zh-CN"/>
              </w:rPr>
            </w:pPr>
            <w:r>
              <w:rPr>
                <w:rFonts w:hint="eastAsia" w:ascii="Times New Roman" w:hAnsi="Times New Roman"/>
                <w:sz w:val="24"/>
                <w:szCs w:val="24"/>
                <w:lang w:val="en-US" w:eastAsia="zh-CN"/>
              </w:rPr>
              <w:t>57.9</w:t>
            </w:r>
          </w:p>
        </w:tc>
        <w:tc>
          <w:tcPr>
            <w:tcW w:w="377" w:type="pct"/>
            <w:vMerge w:val="restart"/>
            <w:tcBorders>
              <w:left w:val="single" w:color="000000" w:sz="4" w:space="0"/>
              <w:right w:val="single" w:color="000000" w:sz="4" w:space="0"/>
            </w:tcBorders>
            <w:vAlign w:val="center"/>
          </w:tcPr>
          <w:p w14:paraId="2102E64F">
            <w:pPr>
              <w:pStyle w:val="55"/>
              <w:bidi w:val="0"/>
              <w:rPr>
                <w:rFonts w:hint="eastAsia"/>
                <w:sz w:val="24"/>
                <w:szCs w:val="24"/>
                <w:lang w:val="en-US" w:eastAsia="zh-CN"/>
              </w:rPr>
            </w:pPr>
            <w:r>
              <w:rPr>
                <w:rFonts w:hint="eastAsia"/>
                <w:sz w:val="24"/>
                <w:szCs w:val="24"/>
                <w:lang w:val="en-US" w:eastAsia="zh-CN"/>
              </w:rPr>
              <w:t>99%</w:t>
            </w:r>
          </w:p>
        </w:tc>
        <w:tc>
          <w:tcPr>
            <w:tcW w:w="373" w:type="pct"/>
            <w:vMerge w:val="restart"/>
            <w:tcBorders>
              <w:left w:val="single" w:color="000000" w:sz="4" w:space="0"/>
            </w:tcBorders>
            <w:vAlign w:val="center"/>
          </w:tcPr>
          <w:p w14:paraId="332DE894">
            <w:pPr>
              <w:pStyle w:val="55"/>
              <w:bidi w:val="0"/>
              <w:rPr>
                <w:rFonts w:hint="eastAsia"/>
                <w:sz w:val="24"/>
                <w:szCs w:val="24"/>
                <w:lang w:val="en-US" w:eastAsia="zh-CN"/>
              </w:rPr>
            </w:pPr>
            <w:r>
              <w:rPr>
                <w:rFonts w:hint="eastAsia"/>
                <w:sz w:val="24"/>
                <w:szCs w:val="24"/>
                <w:lang w:val="en-US" w:eastAsia="zh-CN"/>
              </w:rPr>
              <w:t>97%</w:t>
            </w:r>
          </w:p>
        </w:tc>
        <w:tc>
          <w:tcPr>
            <w:tcW w:w="756" w:type="pct"/>
            <w:vMerge w:val="restart"/>
            <w:vAlign w:val="center"/>
          </w:tcPr>
          <w:p w14:paraId="33439BB2">
            <w:pPr>
              <w:pStyle w:val="55"/>
              <w:bidi w:val="0"/>
              <w:rPr>
                <w:rFonts w:hint="default"/>
                <w:sz w:val="24"/>
                <w:szCs w:val="24"/>
                <w:lang w:val="en-US" w:eastAsia="zh-CN"/>
              </w:rPr>
            </w:pPr>
            <w:r>
              <w:rPr>
                <w:rFonts w:hint="eastAsia"/>
                <w:sz w:val="24"/>
                <w:szCs w:val="24"/>
                <w:lang w:val="en-US" w:eastAsia="zh-CN"/>
              </w:rPr>
              <w:t>经集气罩收集，引入“布袋除尘器+两级活性炭吸附装置”处理后，由15m高排气筒（DA001）排放</w:t>
            </w:r>
          </w:p>
        </w:tc>
        <w:tc>
          <w:tcPr>
            <w:tcW w:w="504" w:type="pct"/>
            <w:vMerge w:val="restart"/>
            <w:vAlign w:val="center"/>
          </w:tcPr>
          <w:p w14:paraId="1F714F42">
            <w:pPr>
              <w:pStyle w:val="55"/>
              <w:bidi w:val="0"/>
              <w:rPr>
                <w:rFonts w:hint="default" w:ascii="Times New Roman" w:hAnsi="Times New Roman"/>
                <w:lang w:val="en-US" w:eastAsia="zh-CN"/>
              </w:rPr>
            </w:pPr>
            <w:r>
              <w:rPr>
                <w:rFonts w:hint="eastAsia" w:ascii="Times New Roman" w:hAnsi="Times New Roman"/>
                <w:lang w:val="en-US" w:eastAsia="zh-CN"/>
              </w:rPr>
              <w:t>0.679</w:t>
            </w:r>
          </w:p>
        </w:tc>
        <w:tc>
          <w:tcPr>
            <w:tcW w:w="623" w:type="pct"/>
            <w:vMerge w:val="restart"/>
            <w:vAlign w:val="center"/>
          </w:tcPr>
          <w:p w14:paraId="4A52FE4C">
            <w:pPr>
              <w:pStyle w:val="55"/>
              <w:bidi w:val="0"/>
              <w:rPr>
                <w:rFonts w:hint="default" w:ascii="Times New Roman" w:hAnsi="Times New Roman"/>
                <w:lang w:val="en-US" w:eastAsia="zh-CN"/>
              </w:rPr>
            </w:pPr>
            <w:r>
              <w:rPr>
                <w:rFonts w:hint="eastAsia" w:ascii="Times New Roman" w:hAnsi="Times New Roman"/>
                <w:lang w:val="en-US" w:eastAsia="zh-CN"/>
              </w:rPr>
              <w:t>3.1</w:t>
            </w:r>
            <w:r>
              <w:rPr>
                <w:rFonts w:hint="eastAsia"/>
                <w:lang w:val="en-US" w:eastAsia="zh-CN"/>
              </w:rPr>
              <w:t>42</w:t>
            </w:r>
          </w:p>
        </w:tc>
      </w:tr>
      <w:tr w14:paraId="55508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5" w:type="pct"/>
            <w:vMerge w:val="restart"/>
            <w:vAlign w:val="center"/>
          </w:tcPr>
          <w:p w14:paraId="26048718">
            <w:pPr>
              <w:pStyle w:val="55"/>
              <w:bidi w:val="0"/>
              <w:rPr>
                <w:rFonts w:hint="default"/>
                <w:sz w:val="24"/>
                <w:szCs w:val="24"/>
                <w:lang w:val="en-US" w:eastAsia="zh-CN"/>
              </w:rPr>
            </w:pPr>
            <w:r>
              <w:rPr>
                <w:rFonts w:hint="eastAsia"/>
                <w:sz w:val="24"/>
                <w:szCs w:val="24"/>
                <w:lang w:val="en-US" w:eastAsia="zh-CN"/>
              </w:rPr>
              <w:t>2</w:t>
            </w:r>
          </w:p>
        </w:tc>
        <w:tc>
          <w:tcPr>
            <w:tcW w:w="389" w:type="pct"/>
            <w:vMerge w:val="restart"/>
            <w:vAlign w:val="center"/>
          </w:tcPr>
          <w:p w14:paraId="32671574">
            <w:pPr>
              <w:pStyle w:val="55"/>
              <w:bidi w:val="0"/>
              <w:rPr>
                <w:rFonts w:hint="default"/>
                <w:sz w:val="24"/>
                <w:szCs w:val="24"/>
                <w:lang w:val="en-US" w:eastAsia="zh-CN"/>
              </w:rPr>
            </w:pPr>
            <w:r>
              <w:rPr>
                <w:rFonts w:hint="default"/>
                <w:sz w:val="24"/>
                <w:szCs w:val="24"/>
                <w:lang w:val="en-US" w:eastAsia="zh-CN"/>
              </w:rPr>
              <w:t>挤出工序</w:t>
            </w:r>
          </w:p>
        </w:tc>
        <w:tc>
          <w:tcPr>
            <w:tcW w:w="487" w:type="pct"/>
            <w:vAlign w:val="center"/>
          </w:tcPr>
          <w:p w14:paraId="60D86FF7">
            <w:pPr>
              <w:pStyle w:val="55"/>
              <w:bidi w:val="0"/>
              <w:rPr>
                <w:rFonts w:hint="default"/>
                <w:sz w:val="24"/>
                <w:szCs w:val="24"/>
                <w:lang w:val="en-US" w:eastAsia="zh-CN"/>
              </w:rPr>
            </w:pPr>
            <w:r>
              <w:rPr>
                <w:rFonts w:hint="default"/>
                <w:sz w:val="24"/>
                <w:szCs w:val="24"/>
                <w:lang w:val="en-US" w:eastAsia="zh-CN"/>
              </w:rPr>
              <w:t>颗粒物</w:t>
            </w:r>
          </w:p>
        </w:tc>
        <w:tc>
          <w:tcPr>
            <w:tcW w:w="504" w:type="pct"/>
            <w:vAlign w:val="center"/>
          </w:tcPr>
          <w:p w14:paraId="5110B546">
            <w:pPr>
              <w:pStyle w:val="55"/>
              <w:bidi w:val="0"/>
              <w:rPr>
                <w:rFonts w:hint="default" w:ascii="Times New Roman" w:hAnsi="Times New Roman"/>
                <w:sz w:val="24"/>
                <w:szCs w:val="24"/>
                <w:lang w:val="en-US" w:eastAsia="zh-CN"/>
              </w:rPr>
            </w:pPr>
            <w:r>
              <w:rPr>
                <w:rFonts w:hint="eastAsia" w:ascii="Times New Roman" w:hAnsi="Times New Roman"/>
                <w:sz w:val="24"/>
                <w:szCs w:val="24"/>
                <w:lang w:val="en-US" w:eastAsia="zh-CN"/>
              </w:rPr>
              <w:t>10.4</w:t>
            </w:r>
          </w:p>
        </w:tc>
        <w:tc>
          <w:tcPr>
            <w:tcW w:w="738" w:type="pct"/>
            <w:tcBorders>
              <w:right w:val="single" w:color="000000" w:sz="4" w:space="0"/>
            </w:tcBorders>
            <w:vAlign w:val="center"/>
          </w:tcPr>
          <w:p w14:paraId="4AC3FE97">
            <w:pPr>
              <w:pStyle w:val="55"/>
              <w:bidi w:val="0"/>
              <w:rPr>
                <w:rFonts w:hint="default" w:ascii="Times New Roman" w:hAnsi="Times New Roman"/>
                <w:sz w:val="24"/>
                <w:szCs w:val="24"/>
                <w:lang w:val="en-US" w:eastAsia="zh-CN"/>
              </w:rPr>
            </w:pPr>
            <w:r>
              <w:rPr>
                <w:rFonts w:hint="eastAsia" w:ascii="Times New Roman" w:hAnsi="Times New Roman"/>
                <w:sz w:val="24"/>
                <w:szCs w:val="24"/>
                <w:lang w:val="en-US" w:eastAsia="zh-CN"/>
              </w:rPr>
              <w:t>47.9</w:t>
            </w:r>
          </w:p>
        </w:tc>
        <w:tc>
          <w:tcPr>
            <w:tcW w:w="377" w:type="pct"/>
            <w:vMerge w:val="continue"/>
            <w:tcBorders>
              <w:left w:val="single" w:color="000000" w:sz="4" w:space="0"/>
              <w:right w:val="single" w:color="000000" w:sz="4" w:space="0"/>
            </w:tcBorders>
            <w:vAlign w:val="center"/>
          </w:tcPr>
          <w:p w14:paraId="41969264">
            <w:pPr>
              <w:pStyle w:val="55"/>
              <w:bidi w:val="0"/>
              <w:rPr>
                <w:rFonts w:hint="eastAsia"/>
                <w:sz w:val="24"/>
                <w:szCs w:val="24"/>
                <w:lang w:val="en-US" w:eastAsia="zh-CN"/>
              </w:rPr>
            </w:pPr>
          </w:p>
        </w:tc>
        <w:tc>
          <w:tcPr>
            <w:tcW w:w="373" w:type="pct"/>
            <w:vMerge w:val="continue"/>
            <w:tcBorders>
              <w:left w:val="single" w:color="000000" w:sz="4" w:space="0"/>
            </w:tcBorders>
            <w:vAlign w:val="center"/>
          </w:tcPr>
          <w:p w14:paraId="1B3A598E">
            <w:pPr>
              <w:pStyle w:val="55"/>
              <w:bidi w:val="0"/>
              <w:rPr>
                <w:rFonts w:hint="eastAsia"/>
                <w:sz w:val="24"/>
                <w:szCs w:val="24"/>
                <w:lang w:val="en-US" w:eastAsia="zh-CN"/>
              </w:rPr>
            </w:pPr>
          </w:p>
        </w:tc>
        <w:tc>
          <w:tcPr>
            <w:tcW w:w="756" w:type="pct"/>
            <w:vMerge w:val="continue"/>
            <w:vAlign w:val="center"/>
          </w:tcPr>
          <w:p w14:paraId="69CE2250">
            <w:pPr>
              <w:pStyle w:val="55"/>
              <w:bidi w:val="0"/>
              <w:rPr>
                <w:rFonts w:hint="default"/>
                <w:sz w:val="24"/>
                <w:szCs w:val="24"/>
                <w:lang w:val="en-US" w:eastAsia="zh-CN"/>
              </w:rPr>
            </w:pPr>
          </w:p>
        </w:tc>
        <w:tc>
          <w:tcPr>
            <w:tcW w:w="504" w:type="pct"/>
            <w:vMerge w:val="continue"/>
            <w:vAlign w:val="center"/>
          </w:tcPr>
          <w:p w14:paraId="13D6877B">
            <w:pPr>
              <w:pStyle w:val="55"/>
              <w:bidi w:val="0"/>
              <w:rPr>
                <w:rFonts w:hint="default"/>
                <w:sz w:val="24"/>
                <w:szCs w:val="24"/>
                <w:lang w:val="en-US" w:eastAsia="zh-CN"/>
              </w:rPr>
            </w:pPr>
          </w:p>
        </w:tc>
        <w:tc>
          <w:tcPr>
            <w:tcW w:w="623" w:type="pct"/>
            <w:vMerge w:val="continue"/>
            <w:vAlign w:val="center"/>
          </w:tcPr>
          <w:p w14:paraId="2A6372B6">
            <w:pPr>
              <w:pStyle w:val="55"/>
              <w:bidi w:val="0"/>
              <w:rPr>
                <w:rFonts w:hint="default"/>
                <w:sz w:val="24"/>
                <w:szCs w:val="24"/>
                <w:lang w:val="en-US" w:eastAsia="zh-CN"/>
              </w:rPr>
            </w:pPr>
          </w:p>
        </w:tc>
      </w:tr>
      <w:tr w14:paraId="43F10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245" w:type="pct"/>
            <w:vMerge w:val="continue"/>
            <w:vAlign w:val="center"/>
          </w:tcPr>
          <w:p w14:paraId="276C7C89">
            <w:pPr>
              <w:pStyle w:val="55"/>
              <w:bidi w:val="0"/>
              <w:rPr>
                <w:rFonts w:hint="eastAsia"/>
                <w:sz w:val="24"/>
                <w:szCs w:val="24"/>
                <w:lang w:val="en-US" w:eastAsia="zh-CN"/>
              </w:rPr>
            </w:pPr>
          </w:p>
        </w:tc>
        <w:tc>
          <w:tcPr>
            <w:tcW w:w="389" w:type="pct"/>
            <w:vMerge w:val="continue"/>
            <w:vAlign w:val="center"/>
          </w:tcPr>
          <w:p w14:paraId="4EA61552">
            <w:pPr>
              <w:pStyle w:val="55"/>
              <w:bidi w:val="0"/>
              <w:rPr>
                <w:rFonts w:hint="default"/>
                <w:sz w:val="24"/>
                <w:szCs w:val="24"/>
                <w:lang w:val="en-US" w:eastAsia="zh-CN"/>
              </w:rPr>
            </w:pPr>
          </w:p>
        </w:tc>
        <w:tc>
          <w:tcPr>
            <w:tcW w:w="487" w:type="pct"/>
            <w:vAlign w:val="center"/>
          </w:tcPr>
          <w:p w14:paraId="648986B7">
            <w:pPr>
              <w:pStyle w:val="55"/>
              <w:bidi w:val="0"/>
              <w:rPr>
                <w:rFonts w:hint="default"/>
                <w:sz w:val="24"/>
                <w:szCs w:val="24"/>
                <w:lang w:val="en-US" w:eastAsia="zh-CN"/>
              </w:rPr>
            </w:pPr>
            <w:r>
              <w:rPr>
                <w:rFonts w:hint="eastAsia"/>
                <w:sz w:val="24"/>
                <w:szCs w:val="24"/>
                <w:lang w:val="en-US" w:eastAsia="zh-CN"/>
              </w:rPr>
              <w:t>非甲烷总烃</w:t>
            </w:r>
          </w:p>
        </w:tc>
        <w:tc>
          <w:tcPr>
            <w:tcW w:w="504" w:type="pct"/>
            <w:vAlign w:val="center"/>
          </w:tcPr>
          <w:p w14:paraId="390CA6B1">
            <w:pPr>
              <w:pStyle w:val="55"/>
              <w:bidi w:val="0"/>
              <w:rPr>
                <w:rFonts w:hint="default" w:ascii="Times New Roman" w:hAnsi="Times New Roman"/>
                <w:sz w:val="24"/>
                <w:szCs w:val="24"/>
                <w:lang w:val="en-US" w:eastAsia="zh-CN"/>
              </w:rPr>
            </w:pPr>
            <w:r>
              <w:rPr>
                <w:rFonts w:hint="eastAsia" w:ascii="Times New Roman" w:hAnsi="Times New Roman"/>
                <w:sz w:val="24"/>
                <w:szCs w:val="24"/>
                <w:lang w:val="en-US" w:eastAsia="zh-CN"/>
              </w:rPr>
              <w:t>23</w:t>
            </w:r>
          </w:p>
        </w:tc>
        <w:tc>
          <w:tcPr>
            <w:tcW w:w="738" w:type="pct"/>
            <w:tcBorders>
              <w:right w:val="single" w:color="000000" w:sz="4" w:space="0"/>
            </w:tcBorders>
            <w:vAlign w:val="center"/>
          </w:tcPr>
          <w:p w14:paraId="2A4862D2">
            <w:pPr>
              <w:pStyle w:val="55"/>
              <w:bidi w:val="0"/>
              <w:rPr>
                <w:rFonts w:hint="default" w:ascii="Times New Roman" w:hAnsi="Times New Roman"/>
                <w:sz w:val="24"/>
                <w:szCs w:val="24"/>
                <w:lang w:val="en-US" w:eastAsia="zh-CN"/>
              </w:rPr>
            </w:pPr>
            <w:r>
              <w:rPr>
                <w:rFonts w:hint="eastAsia" w:ascii="Times New Roman" w:hAnsi="Times New Roman"/>
                <w:sz w:val="24"/>
                <w:szCs w:val="24"/>
                <w:lang w:val="en-US" w:eastAsia="zh-CN"/>
              </w:rPr>
              <w:t>106.5</w:t>
            </w:r>
          </w:p>
        </w:tc>
        <w:tc>
          <w:tcPr>
            <w:tcW w:w="377" w:type="pct"/>
            <w:tcBorders>
              <w:left w:val="single" w:color="000000" w:sz="4" w:space="0"/>
              <w:right w:val="single" w:color="000000" w:sz="4" w:space="0"/>
            </w:tcBorders>
            <w:vAlign w:val="center"/>
          </w:tcPr>
          <w:p w14:paraId="198A0B06">
            <w:pPr>
              <w:pStyle w:val="55"/>
              <w:bidi w:val="0"/>
              <w:rPr>
                <w:rFonts w:hint="eastAsia"/>
                <w:sz w:val="24"/>
                <w:szCs w:val="24"/>
                <w:lang w:val="en-US" w:eastAsia="zh-CN"/>
              </w:rPr>
            </w:pPr>
            <w:r>
              <w:rPr>
                <w:rFonts w:hint="eastAsia"/>
                <w:sz w:val="24"/>
                <w:szCs w:val="24"/>
                <w:lang w:val="en-US" w:eastAsia="zh-CN"/>
              </w:rPr>
              <w:t>99%</w:t>
            </w:r>
          </w:p>
        </w:tc>
        <w:tc>
          <w:tcPr>
            <w:tcW w:w="373" w:type="pct"/>
            <w:tcBorders>
              <w:left w:val="single" w:color="000000" w:sz="4" w:space="0"/>
            </w:tcBorders>
            <w:vAlign w:val="center"/>
          </w:tcPr>
          <w:p w14:paraId="2F31B6E9">
            <w:pPr>
              <w:pStyle w:val="55"/>
              <w:bidi w:val="0"/>
              <w:rPr>
                <w:rFonts w:hint="eastAsia"/>
                <w:sz w:val="24"/>
                <w:szCs w:val="24"/>
                <w:lang w:val="en-US" w:eastAsia="zh-CN"/>
              </w:rPr>
            </w:pPr>
            <w:r>
              <w:rPr>
                <w:rFonts w:hint="eastAsia"/>
                <w:sz w:val="24"/>
                <w:szCs w:val="24"/>
                <w:lang w:val="en-US" w:eastAsia="zh-CN"/>
              </w:rPr>
              <w:t>95%</w:t>
            </w:r>
          </w:p>
        </w:tc>
        <w:tc>
          <w:tcPr>
            <w:tcW w:w="756" w:type="pct"/>
            <w:vMerge w:val="continue"/>
            <w:vAlign w:val="center"/>
          </w:tcPr>
          <w:p w14:paraId="56F2B653">
            <w:pPr>
              <w:pStyle w:val="55"/>
              <w:bidi w:val="0"/>
              <w:rPr>
                <w:rFonts w:hint="default"/>
                <w:sz w:val="24"/>
                <w:szCs w:val="24"/>
                <w:lang w:val="en-US" w:eastAsia="zh-CN"/>
              </w:rPr>
            </w:pPr>
          </w:p>
        </w:tc>
        <w:tc>
          <w:tcPr>
            <w:tcW w:w="504" w:type="pct"/>
            <w:vAlign w:val="center"/>
          </w:tcPr>
          <w:p w14:paraId="2A17B802">
            <w:pPr>
              <w:pStyle w:val="55"/>
              <w:bidi w:val="0"/>
              <w:rPr>
                <w:rFonts w:hint="default" w:ascii="Times New Roman" w:hAnsi="Times New Roman"/>
                <w:lang w:val="en-US" w:eastAsia="zh-CN"/>
              </w:rPr>
            </w:pPr>
            <w:r>
              <w:rPr>
                <w:rFonts w:hint="eastAsia" w:ascii="Times New Roman" w:hAnsi="Times New Roman"/>
                <w:lang w:val="en-US" w:eastAsia="zh-CN"/>
              </w:rPr>
              <w:t>1.139</w:t>
            </w:r>
          </w:p>
        </w:tc>
        <w:tc>
          <w:tcPr>
            <w:tcW w:w="623" w:type="pct"/>
            <w:vAlign w:val="center"/>
          </w:tcPr>
          <w:p w14:paraId="0B891182">
            <w:pPr>
              <w:pStyle w:val="55"/>
              <w:bidi w:val="0"/>
              <w:rPr>
                <w:rFonts w:hint="default" w:ascii="Times New Roman" w:hAnsi="Times New Roman"/>
                <w:lang w:val="en-US" w:eastAsia="zh-CN"/>
              </w:rPr>
            </w:pPr>
            <w:r>
              <w:rPr>
                <w:rFonts w:hint="eastAsia" w:ascii="Times New Roman" w:hAnsi="Times New Roman"/>
                <w:lang w:val="en-US" w:eastAsia="zh-CN"/>
              </w:rPr>
              <w:t>5.271</w:t>
            </w:r>
          </w:p>
        </w:tc>
      </w:tr>
      <w:tr w14:paraId="610BE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5" w:type="pct"/>
            <w:vMerge w:val="continue"/>
            <w:vAlign w:val="center"/>
          </w:tcPr>
          <w:p w14:paraId="56B7559B">
            <w:pPr>
              <w:pStyle w:val="55"/>
              <w:bidi w:val="0"/>
              <w:rPr>
                <w:rFonts w:hint="eastAsia"/>
                <w:sz w:val="24"/>
                <w:szCs w:val="24"/>
                <w:lang w:val="en-US" w:eastAsia="zh-CN"/>
              </w:rPr>
            </w:pPr>
          </w:p>
        </w:tc>
        <w:tc>
          <w:tcPr>
            <w:tcW w:w="389" w:type="pct"/>
            <w:vMerge w:val="continue"/>
            <w:vAlign w:val="center"/>
          </w:tcPr>
          <w:p w14:paraId="37190A1F">
            <w:pPr>
              <w:pStyle w:val="55"/>
              <w:bidi w:val="0"/>
              <w:rPr>
                <w:rFonts w:hint="default"/>
                <w:sz w:val="24"/>
                <w:szCs w:val="24"/>
                <w:lang w:val="en-US" w:eastAsia="zh-CN"/>
              </w:rPr>
            </w:pPr>
          </w:p>
        </w:tc>
        <w:tc>
          <w:tcPr>
            <w:tcW w:w="487" w:type="pct"/>
            <w:vAlign w:val="center"/>
          </w:tcPr>
          <w:p w14:paraId="5A11C09B">
            <w:pPr>
              <w:pStyle w:val="55"/>
              <w:bidi w:val="0"/>
              <w:rPr>
                <w:rFonts w:hint="default"/>
                <w:sz w:val="24"/>
                <w:szCs w:val="24"/>
                <w:lang w:val="en-US" w:eastAsia="zh-CN"/>
              </w:rPr>
            </w:pPr>
            <w:r>
              <w:rPr>
                <w:rFonts w:hint="default"/>
                <w:sz w:val="24"/>
                <w:szCs w:val="24"/>
                <w:lang w:val="en-US" w:eastAsia="zh-CN"/>
              </w:rPr>
              <w:t>氯化氢</w:t>
            </w:r>
          </w:p>
        </w:tc>
        <w:tc>
          <w:tcPr>
            <w:tcW w:w="504" w:type="pct"/>
            <w:vAlign w:val="center"/>
          </w:tcPr>
          <w:p w14:paraId="093A7B42">
            <w:pPr>
              <w:pStyle w:val="55"/>
              <w:bidi w:val="0"/>
              <w:rPr>
                <w:rFonts w:hint="default" w:ascii="Times New Roman" w:hAnsi="Times New Roman"/>
                <w:sz w:val="24"/>
                <w:szCs w:val="24"/>
                <w:lang w:val="en-US" w:eastAsia="zh-CN"/>
              </w:rPr>
            </w:pPr>
            <w:r>
              <w:rPr>
                <w:rFonts w:hint="eastAsia" w:ascii="Times New Roman" w:hAnsi="Times New Roman"/>
                <w:sz w:val="24"/>
                <w:szCs w:val="24"/>
                <w:lang w:val="en-US" w:eastAsia="zh-CN"/>
              </w:rPr>
              <w:t>0.015</w:t>
            </w:r>
          </w:p>
        </w:tc>
        <w:tc>
          <w:tcPr>
            <w:tcW w:w="738" w:type="pct"/>
            <w:tcBorders>
              <w:right w:val="single" w:color="000000" w:sz="4" w:space="0"/>
            </w:tcBorders>
            <w:vAlign w:val="center"/>
          </w:tcPr>
          <w:p w14:paraId="03FF028D">
            <w:pPr>
              <w:pStyle w:val="55"/>
              <w:bidi w:val="0"/>
              <w:rPr>
                <w:rFonts w:hint="default" w:ascii="Times New Roman" w:hAnsi="Times New Roman"/>
                <w:sz w:val="24"/>
                <w:szCs w:val="24"/>
                <w:lang w:val="en-US" w:eastAsia="zh-CN"/>
              </w:rPr>
            </w:pPr>
            <w:r>
              <w:rPr>
                <w:rFonts w:hint="eastAsia" w:ascii="Times New Roman" w:hAnsi="Times New Roman"/>
                <w:sz w:val="24"/>
                <w:szCs w:val="24"/>
                <w:lang w:val="en-US" w:eastAsia="zh-CN"/>
              </w:rPr>
              <w:t>0.069</w:t>
            </w:r>
          </w:p>
        </w:tc>
        <w:tc>
          <w:tcPr>
            <w:tcW w:w="377" w:type="pct"/>
            <w:tcBorders>
              <w:left w:val="single" w:color="000000" w:sz="4" w:space="0"/>
              <w:right w:val="single" w:color="000000" w:sz="4" w:space="0"/>
            </w:tcBorders>
            <w:vAlign w:val="center"/>
          </w:tcPr>
          <w:p w14:paraId="356E4D4E">
            <w:pPr>
              <w:pStyle w:val="55"/>
              <w:bidi w:val="0"/>
              <w:rPr>
                <w:rFonts w:hint="eastAsia"/>
                <w:sz w:val="24"/>
                <w:szCs w:val="24"/>
                <w:lang w:val="en-US" w:eastAsia="zh-CN"/>
              </w:rPr>
            </w:pPr>
            <w:r>
              <w:rPr>
                <w:rFonts w:hint="eastAsia"/>
                <w:sz w:val="24"/>
                <w:szCs w:val="24"/>
                <w:lang w:val="en-US" w:eastAsia="zh-CN"/>
              </w:rPr>
              <w:t>99%</w:t>
            </w:r>
          </w:p>
        </w:tc>
        <w:tc>
          <w:tcPr>
            <w:tcW w:w="373" w:type="pct"/>
            <w:tcBorders>
              <w:left w:val="single" w:color="000000" w:sz="4" w:space="0"/>
            </w:tcBorders>
            <w:vAlign w:val="center"/>
          </w:tcPr>
          <w:p w14:paraId="54D24DBB">
            <w:pPr>
              <w:pStyle w:val="55"/>
              <w:bidi w:val="0"/>
              <w:rPr>
                <w:rFonts w:hint="eastAsia"/>
                <w:sz w:val="24"/>
                <w:szCs w:val="24"/>
                <w:lang w:val="en-US" w:eastAsia="zh-CN"/>
              </w:rPr>
            </w:pPr>
            <w:r>
              <w:rPr>
                <w:rFonts w:hint="eastAsia"/>
                <w:sz w:val="24"/>
                <w:szCs w:val="24"/>
                <w:lang w:val="en-US" w:eastAsia="zh-CN"/>
              </w:rPr>
              <w:t>95%</w:t>
            </w:r>
          </w:p>
        </w:tc>
        <w:tc>
          <w:tcPr>
            <w:tcW w:w="756" w:type="pct"/>
            <w:vMerge w:val="continue"/>
            <w:vAlign w:val="center"/>
          </w:tcPr>
          <w:p w14:paraId="2E92F8AF">
            <w:pPr>
              <w:pStyle w:val="55"/>
              <w:bidi w:val="0"/>
              <w:rPr>
                <w:rFonts w:hint="default"/>
                <w:sz w:val="24"/>
                <w:szCs w:val="24"/>
                <w:lang w:val="en-US" w:eastAsia="zh-CN"/>
              </w:rPr>
            </w:pPr>
          </w:p>
        </w:tc>
        <w:tc>
          <w:tcPr>
            <w:tcW w:w="504" w:type="pct"/>
            <w:vAlign w:val="center"/>
          </w:tcPr>
          <w:p w14:paraId="714402B7">
            <w:pPr>
              <w:pStyle w:val="55"/>
              <w:bidi w:val="0"/>
              <w:rPr>
                <w:rFonts w:hint="default" w:ascii="Times New Roman" w:hAnsi="Times New Roman"/>
                <w:lang w:val="en-US" w:eastAsia="zh-CN"/>
              </w:rPr>
            </w:pPr>
            <w:r>
              <w:rPr>
                <w:rFonts w:hint="eastAsia" w:ascii="Times New Roman" w:hAnsi="Times New Roman"/>
                <w:lang w:val="en-US" w:eastAsia="zh-CN"/>
              </w:rPr>
              <w:t>0.0007</w:t>
            </w:r>
          </w:p>
        </w:tc>
        <w:tc>
          <w:tcPr>
            <w:tcW w:w="623" w:type="pct"/>
            <w:vAlign w:val="center"/>
          </w:tcPr>
          <w:p w14:paraId="0FE1AFE3">
            <w:pPr>
              <w:pStyle w:val="55"/>
              <w:bidi w:val="0"/>
              <w:rPr>
                <w:rFonts w:hint="default" w:ascii="Times New Roman" w:hAnsi="Times New Roman"/>
                <w:lang w:val="en-US" w:eastAsia="zh-CN"/>
              </w:rPr>
            </w:pPr>
            <w:r>
              <w:rPr>
                <w:rFonts w:hint="eastAsia" w:ascii="Times New Roman" w:hAnsi="Times New Roman"/>
                <w:lang w:val="en-US" w:eastAsia="zh-CN"/>
              </w:rPr>
              <w:t>0.003</w:t>
            </w:r>
            <w:r>
              <w:rPr>
                <w:rFonts w:hint="eastAsia"/>
                <w:lang w:val="en-US" w:eastAsia="zh-CN"/>
              </w:rPr>
              <w:t>4</w:t>
            </w:r>
          </w:p>
        </w:tc>
      </w:tr>
      <w:tr w14:paraId="73BEA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5" w:type="pct"/>
            <w:vMerge w:val="continue"/>
            <w:vAlign w:val="center"/>
          </w:tcPr>
          <w:p w14:paraId="05393618">
            <w:pPr>
              <w:pStyle w:val="55"/>
              <w:bidi w:val="0"/>
              <w:rPr>
                <w:rFonts w:hint="eastAsia"/>
                <w:sz w:val="24"/>
                <w:szCs w:val="24"/>
                <w:lang w:val="en-US" w:eastAsia="zh-CN"/>
              </w:rPr>
            </w:pPr>
          </w:p>
        </w:tc>
        <w:tc>
          <w:tcPr>
            <w:tcW w:w="389" w:type="pct"/>
            <w:vMerge w:val="continue"/>
            <w:vAlign w:val="center"/>
          </w:tcPr>
          <w:p w14:paraId="5A40250A">
            <w:pPr>
              <w:pStyle w:val="55"/>
              <w:bidi w:val="0"/>
              <w:rPr>
                <w:rFonts w:hint="default"/>
                <w:sz w:val="24"/>
                <w:szCs w:val="24"/>
                <w:lang w:val="en-US" w:eastAsia="zh-CN"/>
              </w:rPr>
            </w:pPr>
          </w:p>
        </w:tc>
        <w:tc>
          <w:tcPr>
            <w:tcW w:w="487" w:type="pct"/>
            <w:vAlign w:val="center"/>
          </w:tcPr>
          <w:p w14:paraId="5FE2ED03">
            <w:pPr>
              <w:pStyle w:val="55"/>
              <w:bidi w:val="0"/>
              <w:rPr>
                <w:rFonts w:hint="default"/>
                <w:sz w:val="24"/>
                <w:szCs w:val="24"/>
                <w:lang w:val="en-US" w:eastAsia="zh-CN"/>
              </w:rPr>
            </w:pPr>
            <w:r>
              <w:rPr>
                <w:rFonts w:hint="eastAsia"/>
                <w:sz w:val="24"/>
                <w:szCs w:val="24"/>
                <w:lang w:val="en-US" w:eastAsia="zh-CN"/>
              </w:rPr>
              <w:t>臭气浓度</w:t>
            </w:r>
          </w:p>
        </w:tc>
        <w:tc>
          <w:tcPr>
            <w:tcW w:w="504" w:type="pct"/>
            <w:vAlign w:val="center"/>
          </w:tcPr>
          <w:p w14:paraId="5C59D901">
            <w:pPr>
              <w:pStyle w:val="55"/>
              <w:bidi w:val="0"/>
              <w:rPr>
                <w:rFonts w:hint="default"/>
                <w:sz w:val="24"/>
                <w:szCs w:val="24"/>
                <w:lang w:val="en-US" w:eastAsia="zh-CN"/>
              </w:rPr>
            </w:pPr>
            <w:r>
              <w:rPr>
                <w:rFonts w:hint="eastAsia"/>
                <w:sz w:val="24"/>
                <w:szCs w:val="24"/>
                <w:lang w:val="en-US" w:eastAsia="zh-CN"/>
              </w:rPr>
              <w:t>/</w:t>
            </w:r>
          </w:p>
        </w:tc>
        <w:tc>
          <w:tcPr>
            <w:tcW w:w="738" w:type="pct"/>
            <w:tcBorders>
              <w:right w:val="single" w:color="000000" w:sz="4" w:space="0"/>
            </w:tcBorders>
            <w:vAlign w:val="center"/>
          </w:tcPr>
          <w:p w14:paraId="38664F6F">
            <w:pPr>
              <w:pStyle w:val="55"/>
              <w:bidi w:val="0"/>
              <w:rPr>
                <w:rFonts w:hint="default"/>
                <w:sz w:val="24"/>
                <w:szCs w:val="24"/>
                <w:lang w:val="en-US" w:eastAsia="zh-CN"/>
              </w:rPr>
            </w:pPr>
            <w:r>
              <w:rPr>
                <w:rFonts w:hint="eastAsia"/>
                <w:sz w:val="24"/>
                <w:szCs w:val="24"/>
                <w:lang w:val="en-US" w:eastAsia="zh-CN"/>
              </w:rPr>
              <w:t>/</w:t>
            </w:r>
          </w:p>
        </w:tc>
        <w:tc>
          <w:tcPr>
            <w:tcW w:w="377" w:type="pct"/>
            <w:tcBorders>
              <w:left w:val="single" w:color="000000" w:sz="4" w:space="0"/>
              <w:right w:val="single" w:color="000000" w:sz="4" w:space="0"/>
            </w:tcBorders>
            <w:vAlign w:val="center"/>
          </w:tcPr>
          <w:p w14:paraId="6B0E03D2">
            <w:pPr>
              <w:pStyle w:val="55"/>
              <w:bidi w:val="0"/>
              <w:rPr>
                <w:rFonts w:hint="eastAsia"/>
                <w:sz w:val="24"/>
                <w:szCs w:val="24"/>
                <w:lang w:val="en-US" w:eastAsia="zh-CN"/>
              </w:rPr>
            </w:pPr>
            <w:r>
              <w:rPr>
                <w:rFonts w:hint="eastAsia"/>
                <w:sz w:val="24"/>
                <w:szCs w:val="24"/>
                <w:lang w:val="en-US" w:eastAsia="zh-CN"/>
              </w:rPr>
              <w:t>/</w:t>
            </w:r>
          </w:p>
        </w:tc>
        <w:tc>
          <w:tcPr>
            <w:tcW w:w="373" w:type="pct"/>
            <w:tcBorders>
              <w:left w:val="single" w:color="000000" w:sz="4" w:space="0"/>
            </w:tcBorders>
            <w:vAlign w:val="center"/>
          </w:tcPr>
          <w:p w14:paraId="16571E63">
            <w:pPr>
              <w:pStyle w:val="55"/>
              <w:bidi w:val="0"/>
              <w:rPr>
                <w:rFonts w:hint="eastAsia"/>
                <w:sz w:val="24"/>
                <w:szCs w:val="24"/>
                <w:lang w:val="en-US" w:eastAsia="zh-CN"/>
              </w:rPr>
            </w:pPr>
            <w:r>
              <w:rPr>
                <w:rFonts w:hint="eastAsia"/>
                <w:sz w:val="24"/>
                <w:szCs w:val="24"/>
                <w:lang w:val="en-US" w:eastAsia="zh-CN"/>
              </w:rPr>
              <w:t>/</w:t>
            </w:r>
          </w:p>
        </w:tc>
        <w:tc>
          <w:tcPr>
            <w:tcW w:w="756" w:type="pct"/>
            <w:vMerge w:val="continue"/>
            <w:vAlign w:val="center"/>
          </w:tcPr>
          <w:p w14:paraId="047CF23D">
            <w:pPr>
              <w:pStyle w:val="55"/>
              <w:bidi w:val="0"/>
              <w:rPr>
                <w:rFonts w:hint="default"/>
                <w:sz w:val="24"/>
                <w:szCs w:val="24"/>
                <w:lang w:val="en-US" w:eastAsia="zh-CN"/>
              </w:rPr>
            </w:pPr>
          </w:p>
        </w:tc>
        <w:tc>
          <w:tcPr>
            <w:tcW w:w="504" w:type="pct"/>
            <w:vAlign w:val="center"/>
          </w:tcPr>
          <w:p w14:paraId="377A0CD7">
            <w:pPr>
              <w:pStyle w:val="55"/>
              <w:bidi w:val="0"/>
              <w:rPr>
                <w:rFonts w:hint="default"/>
                <w:sz w:val="24"/>
                <w:szCs w:val="24"/>
                <w:lang w:val="en-US" w:eastAsia="zh-CN"/>
              </w:rPr>
            </w:pPr>
            <w:r>
              <w:rPr>
                <w:rFonts w:hint="eastAsia"/>
                <w:sz w:val="24"/>
                <w:szCs w:val="24"/>
                <w:lang w:val="en-US" w:eastAsia="zh-CN"/>
              </w:rPr>
              <w:t>/</w:t>
            </w:r>
          </w:p>
        </w:tc>
        <w:tc>
          <w:tcPr>
            <w:tcW w:w="623" w:type="pct"/>
            <w:vAlign w:val="center"/>
          </w:tcPr>
          <w:p w14:paraId="6D019F61">
            <w:pPr>
              <w:pStyle w:val="55"/>
              <w:bidi w:val="0"/>
              <w:rPr>
                <w:rFonts w:hint="default"/>
                <w:sz w:val="24"/>
                <w:szCs w:val="24"/>
                <w:lang w:val="en-US" w:eastAsia="zh-CN"/>
              </w:rPr>
            </w:pPr>
            <w:r>
              <w:rPr>
                <w:rFonts w:hint="eastAsia"/>
                <w:sz w:val="24"/>
                <w:szCs w:val="24"/>
                <w:lang w:val="en-US" w:eastAsia="zh-CN"/>
              </w:rPr>
              <w:t>/</w:t>
            </w:r>
          </w:p>
        </w:tc>
      </w:tr>
      <w:tr w14:paraId="20539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5" w:type="pct"/>
            <w:vMerge w:val="restart"/>
            <w:vAlign w:val="center"/>
          </w:tcPr>
          <w:p w14:paraId="6BB60F3E">
            <w:pPr>
              <w:pStyle w:val="55"/>
              <w:bidi w:val="0"/>
              <w:rPr>
                <w:rFonts w:hint="default"/>
                <w:sz w:val="24"/>
                <w:szCs w:val="24"/>
                <w:lang w:val="en-US" w:eastAsia="zh-CN"/>
              </w:rPr>
            </w:pPr>
            <w:r>
              <w:rPr>
                <w:rFonts w:hint="eastAsia"/>
                <w:sz w:val="24"/>
                <w:szCs w:val="24"/>
                <w:lang w:val="en-US" w:eastAsia="zh-CN"/>
              </w:rPr>
              <w:t>3</w:t>
            </w:r>
          </w:p>
        </w:tc>
        <w:tc>
          <w:tcPr>
            <w:tcW w:w="389" w:type="pct"/>
            <w:vMerge w:val="restart"/>
            <w:vAlign w:val="center"/>
          </w:tcPr>
          <w:p w14:paraId="752FBBC0">
            <w:pPr>
              <w:pStyle w:val="55"/>
              <w:bidi w:val="0"/>
              <w:rPr>
                <w:rFonts w:hint="default"/>
                <w:sz w:val="24"/>
                <w:szCs w:val="24"/>
                <w:lang w:val="en-US" w:eastAsia="zh-CN"/>
              </w:rPr>
            </w:pPr>
            <w:r>
              <w:rPr>
                <w:rFonts w:hint="eastAsia"/>
                <w:sz w:val="24"/>
                <w:szCs w:val="24"/>
                <w:lang w:val="en-US" w:eastAsia="zh-CN"/>
              </w:rPr>
              <w:t>无组织</w:t>
            </w:r>
          </w:p>
        </w:tc>
        <w:tc>
          <w:tcPr>
            <w:tcW w:w="487" w:type="pct"/>
            <w:vAlign w:val="center"/>
          </w:tcPr>
          <w:p w14:paraId="128772D5">
            <w:pPr>
              <w:pStyle w:val="55"/>
              <w:bidi w:val="0"/>
              <w:rPr>
                <w:rFonts w:hint="eastAsia"/>
                <w:sz w:val="24"/>
                <w:szCs w:val="24"/>
                <w:lang w:val="en-US" w:eastAsia="zh-CN"/>
              </w:rPr>
            </w:pPr>
            <w:r>
              <w:rPr>
                <w:rFonts w:hint="default"/>
                <w:sz w:val="24"/>
                <w:szCs w:val="24"/>
                <w:lang w:val="en-US" w:eastAsia="zh-CN"/>
              </w:rPr>
              <w:t>颗粒物</w:t>
            </w:r>
          </w:p>
        </w:tc>
        <w:tc>
          <w:tcPr>
            <w:tcW w:w="504" w:type="pct"/>
            <w:vAlign w:val="center"/>
          </w:tcPr>
          <w:p w14:paraId="294BF9D0">
            <w:pPr>
              <w:pStyle w:val="55"/>
              <w:bidi w:val="0"/>
              <w:rPr>
                <w:rFonts w:hint="eastAsia"/>
                <w:sz w:val="24"/>
                <w:szCs w:val="24"/>
                <w:lang w:val="en-US" w:eastAsia="zh-CN"/>
              </w:rPr>
            </w:pPr>
            <w:r>
              <w:rPr>
                <w:rFonts w:hint="eastAsia"/>
                <w:lang w:val="en-US" w:eastAsia="zh-CN"/>
              </w:rPr>
              <w:t>0.229</w:t>
            </w:r>
          </w:p>
        </w:tc>
        <w:tc>
          <w:tcPr>
            <w:tcW w:w="738" w:type="pct"/>
            <w:tcBorders>
              <w:right w:val="single" w:color="000000" w:sz="4" w:space="0"/>
            </w:tcBorders>
            <w:vAlign w:val="center"/>
          </w:tcPr>
          <w:p w14:paraId="01EF7AAE">
            <w:pPr>
              <w:pStyle w:val="55"/>
              <w:bidi w:val="0"/>
              <w:rPr>
                <w:rFonts w:hint="default"/>
                <w:sz w:val="24"/>
                <w:szCs w:val="24"/>
                <w:lang w:val="en-US" w:eastAsia="zh-CN"/>
              </w:rPr>
            </w:pPr>
            <w:r>
              <w:rPr>
                <w:rFonts w:hint="eastAsia"/>
                <w:sz w:val="24"/>
                <w:szCs w:val="24"/>
                <w:lang w:val="en-US" w:eastAsia="zh-CN"/>
              </w:rPr>
              <w:t>/</w:t>
            </w:r>
          </w:p>
        </w:tc>
        <w:tc>
          <w:tcPr>
            <w:tcW w:w="377" w:type="pct"/>
            <w:tcBorders>
              <w:left w:val="single" w:color="000000" w:sz="4" w:space="0"/>
              <w:right w:val="single" w:color="000000" w:sz="4" w:space="0"/>
            </w:tcBorders>
            <w:vAlign w:val="center"/>
          </w:tcPr>
          <w:p w14:paraId="2EEAAEF4">
            <w:pPr>
              <w:pStyle w:val="55"/>
              <w:bidi w:val="0"/>
              <w:rPr>
                <w:rFonts w:hint="eastAsia"/>
                <w:sz w:val="24"/>
                <w:szCs w:val="24"/>
                <w:lang w:val="en-US" w:eastAsia="zh-CN"/>
              </w:rPr>
            </w:pPr>
            <w:r>
              <w:rPr>
                <w:rFonts w:hint="eastAsia"/>
                <w:sz w:val="24"/>
                <w:szCs w:val="24"/>
                <w:lang w:val="en-US" w:eastAsia="zh-CN"/>
              </w:rPr>
              <w:t>/</w:t>
            </w:r>
          </w:p>
        </w:tc>
        <w:tc>
          <w:tcPr>
            <w:tcW w:w="373" w:type="pct"/>
            <w:tcBorders>
              <w:left w:val="single" w:color="000000" w:sz="4" w:space="0"/>
            </w:tcBorders>
            <w:vAlign w:val="center"/>
          </w:tcPr>
          <w:p w14:paraId="2560D704">
            <w:pPr>
              <w:pStyle w:val="55"/>
              <w:bidi w:val="0"/>
              <w:rPr>
                <w:rFonts w:hint="eastAsia"/>
                <w:sz w:val="24"/>
                <w:szCs w:val="24"/>
                <w:lang w:val="en-US" w:eastAsia="zh-CN"/>
              </w:rPr>
            </w:pPr>
            <w:r>
              <w:rPr>
                <w:rFonts w:hint="eastAsia"/>
                <w:sz w:val="24"/>
                <w:szCs w:val="24"/>
                <w:lang w:val="en-US" w:eastAsia="zh-CN"/>
              </w:rPr>
              <w:t>/</w:t>
            </w:r>
          </w:p>
        </w:tc>
        <w:tc>
          <w:tcPr>
            <w:tcW w:w="756" w:type="pct"/>
            <w:vMerge w:val="restart"/>
            <w:vAlign w:val="center"/>
          </w:tcPr>
          <w:p w14:paraId="760B1D0A">
            <w:pPr>
              <w:pStyle w:val="55"/>
              <w:bidi w:val="0"/>
              <w:rPr>
                <w:rFonts w:hint="default"/>
                <w:sz w:val="24"/>
                <w:szCs w:val="24"/>
                <w:lang w:val="en-US" w:eastAsia="zh-CN"/>
              </w:rPr>
            </w:pPr>
            <w:r>
              <w:rPr>
                <w:rFonts w:hint="eastAsia"/>
                <w:sz w:val="24"/>
                <w:szCs w:val="24"/>
                <w:lang w:val="en-US" w:eastAsia="zh-CN"/>
              </w:rPr>
              <w:t>/</w:t>
            </w:r>
          </w:p>
        </w:tc>
        <w:tc>
          <w:tcPr>
            <w:tcW w:w="504" w:type="pct"/>
            <w:vAlign w:val="center"/>
          </w:tcPr>
          <w:p w14:paraId="1502F63A">
            <w:pPr>
              <w:pStyle w:val="55"/>
              <w:bidi w:val="0"/>
              <w:rPr>
                <w:rFonts w:hint="eastAsia"/>
                <w:sz w:val="24"/>
                <w:szCs w:val="24"/>
                <w:lang w:val="en-US" w:eastAsia="zh-CN"/>
              </w:rPr>
            </w:pPr>
            <w:r>
              <w:rPr>
                <w:rFonts w:hint="eastAsia"/>
                <w:lang w:val="en-US" w:eastAsia="zh-CN"/>
              </w:rPr>
              <w:t>0.229</w:t>
            </w:r>
          </w:p>
        </w:tc>
        <w:tc>
          <w:tcPr>
            <w:tcW w:w="623" w:type="pct"/>
            <w:vAlign w:val="center"/>
          </w:tcPr>
          <w:p w14:paraId="37E15EF3">
            <w:pPr>
              <w:pStyle w:val="55"/>
              <w:bidi w:val="0"/>
              <w:rPr>
                <w:rFonts w:hint="default"/>
                <w:sz w:val="24"/>
                <w:szCs w:val="24"/>
                <w:lang w:val="en-US" w:eastAsia="zh-CN"/>
              </w:rPr>
            </w:pPr>
            <w:r>
              <w:rPr>
                <w:rFonts w:hint="eastAsia"/>
                <w:sz w:val="24"/>
                <w:szCs w:val="24"/>
                <w:lang w:val="en-US" w:eastAsia="zh-CN"/>
              </w:rPr>
              <w:t>/</w:t>
            </w:r>
          </w:p>
        </w:tc>
      </w:tr>
      <w:tr w14:paraId="45D82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5" w:type="pct"/>
            <w:vMerge w:val="continue"/>
            <w:vAlign w:val="center"/>
          </w:tcPr>
          <w:p w14:paraId="2A49A799">
            <w:pPr>
              <w:pStyle w:val="55"/>
              <w:bidi w:val="0"/>
              <w:rPr>
                <w:rFonts w:hint="eastAsia"/>
                <w:sz w:val="24"/>
                <w:szCs w:val="24"/>
                <w:lang w:val="en-US" w:eastAsia="zh-CN"/>
              </w:rPr>
            </w:pPr>
          </w:p>
        </w:tc>
        <w:tc>
          <w:tcPr>
            <w:tcW w:w="389" w:type="pct"/>
            <w:vMerge w:val="continue"/>
            <w:vAlign w:val="center"/>
          </w:tcPr>
          <w:p w14:paraId="129905DE">
            <w:pPr>
              <w:pStyle w:val="55"/>
              <w:bidi w:val="0"/>
              <w:rPr>
                <w:rFonts w:hint="eastAsia"/>
                <w:sz w:val="24"/>
                <w:szCs w:val="24"/>
                <w:lang w:val="en-US" w:eastAsia="zh-CN"/>
              </w:rPr>
            </w:pPr>
          </w:p>
        </w:tc>
        <w:tc>
          <w:tcPr>
            <w:tcW w:w="487" w:type="pct"/>
            <w:vAlign w:val="center"/>
          </w:tcPr>
          <w:p w14:paraId="782DED92">
            <w:pPr>
              <w:pStyle w:val="55"/>
              <w:bidi w:val="0"/>
              <w:rPr>
                <w:rFonts w:hint="eastAsia"/>
                <w:sz w:val="24"/>
                <w:szCs w:val="24"/>
                <w:lang w:val="en-US" w:eastAsia="zh-CN"/>
              </w:rPr>
            </w:pPr>
            <w:r>
              <w:rPr>
                <w:rFonts w:hint="eastAsia"/>
                <w:sz w:val="24"/>
                <w:szCs w:val="24"/>
                <w:lang w:val="en-US" w:eastAsia="zh-CN"/>
              </w:rPr>
              <w:t>非甲烷总烃</w:t>
            </w:r>
          </w:p>
        </w:tc>
        <w:tc>
          <w:tcPr>
            <w:tcW w:w="504" w:type="pct"/>
            <w:vAlign w:val="center"/>
          </w:tcPr>
          <w:p w14:paraId="6C98466D">
            <w:pPr>
              <w:pStyle w:val="55"/>
              <w:bidi w:val="0"/>
              <w:rPr>
                <w:rFonts w:hint="eastAsia"/>
                <w:sz w:val="24"/>
                <w:szCs w:val="24"/>
                <w:lang w:val="en-US" w:eastAsia="zh-CN"/>
              </w:rPr>
            </w:pPr>
            <w:r>
              <w:rPr>
                <w:rFonts w:hint="eastAsia"/>
                <w:lang w:val="en-US" w:eastAsia="zh-CN"/>
              </w:rPr>
              <w:t>0.230</w:t>
            </w:r>
          </w:p>
        </w:tc>
        <w:tc>
          <w:tcPr>
            <w:tcW w:w="738" w:type="pct"/>
            <w:tcBorders>
              <w:right w:val="single" w:color="000000" w:sz="4" w:space="0"/>
            </w:tcBorders>
            <w:vAlign w:val="center"/>
          </w:tcPr>
          <w:p w14:paraId="4D595E81">
            <w:pPr>
              <w:pStyle w:val="55"/>
              <w:bidi w:val="0"/>
              <w:rPr>
                <w:rFonts w:hint="default"/>
                <w:sz w:val="24"/>
                <w:szCs w:val="24"/>
                <w:lang w:val="en-US" w:eastAsia="zh-CN"/>
              </w:rPr>
            </w:pPr>
            <w:r>
              <w:rPr>
                <w:rFonts w:hint="eastAsia"/>
                <w:sz w:val="24"/>
                <w:szCs w:val="24"/>
                <w:lang w:val="en-US" w:eastAsia="zh-CN"/>
              </w:rPr>
              <w:t>/</w:t>
            </w:r>
          </w:p>
        </w:tc>
        <w:tc>
          <w:tcPr>
            <w:tcW w:w="377" w:type="pct"/>
            <w:tcBorders>
              <w:left w:val="single" w:color="000000" w:sz="4" w:space="0"/>
              <w:right w:val="single" w:color="000000" w:sz="4" w:space="0"/>
            </w:tcBorders>
            <w:vAlign w:val="center"/>
          </w:tcPr>
          <w:p w14:paraId="1990ED00">
            <w:pPr>
              <w:pStyle w:val="55"/>
              <w:bidi w:val="0"/>
              <w:rPr>
                <w:rFonts w:hint="eastAsia"/>
                <w:sz w:val="24"/>
                <w:szCs w:val="24"/>
                <w:lang w:val="en-US" w:eastAsia="zh-CN"/>
              </w:rPr>
            </w:pPr>
            <w:r>
              <w:rPr>
                <w:rFonts w:hint="eastAsia"/>
                <w:sz w:val="24"/>
                <w:szCs w:val="24"/>
                <w:lang w:val="en-US" w:eastAsia="zh-CN"/>
              </w:rPr>
              <w:t>/</w:t>
            </w:r>
          </w:p>
        </w:tc>
        <w:tc>
          <w:tcPr>
            <w:tcW w:w="373" w:type="pct"/>
            <w:tcBorders>
              <w:left w:val="single" w:color="000000" w:sz="4" w:space="0"/>
            </w:tcBorders>
            <w:vAlign w:val="center"/>
          </w:tcPr>
          <w:p w14:paraId="54E056CE">
            <w:pPr>
              <w:pStyle w:val="55"/>
              <w:bidi w:val="0"/>
              <w:rPr>
                <w:rFonts w:hint="eastAsia"/>
                <w:sz w:val="24"/>
                <w:szCs w:val="24"/>
                <w:lang w:val="en-US" w:eastAsia="zh-CN"/>
              </w:rPr>
            </w:pPr>
            <w:r>
              <w:rPr>
                <w:rFonts w:hint="eastAsia"/>
                <w:sz w:val="24"/>
                <w:szCs w:val="24"/>
                <w:lang w:val="en-US" w:eastAsia="zh-CN"/>
              </w:rPr>
              <w:t>/</w:t>
            </w:r>
          </w:p>
        </w:tc>
        <w:tc>
          <w:tcPr>
            <w:tcW w:w="756" w:type="pct"/>
            <w:vMerge w:val="continue"/>
            <w:vAlign w:val="center"/>
          </w:tcPr>
          <w:p w14:paraId="282419E2">
            <w:pPr>
              <w:pStyle w:val="55"/>
              <w:bidi w:val="0"/>
              <w:rPr>
                <w:rFonts w:hint="default"/>
                <w:sz w:val="24"/>
                <w:szCs w:val="24"/>
                <w:lang w:val="en-US" w:eastAsia="zh-CN"/>
              </w:rPr>
            </w:pPr>
          </w:p>
        </w:tc>
        <w:tc>
          <w:tcPr>
            <w:tcW w:w="504" w:type="pct"/>
            <w:vAlign w:val="center"/>
          </w:tcPr>
          <w:p w14:paraId="2B9AE8AD">
            <w:pPr>
              <w:pStyle w:val="55"/>
              <w:bidi w:val="0"/>
              <w:rPr>
                <w:rFonts w:hint="eastAsia"/>
                <w:sz w:val="24"/>
                <w:szCs w:val="24"/>
                <w:lang w:val="en-US" w:eastAsia="zh-CN"/>
              </w:rPr>
            </w:pPr>
            <w:r>
              <w:rPr>
                <w:rFonts w:hint="eastAsia"/>
                <w:lang w:val="en-US" w:eastAsia="zh-CN"/>
              </w:rPr>
              <w:t>0.230</w:t>
            </w:r>
          </w:p>
        </w:tc>
        <w:tc>
          <w:tcPr>
            <w:tcW w:w="623" w:type="pct"/>
            <w:vAlign w:val="center"/>
          </w:tcPr>
          <w:p w14:paraId="47D8BA00">
            <w:pPr>
              <w:pStyle w:val="55"/>
              <w:bidi w:val="0"/>
              <w:rPr>
                <w:rFonts w:hint="default"/>
                <w:sz w:val="24"/>
                <w:szCs w:val="24"/>
                <w:lang w:val="en-US" w:eastAsia="zh-CN"/>
              </w:rPr>
            </w:pPr>
            <w:r>
              <w:rPr>
                <w:rFonts w:hint="eastAsia"/>
                <w:sz w:val="24"/>
                <w:szCs w:val="24"/>
                <w:lang w:val="en-US" w:eastAsia="zh-CN"/>
              </w:rPr>
              <w:t>/</w:t>
            </w:r>
          </w:p>
        </w:tc>
      </w:tr>
      <w:tr w14:paraId="028BF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5" w:type="pct"/>
            <w:vMerge w:val="continue"/>
            <w:vAlign w:val="center"/>
          </w:tcPr>
          <w:p w14:paraId="3C920E6D">
            <w:pPr>
              <w:pStyle w:val="55"/>
              <w:bidi w:val="0"/>
              <w:rPr>
                <w:rFonts w:hint="eastAsia"/>
                <w:sz w:val="24"/>
                <w:szCs w:val="24"/>
                <w:lang w:val="en-US" w:eastAsia="zh-CN"/>
              </w:rPr>
            </w:pPr>
          </w:p>
        </w:tc>
        <w:tc>
          <w:tcPr>
            <w:tcW w:w="389" w:type="pct"/>
            <w:vMerge w:val="continue"/>
            <w:vAlign w:val="center"/>
          </w:tcPr>
          <w:p w14:paraId="28907D04">
            <w:pPr>
              <w:pStyle w:val="55"/>
              <w:bidi w:val="0"/>
              <w:rPr>
                <w:rFonts w:hint="eastAsia"/>
                <w:sz w:val="24"/>
                <w:szCs w:val="24"/>
                <w:lang w:val="en-US" w:eastAsia="zh-CN"/>
              </w:rPr>
            </w:pPr>
          </w:p>
        </w:tc>
        <w:tc>
          <w:tcPr>
            <w:tcW w:w="487" w:type="pct"/>
            <w:vAlign w:val="center"/>
          </w:tcPr>
          <w:p w14:paraId="2F1838F1">
            <w:pPr>
              <w:pStyle w:val="55"/>
              <w:bidi w:val="0"/>
              <w:rPr>
                <w:rFonts w:hint="eastAsia"/>
                <w:sz w:val="24"/>
                <w:szCs w:val="24"/>
                <w:lang w:val="en-US" w:eastAsia="zh-CN"/>
              </w:rPr>
            </w:pPr>
            <w:r>
              <w:rPr>
                <w:rFonts w:hint="default"/>
                <w:sz w:val="24"/>
                <w:szCs w:val="24"/>
                <w:lang w:val="en-US" w:eastAsia="zh-CN"/>
              </w:rPr>
              <w:t>氯化氢</w:t>
            </w:r>
          </w:p>
        </w:tc>
        <w:tc>
          <w:tcPr>
            <w:tcW w:w="504" w:type="pct"/>
            <w:vAlign w:val="center"/>
          </w:tcPr>
          <w:p w14:paraId="46BBA9FD">
            <w:pPr>
              <w:pStyle w:val="55"/>
              <w:bidi w:val="0"/>
              <w:rPr>
                <w:rFonts w:hint="eastAsia"/>
                <w:sz w:val="24"/>
                <w:szCs w:val="24"/>
                <w:lang w:val="en-US" w:eastAsia="zh-CN"/>
              </w:rPr>
            </w:pPr>
            <w:r>
              <w:rPr>
                <w:rFonts w:hint="eastAsia"/>
                <w:lang w:val="en-US" w:eastAsia="zh-CN"/>
              </w:rPr>
              <w:t>0.0001</w:t>
            </w:r>
          </w:p>
        </w:tc>
        <w:tc>
          <w:tcPr>
            <w:tcW w:w="738" w:type="pct"/>
            <w:tcBorders>
              <w:right w:val="single" w:color="000000" w:sz="4" w:space="0"/>
            </w:tcBorders>
            <w:vAlign w:val="center"/>
          </w:tcPr>
          <w:p w14:paraId="27EB92A5">
            <w:pPr>
              <w:pStyle w:val="55"/>
              <w:bidi w:val="0"/>
              <w:rPr>
                <w:rFonts w:hint="default"/>
                <w:sz w:val="24"/>
                <w:szCs w:val="24"/>
                <w:lang w:val="en-US" w:eastAsia="zh-CN"/>
              </w:rPr>
            </w:pPr>
            <w:r>
              <w:rPr>
                <w:rFonts w:hint="eastAsia"/>
                <w:sz w:val="24"/>
                <w:szCs w:val="24"/>
                <w:lang w:val="en-US" w:eastAsia="zh-CN"/>
              </w:rPr>
              <w:t>/</w:t>
            </w:r>
          </w:p>
        </w:tc>
        <w:tc>
          <w:tcPr>
            <w:tcW w:w="377" w:type="pct"/>
            <w:tcBorders>
              <w:left w:val="single" w:color="000000" w:sz="4" w:space="0"/>
              <w:right w:val="single" w:color="000000" w:sz="4" w:space="0"/>
            </w:tcBorders>
            <w:vAlign w:val="center"/>
          </w:tcPr>
          <w:p w14:paraId="4C8B631F">
            <w:pPr>
              <w:pStyle w:val="55"/>
              <w:bidi w:val="0"/>
              <w:rPr>
                <w:rFonts w:hint="eastAsia"/>
                <w:sz w:val="24"/>
                <w:szCs w:val="24"/>
                <w:lang w:val="en-US" w:eastAsia="zh-CN"/>
              </w:rPr>
            </w:pPr>
            <w:r>
              <w:rPr>
                <w:rFonts w:hint="eastAsia"/>
                <w:sz w:val="24"/>
                <w:szCs w:val="24"/>
                <w:lang w:val="en-US" w:eastAsia="zh-CN"/>
              </w:rPr>
              <w:t>/</w:t>
            </w:r>
          </w:p>
        </w:tc>
        <w:tc>
          <w:tcPr>
            <w:tcW w:w="373" w:type="pct"/>
            <w:tcBorders>
              <w:left w:val="single" w:color="000000" w:sz="4" w:space="0"/>
            </w:tcBorders>
            <w:vAlign w:val="center"/>
          </w:tcPr>
          <w:p w14:paraId="6866E3C0">
            <w:pPr>
              <w:pStyle w:val="55"/>
              <w:bidi w:val="0"/>
              <w:rPr>
                <w:rFonts w:hint="eastAsia"/>
                <w:sz w:val="24"/>
                <w:szCs w:val="24"/>
                <w:lang w:val="en-US" w:eastAsia="zh-CN"/>
              </w:rPr>
            </w:pPr>
            <w:r>
              <w:rPr>
                <w:rFonts w:hint="eastAsia"/>
                <w:sz w:val="24"/>
                <w:szCs w:val="24"/>
                <w:lang w:val="en-US" w:eastAsia="zh-CN"/>
              </w:rPr>
              <w:t>/</w:t>
            </w:r>
          </w:p>
        </w:tc>
        <w:tc>
          <w:tcPr>
            <w:tcW w:w="756" w:type="pct"/>
            <w:vMerge w:val="continue"/>
            <w:vAlign w:val="center"/>
          </w:tcPr>
          <w:p w14:paraId="2B39C4E2">
            <w:pPr>
              <w:pStyle w:val="55"/>
              <w:bidi w:val="0"/>
              <w:rPr>
                <w:rFonts w:hint="default"/>
                <w:sz w:val="24"/>
                <w:szCs w:val="24"/>
                <w:lang w:val="en-US" w:eastAsia="zh-CN"/>
              </w:rPr>
            </w:pPr>
          </w:p>
        </w:tc>
        <w:tc>
          <w:tcPr>
            <w:tcW w:w="504" w:type="pct"/>
            <w:vAlign w:val="center"/>
          </w:tcPr>
          <w:p w14:paraId="152A1A05">
            <w:pPr>
              <w:pStyle w:val="55"/>
              <w:bidi w:val="0"/>
              <w:rPr>
                <w:rFonts w:hint="default"/>
                <w:sz w:val="24"/>
                <w:szCs w:val="24"/>
                <w:lang w:val="en-US" w:eastAsia="zh-CN"/>
              </w:rPr>
            </w:pPr>
            <w:r>
              <w:rPr>
                <w:rFonts w:hint="eastAsia"/>
                <w:lang w:val="en-US" w:eastAsia="zh-CN"/>
              </w:rPr>
              <w:t>0.0001</w:t>
            </w:r>
          </w:p>
        </w:tc>
        <w:tc>
          <w:tcPr>
            <w:tcW w:w="623" w:type="pct"/>
            <w:vAlign w:val="center"/>
          </w:tcPr>
          <w:p w14:paraId="5FC75440">
            <w:pPr>
              <w:pStyle w:val="55"/>
              <w:bidi w:val="0"/>
              <w:rPr>
                <w:rFonts w:hint="default"/>
                <w:sz w:val="24"/>
                <w:szCs w:val="24"/>
                <w:lang w:val="en-US" w:eastAsia="zh-CN"/>
              </w:rPr>
            </w:pPr>
            <w:r>
              <w:rPr>
                <w:rFonts w:hint="eastAsia"/>
                <w:sz w:val="24"/>
                <w:szCs w:val="24"/>
                <w:lang w:val="en-US" w:eastAsia="zh-CN"/>
              </w:rPr>
              <w:t>/</w:t>
            </w:r>
          </w:p>
        </w:tc>
      </w:tr>
      <w:tr w14:paraId="48692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5" w:type="pct"/>
            <w:vMerge w:val="continue"/>
            <w:vAlign w:val="center"/>
          </w:tcPr>
          <w:p w14:paraId="1772B2CE">
            <w:pPr>
              <w:pStyle w:val="55"/>
              <w:bidi w:val="0"/>
              <w:rPr>
                <w:rFonts w:hint="eastAsia"/>
                <w:sz w:val="24"/>
                <w:szCs w:val="24"/>
                <w:lang w:val="en-US" w:eastAsia="zh-CN"/>
              </w:rPr>
            </w:pPr>
          </w:p>
        </w:tc>
        <w:tc>
          <w:tcPr>
            <w:tcW w:w="389" w:type="pct"/>
            <w:vMerge w:val="continue"/>
            <w:vAlign w:val="center"/>
          </w:tcPr>
          <w:p w14:paraId="0B937DCB">
            <w:pPr>
              <w:pStyle w:val="55"/>
              <w:bidi w:val="0"/>
              <w:rPr>
                <w:rFonts w:hint="eastAsia"/>
                <w:sz w:val="24"/>
                <w:szCs w:val="24"/>
                <w:lang w:val="en-US" w:eastAsia="zh-CN"/>
              </w:rPr>
            </w:pPr>
          </w:p>
        </w:tc>
        <w:tc>
          <w:tcPr>
            <w:tcW w:w="487" w:type="pct"/>
            <w:vAlign w:val="center"/>
          </w:tcPr>
          <w:p w14:paraId="279BA183">
            <w:pPr>
              <w:pStyle w:val="55"/>
              <w:bidi w:val="0"/>
              <w:rPr>
                <w:rFonts w:hint="eastAsia"/>
                <w:sz w:val="24"/>
                <w:szCs w:val="24"/>
                <w:lang w:val="en-US" w:eastAsia="zh-CN"/>
              </w:rPr>
            </w:pPr>
            <w:r>
              <w:rPr>
                <w:rFonts w:hint="eastAsia"/>
                <w:sz w:val="24"/>
                <w:szCs w:val="24"/>
                <w:lang w:val="en-US" w:eastAsia="zh-CN"/>
              </w:rPr>
              <w:t>臭气浓度</w:t>
            </w:r>
          </w:p>
        </w:tc>
        <w:tc>
          <w:tcPr>
            <w:tcW w:w="504" w:type="pct"/>
            <w:vAlign w:val="center"/>
          </w:tcPr>
          <w:p w14:paraId="7C9F9B85">
            <w:pPr>
              <w:pStyle w:val="55"/>
              <w:bidi w:val="0"/>
              <w:rPr>
                <w:rFonts w:hint="default"/>
                <w:sz w:val="24"/>
                <w:szCs w:val="24"/>
                <w:lang w:val="en-US" w:eastAsia="zh-CN"/>
              </w:rPr>
            </w:pPr>
            <w:r>
              <w:rPr>
                <w:rFonts w:hint="eastAsia"/>
                <w:sz w:val="24"/>
                <w:szCs w:val="24"/>
                <w:lang w:val="en-US" w:eastAsia="zh-CN"/>
              </w:rPr>
              <w:t>/</w:t>
            </w:r>
          </w:p>
        </w:tc>
        <w:tc>
          <w:tcPr>
            <w:tcW w:w="738" w:type="pct"/>
            <w:tcBorders>
              <w:right w:val="single" w:color="000000" w:sz="4" w:space="0"/>
            </w:tcBorders>
            <w:vAlign w:val="center"/>
          </w:tcPr>
          <w:p w14:paraId="37550338">
            <w:pPr>
              <w:pStyle w:val="55"/>
              <w:bidi w:val="0"/>
              <w:rPr>
                <w:rFonts w:hint="eastAsia"/>
                <w:sz w:val="24"/>
                <w:szCs w:val="24"/>
                <w:lang w:val="en-US" w:eastAsia="zh-CN"/>
              </w:rPr>
            </w:pPr>
            <w:r>
              <w:rPr>
                <w:rFonts w:hint="eastAsia"/>
                <w:sz w:val="24"/>
                <w:szCs w:val="24"/>
                <w:lang w:val="en-US" w:eastAsia="zh-CN"/>
              </w:rPr>
              <w:t>/</w:t>
            </w:r>
          </w:p>
        </w:tc>
        <w:tc>
          <w:tcPr>
            <w:tcW w:w="377" w:type="pct"/>
            <w:tcBorders>
              <w:left w:val="single" w:color="000000" w:sz="4" w:space="0"/>
              <w:right w:val="single" w:color="000000" w:sz="4" w:space="0"/>
            </w:tcBorders>
            <w:vAlign w:val="center"/>
          </w:tcPr>
          <w:p w14:paraId="4B5BBAA7">
            <w:pPr>
              <w:pStyle w:val="55"/>
              <w:bidi w:val="0"/>
              <w:rPr>
                <w:rFonts w:hint="eastAsia"/>
                <w:sz w:val="24"/>
                <w:szCs w:val="24"/>
                <w:lang w:val="en-US" w:eastAsia="zh-CN"/>
              </w:rPr>
            </w:pPr>
            <w:r>
              <w:rPr>
                <w:rFonts w:hint="eastAsia"/>
                <w:sz w:val="24"/>
                <w:szCs w:val="24"/>
                <w:lang w:val="en-US" w:eastAsia="zh-CN"/>
              </w:rPr>
              <w:t>/</w:t>
            </w:r>
          </w:p>
        </w:tc>
        <w:tc>
          <w:tcPr>
            <w:tcW w:w="373" w:type="pct"/>
            <w:tcBorders>
              <w:left w:val="single" w:color="000000" w:sz="4" w:space="0"/>
            </w:tcBorders>
            <w:vAlign w:val="center"/>
          </w:tcPr>
          <w:p w14:paraId="45381388">
            <w:pPr>
              <w:pStyle w:val="55"/>
              <w:bidi w:val="0"/>
              <w:rPr>
                <w:rFonts w:hint="eastAsia"/>
                <w:sz w:val="24"/>
                <w:szCs w:val="24"/>
                <w:lang w:val="en-US" w:eastAsia="zh-CN"/>
              </w:rPr>
            </w:pPr>
            <w:r>
              <w:rPr>
                <w:rFonts w:hint="eastAsia"/>
                <w:sz w:val="24"/>
                <w:szCs w:val="24"/>
                <w:lang w:val="en-US" w:eastAsia="zh-CN"/>
              </w:rPr>
              <w:t>/</w:t>
            </w:r>
          </w:p>
        </w:tc>
        <w:tc>
          <w:tcPr>
            <w:tcW w:w="756" w:type="pct"/>
            <w:vMerge w:val="continue"/>
            <w:vAlign w:val="center"/>
          </w:tcPr>
          <w:p w14:paraId="126B6646">
            <w:pPr>
              <w:pStyle w:val="55"/>
              <w:bidi w:val="0"/>
              <w:rPr>
                <w:rFonts w:hint="default"/>
                <w:sz w:val="24"/>
                <w:szCs w:val="24"/>
                <w:lang w:val="en-US" w:eastAsia="zh-CN"/>
              </w:rPr>
            </w:pPr>
          </w:p>
        </w:tc>
        <w:tc>
          <w:tcPr>
            <w:tcW w:w="504" w:type="pct"/>
            <w:vAlign w:val="center"/>
          </w:tcPr>
          <w:p w14:paraId="5272F317">
            <w:pPr>
              <w:pStyle w:val="55"/>
              <w:bidi w:val="0"/>
              <w:rPr>
                <w:rFonts w:hint="eastAsia"/>
                <w:sz w:val="24"/>
                <w:szCs w:val="24"/>
                <w:lang w:val="en-US" w:eastAsia="zh-CN"/>
              </w:rPr>
            </w:pPr>
            <w:r>
              <w:rPr>
                <w:rFonts w:hint="eastAsia"/>
                <w:sz w:val="24"/>
                <w:szCs w:val="24"/>
                <w:lang w:val="en-US" w:eastAsia="zh-CN"/>
              </w:rPr>
              <w:t>/</w:t>
            </w:r>
          </w:p>
        </w:tc>
        <w:tc>
          <w:tcPr>
            <w:tcW w:w="623" w:type="pct"/>
            <w:vAlign w:val="center"/>
          </w:tcPr>
          <w:p w14:paraId="2C991A67">
            <w:pPr>
              <w:pStyle w:val="55"/>
              <w:bidi w:val="0"/>
              <w:rPr>
                <w:rFonts w:hint="eastAsia"/>
                <w:sz w:val="24"/>
                <w:szCs w:val="24"/>
                <w:lang w:val="en-US" w:eastAsia="zh-CN"/>
              </w:rPr>
            </w:pPr>
            <w:r>
              <w:rPr>
                <w:rFonts w:hint="eastAsia"/>
                <w:sz w:val="24"/>
                <w:szCs w:val="24"/>
                <w:lang w:val="en-US" w:eastAsia="zh-CN"/>
              </w:rPr>
              <w:t>/</w:t>
            </w:r>
          </w:p>
        </w:tc>
      </w:tr>
    </w:tbl>
    <w:p w14:paraId="5893A536">
      <w:pPr>
        <w:pStyle w:val="47"/>
        <w:ind w:firstLine="482"/>
      </w:pPr>
      <w:r>
        <w:rPr>
          <w:rFonts w:hint="eastAsia"/>
        </w:rPr>
        <w:t>（3）废气污染源源强核算汇总</w:t>
      </w:r>
    </w:p>
    <w:p w14:paraId="71A6FF4D">
      <w:pPr>
        <w:pStyle w:val="47"/>
        <w:ind w:firstLine="482"/>
        <w:rPr>
          <w:rFonts w:hint="eastAsia"/>
        </w:rPr>
      </w:pPr>
      <w:r>
        <w:rPr>
          <w:rFonts w:hint="eastAsia"/>
        </w:rPr>
        <w:t>项目</w:t>
      </w:r>
      <w:r>
        <w:t>废气</w:t>
      </w:r>
      <w:r>
        <w:rPr>
          <w:rFonts w:hint="eastAsia"/>
        </w:rPr>
        <w:t>污染源</w:t>
      </w:r>
      <w:r>
        <w:t>源强核算结果见下表</w:t>
      </w:r>
    </w:p>
    <w:p w14:paraId="491E054C">
      <w:pPr>
        <w:pStyle w:val="47"/>
        <w:ind w:firstLine="482"/>
        <w:rPr>
          <w:rFonts w:hint="eastAsia"/>
        </w:rPr>
      </w:pPr>
    </w:p>
    <w:p w14:paraId="10481948">
      <w:pPr>
        <w:pStyle w:val="47"/>
        <w:ind w:firstLine="482"/>
        <w:rPr>
          <w:rFonts w:hint="eastAsia"/>
        </w:rPr>
      </w:pPr>
    </w:p>
    <w:p w14:paraId="18982192">
      <w:pPr>
        <w:pStyle w:val="47"/>
        <w:ind w:firstLine="482"/>
        <w:rPr>
          <w:rFonts w:hint="eastAsia"/>
        </w:rPr>
      </w:pPr>
    </w:p>
    <w:p w14:paraId="5243F8C0">
      <w:pPr>
        <w:pStyle w:val="47"/>
        <w:ind w:firstLine="482"/>
        <w:rPr>
          <w:rFonts w:hint="eastAsia"/>
        </w:rPr>
      </w:pPr>
    </w:p>
    <w:p w14:paraId="77712CE3">
      <w:pPr>
        <w:pStyle w:val="47"/>
        <w:ind w:firstLine="482"/>
        <w:rPr>
          <w:rFonts w:hint="eastAsia"/>
        </w:rPr>
      </w:pPr>
    </w:p>
    <w:p w14:paraId="7E8ABE27">
      <w:pPr>
        <w:pStyle w:val="47"/>
        <w:ind w:firstLine="482"/>
        <w:rPr>
          <w:rFonts w:hint="eastAsia"/>
        </w:rPr>
      </w:pPr>
    </w:p>
    <w:p w14:paraId="17017951">
      <w:pPr>
        <w:pStyle w:val="47"/>
        <w:ind w:firstLine="482"/>
        <w:rPr>
          <w:rFonts w:hint="eastAsia"/>
        </w:rPr>
      </w:pPr>
    </w:p>
    <w:p w14:paraId="1907E1AA">
      <w:pPr>
        <w:pStyle w:val="47"/>
        <w:ind w:left="0" w:leftChars="0" w:firstLine="0" w:firstLineChars="0"/>
      </w:pPr>
    </w:p>
    <w:p w14:paraId="2FC7798D">
      <w:pPr>
        <w:pStyle w:val="47"/>
        <w:ind w:firstLine="482"/>
        <w:sectPr>
          <w:pgSz w:w="11906" w:h="16838"/>
          <w:pgMar w:top="1417" w:right="1417" w:bottom="1417" w:left="1417" w:header="964" w:footer="964" w:gutter="0"/>
          <w:pgBorders>
            <w:top w:val="none" w:sz="0" w:space="0"/>
            <w:left w:val="none" w:sz="0" w:space="0"/>
            <w:bottom w:val="none" w:sz="0" w:space="0"/>
            <w:right w:val="none" w:sz="0" w:space="0"/>
          </w:pgBorders>
          <w:pgNumType w:fmt="decimal"/>
          <w:cols w:space="425" w:num="1"/>
          <w:docGrid w:type="linesAndChars" w:linePitch="326" w:charSpace="190"/>
        </w:sectPr>
      </w:pPr>
    </w:p>
    <w:p w14:paraId="56910868">
      <w:pPr>
        <w:pStyle w:val="94"/>
        <w:bidi w:val="0"/>
        <w:ind w:left="0" w:leftChars="0" w:firstLine="0" w:firstLineChars="0"/>
      </w:pPr>
      <w:r>
        <w:rPr>
          <w:rFonts w:hint="eastAsia"/>
          <w:lang w:val="en-US" w:eastAsia="zh-CN"/>
        </w:rPr>
        <w:t>有组织</w:t>
      </w:r>
      <w:r>
        <w:rPr>
          <w:rFonts w:hint="eastAsia"/>
        </w:rPr>
        <w:t>废气污染源</w:t>
      </w:r>
      <w:r>
        <w:t>源强核算结果</w:t>
      </w:r>
    </w:p>
    <w:tbl>
      <w:tblPr>
        <w:tblStyle w:val="3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
        <w:gridCol w:w="881"/>
        <w:gridCol w:w="1534"/>
        <w:gridCol w:w="1050"/>
        <w:gridCol w:w="1243"/>
        <w:gridCol w:w="1178"/>
        <w:gridCol w:w="1050"/>
        <w:gridCol w:w="986"/>
        <w:gridCol w:w="1200"/>
        <w:gridCol w:w="943"/>
        <w:gridCol w:w="1371"/>
        <w:gridCol w:w="1179"/>
        <w:gridCol w:w="872"/>
      </w:tblGrid>
      <w:tr w14:paraId="1F681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54" w:type="pct"/>
            <w:vMerge w:val="restart"/>
            <w:vAlign w:val="center"/>
          </w:tcPr>
          <w:p w14:paraId="30653FE4">
            <w:pPr>
              <w:pStyle w:val="55"/>
              <w:rPr>
                <w:rFonts w:hint="eastAsia" w:eastAsia="楷体"/>
                <w:sz w:val="24"/>
                <w:szCs w:val="24"/>
                <w:lang w:val="en-US" w:eastAsia="zh-CN"/>
              </w:rPr>
            </w:pPr>
            <w:r>
              <w:rPr>
                <w:rFonts w:hint="eastAsia"/>
                <w:sz w:val="24"/>
                <w:szCs w:val="24"/>
                <w:lang w:val="en-US" w:eastAsia="zh-CN"/>
              </w:rPr>
              <w:t>车间</w:t>
            </w:r>
          </w:p>
        </w:tc>
        <w:tc>
          <w:tcPr>
            <w:tcW w:w="310" w:type="pct"/>
            <w:vMerge w:val="restart"/>
            <w:vAlign w:val="center"/>
          </w:tcPr>
          <w:p w14:paraId="63C37373">
            <w:pPr>
              <w:pStyle w:val="55"/>
              <w:rPr>
                <w:sz w:val="24"/>
                <w:szCs w:val="24"/>
              </w:rPr>
            </w:pPr>
            <w:r>
              <w:rPr>
                <w:rFonts w:hint="eastAsia"/>
                <w:sz w:val="24"/>
                <w:szCs w:val="24"/>
              </w:rPr>
              <w:t>污染源</w:t>
            </w:r>
          </w:p>
        </w:tc>
        <w:tc>
          <w:tcPr>
            <w:tcW w:w="539" w:type="pct"/>
            <w:vMerge w:val="restart"/>
            <w:vAlign w:val="center"/>
          </w:tcPr>
          <w:p w14:paraId="306E307C">
            <w:pPr>
              <w:pStyle w:val="55"/>
              <w:rPr>
                <w:sz w:val="24"/>
                <w:szCs w:val="24"/>
              </w:rPr>
            </w:pPr>
            <w:r>
              <w:rPr>
                <w:rFonts w:hint="eastAsia"/>
                <w:sz w:val="24"/>
                <w:szCs w:val="24"/>
              </w:rPr>
              <w:t>污染物</w:t>
            </w:r>
          </w:p>
        </w:tc>
        <w:tc>
          <w:tcPr>
            <w:tcW w:w="1221" w:type="pct"/>
            <w:gridSpan w:val="3"/>
            <w:tcBorders>
              <w:left w:val="single" w:color="000000" w:sz="4" w:space="0"/>
            </w:tcBorders>
            <w:vAlign w:val="center"/>
          </w:tcPr>
          <w:p w14:paraId="04B84A7C">
            <w:pPr>
              <w:pStyle w:val="55"/>
              <w:rPr>
                <w:rFonts w:hint="eastAsia"/>
                <w:sz w:val="24"/>
                <w:szCs w:val="24"/>
              </w:rPr>
            </w:pPr>
            <w:r>
              <w:rPr>
                <w:rFonts w:hint="eastAsia"/>
                <w:sz w:val="24"/>
                <w:szCs w:val="24"/>
              </w:rPr>
              <w:t>污染物产生</w:t>
            </w:r>
          </w:p>
        </w:tc>
        <w:tc>
          <w:tcPr>
            <w:tcW w:w="716" w:type="pct"/>
            <w:gridSpan w:val="2"/>
            <w:vAlign w:val="center"/>
          </w:tcPr>
          <w:p w14:paraId="1C074357">
            <w:pPr>
              <w:pStyle w:val="55"/>
              <w:rPr>
                <w:sz w:val="24"/>
                <w:szCs w:val="24"/>
              </w:rPr>
            </w:pPr>
            <w:r>
              <w:rPr>
                <w:rFonts w:hint="eastAsia"/>
                <w:sz w:val="24"/>
                <w:szCs w:val="24"/>
              </w:rPr>
              <w:t>治理措施</w:t>
            </w:r>
          </w:p>
        </w:tc>
        <w:tc>
          <w:tcPr>
            <w:tcW w:w="422" w:type="pct"/>
            <w:vMerge w:val="restart"/>
            <w:tcBorders>
              <w:right w:val="single" w:color="000000" w:sz="4" w:space="0"/>
            </w:tcBorders>
            <w:vAlign w:val="center"/>
          </w:tcPr>
          <w:p w14:paraId="63FF4191">
            <w:pPr>
              <w:pStyle w:val="55"/>
              <w:rPr>
                <w:sz w:val="24"/>
                <w:szCs w:val="24"/>
              </w:rPr>
            </w:pPr>
            <w:r>
              <w:rPr>
                <w:rFonts w:hint="eastAsia"/>
                <w:sz w:val="24"/>
                <w:szCs w:val="24"/>
              </w:rPr>
              <w:t>废气排放量（m</w:t>
            </w:r>
            <w:r>
              <w:rPr>
                <w:sz w:val="24"/>
                <w:szCs w:val="24"/>
                <w:vertAlign w:val="superscript"/>
              </w:rPr>
              <w:t>3</w:t>
            </w:r>
            <w:r>
              <w:rPr>
                <w:sz w:val="24"/>
                <w:szCs w:val="24"/>
              </w:rPr>
              <w:t>/h</w:t>
            </w:r>
            <w:r>
              <w:rPr>
                <w:rFonts w:hint="eastAsia"/>
                <w:sz w:val="24"/>
                <w:szCs w:val="24"/>
              </w:rPr>
              <w:t>）</w:t>
            </w:r>
          </w:p>
        </w:tc>
        <w:tc>
          <w:tcPr>
            <w:tcW w:w="1229" w:type="pct"/>
            <w:gridSpan w:val="3"/>
            <w:tcBorders>
              <w:left w:val="single" w:color="000000" w:sz="4" w:space="0"/>
            </w:tcBorders>
            <w:vAlign w:val="center"/>
          </w:tcPr>
          <w:p w14:paraId="7323D132">
            <w:pPr>
              <w:pStyle w:val="55"/>
              <w:rPr>
                <w:rFonts w:hint="eastAsia"/>
                <w:sz w:val="24"/>
                <w:szCs w:val="24"/>
              </w:rPr>
            </w:pPr>
            <w:r>
              <w:rPr>
                <w:rFonts w:hint="eastAsia"/>
                <w:sz w:val="24"/>
                <w:szCs w:val="24"/>
              </w:rPr>
              <w:t>污染物</w:t>
            </w:r>
            <w:r>
              <w:rPr>
                <w:sz w:val="24"/>
                <w:szCs w:val="24"/>
              </w:rPr>
              <w:t>排放</w:t>
            </w:r>
          </w:p>
        </w:tc>
        <w:tc>
          <w:tcPr>
            <w:tcW w:w="306" w:type="pct"/>
            <w:vMerge w:val="restart"/>
            <w:vAlign w:val="center"/>
          </w:tcPr>
          <w:p w14:paraId="73F1B63E">
            <w:pPr>
              <w:pStyle w:val="55"/>
              <w:rPr>
                <w:sz w:val="24"/>
                <w:szCs w:val="24"/>
              </w:rPr>
            </w:pPr>
            <w:r>
              <w:rPr>
                <w:rFonts w:hint="eastAsia"/>
                <w:sz w:val="24"/>
                <w:szCs w:val="24"/>
              </w:rPr>
              <w:t>排放时间/h</w:t>
            </w:r>
          </w:p>
        </w:tc>
      </w:tr>
      <w:tr w14:paraId="34A22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54" w:type="pct"/>
            <w:vMerge w:val="continue"/>
            <w:vAlign w:val="center"/>
          </w:tcPr>
          <w:p w14:paraId="02E18B2D">
            <w:pPr>
              <w:pStyle w:val="55"/>
              <w:rPr>
                <w:sz w:val="24"/>
                <w:szCs w:val="24"/>
              </w:rPr>
            </w:pPr>
          </w:p>
        </w:tc>
        <w:tc>
          <w:tcPr>
            <w:tcW w:w="310" w:type="pct"/>
            <w:vMerge w:val="continue"/>
            <w:vAlign w:val="center"/>
          </w:tcPr>
          <w:p w14:paraId="146CBD56">
            <w:pPr>
              <w:pStyle w:val="55"/>
              <w:rPr>
                <w:sz w:val="24"/>
                <w:szCs w:val="24"/>
              </w:rPr>
            </w:pPr>
          </w:p>
        </w:tc>
        <w:tc>
          <w:tcPr>
            <w:tcW w:w="539" w:type="pct"/>
            <w:vMerge w:val="continue"/>
            <w:vAlign w:val="center"/>
          </w:tcPr>
          <w:p w14:paraId="6C2ED21D">
            <w:pPr>
              <w:pStyle w:val="55"/>
              <w:rPr>
                <w:sz w:val="24"/>
                <w:szCs w:val="24"/>
              </w:rPr>
            </w:pPr>
          </w:p>
        </w:tc>
        <w:tc>
          <w:tcPr>
            <w:tcW w:w="369" w:type="pct"/>
            <w:vAlign w:val="center"/>
          </w:tcPr>
          <w:p w14:paraId="707601AC">
            <w:pPr>
              <w:pStyle w:val="55"/>
              <w:rPr>
                <w:sz w:val="24"/>
                <w:szCs w:val="24"/>
              </w:rPr>
            </w:pPr>
            <w:r>
              <w:rPr>
                <w:rFonts w:hint="eastAsia"/>
                <w:sz w:val="24"/>
                <w:szCs w:val="24"/>
              </w:rPr>
              <w:t>产生</w:t>
            </w:r>
            <w:r>
              <w:rPr>
                <w:rFonts w:hint="eastAsia"/>
                <w:sz w:val="24"/>
                <w:szCs w:val="24"/>
                <w:lang w:val="en-US" w:eastAsia="zh-CN"/>
              </w:rPr>
              <w:t>量</w:t>
            </w:r>
            <w:r>
              <w:rPr>
                <w:rFonts w:hint="eastAsia"/>
                <w:sz w:val="24"/>
                <w:szCs w:val="24"/>
              </w:rPr>
              <w:t>（</w:t>
            </w:r>
            <w:r>
              <w:rPr>
                <w:rFonts w:hint="eastAsia"/>
                <w:sz w:val="24"/>
                <w:szCs w:val="24"/>
                <w:lang w:val="en-US" w:eastAsia="zh-CN"/>
              </w:rPr>
              <w:t>t/a</w:t>
            </w:r>
            <w:r>
              <w:rPr>
                <w:rFonts w:hint="eastAsia"/>
                <w:sz w:val="24"/>
                <w:szCs w:val="24"/>
              </w:rPr>
              <w:t>）</w:t>
            </w:r>
          </w:p>
        </w:tc>
        <w:tc>
          <w:tcPr>
            <w:tcW w:w="437" w:type="pct"/>
            <w:tcBorders>
              <w:right w:val="single" w:color="000000" w:sz="4" w:space="0"/>
            </w:tcBorders>
            <w:vAlign w:val="center"/>
          </w:tcPr>
          <w:p w14:paraId="78CD86A2">
            <w:pPr>
              <w:pStyle w:val="55"/>
              <w:rPr>
                <w:sz w:val="24"/>
                <w:szCs w:val="24"/>
              </w:rPr>
            </w:pPr>
            <w:r>
              <w:rPr>
                <w:rFonts w:hint="eastAsia"/>
                <w:sz w:val="24"/>
                <w:szCs w:val="24"/>
              </w:rPr>
              <w:t>产生浓度（mg/m</w:t>
            </w:r>
            <w:r>
              <w:rPr>
                <w:sz w:val="24"/>
                <w:szCs w:val="24"/>
                <w:vertAlign w:val="superscript"/>
              </w:rPr>
              <w:t>3</w:t>
            </w:r>
            <w:r>
              <w:rPr>
                <w:rFonts w:hint="eastAsia"/>
                <w:sz w:val="24"/>
                <w:szCs w:val="24"/>
              </w:rPr>
              <w:t>）</w:t>
            </w:r>
          </w:p>
        </w:tc>
        <w:tc>
          <w:tcPr>
            <w:tcW w:w="414" w:type="pct"/>
            <w:tcBorders>
              <w:left w:val="single" w:color="000000" w:sz="4" w:space="0"/>
            </w:tcBorders>
            <w:vAlign w:val="center"/>
          </w:tcPr>
          <w:p w14:paraId="14B516CF">
            <w:pPr>
              <w:pStyle w:val="55"/>
              <w:rPr>
                <w:rFonts w:hint="eastAsia" w:eastAsia="楷体"/>
                <w:sz w:val="24"/>
                <w:szCs w:val="24"/>
                <w:lang w:val="en-US" w:eastAsia="zh-CN"/>
              </w:rPr>
            </w:pPr>
            <w:r>
              <w:rPr>
                <w:rFonts w:hint="eastAsia"/>
                <w:sz w:val="24"/>
                <w:szCs w:val="24"/>
                <w:lang w:val="en-US" w:eastAsia="zh-CN"/>
              </w:rPr>
              <w:t>产生速率（kg/h）</w:t>
            </w:r>
          </w:p>
        </w:tc>
        <w:tc>
          <w:tcPr>
            <w:tcW w:w="369" w:type="pct"/>
            <w:vAlign w:val="center"/>
          </w:tcPr>
          <w:p w14:paraId="700629F8">
            <w:pPr>
              <w:pStyle w:val="55"/>
              <w:rPr>
                <w:sz w:val="24"/>
                <w:szCs w:val="24"/>
              </w:rPr>
            </w:pPr>
            <w:r>
              <w:rPr>
                <w:rFonts w:hint="eastAsia"/>
                <w:sz w:val="24"/>
                <w:szCs w:val="24"/>
              </w:rPr>
              <w:t>工艺</w:t>
            </w:r>
          </w:p>
        </w:tc>
        <w:tc>
          <w:tcPr>
            <w:tcW w:w="346" w:type="pct"/>
            <w:vAlign w:val="center"/>
          </w:tcPr>
          <w:p w14:paraId="4B180786">
            <w:pPr>
              <w:pStyle w:val="55"/>
              <w:rPr>
                <w:sz w:val="24"/>
                <w:szCs w:val="24"/>
              </w:rPr>
            </w:pPr>
            <w:r>
              <w:rPr>
                <w:rFonts w:hint="eastAsia"/>
                <w:sz w:val="24"/>
                <w:szCs w:val="24"/>
                <w:lang w:val="en-US" w:eastAsia="zh-CN"/>
              </w:rPr>
              <w:t>去除</w:t>
            </w:r>
            <w:r>
              <w:rPr>
                <w:rFonts w:hint="eastAsia"/>
                <w:sz w:val="24"/>
                <w:szCs w:val="24"/>
              </w:rPr>
              <w:t>效率</w:t>
            </w:r>
            <w:r>
              <w:rPr>
                <w:sz w:val="24"/>
                <w:szCs w:val="24"/>
              </w:rPr>
              <w:t>%</w:t>
            </w:r>
          </w:p>
        </w:tc>
        <w:tc>
          <w:tcPr>
            <w:tcW w:w="422" w:type="pct"/>
            <w:vMerge w:val="continue"/>
            <w:tcBorders>
              <w:right w:val="single" w:color="000000" w:sz="4" w:space="0"/>
            </w:tcBorders>
            <w:vAlign w:val="center"/>
          </w:tcPr>
          <w:p w14:paraId="5A9F65DD">
            <w:pPr>
              <w:pStyle w:val="55"/>
              <w:rPr>
                <w:sz w:val="24"/>
                <w:szCs w:val="24"/>
              </w:rPr>
            </w:pPr>
          </w:p>
        </w:tc>
        <w:tc>
          <w:tcPr>
            <w:tcW w:w="331" w:type="pct"/>
            <w:vAlign w:val="center"/>
          </w:tcPr>
          <w:p w14:paraId="4AAEB3F5">
            <w:pPr>
              <w:pStyle w:val="55"/>
              <w:rPr>
                <w:sz w:val="24"/>
                <w:szCs w:val="24"/>
              </w:rPr>
            </w:pPr>
            <w:r>
              <w:rPr>
                <w:rFonts w:hint="eastAsia"/>
                <w:sz w:val="24"/>
                <w:szCs w:val="24"/>
              </w:rPr>
              <w:t>排放</w:t>
            </w:r>
            <w:r>
              <w:rPr>
                <w:rFonts w:hint="eastAsia"/>
                <w:sz w:val="24"/>
                <w:szCs w:val="24"/>
                <w:lang w:val="en-US" w:eastAsia="zh-CN"/>
              </w:rPr>
              <w:t>量</w:t>
            </w:r>
            <w:r>
              <w:rPr>
                <w:rFonts w:hint="eastAsia"/>
                <w:sz w:val="24"/>
                <w:szCs w:val="24"/>
              </w:rPr>
              <w:t>（</w:t>
            </w:r>
            <w:r>
              <w:rPr>
                <w:rFonts w:hint="eastAsia"/>
                <w:sz w:val="24"/>
                <w:szCs w:val="24"/>
                <w:lang w:val="en-US" w:eastAsia="zh-CN"/>
              </w:rPr>
              <w:t>t/a</w:t>
            </w:r>
            <w:r>
              <w:rPr>
                <w:rFonts w:hint="eastAsia"/>
                <w:sz w:val="24"/>
                <w:szCs w:val="24"/>
              </w:rPr>
              <w:t>）</w:t>
            </w:r>
          </w:p>
        </w:tc>
        <w:tc>
          <w:tcPr>
            <w:tcW w:w="482" w:type="pct"/>
            <w:tcBorders>
              <w:right w:val="single" w:color="000000" w:sz="4" w:space="0"/>
            </w:tcBorders>
            <w:vAlign w:val="center"/>
          </w:tcPr>
          <w:p w14:paraId="0E880E44">
            <w:pPr>
              <w:pStyle w:val="55"/>
              <w:rPr>
                <w:sz w:val="24"/>
                <w:szCs w:val="24"/>
              </w:rPr>
            </w:pPr>
            <w:r>
              <w:rPr>
                <w:rFonts w:hint="eastAsia"/>
                <w:sz w:val="24"/>
                <w:szCs w:val="24"/>
              </w:rPr>
              <w:t>排放浓度（mg/m</w:t>
            </w:r>
            <w:r>
              <w:rPr>
                <w:sz w:val="24"/>
                <w:szCs w:val="24"/>
                <w:vertAlign w:val="superscript"/>
              </w:rPr>
              <w:t>3</w:t>
            </w:r>
            <w:r>
              <w:rPr>
                <w:rFonts w:hint="eastAsia"/>
                <w:sz w:val="24"/>
                <w:szCs w:val="24"/>
              </w:rPr>
              <w:t>）</w:t>
            </w:r>
          </w:p>
        </w:tc>
        <w:tc>
          <w:tcPr>
            <w:tcW w:w="414" w:type="pct"/>
            <w:tcBorders>
              <w:left w:val="single" w:color="000000" w:sz="4" w:space="0"/>
            </w:tcBorders>
            <w:vAlign w:val="center"/>
          </w:tcPr>
          <w:p w14:paraId="157C3C91">
            <w:pPr>
              <w:pStyle w:val="55"/>
              <w:rPr>
                <w:rFonts w:hint="eastAsia" w:eastAsia="楷体"/>
                <w:sz w:val="24"/>
                <w:szCs w:val="24"/>
                <w:lang w:val="en-US" w:eastAsia="zh-CN"/>
              </w:rPr>
            </w:pPr>
            <w:r>
              <w:rPr>
                <w:rFonts w:hint="eastAsia"/>
                <w:sz w:val="24"/>
                <w:szCs w:val="24"/>
                <w:lang w:val="en-US" w:eastAsia="zh-CN"/>
              </w:rPr>
              <w:t>排放速率（kg/h）</w:t>
            </w:r>
          </w:p>
        </w:tc>
        <w:tc>
          <w:tcPr>
            <w:tcW w:w="306" w:type="pct"/>
            <w:vMerge w:val="continue"/>
            <w:vAlign w:val="center"/>
          </w:tcPr>
          <w:p w14:paraId="4E1EE02D">
            <w:pPr>
              <w:pStyle w:val="55"/>
              <w:rPr>
                <w:sz w:val="24"/>
                <w:szCs w:val="24"/>
              </w:rPr>
            </w:pPr>
          </w:p>
        </w:tc>
      </w:tr>
      <w:tr w14:paraId="3DF47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54" w:type="pct"/>
            <w:vMerge w:val="restart"/>
            <w:vAlign w:val="center"/>
          </w:tcPr>
          <w:p w14:paraId="69F2C031">
            <w:pPr>
              <w:pStyle w:val="55"/>
              <w:rPr>
                <w:sz w:val="24"/>
                <w:szCs w:val="24"/>
              </w:rPr>
            </w:pPr>
            <w:r>
              <w:rPr>
                <w:rFonts w:hint="eastAsia"/>
                <w:sz w:val="24"/>
                <w:szCs w:val="24"/>
                <w:lang w:val="en-US" w:eastAsia="zh-CN"/>
              </w:rPr>
              <w:t>1</w:t>
            </w:r>
            <w:r>
              <w:rPr>
                <w:rFonts w:hint="eastAsia"/>
                <w:sz w:val="24"/>
                <w:szCs w:val="24"/>
              </w:rPr>
              <w:t>#生产车间</w:t>
            </w:r>
          </w:p>
        </w:tc>
        <w:tc>
          <w:tcPr>
            <w:tcW w:w="310" w:type="pct"/>
            <w:tcBorders>
              <w:bottom w:val="single" w:color="000000" w:sz="4" w:space="0"/>
            </w:tcBorders>
            <w:vAlign w:val="center"/>
          </w:tcPr>
          <w:p w14:paraId="4635CC46">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lang w:val="en-US" w:eastAsia="zh-CN"/>
              </w:rPr>
              <w:t>投料搅拌</w:t>
            </w:r>
            <w:r>
              <w:rPr>
                <w:rFonts w:hint="default" w:ascii="Times New Roman" w:hAnsi="Times New Roman" w:eastAsia="楷体" w:cs="Times New Roman"/>
                <w:sz w:val="24"/>
                <w:szCs w:val="24"/>
                <w:lang w:val="en-US" w:eastAsia="zh-CN"/>
              </w:rPr>
              <w:t>工序</w:t>
            </w:r>
          </w:p>
        </w:tc>
        <w:tc>
          <w:tcPr>
            <w:tcW w:w="539" w:type="pct"/>
            <w:vAlign w:val="center"/>
          </w:tcPr>
          <w:p w14:paraId="54597E8B">
            <w:pPr>
              <w:pStyle w:val="55"/>
              <w:rPr>
                <w:rFonts w:hint="eastAsia" w:eastAsia="楷体"/>
                <w:sz w:val="24"/>
                <w:szCs w:val="24"/>
                <w:lang w:val="en-US" w:eastAsia="zh-CN"/>
              </w:rPr>
            </w:pPr>
            <w:r>
              <w:rPr>
                <w:rFonts w:hint="eastAsia"/>
                <w:sz w:val="24"/>
                <w:szCs w:val="24"/>
                <w:lang w:val="en-US" w:eastAsia="zh-CN"/>
              </w:rPr>
              <w:t>颗粒物</w:t>
            </w:r>
          </w:p>
        </w:tc>
        <w:tc>
          <w:tcPr>
            <w:tcW w:w="369" w:type="pct"/>
            <w:shd w:val="clear" w:color="auto" w:fill="auto"/>
            <w:vAlign w:val="center"/>
          </w:tcPr>
          <w:p w14:paraId="552A0402">
            <w:pPr>
              <w:pStyle w:val="55"/>
              <w:bidi w:val="0"/>
              <w:rPr>
                <w:rFonts w:hint="default" w:ascii="Times New Roman" w:hAnsi="Times New Roman"/>
                <w:sz w:val="24"/>
                <w:szCs w:val="24"/>
                <w:lang w:val="en-US" w:eastAsia="zh-CN"/>
              </w:rPr>
            </w:pPr>
            <w:r>
              <w:rPr>
                <w:rFonts w:hint="eastAsia" w:ascii="Times New Roman" w:hAnsi="Times New Roman"/>
                <w:sz w:val="24"/>
                <w:szCs w:val="24"/>
                <w:lang w:val="en-US" w:eastAsia="zh-CN"/>
              </w:rPr>
              <w:t>25</w:t>
            </w:r>
          </w:p>
        </w:tc>
        <w:tc>
          <w:tcPr>
            <w:tcW w:w="437" w:type="pct"/>
            <w:tcBorders>
              <w:right w:val="single" w:color="000000" w:sz="4" w:space="0"/>
            </w:tcBorders>
            <w:shd w:val="clear" w:color="auto" w:fill="auto"/>
            <w:vAlign w:val="center"/>
          </w:tcPr>
          <w:p w14:paraId="537F4B88">
            <w:pPr>
              <w:pStyle w:val="55"/>
              <w:bidi w:val="0"/>
              <w:rPr>
                <w:rFonts w:hint="default" w:ascii="Times New Roman" w:hAnsi="Times New Roman"/>
                <w:sz w:val="24"/>
                <w:szCs w:val="24"/>
                <w:lang w:val="en-US" w:eastAsia="zh-CN"/>
              </w:rPr>
            </w:pPr>
            <w:r>
              <w:rPr>
                <w:rFonts w:hint="eastAsia" w:ascii="Times New Roman" w:hAnsi="Times New Roman"/>
                <w:sz w:val="24"/>
                <w:szCs w:val="24"/>
                <w:lang w:val="en-US" w:eastAsia="zh-CN"/>
              </w:rPr>
              <w:t>115.7</w:t>
            </w:r>
          </w:p>
        </w:tc>
        <w:tc>
          <w:tcPr>
            <w:tcW w:w="414" w:type="pct"/>
            <w:tcBorders>
              <w:left w:val="single" w:color="000000" w:sz="4" w:space="0"/>
            </w:tcBorders>
            <w:shd w:val="clear" w:color="auto" w:fill="auto"/>
            <w:vAlign w:val="center"/>
          </w:tcPr>
          <w:p w14:paraId="023CE799">
            <w:pPr>
              <w:pStyle w:val="55"/>
              <w:bidi w:val="0"/>
              <w:rPr>
                <w:rFonts w:hint="eastAsia" w:ascii="Times New Roman" w:hAnsi="Times New Roman"/>
                <w:sz w:val="24"/>
                <w:szCs w:val="24"/>
                <w:lang w:val="en-US" w:eastAsia="zh-CN"/>
              </w:rPr>
            </w:pPr>
            <w:r>
              <w:rPr>
                <w:rFonts w:hint="eastAsia" w:ascii="Times New Roman" w:hAnsi="Times New Roman"/>
                <w:sz w:val="24"/>
                <w:szCs w:val="24"/>
                <w:lang w:val="en-US" w:eastAsia="zh-CN"/>
              </w:rPr>
              <w:t>3.472</w:t>
            </w:r>
          </w:p>
        </w:tc>
        <w:tc>
          <w:tcPr>
            <w:tcW w:w="369" w:type="pct"/>
            <w:vMerge w:val="restart"/>
            <w:vAlign w:val="center"/>
          </w:tcPr>
          <w:p w14:paraId="17C3DF84">
            <w:pPr>
              <w:pStyle w:val="55"/>
              <w:rPr>
                <w:sz w:val="24"/>
                <w:szCs w:val="24"/>
              </w:rPr>
            </w:pPr>
            <w:r>
              <w:rPr>
                <w:rFonts w:hint="eastAsia" w:ascii="Times New Roman" w:hAnsi="Times New Roman" w:eastAsia="楷体" w:cs="Times New Roman"/>
                <w:sz w:val="24"/>
                <w:szCs w:val="24"/>
                <w:lang w:val="en-US" w:eastAsia="zh-CN"/>
              </w:rPr>
              <w:t>布袋除尘器+两级活性炭吸附装置</w:t>
            </w:r>
          </w:p>
        </w:tc>
        <w:tc>
          <w:tcPr>
            <w:tcW w:w="346" w:type="pct"/>
            <w:vMerge w:val="restart"/>
            <w:vAlign w:val="center"/>
          </w:tcPr>
          <w:p w14:paraId="35205E53">
            <w:pPr>
              <w:pStyle w:val="55"/>
              <w:rPr>
                <w:rFonts w:hint="default" w:eastAsia="楷体"/>
                <w:sz w:val="24"/>
                <w:szCs w:val="24"/>
                <w:lang w:val="en-US" w:eastAsia="zh-CN"/>
              </w:rPr>
            </w:pPr>
            <w:r>
              <w:rPr>
                <w:rFonts w:hint="eastAsia"/>
                <w:sz w:val="24"/>
                <w:szCs w:val="24"/>
                <w:lang w:val="en-US" w:eastAsia="zh-CN"/>
              </w:rPr>
              <w:t>97</w:t>
            </w:r>
          </w:p>
        </w:tc>
        <w:tc>
          <w:tcPr>
            <w:tcW w:w="422" w:type="pct"/>
            <w:vMerge w:val="restart"/>
            <w:vAlign w:val="center"/>
          </w:tcPr>
          <w:p w14:paraId="77ECB020">
            <w:pPr>
              <w:pStyle w:val="55"/>
              <w:rPr>
                <w:rFonts w:hint="default" w:eastAsia="楷体"/>
                <w:sz w:val="24"/>
                <w:szCs w:val="24"/>
                <w:lang w:val="en-US" w:eastAsia="zh-CN"/>
              </w:rPr>
            </w:pPr>
            <w:r>
              <w:rPr>
                <w:rFonts w:hint="eastAsia"/>
                <w:sz w:val="24"/>
                <w:szCs w:val="24"/>
                <w:lang w:val="en-US" w:eastAsia="zh-CN"/>
              </w:rPr>
              <w:t>30000</w:t>
            </w:r>
          </w:p>
        </w:tc>
        <w:tc>
          <w:tcPr>
            <w:tcW w:w="331" w:type="pct"/>
            <w:vMerge w:val="restart"/>
            <w:vAlign w:val="center"/>
          </w:tcPr>
          <w:p w14:paraId="1332B997">
            <w:pPr>
              <w:pStyle w:val="55"/>
              <w:bidi w:val="0"/>
              <w:rPr>
                <w:rFonts w:hint="eastAsia" w:ascii="Times New Roman" w:hAnsi="Times New Roman"/>
                <w:sz w:val="24"/>
                <w:szCs w:val="24"/>
                <w:lang w:val="en-US" w:eastAsia="zh-CN"/>
              </w:rPr>
            </w:pPr>
            <w:r>
              <w:rPr>
                <w:rFonts w:hint="eastAsia" w:ascii="Times New Roman" w:hAnsi="Times New Roman"/>
                <w:sz w:val="24"/>
                <w:szCs w:val="24"/>
                <w:lang w:val="en-US" w:eastAsia="zh-CN"/>
              </w:rPr>
              <w:t>1.357</w:t>
            </w:r>
          </w:p>
        </w:tc>
        <w:tc>
          <w:tcPr>
            <w:tcW w:w="482" w:type="pct"/>
            <w:vMerge w:val="restart"/>
            <w:tcBorders>
              <w:right w:val="single" w:color="000000" w:sz="4" w:space="0"/>
            </w:tcBorders>
            <w:vAlign w:val="center"/>
          </w:tcPr>
          <w:p w14:paraId="09137443">
            <w:pPr>
              <w:pStyle w:val="55"/>
              <w:bidi w:val="0"/>
              <w:rPr>
                <w:rFonts w:hint="eastAsia" w:ascii="Times New Roman" w:hAnsi="Times New Roman"/>
                <w:sz w:val="24"/>
                <w:szCs w:val="24"/>
                <w:lang w:val="en-US" w:eastAsia="zh-CN"/>
              </w:rPr>
            </w:pPr>
            <w:r>
              <w:rPr>
                <w:rFonts w:hint="eastAsia" w:ascii="Times New Roman" w:hAnsi="Times New Roman"/>
                <w:sz w:val="24"/>
                <w:szCs w:val="24"/>
                <w:lang w:val="en-US" w:eastAsia="zh-CN"/>
              </w:rPr>
              <w:t>6.284</w:t>
            </w:r>
          </w:p>
        </w:tc>
        <w:tc>
          <w:tcPr>
            <w:tcW w:w="414" w:type="pct"/>
            <w:vMerge w:val="restart"/>
            <w:tcBorders>
              <w:left w:val="single" w:color="000000" w:sz="4" w:space="0"/>
            </w:tcBorders>
            <w:vAlign w:val="center"/>
          </w:tcPr>
          <w:p w14:paraId="041B867B">
            <w:pPr>
              <w:pStyle w:val="55"/>
              <w:bidi w:val="0"/>
              <w:rPr>
                <w:rFonts w:hint="eastAsia" w:ascii="Times New Roman" w:hAnsi="Times New Roman"/>
                <w:sz w:val="24"/>
                <w:szCs w:val="24"/>
                <w:lang w:val="en-US" w:eastAsia="zh-CN"/>
              </w:rPr>
            </w:pPr>
            <w:r>
              <w:rPr>
                <w:rFonts w:hint="eastAsia" w:ascii="Times New Roman" w:hAnsi="Times New Roman"/>
                <w:sz w:val="24"/>
                <w:szCs w:val="24"/>
                <w:lang w:val="en-US" w:eastAsia="zh-CN"/>
              </w:rPr>
              <w:t>0.189</w:t>
            </w:r>
          </w:p>
        </w:tc>
        <w:tc>
          <w:tcPr>
            <w:tcW w:w="306" w:type="pct"/>
            <w:vMerge w:val="restart"/>
            <w:vAlign w:val="center"/>
          </w:tcPr>
          <w:p w14:paraId="4CA042B2">
            <w:pPr>
              <w:pStyle w:val="55"/>
              <w:rPr>
                <w:rFonts w:hint="default" w:eastAsia="楷体"/>
                <w:sz w:val="24"/>
                <w:szCs w:val="24"/>
                <w:lang w:val="en-US" w:eastAsia="zh-CN"/>
              </w:rPr>
            </w:pPr>
            <w:r>
              <w:rPr>
                <w:rFonts w:hint="eastAsia"/>
                <w:sz w:val="24"/>
                <w:szCs w:val="24"/>
                <w:lang w:val="en-US" w:eastAsia="zh-CN"/>
              </w:rPr>
              <w:t>7200</w:t>
            </w:r>
          </w:p>
        </w:tc>
      </w:tr>
      <w:tr w14:paraId="75E47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54" w:type="pct"/>
            <w:vMerge w:val="continue"/>
            <w:vAlign w:val="center"/>
          </w:tcPr>
          <w:p w14:paraId="45D5217B">
            <w:pPr>
              <w:pStyle w:val="55"/>
              <w:rPr>
                <w:sz w:val="24"/>
                <w:szCs w:val="24"/>
              </w:rPr>
            </w:pPr>
          </w:p>
        </w:tc>
        <w:tc>
          <w:tcPr>
            <w:tcW w:w="310" w:type="pct"/>
            <w:vMerge w:val="restart"/>
            <w:tcBorders>
              <w:top w:val="single" w:color="000000" w:sz="4" w:space="0"/>
            </w:tcBorders>
            <w:vAlign w:val="center"/>
          </w:tcPr>
          <w:p w14:paraId="20F34515">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default" w:ascii="Times New Roman" w:hAnsi="Times New Roman" w:eastAsia="楷体" w:cs="Times New Roman"/>
                <w:sz w:val="24"/>
                <w:szCs w:val="24"/>
                <w:lang w:val="en-US" w:eastAsia="zh-CN"/>
              </w:rPr>
              <w:t>挤出工序</w:t>
            </w:r>
          </w:p>
        </w:tc>
        <w:tc>
          <w:tcPr>
            <w:tcW w:w="539" w:type="pct"/>
            <w:vAlign w:val="center"/>
          </w:tcPr>
          <w:p w14:paraId="70A74ABA">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default" w:ascii="Times New Roman" w:hAnsi="Times New Roman" w:eastAsia="楷体" w:cs="Times New Roman"/>
                <w:sz w:val="24"/>
                <w:szCs w:val="24"/>
                <w:lang w:val="en-US" w:eastAsia="zh-CN"/>
              </w:rPr>
              <w:t>颗粒物</w:t>
            </w:r>
          </w:p>
        </w:tc>
        <w:tc>
          <w:tcPr>
            <w:tcW w:w="369" w:type="pct"/>
            <w:shd w:val="clear" w:color="auto" w:fill="auto"/>
            <w:vAlign w:val="center"/>
          </w:tcPr>
          <w:p w14:paraId="5F59C06B">
            <w:pPr>
              <w:pStyle w:val="55"/>
              <w:bidi w:val="0"/>
              <w:rPr>
                <w:rFonts w:hint="default" w:ascii="Times New Roman" w:hAnsi="Times New Roman"/>
                <w:sz w:val="24"/>
                <w:szCs w:val="24"/>
                <w:lang w:val="en-US" w:eastAsia="zh-CN"/>
              </w:rPr>
            </w:pPr>
            <w:r>
              <w:rPr>
                <w:rFonts w:hint="eastAsia" w:ascii="Times New Roman" w:hAnsi="Times New Roman"/>
                <w:sz w:val="24"/>
                <w:szCs w:val="24"/>
                <w:lang w:val="en-US" w:eastAsia="zh-CN"/>
              </w:rPr>
              <w:t>20.7</w:t>
            </w:r>
          </w:p>
        </w:tc>
        <w:tc>
          <w:tcPr>
            <w:tcW w:w="437" w:type="pct"/>
            <w:tcBorders>
              <w:right w:val="single" w:color="000000" w:sz="4" w:space="0"/>
            </w:tcBorders>
            <w:shd w:val="clear" w:color="auto" w:fill="auto"/>
            <w:vAlign w:val="center"/>
          </w:tcPr>
          <w:p w14:paraId="610F663B">
            <w:pPr>
              <w:pStyle w:val="55"/>
              <w:bidi w:val="0"/>
              <w:rPr>
                <w:rFonts w:hint="default" w:ascii="Times New Roman" w:hAnsi="Times New Roman"/>
                <w:sz w:val="24"/>
                <w:szCs w:val="24"/>
                <w:lang w:val="en-US" w:eastAsia="zh-CN"/>
              </w:rPr>
            </w:pPr>
            <w:r>
              <w:rPr>
                <w:rFonts w:hint="eastAsia" w:ascii="Times New Roman" w:hAnsi="Times New Roman"/>
                <w:sz w:val="24"/>
                <w:szCs w:val="24"/>
                <w:lang w:val="en-US" w:eastAsia="zh-CN"/>
              </w:rPr>
              <w:t>95.8</w:t>
            </w:r>
          </w:p>
        </w:tc>
        <w:tc>
          <w:tcPr>
            <w:tcW w:w="414" w:type="pct"/>
            <w:tcBorders>
              <w:left w:val="single" w:color="000000" w:sz="4" w:space="0"/>
            </w:tcBorders>
            <w:shd w:val="clear" w:color="auto" w:fill="auto"/>
            <w:vAlign w:val="center"/>
          </w:tcPr>
          <w:p w14:paraId="3FA0BF4C">
            <w:pPr>
              <w:pStyle w:val="55"/>
              <w:bidi w:val="0"/>
              <w:rPr>
                <w:rFonts w:hint="eastAsia" w:ascii="Times New Roman" w:hAnsi="Times New Roman"/>
                <w:sz w:val="24"/>
                <w:szCs w:val="24"/>
                <w:lang w:val="en-US" w:eastAsia="zh-CN"/>
              </w:rPr>
            </w:pPr>
            <w:r>
              <w:rPr>
                <w:rFonts w:hint="eastAsia" w:ascii="Times New Roman" w:hAnsi="Times New Roman"/>
                <w:sz w:val="24"/>
                <w:szCs w:val="24"/>
                <w:lang w:val="en-US" w:eastAsia="zh-CN"/>
              </w:rPr>
              <w:t>2.875</w:t>
            </w:r>
          </w:p>
        </w:tc>
        <w:tc>
          <w:tcPr>
            <w:tcW w:w="369" w:type="pct"/>
            <w:vMerge w:val="continue"/>
            <w:vAlign w:val="center"/>
          </w:tcPr>
          <w:p w14:paraId="4202FC22">
            <w:pPr>
              <w:pStyle w:val="55"/>
              <w:rPr>
                <w:sz w:val="24"/>
                <w:szCs w:val="24"/>
              </w:rPr>
            </w:pPr>
          </w:p>
        </w:tc>
        <w:tc>
          <w:tcPr>
            <w:tcW w:w="346" w:type="pct"/>
            <w:vMerge w:val="continue"/>
            <w:tcBorders>
              <w:bottom w:val="single" w:color="000000" w:sz="4" w:space="0"/>
            </w:tcBorders>
            <w:vAlign w:val="center"/>
          </w:tcPr>
          <w:p w14:paraId="759C9DC9">
            <w:pPr>
              <w:pStyle w:val="55"/>
              <w:rPr>
                <w:sz w:val="24"/>
                <w:szCs w:val="24"/>
              </w:rPr>
            </w:pPr>
          </w:p>
        </w:tc>
        <w:tc>
          <w:tcPr>
            <w:tcW w:w="422" w:type="pct"/>
            <w:vMerge w:val="continue"/>
            <w:vAlign w:val="center"/>
          </w:tcPr>
          <w:p w14:paraId="0C4886D6">
            <w:pPr>
              <w:pStyle w:val="55"/>
              <w:rPr>
                <w:sz w:val="24"/>
                <w:szCs w:val="24"/>
              </w:rPr>
            </w:pPr>
          </w:p>
        </w:tc>
        <w:tc>
          <w:tcPr>
            <w:tcW w:w="331" w:type="pct"/>
            <w:vMerge w:val="continue"/>
            <w:vAlign w:val="center"/>
          </w:tcPr>
          <w:p w14:paraId="7AF8802A">
            <w:pPr>
              <w:pStyle w:val="55"/>
              <w:rPr>
                <w:sz w:val="24"/>
                <w:szCs w:val="24"/>
              </w:rPr>
            </w:pPr>
          </w:p>
        </w:tc>
        <w:tc>
          <w:tcPr>
            <w:tcW w:w="482" w:type="pct"/>
            <w:vMerge w:val="continue"/>
            <w:tcBorders>
              <w:right w:val="single" w:color="000000" w:sz="4" w:space="0"/>
            </w:tcBorders>
            <w:vAlign w:val="center"/>
          </w:tcPr>
          <w:p w14:paraId="0CF36D80">
            <w:pPr>
              <w:pStyle w:val="55"/>
              <w:rPr>
                <w:sz w:val="24"/>
                <w:szCs w:val="24"/>
              </w:rPr>
            </w:pPr>
          </w:p>
        </w:tc>
        <w:tc>
          <w:tcPr>
            <w:tcW w:w="414" w:type="pct"/>
            <w:vMerge w:val="continue"/>
            <w:tcBorders>
              <w:left w:val="single" w:color="000000" w:sz="4" w:space="0"/>
            </w:tcBorders>
            <w:vAlign w:val="center"/>
          </w:tcPr>
          <w:p w14:paraId="22AD5B88">
            <w:pPr>
              <w:pStyle w:val="55"/>
              <w:rPr>
                <w:sz w:val="24"/>
                <w:szCs w:val="24"/>
              </w:rPr>
            </w:pPr>
          </w:p>
        </w:tc>
        <w:tc>
          <w:tcPr>
            <w:tcW w:w="306" w:type="pct"/>
            <w:vMerge w:val="continue"/>
            <w:vAlign w:val="center"/>
          </w:tcPr>
          <w:p w14:paraId="41EFEF83">
            <w:pPr>
              <w:pStyle w:val="55"/>
              <w:rPr>
                <w:sz w:val="24"/>
                <w:szCs w:val="24"/>
              </w:rPr>
            </w:pPr>
          </w:p>
        </w:tc>
      </w:tr>
      <w:tr w14:paraId="0AFA3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54" w:type="pct"/>
            <w:vMerge w:val="continue"/>
            <w:vAlign w:val="center"/>
          </w:tcPr>
          <w:p w14:paraId="19718888">
            <w:pPr>
              <w:pStyle w:val="55"/>
              <w:rPr>
                <w:sz w:val="24"/>
                <w:szCs w:val="24"/>
              </w:rPr>
            </w:pPr>
          </w:p>
        </w:tc>
        <w:tc>
          <w:tcPr>
            <w:tcW w:w="310" w:type="pct"/>
            <w:vMerge w:val="continue"/>
            <w:tcBorders>
              <w:top w:val="single" w:color="000000" w:sz="4" w:space="0"/>
              <w:bottom w:val="single" w:color="000000" w:sz="4" w:space="0"/>
            </w:tcBorders>
            <w:vAlign w:val="center"/>
          </w:tcPr>
          <w:p w14:paraId="34FFBF8F">
            <w:pPr>
              <w:pStyle w:val="55"/>
              <w:rPr>
                <w:sz w:val="24"/>
                <w:szCs w:val="24"/>
              </w:rPr>
            </w:pPr>
          </w:p>
        </w:tc>
        <w:tc>
          <w:tcPr>
            <w:tcW w:w="539" w:type="pct"/>
            <w:vAlign w:val="center"/>
          </w:tcPr>
          <w:p w14:paraId="0936BC96">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lang w:val="en-US" w:eastAsia="zh-CN"/>
              </w:rPr>
              <w:t>非甲烷总烃</w:t>
            </w:r>
          </w:p>
        </w:tc>
        <w:tc>
          <w:tcPr>
            <w:tcW w:w="369" w:type="pct"/>
            <w:shd w:val="clear" w:color="auto" w:fill="auto"/>
            <w:vAlign w:val="center"/>
          </w:tcPr>
          <w:p w14:paraId="5DBC4BC9">
            <w:pPr>
              <w:pStyle w:val="55"/>
              <w:bidi w:val="0"/>
              <w:rPr>
                <w:rFonts w:hint="default" w:ascii="Times New Roman" w:hAnsi="Times New Roman"/>
                <w:sz w:val="24"/>
                <w:szCs w:val="24"/>
                <w:lang w:val="en-US" w:eastAsia="zh-CN"/>
              </w:rPr>
            </w:pPr>
            <w:r>
              <w:rPr>
                <w:rFonts w:hint="eastAsia" w:ascii="Times New Roman" w:hAnsi="Times New Roman"/>
                <w:sz w:val="24"/>
                <w:szCs w:val="24"/>
                <w:lang w:val="en-US" w:eastAsia="zh-CN"/>
              </w:rPr>
              <w:t>46</w:t>
            </w:r>
          </w:p>
        </w:tc>
        <w:tc>
          <w:tcPr>
            <w:tcW w:w="437" w:type="pct"/>
            <w:tcBorders>
              <w:right w:val="single" w:color="000000" w:sz="4" w:space="0"/>
            </w:tcBorders>
            <w:shd w:val="clear" w:color="auto" w:fill="auto"/>
            <w:vAlign w:val="center"/>
          </w:tcPr>
          <w:p w14:paraId="43918AD9">
            <w:pPr>
              <w:pStyle w:val="55"/>
              <w:bidi w:val="0"/>
              <w:rPr>
                <w:rFonts w:hint="default" w:ascii="Times New Roman" w:hAnsi="Times New Roman"/>
                <w:sz w:val="24"/>
                <w:szCs w:val="24"/>
                <w:lang w:val="en-US" w:eastAsia="zh-CN"/>
              </w:rPr>
            </w:pPr>
            <w:r>
              <w:rPr>
                <w:rFonts w:hint="eastAsia" w:ascii="Times New Roman" w:hAnsi="Times New Roman"/>
                <w:sz w:val="24"/>
                <w:szCs w:val="24"/>
                <w:lang w:val="en-US" w:eastAsia="zh-CN"/>
              </w:rPr>
              <w:t>213.0</w:t>
            </w:r>
          </w:p>
        </w:tc>
        <w:tc>
          <w:tcPr>
            <w:tcW w:w="414" w:type="pct"/>
            <w:tcBorders>
              <w:left w:val="single" w:color="000000" w:sz="4" w:space="0"/>
            </w:tcBorders>
            <w:shd w:val="clear" w:color="auto" w:fill="auto"/>
            <w:vAlign w:val="center"/>
          </w:tcPr>
          <w:p w14:paraId="00387FB5">
            <w:pPr>
              <w:pStyle w:val="55"/>
              <w:bidi w:val="0"/>
              <w:rPr>
                <w:rFonts w:hint="eastAsia" w:ascii="Times New Roman" w:hAnsi="Times New Roman"/>
                <w:sz w:val="24"/>
                <w:szCs w:val="24"/>
                <w:lang w:val="en-US" w:eastAsia="zh-CN"/>
              </w:rPr>
            </w:pPr>
            <w:r>
              <w:rPr>
                <w:rFonts w:hint="eastAsia" w:ascii="Times New Roman" w:hAnsi="Times New Roman"/>
                <w:sz w:val="24"/>
                <w:szCs w:val="24"/>
                <w:lang w:val="en-US" w:eastAsia="zh-CN"/>
              </w:rPr>
              <w:t>6.389</w:t>
            </w:r>
          </w:p>
        </w:tc>
        <w:tc>
          <w:tcPr>
            <w:tcW w:w="369" w:type="pct"/>
            <w:vMerge w:val="continue"/>
            <w:vAlign w:val="center"/>
          </w:tcPr>
          <w:p w14:paraId="2B6CC78C">
            <w:pPr>
              <w:pStyle w:val="55"/>
              <w:rPr>
                <w:sz w:val="24"/>
                <w:szCs w:val="24"/>
              </w:rPr>
            </w:pPr>
          </w:p>
        </w:tc>
        <w:tc>
          <w:tcPr>
            <w:tcW w:w="346" w:type="pct"/>
            <w:vMerge w:val="restart"/>
            <w:tcBorders>
              <w:top w:val="single" w:color="000000" w:sz="4" w:space="0"/>
            </w:tcBorders>
            <w:vAlign w:val="center"/>
          </w:tcPr>
          <w:p w14:paraId="5EAE9702">
            <w:pPr>
              <w:pStyle w:val="55"/>
              <w:rPr>
                <w:sz w:val="24"/>
                <w:szCs w:val="24"/>
              </w:rPr>
            </w:pPr>
            <w:r>
              <w:rPr>
                <w:rFonts w:hint="eastAsia"/>
                <w:sz w:val="24"/>
                <w:szCs w:val="24"/>
                <w:lang w:val="en-US" w:eastAsia="zh-CN"/>
              </w:rPr>
              <w:t>95</w:t>
            </w:r>
          </w:p>
        </w:tc>
        <w:tc>
          <w:tcPr>
            <w:tcW w:w="422" w:type="pct"/>
            <w:vMerge w:val="continue"/>
            <w:vAlign w:val="center"/>
          </w:tcPr>
          <w:p w14:paraId="6B8CF2E8">
            <w:pPr>
              <w:pStyle w:val="55"/>
              <w:rPr>
                <w:sz w:val="24"/>
                <w:szCs w:val="24"/>
              </w:rPr>
            </w:pPr>
          </w:p>
        </w:tc>
        <w:tc>
          <w:tcPr>
            <w:tcW w:w="331" w:type="pct"/>
            <w:vAlign w:val="center"/>
          </w:tcPr>
          <w:p w14:paraId="718DD0DB">
            <w:pPr>
              <w:pStyle w:val="55"/>
              <w:bidi w:val="0"/>
              <w:rPr>
                <w:rFonts w:hint="eastAsia" w:ascii="Times New Roman" w:hAnsi="Times New Roman"/>
                <w:sz w:val="24"/>
                <w:szCs w:val="24"/>
                <w:lang w:val="en-US" w:eastAsia="zh-CN"/>
              </w:rPr>
            </w:pPr>
            <w:r>
              <w:rPr>
                <w:rFonts w:hint="eastAsia" w:ascii="Times New Roman" w:hAnsi="Times New Roman"/>
                <w:sz w:val="24"/>
                <w:szCs w:val="24"/>
                <w:lang w:val="en-US" w:eastAsia="zh-CN"/>
              </w:rPr>
              <w:t>2.277</w:t>
            </w:r>
          </w:p>
        </w:tc>
        <w:tc>
          <w:tcPr>
            <w:tcW w:w="482" w:type="pct"/>
            <w:tcBorders>
              <w:right w:val="single" w:color="000000" w:sz="4" w:space="0"/>
            </w:tcBorders>
            <w:vAlign w:val="center"/>
          </w:tcPr>
          <w:p w14:paraId="3FA4114E">
            <w:pPr>
              <w:pStyle w:val="55"/>
              <w:bidi w:val="0"/>
              <w:rPr>
                <w:rFonts w:hint="eastAsia" w:ascii="Times New Roman" w:hAnsi="Times New Roman"/>
                <w:sz w:val="24"/>
                <w:szCs w:val="24"/>
                <w:lang w:val="en-US" w:eastAsia="zh-CN"/>
              </w:rPr>
            </w:pPr>
            <w:r>
              <w:rPr>
                <w:rFonts w:hint="eastAsia" w:ascii="Times New Roman" w:hAnsi="Times New Roman"/>
                <w:sz w:val="24"/>
                <w:szCs w:val="24"/>
                <w:lang w:val="en-US" w:eastAsia="zh-CN"/>
              </w:rPr>
              <w:t>10.5</w:t>
            </w:r>
          </w:p>
        </w:tc>
        <w:tc>
          <w:tcPr>
            <w:tcW w:w="414" w:type="pct"/>
            <w:tcBorders>
              <w:left w:val="single" w:color="000000" w:sz="4" w:space="0"/>
            </w:tcBorders>
            <w:vAlign w:val="center"/>
          </w:tcPr>
          <w:p w14:paraId="00B93C1B">
            <w:pPr>
              <w:pStyle w:val="55"/>
              <w:bidi w:val="0"/>
              <w:rPr>
                <w:rFonts w:hint="eastAsia" w:ascii="Times New Roman" w:hAnsi="Times New Roman"/>
                <w:sz w:val="24"/>
                <w:szCs w:val="24"/>
                <w:lang w:val="en-US" w:eastAsia="zh-CN"/>
              </w:rPr>
            </w:pPr>
            <w:r>
              <w:rPr>
                <w:rFonts w:hint="eastAsia" w:ascii="Times New Roman" w:hAnsi="Times New Roman"/>
                <w:sz w:val="24"/>
                <w:szCs w:val="24"/>
                <w:lang w:val="en-US" w:eastAsia="zh-CN"/>
              </w:rPr>
              <w:t>0.316</w:t>
            </w:r>
          </w:p>
        </w:tc>
        <w:tc>
          <w:tcPr>
            <w:tcW w:w="306" w:type="pct"/>
            <w:vMerge w:val="continue"/>
            <w:vAlign w:val="center"/>
          </w:tcPr>
          <w:p w14:paraId="5D468B39">
            <w:pPr>
              <w:pStyle w:val="55"/>
              <w:rPr>
                <w:sz w:val="24"/>
                <w:szCs w:val="24"/>
              </w:rPr>
            </w:pPr>
          </w:p>
        </w:tc>
      </w:tr>
      <w:tr w14:paraId="3A3FF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54" w:type="pct"/>
            <w:vMerge w:val="continue"/>
            <w:vAlign w:val="center"/>
          </w:tcPr>
          <w:p w14:paraId="00FA2F94">
            <w:pPr>
              <w:pStyle w:val="55"/>
              <w:rPr>
                <w:sz w:val="24"/>
                <w:szCs w:val="24"/>
              </w:rPr>
            </w:pPr>
          </w:p>
        </w:tc>
        <w:tc>
          <w:tcPr>
            <w:tcW w:w="310" w:type="pct"/>
            <w:vMerge w:val="continue"/>
            <w:tcBorders>
              <w:top w:val="single" w:color="000000" w:sz="4" w:space="0"/>
              <w:bottom w:val="single" w:color="000000" w:sz="4" w:space="0"/>
            </w:tcBorders>
            <w:vAlign w:val="center"/>
          </w:tcPr>
          <w:p w14:paraId="5F3B7C19">
            <w:pPr>
              <w:pStyle w:val="55"/>
              <w:rPr>
                <w:sz w:val="24"/>
                <w:szCs w:val="24"/>
              </w:rPr>
            </w:pPr>
          </w:p>
        </w:tc>
        <w:tc>
          <w:tcPr>
            <w:tcW w:w="539" w:type="pct"/>
            <w:vAlign w:val="center"/>
          </w:tcPr>
          <w:p w14:paraId="30012ED1">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default" w:ascii="Times New Roman" w:hAnsi="Times New Roman" w:eastAsia="楷体" w:cs="Times New Roman"/>
                <w:sz w:val="24"/>
                <w:szCs w:val="24"/>
                <w:lang w:val="en-US" w:eastAsia="zh-CN"/>
              </w:rPr>
              <w:t>氯化氢</w:t>
            </w:r>
          </w:p>
        </w:tc>
        <w:tc>
          <w:tcPr>
            <w:tcW w:w="369" w:type="pct"/>
            <w:shd w:val="clear" w:color="auto" w:fill="auto"/>
            <w:vAlign w:val="center"/>
          </w:tcPr>
          <w:p w14:paraId="35E27339">
            <w:pPr>
              <w:pStyle w:val="55"/>
              <w:bidi w:val="0"/>
              <w:rPr>
                <w:rFonts w:hint="default" w:ascii="Times New Roman" w:hAnsi="Times New Roman"/>
                <w:sz w:val="24"/>
                <w:szCs w:val="24"/>
                <w:lang w:val="en-US" w:eastAsia="zh-CN"/>
              </w:rPr>
            </w:pPr>
            <w:r>
              <w:rPr>
                <w:rFonts w:hint="eastAsia" w:ascii="Times New Roman" w:hAnsi="Times New Roman"/>
                <w:sz w:val="24"/>
                <w:szCs w:val="24"/>
                <w:lang w:val="en-US" w:eastAsia="zh-CN"/>
              </w:rPr>
              <w:t>0.030</w:t>
            </w:r>
          </w:p>
        </w:tc>
        <w:tc>
          <w:tcPr>
            <w:tcW w:w="437" w:type="pct"/>
            <w:tcBorders>
              <w:right w:val="single" w:color="000000" w:sz="4" w:space="0"/>
            </w:tcBorders>
            <w:shd w:val="clear" w:color="auto" w:fill="auto"/>
            <w:vAlign w:val="center"/>
          </w:tcPr>
          <w:p w14:paraId="3A5DFE10">
            <w:pPr>
              <w:pStyle w:val="55"/>
              <w:bidi w:val="0"/>
              <w:rPr>
                <w:rFonts w:hint="default" w:ascii="Times New Roman" w:hAnsi="Times New Roman"/>
                <w:sz w:val="24"/>
                <w:szCs w:val="24"/>
                <w:lang w:val="en-US" w:eastAsia="zh-CN"/>
              </w:rPr>
            </w:pPr>
            <w:r>
              <w:rPr>
                <w:rFonts w:hint="eastAsia" w:ascii="Times New Roman" w:hAnsi="Times New Roman"/>
                <w:sz w:val="24"/>
                <w:szCs w:val="24"/>
                <w:lang w:val="en-US" w:eastAsia="zh-CN"/>
              </w:rPr>
              <w:t>0.138</w:t>
            </w:r>
          </w:p>
        </w:tc>
        <w:tc>
          <w:tcPr>
            <w:tcW w:w="414" w:type="pct"/>
            <w:tcBorders>
              <w:left w:val="single" w:color="000000" w:sz="4" w:space="0"/>
            </w:tcBorders>
            <w:shd w:val="clear" w:color="auto" w:fill="auto"/>
            <w:vAlign w:val="center"/>
          </w:tcPr>
          <w:p w14:paraId="6507419F">
            <w:pPr>
              <w:pStyle w:val="55"/>
              <w:bidi w:val="0"/>
              <w:rPr>
                <w:rFonts w:hint="eastAsia" w:ascii="Times New Roman" w:hAnsi="Times New Roman"/>
                <w:sz w:val="24"/>
                <w:szCs w:val="24"/>
                <w:lang w:val="en-US" w:eastAsia="zh-CN"/>
              </w:rPr>
            </w:pPr>
            <w:r>
              <w:rPr>
                <w:rFonts w:hint="eastAsia" w:ascii="Times New Roman" w:hAnsi="Times New Roman"/>
                <w:sz w:val="24"/>
                <w:szCs w:val="24"/>
                <w:lang w:val="en-US" w:eastAsia="zh-CN"/>
              </w:rPr>
              <w:t>0.004</w:t>
            </w:r>
          </w:p>
        </w:tc>
        <w:tc>
          <w:tcPr>
            <w:tcW w:w="369" w:type="pct"/>
            <w:vMerge w:val="continue"/>
            <w:vAlign w:val="center"/>
          </w:tcPr>
          <w:p w14:paraId="75160EAC">
            <w:pPr>
              <w:pStyle w:val="55"/>
              <w:rPr>
                <w:sz w:val="24"/>
                <w:szCs w:val="24"/>
              </w:rPr>
            </w:pPr>
          </w:p>
        </w:tc>
        <w:tc>
          <w:tcPr>
            <w:tcW w:w="346" w:type="pct"/>
            <w:vMerge w:val="continue"/>
            <w:tcBorders>
              <w:top w:val="single" w:color="000000" w:sz="4" w:space="0"/>
              <w:bottom w:val="single" w:color="000000" w:sz="4" w:space="0"/>
            </w:tcBorders>
            <w:vAlign w:val="center"/>
          </w:tcPr>
          <w:p w14:paraId="15C204C0">
            <w:pPr>
              <w:pStyle w:val="55"/>
              <w:rPr>
                <w:sz w:val="24"/>
                <w:szCs w:val="24"/>
              </w:rPr>
            </w:pPr>
          </w:p>
        </w:tc>
        <w:tc>
          <w:tcPr>
            <w:tcW w:w="422" w:type="pct"/>
            <w:vMerge w:val="continue"/>
            <w:vAlign w:val="center"/>
          </w:tcPr>
          <w:p w14:paraId="7AA0B335">
            <w:pPr>
              <w:pStyle w:val="55"/>
              <w:rPr>
                <w:sz w:val="24"/>
                <w:szCs w:val="24"/>
              </w:rPr>
            </w:pPr>
          </w:p>
        </w:tc>
        <w:tc>
          <w:tcPr>
            <w:tcW w:w="331" w:type="pct"/>
            <w:vAlign w:val="center"/>
          </w:tcPr>
          <w:p w14:paraId="751722FD">
            <w:pPr>
              <w:pStyle w:val="55"/>
              <w:bidi w:val="0"/>
              <w:rPr>
                <w:rFonts w:hint="eastAsia" w:ascii="Times New Roman" w:hAnsi="Times New Roman"/>
                <w:sz w:val="24"/>
                <w:szCs w:val="24"/>
                <w:lang w:val="en-US" w:eastAsia="zh-CN"/>
              </w:rPr>
            </w:pPr>
            <w:r>
              <w:rPr>
                <w:rFonts w:hint="eastAsia" w:ascii="Times New Roman" w:hAnsi="Times New Roman"/>
                <w:sz w:val="24"/>
                <w:szCs w:val="24"/>
                <w:lang w:val="en-US" w:eastAsia="zh-CN"/>
              </w:rPr>
              <w:t>0.0015</w:t>
            </w:r>
          </w:p>
        </w:tc>
        <w:tc>
          <w:tcPr>
            <w:tcW w:w="482" w:type="pct"/>
            <w:tcBorders>
              <w:right w:val="single" w:color="000000" w:sz="4" w:space="0"/>
            </w:tcBorders>
            <w:vAlign w:val="center"/>
          </w:tcPr>
          <w:p w14:paraId="6D6C4514">
            <w:pPr>
              <w:pStyle w:val="55"/>
              <w:bidi w:val="0"/>
              <w:rPr>
                <w:rFonts w:hint="eastAsia" w:ascii="Times New Roman" w:hAnsi="Times New Roman"/>
                <w:sz w:val="24"/>
                <w:szCs w:val="24"/>
                <w:lang w:val="en-US" w:eastAsia="zh-CN"/>
              </w:rPr>
            </w:pPr>
            <w:r>
              <w:rPr>
                <w:rFonts w:hint="eastAsia" w:ascii="Times New Roman" w:hAnsi="Times New Roman"/>
                <w:sz w:val="24"/>
                <w:szCs w:val="24"/>
                <w:lang w:val="en-US" w:eastAsia="zh-CN"/>
              </w:rPr>
              <w:t>0.007</w:t>
            </w:r>
          </w:p>
        </w:tc>
        <w:tc>
          <w:tcPr>
            <w:tcW w:w="414" w:type="pct"/>
            <w:tcBorders>
              <w:left w:val="single" w:color="000000" w:sz="4" w:space="0"/>
            </w:tcBorders>
            <w:vAlign w:val="center"/>
          </w:tcPr>
          <w:p w14:paraId="3E9D0AD8">
            <w:pPr>
              <w:pStyle w:val="55"/>
              <w:bidi w:val="0"/>
              <w:rPr>
                <w:rFonts w:hint="eastAsia" w:ascii="Times New Roman" w:hAnsi="Times New Roman"/>
                <w:sz w:val="24"/>
                <w:szCs w:val="24"/>
                <w:lang w:val="en-US" w:eastAsia="zh-CN"/>
              </w:rPr>
            </w:pPr>
            <w:r>
              <w:rPr>
                <w:rFonts w:hint="eastAsia" w:ascii="Times New Roman" w:hAnsi="Times New Roman"/>
                <w:sz w:val="24"/>
                <w:szCs w:val="24"/>
                <w:lang w:val="en-US" w:eastAsia="zh-CN"/>
              </w:rPr>
              <w:t>0.0002</w:t>
            </w:r>
          </w:p>
        </w:tc>
        <w:tc>
          <w:tcPr>
            <w:tcW w:w="306" w:type="pct"/>
            <w:vMerge w:val="continue"/>
            <w:vAlign w:val="center"/>
          </w:tcPr>
          <w:p w14:paraId="0E5BBAFF">
            <w:pPr>
              <w:pStyle w:val="55"/>
              <w:rPr>
                <w:sz w:val="24"/>
                <w:szCs w:val="24"/>
              </w:rPr>
            </w:pPr>
          </w:p>
        </w:tc>
      </w:tr>
      <w:tr w14:paraId="03485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54" w:type="pct"/>
            <w:vMerge w:val="continue"/>
            <w:vAlign w:val="center"/>
          </w:tcPr>
          <w:p w14:paraId="0154FA4C">
            <w:pPr>
              <w:pStyle w:val="55"/>
              <w:rPr>
                <w:sz w:val="24"/>
                <w:szCs w:val="24"/>
              </w:rPr>
            </w:pPr>
          </w:p>
        </w:tc>
        <w:tc>
          <w:tcPr>
            <w:tcW w:w="310" w:type="pct"/>
            <w:vMerge w:val="continue"/>
            <w:tcBorders>
              <w:top w:val="single" w:color="000000" w:sz="4" w:space="0"/>
              <w:bottom w:val="single" w:color="000000" w:sz="4" w:space="0"/>
            </w:tcBorders>
            <w:vAlign w:val="center"/>
          </w:tcPr>
          <w:p w14:paraId="14946515">
            <w:pPr>
              <w:pStyle w:val="55"/>
              <w:rPr>
                <w:sz w:val="24"/>
                <w:szCs w:val="24"/>
              </w:rPr>
            </w:pPr>
          </w:p>
        </w:tc>
        <w:tc>
          <w:tcPr>
            <w:tcW w:w="539" w:type="pct"/>
            <w:vAlign w:val="center"/>
          </w:tcPr>
          <w:p w14:paraId="551327AE">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臭气浓度</w:t>
            </w:r>
          </w:p>
        </w:tc>
        <w:tc>
          <w:tcPr>
            <w:tcW w:w="369" w:type="pct"/>
            <w:shd w:val="clear" w:color="auto" w:fill="auto"/>
            <w:vAlign w:val="center"/>
          </w:tcPr>
          <w:p w14:paraId="2B07543B">
            <w:pPr>
              <w:pStyle w:val="55"/>
              <w:bidi w:val="0"/>
              <w:rPr>
                <w:rFonts w:hint="default" w:ascii="Times New Roman" w:hAnsi="Times New Roman" w:eastAsia="楷体" w:cstheme="minorBidi"/>
                <w:snapToGrid w:val="0"/>
                <w:kern w:val="0"/>
                <w:sz w:val="24"/>
                <w:szCs w:val="24"/>
                <w:lang w:val="en-US" w:eastAsia="zh-CN" w:bidi="ar-SA"/>
              </w:rPr>
            </w:pPr>
            <w:r>
              <w:rPr>
                <w:rFonts w:hint="eastAsia"/>
                <w:sz w:val="24"/>
                <w:szCs w:val="24"/>
                <w:lang w:val="en-US" w:eastAsia="zh-CN"/>
              </w:rPr>
              <w:t>/</w:t>
            </w:r>
          </w:p>
        </w:tc>
        <w:tc>
          <w:tcPr>
            <w:tcW w:w="437" w:type="pct"/>
            <w:tcBorders>
              <w:right w:val="single" w:color="000000" w:sz="4" w:space="0"/>
            </w:tcBorders>
            <w:shd w:val="clear" w:color="auto" w:fill="auto"/>
            <w:vAlign w:val="center"/>
          </w:tcPr>
          <w:p w14:paraId="043CD9AA">
            <w:pPr>
              <w:pStyle w:val="55"/>
              <w:bidi w:val="0"/>
              <w:rPr>
                <w:rFonts w:hint="default" w:ascii="Times New Roman" w:hAnsi="Times New Roman" w:eastAsia="楷体" w:cstheme="minorBidi"/>
                <w:snapToGrid w:val="0"/>
                <w:kern w:val="0"/>
                <w:sz w:val="24"/>
                <w:szCs w:val="24"/>
                <w:lang w:val="en-US" w:eastAsia="zh-CN" w:bidi="ar-SA"/>
              </w:rPr>
            </w:pPr>
            <w:r>
              <w:rPr>
                <w:rFonts w:hint="eastAsia"/>
                <w:sz w:val="24"/>
                <w:szCs w:val="24"/>
                <w:lang w:val="en-US" w:eastAsia="zh-CN"/>
              </w:rPr>
              <w:t>/</w:t>
            </w:r>
          </w:p>
        </w:tc>
        <w:tc>
          <w:tcPr>
            <w:tcW w:w="414" w:type="pct"/>
            <w:tcBorders>
              <w:left w:val="single" w:color="000000" w:sz="4" w:space="0"/>
            </w:tcBorders>
            <w:shd w:val="clear" w:color="auto" w:fill="auto"/>
            <w:vAlign w:val="center"/>
          </w:tcPr>
          <w:p w14:paraId="5F794EBE">
            <w:pPr>
              <w:pStyle w:val="55"/>
              <w:bidi w:val="0"/>
              <w:rPr>
                <w:rFonts w:hint="eastAsia"/>
                <w:sz w:val="24"/>
                <w:szCs w:val="24"/>
                <w:lang w:val="en-US" w:eastAsia="zh-CN"/>
              </w:rPr>
            </w:pPr>
            <w:r>
              <w:rPr>
                <w:rFonts w:hint="eastAsia"/>
                <w:sz w:val="24"/>
                <w:szCs w:val="24"/>
                <w:lang w:val="en-US" w:eastAsia="zh-CN"/>
              </w:rPr>
              <w:t>/</w:t>
            </w:r>
          </w:p>
        </w:tc>
        <w:tc>
          <w:tcPr>
            <w:tcW w:w="369" w:type="pct"/>
            <w:vMerge w:val="continue"/>
            <w:vAlign w:val="center"/>
          </w:tcPr>
          <w:p w14:paraId="1ED9929A">
            <w:pPr>
              <w:pStyle w:val="55"/>
              <w:rPr>
                <w:sz w:val="24"/>
                <w:szCs w:val="24"/>
              </w:rPr>
            </w:pPr>
          </w:p>
        </w:tc>
        <w:tc>
          <w:tcPr>
            <w:tcW w:w="346" w:type="pct"/>
            <w:vMerge w:val="continue"/>
            <w:tcBorders>
              <w:top w:val="single" w:color="000000" w:sz="4" w:space="0"/>
              <w:bottom w:val="single" w:color="000000" w:sz="4" w:space="0"/>
            </w:tcBorders>
            <w:vAlign w:val="center"/>
          </w:tcPr>
          <w:p w14:paraId="05BE4994">
            <w:pPr>
              <w:pStyle w:val="55"/>
              <w:rPr>
                <w:sz w:val="24"/>
                <w:szCs w:val="24"/>
              </w:rPr>
            </w:pPr>
          </w:p>
        </w:tc>
        <w:tc>
          <w:tcPr>
            <w:tcW w:w="422" w:type="pct"/>
            <w:vMerge w:val="continue"/>
            <w:tcBorders>
              <w:bottom w:val="single" w:color="000000" w:sz="4" w:space="0"/>
            </w:tcBorders>
            <w:vAlign w:val="center"/>
          </w:tcPr>
          <w:p w14:paraId="079F8940">
            <w:pPr>
              <w:pStyle w:val="55"/>
              <w:rPr>
                <w:sz w:val="24"/>
                <w:szCs w:val="24"/>
              </w:rPr>
            </w:pPr>
          </w:p>
        </w:tc>
        <w:tc>
          <w:tcPr>
            <w:tcW w:w="331" w:type="pct"/>
            <w:vAlign w:val="center"/>
          </w:tcPr>
          <w:p w14:paraId="42C1B523">
            <w:pPr>
              <w:pStyle w:val="55"/>
              <w:bidi w:val="0"/>
              <w:rPr>
                <w:sz w:val="24"/>
                <w:szCs w:val="24"/>
              </w:rPr>
            </w:pPr>
            <w:r>
              <w:rPr>
                <w:rFonts w:hint="eastAsia"/>
                <w:sz w:val="24"/>
                <w:szCs w:val="24"/>
                <w:lang w:val="en-US" w:eastAsia="zh-CN"/>
              </w:rPr>
              <w:t>/</w:t>
            </w:r>
          </w:p>
        </w:tc>
        <w:tc>
          <w:tcPr>
            <w:tcW w:w="482" w:type="pct"/>
            <w:tcBorders>
              <w:right w:val="single" w:color="000000" w:sz="4" w:space="0"/>
            </w:tcBorders>
            <w:vAlign w:val="center"/>
          </w:tcPr>
          <w:p w14:paraId="17E22F74">
            <w:pPr>
              <w:pStyle w:val="55"/>
              <w:bidi w:val="0"/>
              <w:rPr>
                <w:sz w:val="24"/>
                <w:szCs w:val="24"/>
              </w:rPr>
            </w:pPr>
            <w:r>
              <w:rPr>
                <w:rFonts w:hint="eastAsia"/>
                <w:sz w:val="24"/>
                <w:szCs w:val="24"/>
                <w:lang w:val="en-US" w:eastAsia="zh-CN"/>
              </w:rPr>
              <w:t>/</w:t>
            </w:r>
          </w:p>
        </w:tc>
        <w:tc>
          <w:tcPr>
            <w:tcW w:w="414" w:type="pct"/>
            <w:tcBorders>
              <w:left w:val="single" w:color="000000" w:sz="4" w:space="0"/>
            </w:tcBorders>
            <w:vAlign w:val="center"/>
          </w:tcPr>
          <w:p w14:paraId="6A261E03">
            <w:pPr>
              <w:pStyle w:val="55"/>
              <w:bidi w:val="0"/>
              <w:rPr>
                <w:rFonts w:hint="default"/>
                <w:sz w:val="24"/>
                <w:szCs w:val="24"/>
                <w:lang w:val="en-US" w:eastAsia="zh-CN"/>
              </w:rPr>
            </w:pPr>
            <w:r>
              <w:rPr>
                <w:rFonts w:hint="eastAsia"/>
                <w:sz w:val="24"/>
                <w:szCs w:val="24"/>
                <w:lang w:val="en-US" w:eastAsia="zh-CN"/>
              </w:rPr>
              <w:t>/</w:t>
            </w:r>
          </w:p>
        </w:tc>
        <w:tc>
          <w:tcPr>
            <w:tcW w:w="306" w:type="pct"/>
            <w:vMerge w:val="continue"/>
            <w:vAlign w:val="center"/>
          </w:tcPr>
          <w:p w14:paraId="28071B06">
            <w:pPr>
              <w:pStyle w:val="55"/>
              <w:rPr>
                <w:sz w:val="24"/>
                <w:szCs w:val="24"/>
              </w:rPr>
            </w:pPr>
          </w:p>
        </w:tc>
      </w:tr>
      <w:tr w14:paraId="54EC1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54" w:type="pct"/>
            <w:vMerge w:val="restart"/>
            <w:vAlign w:val="center"/>
          </w:tcPr>
          <w:p w14:paraId="0F6C22E2">
            <w:pPr>
              <w:pStyle w:val="55"/>
              <w:rPr>
                <w:sz w:val="24"/>
                <w:szCs w:val="24"/>
              </w:rPr>
            </w:pPr>
            <w:r>
              <w:rPr>
                <w:rFonts w:hint="eastAsia"/>
                <w:sz w:val="24"/>
                <w:szCs w:val="24"/>
                <w:lang w:val="en-US" w:eastAsia="zh-CN"/>
              </w:rPr>
              <w:t>2</w:t>
            </w:r>
            <w:r>
              <w:rPr>
                <w:rFonts w:hint="eastAsia"/>
                <w:sz w:val="24"/>
                <w:szCs w:val="24"/>
              </w:rPr>
              <w:t>#生产车间</w:t>
            </w:r>
          </w:p>
        </w:tc>
        <w:tc>
          <w:tcPr>
            <w:tcW w:w="310" w:type="pct"/>
            <w:tcBorders>
              <w:top w:val="single" w:color="000000" w:sz="4" w:space="0"/>
            </w:tcBorders>
            <w:vAlign w:val="center"/>
          </w:tcPr>
          <w:p w14:paraId="329E5877">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lang w:val="en-US" w:eastAsia="zh-CN"/>
              </w:rPr>
              <w:t>投料搅拌</w:t>
            </w:r>
            <w:r>
              <w:rPr>
                <w:rFonts w:hint="default" w:ascii="Times New Roman" w:hAnsi="Times New Roman" w:eastAsia="楷体" w:cs="Times New Roman"/>
                <w:sz w:val="24"/>
                <w:szCs w:val="24"/>
                <w:lang w:val="en-US" w:eastAsia="zh-CN"/>
              </w:rPr>
              <w:t>工序</w:t>
            </w:r>
          </w:p>
        </w:tc>
        <w:tc>
          <w:tcPr>
            <w:tcW w:w="539" w:type="pct"/>
            <w:vAlign w:val="center"/>
          </w:tcPr>
          <w:p w14:paraId="3F146F5B">
            <w:pPr>
              <w:pStyle w:val="55"/>
              <w:rPr>
                <w:sz w:val="24"/>
                <w:szCs w:val="24"/>
              </w:rPr>
            </w:pPr>
            <w:r>
              <w:rPr>
                <w:rFonts w:hint="eastAsia"/>
                <w:sz w:val="24"/>
                <w:szCs w:val="24"/>
                <w:lang w:val="en-US" w:eastAsia="zh-CN"/>
              </w:rPr>
              <w:t>颗粒物</w:t>
            </w:r>
          </w:p>
        </w:tc>
        <w:tc>
          <w:tcPr>
            <w:tcW w:w="369" w:type="pct"/>
            <w:shd w:val="clear" w:color="auto" w:fill="auto"/>
            <w:vAlign w:val="center"/>
          </w:tcPr>
          <w:p w14:paraId="0BA15CF5">
            <w:pPr>
              <w:pStyle w:val="55"/>
              <w:bidi w:val="0"/>
              <w:rPr>
                <w:rFonts w:hint="default" w:ascii="Times New Roman" w:hAnsi="Times New Roman" w:eastAsia="楷体" w:cstheme="minorBidi"/>
                <w:snapToGrid w:val="0"/>
                <w:kern w:val="0"/>
                <w:sz w:val="24"/>
                <w:szCs w:val="24"/>
                <w:lang w:val="en-US" w:eastAsia="zh-CN" w:bidi="ar-SA"/>
              </w:rPr>
            </w:pPr>
            <w:r>
              <w:rPr>
                <w:rFonts w:hint="eastAsia" w:ascii="Times New Roman" w:hAnsi="Times New Roman"/>
                <w:sz w:val="24"/>
                <w:szCs w:val="24"/>
                <w:lang w:val="en-US" w:eastAsia="zh-CN"/>
              </w:rPr>
              <w:t>25</w:t>
            </w:r>
          </w:p>
        </w:tc>
        <w:tc>
          <w:tcPr>
            <w:tcW w:w="437" w:type="pct"/>
            <w:tcBorders>
              <w:right w:val="single" w:color="000000" w:sz="4" w:space="0"/>
            </w:tcBorders>
            <w:shd w:val="clear" w:color="auto" w:fill="auto"/>
            <w:vAlign w:val="center"/>
          </w:tcPr>
          <w:p w14:paraId="727AD656">
            <w:pPr>
              <w:pStyle w:val="55"/>
              <w:bidi w:val="0"/>
              <w:rPr>
                <w:rFonts w:hint="default" w:ascii="Times New Roman" w:hAnsi="Times New Roman" w:eastAsia="楷体" w:cstheme="minorBidi"/>
                <w:snapToGrid w:val="0"/>
                <w:kern w:val="0"/>
                <w:sz w:val="24"/>
                <w:szCs w:val="24"/>
                <w:lang w:val="en-US" w:eastAsia="zh-CN" w:bidi="ar-SA"/>
              </w:rPr>
            </w:pPr>
            <w:r>
              <w:rPr>
                <w:rFonts w:hint="eastAsia" w:ascii="Times New Roman" w:hAnsi="Times New Roman"/>
                <w:sz w:val="24"/>
                <w:szCs w:val="24"/>
                <w:lang w:val="en-US" w:eastAsia="zh-CN"/>
              </w:rPr>
              <w:t>115.7</w:t>
            </w:r>
          </w:p>
        </w:tc>
        <w:tc>
          <w:tcPr>
            <w:tcW w:w="414" w:type="pct"/>
            <w:tcBorders>
              <w:left w:val="single" w:color="000000" w:sz="4" w:space="0"/>
            </w:tcBorders>
            <w:shd w:val="clear" w:color="auto" w:fill="auto"/>
            <w:vAlign w:val="center"/>
          </w:tcPr>
          <w:p w14:paraId="5076B31B">
            <w:pPr>
              <w:pStyle w:val="55"/>
              <w:bidi w:val="0"/>
              <w:rPr>
                <w:rFonts w:hint="eastAsia"/>
                <w:sz w:val="24"/>
                <w:szCs w:val="24"/>
                <w:lang w:val="en-US" w:eastAsia="zh-CN"/>
              </w:rPr>
            </w:pPr>
            <w:r>
              <w:rPr>
                <w:rFonts w:hint="eastAsia" w:ascii="Times New Roman" w:hAnsi="Times New Roman"/>
                <w:sz w:val="24"/>
                <w:szCs w:val="24"/>
                <w:lang w:val="en-US" w:eastAsia="zh-CN"/>
              </w:rPr>
              <w:t>3.472</w:t>
            </w:r>
          </w:p>
        </w:tc>
        <w:tc>
          <w:tcPr>
            <w:tcW w:w="369" w:type="pct"/>
            <w:vMerge w:val="restart"/>
            <w:vAlign w:val="center"/>
          </w:tcPr>
          <w:p w14:paraId="4319BA07">
            <w:pPr>
              <w:pStyle w:val="55"/>
              <w:rPr>
                <w:sz w:val="24"/>
                <w:szCs w:val="24"/>
              </w:rPr>
            </w:pPr>
            <w:r>
              <w:rPr>
                <w:rFonts w:hint="eastAsia" w:ascii="Times New Roman" w:hAnsi="Times New Roman" w:eastAsia="楷体" w:cs="Times New Roman"/>
                <w:sz w:val="24"/>
                <w:szCs w:val="24"/>
                <w:lang w:val="en-US" w:eastAsia="zh-CN"/>
              </w:rPr>
              <w:t>布袋除尘器+两级活性炭吸附装置</w:t>
            </w:r>
          </w:p>
        </w:tc>
        <w:tc>
          <w:tcPr>
            <w:tcW w:w="346" w:type="pct"/>
            <w:vMerge w:val="restart"/>
            <w:tcBorders>
              <w:top w:val="single" w:color="000000" w:sz="4" w:space="0"/>
              <w:bottom w:val="single" w:color="000000" w:sz="4" w:space="0"/>
            </w:tcBorders>
            <w:vAlign w:val="center"/>
          </w:tcPr>
          <w:p w14:paraId="524B45CA">
            <w:pPr>
              <w:pStyle w:val="55"/>
              <w:rPr>
                <w:sz w:val="24"/>
                <w:szCs w:val="24"/>
              </w:rPr>
            </w:pPr>
            <w:r>
              <w:rPr>
                <w:rFonts w:hint="eastAsia"/>
                <w:sz w:val="24"/>
                <w:szCs w:val="24"/>
                <w:lang w:val="en-US" w:eastAsia="zh-CN"/>
              </w:rPr>
              <w:t>97</w:t>
            </w:r>
          </w:p>
        </w:tc>
        <w:tc>
          <w:tcPr>
            <w:tcW w:w="422" w:type="pct"/>
            <w:vMerge w:val="restart"/>
            <w:tcBorders>
              <w:top w:val="single" w:color="000000" w:sz="4" w:space="0"/>
            </w:tcBorders>
            <w:vAlign w:val="center"/>
          </w:tcPr>
          <w:p w14:paraId="35F99D88">
            <w:pPr>
              <w:pStyle w:val="55"/>
              <w:rPr>
                <w:sz w:val="24"/>
                <w:szCs w:val="24"/>
              </w:rPr>
            </w:pPr>
            <w:r>
              <w:rPr>
                <w:rFonts w:hint="eastAsia"/>
                <w:sz w:val="24"/>
                <w:szCs w:val="24"/>
                <w:lang w:val="en-US" w:eastAsia="zh-CN"/>
              </w:rPr>
              <w:t>30000</w:t>
            </w:r>
          </w:p>
        </w:tc>
        <w:tc>
          <w:tcPr>
            <w:tcW w:w="331" w:type="pct"/>
            <w:vMerge w:val="restart"/>
            <w:vAlign w:val="center"/>
          </w:tcPr>
          <w:p w14:paraId="1028FE13">
            <w:pPr>
              <w:pStyle w:val="55"/>
              <w:bidi w:val="0"/>
              <w:rPr>
                <w:sz w:val="24"/>
                <w:szCs w:val="24"/>
              </w:rPr>
            </w:pPr>
            <w:r>
              <w:rPr>
                <w:rFonts w:hint="eastAsia" w:ascii="Times New Roman" w:hAnsi="Times New Roman"/>
                <w:sz w:val="24"/>
                <w:szCs w:val="24"/>
                <w:lang w:val="en-US" w:eastAsia="zh-CN"/>
              </w:rPr>
              <w:t>1.357</w:t>
            </w:r>
          </w:p>
        </w:tc>
        <w:tc>
          <w:tcPr>
            <w:tcW w:w="482" w:type="pct"/>
            <w:vMerge w:val="restart"/>
            <w:tcBorders>
              <w:right w:val="single" w:color="000000" w:sz="4" w:space="0"/>
            </w:tcBorders>
            <w:vAlign w:val="center"/>
          </w:tcPr>
          <w:p w14:paraId="6330A919">
            <w:pPr>
              <w:pStyle w:val="55"/>
              <w:bidi w:val="0"/>
              <w:rPr>
                <w:sz w:val="24"/>
                <w:szCs w:val="24"/>
              </w:rPr>
            </w:pPr>
            <w:r>
              <w:rPr>
                <w:rFonts w:hint="eastAsia" w:ascii="Times New Roman" w:hAnsi="Times New Roman"/>
                <w:sz w:val="24"/>
                <w:szCs w:val="24"/>
                <w:lang w:val="en-US" w:eastAsia="zh-CN"/>
              </w:rPr>
              <w:t>6.284</w:t>
            </w:r>
          </w:p>
        </w:tc>
        <w:tc>
          <w:tcPr>
            <w:tcW w:w="414" w:type="pct"/>
            <w:vMerge w:val="restart"/>
            <w:tcBorders>
              <w:left w:val="single" w:color="000000" w:sz="4" w:space="0"/>
            </w:tcBorders>
            <w:vAlign w:val="center"/>
          </w:tcPr>
          <w:p w14:paraId="4D7083D6">
            <w:pPr>
              <w:pStyle w:val="55"/>
              <w:bidi w:val="0"/>
              <w:rPr>
                <w:rFonts w:hint="eastAsia"/>
                <w:sz w:val="24"/>
                <w:szCs w:val="24"/>
                <w:lang w:val="en-US" w:eastAsia="zh-CN"/>
              </w:rPr>
            </w:pPr>
            <w:r>
              <w:rPr>
                <w:rFonts w:hint="eastAsia" w:ascii="Times New Roman" w:hAnsi="Times New Roman"/>
                <w:sz w:val="24"/>
                <w:szCs w:val="24"/>
                <w:lang w:val="en-US" w:eastAsia="zh-CN"/>
              </w:rPr>
              <w:t>0.189</w:t>
            </w:r>
          </w:p>
        </w:tc>
        <w:tc>
          <w:tcPr>
            <w:tcW w:w="306" w:type="pct"/>
            <w:vMerge w:val="restart"/>
            <w:vAlign w:val="center"/>
          </w:tcPr>
          <w:p w14:paraId="78C5D4BA">
            <w:pPr>
              <w:pStyle w:val="55"/>
              <w:rPr>
                <w:sz w:val="24"/>
                <w:szCs w:val="24"/>
              </w:rPr>
            </w:pPr>
            <w:r>
              <w:rPr>
                <w:rFonts w:hint="eastAsia"/>
                <w:sz w:val="24"/>
                <w:szCs w:val="24"/>
                <w:lang w:val="en-US" w:eastAsia="zh-CN"/>
              </w:rPr>
              <w:t>7200</w:t>
            </w:r>
          </w:p>
        </w:tc>
      </w:tr>
      <w:tr w14:paraId="4C5F7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54" w:type="pct"/>
            <w:vMerge w:val="continue"/>
            <w:vAlign w:val="center"/>
          </w:tcPr>
          <w:p w14:paraId="52F1371A">
            <w:pPr>
              <w:pStyle w:val="55"/>
              <w:rPr>
                <w:sz w:val="24"/>
                <w:szCs w:val="24"/>
              </w:rPr>
            </w:pPr>
          </w:p>
        </w:tc>
        <w:tc>
          <w:tcPr>
            <w:tcW w:w="310" w:type="pct"/>
            <w:vMerge w:val="restart"/>
            <w:vAlign w:val="center"/>
          </w:tcPr>
          <w:p w14:paraId="01969EF2">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default" w:ascii="Times New Roman" w:hAnsi="Times New Roman" w:eastAsia="楷体" w:cs="Times New Roman"/>
                <w:sz w:val="24"/>
                <w:szCs w:val="24"/>
                <w:lang w:val="en-US" w:eastAsia="zh-CN"/>
              </w:rPr>
              <w:t>挤出工序</w:t>
            </w:r>
          </w:p>
        </w:tc>
        <w:tc>
          <w:tcPr>
            <w:tcW w:w="539" w:type="pct"/>
            <w:vAlign w:val="center"/>
          </w:tcPr>
          <w:p w14:paraId="2C2984F3">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default" w:ascii="Times New Roman" w:hAnsi="Times New Roman" w:eastAsia="楷体" w:cs="Times New Roman"/>
                <w:sz w:val="24"/>
                <w:szCs w:val="24"/>
                <w:lang w:val="en-US" w:eastAsia="zh-CN"/>
              </w:rPr>
              <w:t>颗粒物</w:t>
            </w:r>
          </w:p>
        </w:tc>
        <w:tc>
          <w:tcPr>
            <w:tcW w:w="369" w:type="pct"/>
            <w:shd w:val="clear" w:color="auto" w:fill="auto"/>
            <w:vAlign w:val="center"/>
          </w:tcPr>
          <w:p w14:paraId="13F283CD">
            <w:pPr>
              <w:pStyle w:val="55"/>
              <w:bidi w:val="0"/>
              <w:rPr>
                <w:rFonts w:hint="default" w:ascii="Times New Roman" w:hAnsi="Times New Roman" w:eastAsia="楷体" w:cstheme="minorBidi"/>
                <w:snapToGrid w:val="0"/>
                <w:kern w:val="0"/>
                <w:sz w:val="24"/>
                <w:szCs w:val="24"/>
                <w:lang w:val="en-US" w:eastAsia="zh-CN" w:bidi="ar-SA"/>
              </w:rPr>
            </w:pPr>
            <w:r>
              <w:rPr>
                <w:rFonts w:hint="eastAsia" w:ascii="Times New Roman" w:hAnsi="Times New Roman"/>
                <w:sz w:val="24"/>
                <w:szCs w:val="24"/>
                <w:lang w:val="en-US" w:eastAsia="zh-CN"/>
              </w:rPr>
              <w:t>20.7</w:t>
            </w:r>
          </w:p>
        </w:tc>
        <w:tc>
          <w:tcPr>
            <w:tcW w:w="437" w:type="pct"/>
            <w:tcBorders>
              <w:right w:val="single" w:color="000000" w:sz="4" w:space="0"/>
            </w:tcBorders>
            <w:shd w:val="clear" w:color="auto" w:fill="auto"/>
            <w:vAlign w:val="center"/>
          </w:tcPr>
          <w:p w14:paraId="15260696">
            <w:pPr>
              <w:pStyle w:val="55"/>
              <w:bidi w:val="0"/>
              <w:rPr>
                <w:rFonts w:hint="default" w:ascii="Times New Roman" w:hAnsi="Times New Roman" w:eastAsia="楷体" w:cstheme="minorBidi"/>
                <w:snapToGrid w:val="0"/>
                <w:kern w:val="0"/>
                <w:sz w:val="24"/>
                <w:szCs w:val="24"/>
                <w:lang w:val="en-US" w:eastAsia="zh-CN" w:bidi="ar-SA"/>
              </w:rPr>
            </w:pPr>
            <w:r>
              <w:rPr>
                <w:rFonts w:hint="eastAsia" w:ascii="Times New Roman" w:hAnsi="Times New Roman"/>
                <w:sz w:val="24"/>
                <w:szCs w:val="24"/>
                <w:lang w:val="en-US" w:eastAsia="zh-CN"/>
              </w:rPr>
              <w:t>95.8</w:t>
            </w:r>
          </w:p>
        </w:tc>
        <w:tc>
          <w:tcPr>
            <w:tcW w:w="414" w:type="pct"/>
            <w:tcBorders>
              <w:left w:val="single" w:color="000000" w:sz="4" w:space="0"/>
            </w:tcBorders>
            <w:shd w:val="clear" w:color="auto" w:fill="auto"/>
            <w:vAlign w:val="center"/>
          </w:tcPr>
          <w:p w14:paraId="1DEA0EDC">
            <w:pPr>
              <w:pStyle w:val="55"/>
              <w:bidi w:val="0"/>
              <w:rPr>
                <w:rFonts w:hint="eastAsia"/>
                <w:sz w:val="24"/>
                <w:szCs w:val="24"/>
                <w:lang w:val="en-US" w:eastAsia="zh-CN"/>
              </w:rPr>
            </w:pPr>
            <w:r>
              <w:rPr>
                <w:rFonts w:hint="eastAsia" w:ascii="Times New Roman" w:hAnsi="Times New Roman"/>
                <w:sz w:val="24"/>
                <w:szCs w:val="24"/>
                <w:lang w:val="en-US" w:eastAsia="zh-CN"/>
              </w:rPr>
              <w:t>2.875</w:t>
            </w:r>
          </w:p>
        </w:tc>
        <w:tc>
          <w:tcPr>
            <w:tcW w:w="369" w:type="pct"/>
            <w:vMerge w:val="continue"/>
            <w:vAlign w:val="center"/>
          </w:tcPr>
          <w:p w14:paraId="5E8E8D5E">
            <w:pPr>
              <w:pStyle w:val="55"/>
              <w:rPr>
                <w:sz w:val="24"/>
                <w:szCs w:val="24"/>
              </w:rPr>
            </w:pPr>
          </w:p>
        </w:tc>
        <w:tc>
          <w:tcPr>
            <w:tcW w:w="346" w:type="pct"/>
            <w:vMerge w:val="continue"/>
            <w:tcBorders>
              <w:top w:val="single" w:color="000000" w:sz="4" w:space="0"/>
              <w:bottom w:val="single" w:color="000000" w:sz="4" w:space="0"/>
            </w:tcBorders>
            <w:vAlign w:val="center"/>
          </w:tcPr>
          <w:p w14:paraId="37E2FE6B">
            <w:pPr>
              <w:pStyle w:val="55"/>
              <w:rPr>
                <w:sz w:val="24"/>
                <w:szCs w:val="24"/>
              </w:rPr>
            </w:pPr>
          </w:p>
        </w:tc>
        <w:tc>
          <w:tcPr>
            <w:tcW w:w="422" w:type="pct"/>
            <w:vMerge w:val="continue"/>
            <w:vAlign w:val="center"/>
          </w:tcPr>
          <w:p w14:paraId="4876208F">
            <w:pPr>
              <w:pStyle w:val="55"/>
              <w:rPr>
                <w:sz w:val="24"/>
                <w:szCs w:val="24"/>
              </w:rPr>
            </w:pPr>
          </w:p>
        </w:tc>
        <w:tc>
          <w:tcPr>
            <w:tcW w:w="331" w:type="pct"/>
            <w:vMerge w:val="continue"/>
            <w:vAlign w:val="center"/>
          </w:tcPr>
          <w:p w14:paraId="2B64E7D5">
            <w:pPr>
              <w:pStyle w:val="55"/>
              <w:rPr>
                <w:sz w:val="24"/>
                <w:szCs w:val="24"/>
              </w:rPr>
            </w:pPr>
          </w:p>
        </w:tc>
        <w:tc>
          <w:tcPr>
            <w:tcW w:w="482" w:type="pct"/>
            <w:vMerge w:val="continue"/>
            <w:tcBorders>
              <w:right w:val="single" w:color="000000" w:sz="4" w:space="0"/>
            </w:tcBorders>
            <w:vAlign w:val="center"/>
          </w:tcPr>
          <w:p w14:paraId="01388C47">
            <w:pPr>
              <w:pStyle w:val="55"/>
              <w:rPr>
                <w:sz w:val="24"/>
                <w:szCs w:val="24"/>
              </w:rPr>
            </w:pPr>
          </w:p>
        </w:tc>
        <w:tc>
          <w:tcPr>
            <w:tcW w:w="414" w:type="pct"/>
            <w:vMerge w:val="continue"/>
            <w:tcBorders>
              <w:left w:val="single" w:color="000000" w:sz="4" w:space="0"/>
            </w:tcBorders>
            <w:vAlign w:val="center"/>
          </w:tcPr>
          <w:p w14:paraId="1D004099">
            <w:pPr>
              <w:pStyle w:val="55"/>
              <w:rPr>
                <w:sz w:val="24"/>
                <w:szCs w:val="24"/>
              </w:rPr>
            </w:pPr>
          </w:p>
        </w:tc>
        <w:tc>
          <w:tcPr>
            <w:tcW w:w="306" w:type="pct"/>
            <w:vMerge w:val="continue"/>
            <w:vAlign w:val="center"/>
          </w:tcPr>
          <w:p w14:paraId="0A425E1B">
            <w:pPr>
              <w:pStyle w:val="55"/>
              <w:rPr>
                <w:sz w:val="24"/>
                <w:szCs w:val="24"/>
              </w:rPr>
            </w:pPr>
          </w:p>
        </w:tc>
      </w:tr>
      <w:tr w14:paraId="23BDA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54" w:type="pct"/>
            <w:vMerge w:val="continue"/>
            <w:vAlign w:val="center"/>
          </w:tcPr>
          <w:p w14:paraId="412B9CE4">
            <w:pPr>
              <w:pStyle w:val="55"/>
              <w:rPr>
                <w:sz w:val="24"/>
                <w:szCs w:val="24"/>
              </w:rPr>
            </w:pPr>
          </w:p>
        </w:tc>
        <w:tc>
          <w:tcPr>
            <w:tcW w:w="310" w:type="pct"/>
            <w:vMerge w:val="continue"/>
            <w:vAlign w:val="center"/>
          </w:tcPr>
          <w:p w14:paraId="465A8ADE">
            <w:pPr>
              <w:pStyle w:val="55"/>
              <w:rPr>
                <w:sz w:val="24"/>
                <w:szCs w:val="24"/>
              </w:rPr>
            </w:pPr>
          </w:p>
        </w:tc>
        <w:tc>
          <w:tcPr>
            <w:tcW w:w="539" w:type="pct"/>
            <w:vAlign w:val="center"/>
          </w:tcPr>
          <w:p w14:paraId="5E9A3DD6">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lang w:val="en-US" w:eastAsia="zh-CN"/>
              </w:rPr>
              <w:t>非甲烷总烃</w:t>
            </w:r>
          </w:p>
        </w:tc>
        <w:tc>
          <w:tcPr>
            <w:tcW w:w="369" w:type="pct"/>
            <w:shd w:val="clear" w:color="auto" w:fill="auto"/>
            <w:vAlign w:val="center"/>
          </w:tcPr>
          <w:p w14:paraId="23F57C1D">
            <w:pPr>
              <w:pStyle w:val="55"/>
              <w:bidi w:val="0"/>
              <w:rPr>
                <w:rFonts w:hint="default" w:ascii="Times New Roman" w:hAnsi="Times New Roman" w:eastAsia="楷体" w:cstheme="minorBidi"/>
                <w:snapToGrid w:val="0"/>
                <w:kern w:val="0"/>
                <w:sz w:val="24"/>
                <w:szCs w:val="24"/>
                <w:lang w:val="en-US" w:eastAsia="zh-CN" w:bidi="ar-SA"/>
              </w:rPr>
            </w:pPr>
            <w:r>
              <w:rPr>
                <w:rFonts w:hint="eastAsia" w:ascii="Times New Roman" w:hAnsi="Times New Roman"/>
                <w:sz w:val="24"/>
                <w:szCs w:val="24"/>
                <w:lang w:val="en-US" w:eastAsia="zh-CN"/>
              </w:rPr>
              <w:t>46</w:t>
            </w:r>
          </w:p>
        </w:tc>
        <w:tc>
          <w:tcPr>
            <w:tcW w:w="437" w:type="pct"/>
            <w:tcBorders>
              <w:right w:val="single" w:color="000000" w:sz="4" w:space="0"/>
            </w:tcBorders>
            <w:shd w:val="clear" w:color="auto" w:fill="auto"/>
            <w:vAlign w:val="center"/>
          </w:tcPr>
          <w:p w14:paraId="1DB9FFD7">
            <w:pPr>
              <w:pStyle w:val="55"/>
              <w:bidi w:val="0"/>
              <w:rPr>
                <w:rFonts w:hint="default" w:ascii="Times New Roman" w:hAnsi="Times New Roman" w:eastAsia="楷体" w:cstheme="minorBidi"/>
                <w:snapToGrid w:val="0"/>
                <w:kern w:val="0"/>
                <w:sz w:val="24"/>
                <w:szCs w:val="24"/>
                <w:lang w:val="en-US" w:eastAsia="zh-CN" w:bidi="ar-SA"/>
              </w:rPr>
            </w:pPr>
            <w:r>
              <w:rPr>
                <w:rFonts w:hint="eastAsia" w:ascii="Times New Roman" w:hAnsi="Times New Roman"/>
                <w:sz w:val="24"/>
                <w:szCs w:val="24"/>
                <w:lang w:val="en-US" w:eastAsia="zh-CN"/>
              </w:rPr>
              <w:t>213.0</w:t>
            </w:r>
          </w:p>
        </w:tc>
        <w:tc>
          <w:tcPr>
            <w:tcW w:w="414" w:type="pct"/>
            <w:tcBorders>
              <w:left w:val="single" w:color="000000" w:sz="4" w:space="0"/>
            </w:tcBorders>
            <w:shd w:val="clear" w:color="auto" w:fill="auto"/>
            <w:vAlign w:val="center"/>
          </w:tcPr>
          <w:p w14:paraId="66088EBA">
            <w:pPr>
              <w:pStyle w:val="55"/>
              <w:bidi w:val="0"/>
              <w:rPr>
                <w:rFonts w:hint="eastAsia"/>
                <w:sz w:val="24"/>
                <w:szCs w:val="24"/>
                <w:lang w:val="en-US" w:eastAsia="zh-CN"/>
              </w:rPr>
            </w:pPr>
            <w:r>
              <w:rPr>
                <w:rFonts w:hint="eastAsia" w:ascii="Times New Roman" w:hAnsi="Times New Roman"/>
                <w:sz w:val="24"/>
                <w:szCs w:val="24"/>
                <w:lang w:val="en-US" w:eastAsia="zh-CN"/>
              </w:rPr>
              <w:t>6.389</w:t>
            </w:r>
          </w:p>
        </w:tc>
        <w:tc>
          <w:tcPr>
            <w:tcW w:w="369" w:type="pct"/>
            <w:vMerge w:val="continue"/>
            <w:vAlign w:val="center"/>
          </w:tcPr>
          <w:p w14:paraId="618EB94B">
            <w:pPr>
              <w:pStyle w:val="55"/>
              <w:rPr>
                <w:sz w:val="24"/>
                <w:szCs w:val="24"/>
              </w:rPr>
            </w:pPr>
          </w:p>
        </w:tc>
        <w:tc>
          <w:tcPr>
            <w:tcW w:w="346" w:type="pct"/>
            <w:vMerge w:val="restart"/>
            <w:tcBorders>
              <w:top w:val="single" w:color="000000" w:sz="4" w:space="0"/>
            </w:tcBorders>
            <w:vAlign w:val="center"/>
          </w:tcPr>
          <w:p w14:paraId="15616C61">
            <w:pPr>
              <w:pStyle w:val="55"/>
              <w:rPr>
                <w:sz w:val="24"/>
                <w:szCs w:val="24"/>
              </w:rPr>
            </w:pPr>
            <w:r>
              <w:rPr>
                <w:rFonts w:hint="eastAsia"/>
                <w:sz w:val="24"/>
                <w:szCs w:val="24"/>
                <w:lang w:val="en-US" w:eastAsia="zh-CN"/>
              </w:rPr>
              <w:t>95</w:t>
            </w:r>
          </w:p>
        </w:tc>
        <w:tc>
          <w:tcPr>
            <w:tcW w:w="422" w:type="pct"/>
            <w:vMerge w:val="continue"/>
            <w:vAlign w:val="center"/>
          </w:tcPr>
          <w:p w14:paraId="0753B8A2">
            <w:pPr>
              <w:pStyle w:val="55"/>
              <w:rPr>
                <w:sz w:val="24"/>
                <w:szCs w:val="24"/>
              </w:rPr>
            </w:pPr>
          </w:p>
        </w:tc>
        <w:tc>
          <w:tcPr>
            <w:tcW w:w="331" w:type="pct"/>
            <w:vAlign w:val="center"/>
          </w:tcPr>
          <w:p w14:paraId="44F62E43">
            <w:pPr>
              <w:pStyle w:val="55"/>
              <w:bidi w:val="0"/>
              <w:rPr>
                <w:sz w:val="24"/>
                <w:szCs w:val="24"/>
              </w:rPr>
            </w:pPr>
            <w:r>
              <w:rPr>
                <w:rFonts w:hint="eastAsia" w:ascii="Times New Roman" w:hAnsi="Times New Roman"/>
                <w:sz w:val="24"/>
                <w:szCs w:val="24"/>
                <w:lang w:val="en-US" w:eastAsia="zh-CN"/>
              </w:rPr>
              <w:t>2.277</w:t>
            </w:r>
          </w:p>
        </w:tc>
        <w:tc>
          <w:tcPr>
            <w:tcW w:w="482" w:type="pct"/>
            <w:tcBorders>
              <w:right w:val="single" w:color="000000" w:sz="4" w:space="0"/>
            </w:tcBorders>
            <w:vAlign w:val="center"/>
          </w:tcPr>
          <w:p w14:paraId="7E4D6DF6">
            <w:pPr>
              <w:pStyle w:val="55"/>
              <w:bidi w:val="0"/>
              <w:rPr>
                <w:sz w:val="24"/>
                <w:szCs w:val="24"/>
              </w:rPr>
            </w:pPr>
            <w:r>
              <w:rPr>
                <w:rFonts w:hint="eastAsia" w:ascii="Times New Roman" w:hAnsi="Times New Roman"/>
                <w:sz w:val="24"/>
                <w:szCs w:val="24"/>
                <w:lang w:val="en-US" w:eastAsia="zh-CN"/>
              </w:rPr>
              <w:t>10.5</w:t>
            </w:r>
          </w:p>
        </w:tc>
        <w:tc>
          <w:tcPr>
            <w:tcW w:w="414" w:type="pct"/>
            <w:tcBorders>
              <w:left w:val="single" w:color="000000" w:sz="4" w:space="0"/>
            </w:tcBorders>
            <w:vAlign w:val="center"/>
          </w:tcPr>
          <w:p w14:paraId="72340246">
            <w:pPr>
              <w:pStyle w:val="55"/>
              <w:bidi w:val="0"/>
              <w:rPr>
                <w:rFonts w:hint="eastAsia"/>
                <w:sz w:val="24"/>
                <w:szCs w:val="24"/>
                <w:lang w:val="en-US" w:eastAsia="zh-CN"/>
              </w:rPr>
            </w:pPr>
            <w:r>
              <w:rPr>
                <w:rFonts w:hint="eastAsia" w:ascii="Times New Roman" w:hAnsi="Times New Roman"/>
                <w:sz w:val="24"/>
                <w:szCs w:val="24"/>
                <w:lang w:val="en-US" w:eastAsia="zh-CN"/>
              </w:rPr>
              <w:t>0.316</w:t>
            </w:r>
          </w:p>
        </w:tc>
        <w:tc>
          <w:tcPr>
            <w:tcW w:w="306" w:type="pct"/>
            <w:vMerge w:val="continue"/>
            <w:vAlign w:val="center"/>
          </w:tcPr>
          <w:p w14:paraId="1A6B2E47">
            <w:pPr>
              <w:pStyle w:val="55"/>
              <w:rPr>
                <w:sz w:val="24"/>
                <w:szCs w:val="24"/>
              </w:rPr>
            </w:pPr>
          </w:p>
        </w:tc>
      </w:tr>
      <w:tr w14:paraId="7A10D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54" w:type="pct"/>
            <w:vMerge w:val="continue"/>
            <w:vAlign w:val="center"/>
          </w:tcPr>
          <w:p w14:paraId="1ED1CA73">
            <w:pPr>
              <w:pStyle w:val="55"/>
              <w:rPr>
                <w:sz w:val="24"/>
                <w:szCs w:val="24"/>
              </w:rPr>
            </w:pPr>
          </w:p>
        </w:tc>
        <w:tc>
          <w:tcPr>
            <w:tcW w:w="310" w:type="pct"/>
            <w:vMerge w:val="continue"/>
            <w:vAlign w:val="center"/>
          </w:tcPr>
          <w:p w14:paraId="7AF1B3E8">
            <w:pPr>
              <w:pStyle w:val="55"/>
              <w:rPr>
                <w:sz w:val="24"/>
                <w:szCs w:val="24"/>
              </w:rPr>
            </w:pPr>
          </w:p>
        </w:tc>
        <w:tc>
          <w:tcPr>
            <w:tcW w:w="539" w:type="pct"/>
            <w:vAlign w:val="center"/>
          </w:tcPr>
          <w:p w14:paraId="2C5FA086">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default" w:ascii="Times New Roman" w:hAnsi="Times New Roman" w:eastAsia="楷体" w:cs="Times New Roman"/>
                <w:sz w:val="24"/>
                <w:szCs w:val="24"/>
                <w:lang w:val="en-US" w:eastAsia="zh-CN"/>
              </w:rPr>
              <w:t>氯化氢</w:t>
            </w:r>
          </w:p>
        </w:tc>
        <w:tc>
          <w:tcPr>
            <w:tcW w:w="369" w:type="pct"/>
            <w:shd w:val="clear" w:color="auto" w:fill="auto"/>
            <w:vAlign w:val="center"/>
          </w:tcPr>
          <w:p w14:paraId="4E3CBA29">
            <w:pPr>
              <w:pStyle w:val="55"/>
              <w:bidi w:val="0"/>
              <w:rPr>
                <w:rFonts w:hint="default" w:ascii="Times New Roman" w:hAnsi="Times New Roman" w:eastAsia="楷体" w:cstheme="minorBidi"/>
                <w:snapToGrid w:val="0"/>
                <w:kern w:val="0"/>
                <w:sz w:val="24"/>
                <w:szCs w:val="24"/>
                <w:lang w:val="en-US" w:eastAsia="zh-CN" w:bidi="ar-SA"/>
              </w:rPr>
            </w:pPr>
            <w:r>
              <w:rPr>
                <w:rFonts w:hint="eastAsia" w:ascii="Times New Roman" w:hAnsi="Times New Roman"/>
                <w:sz w:val="24"/>
                <w:szCs w:val="24"/>
                <w:lang w:val="en-US" w:eastAsia="zh-CN"/>
              </w:rPr>
              <w:t>0.030</w:t>
            </w:r>
          </w:p>
        </w:tc>
        <w:tc>
          <w:tcPr>
            <w:tcW w:w="437" w:type="pct"/>
            <w:tcBorders>
              <w:right w:val="single" w:color="000000" w:sz="4" w:space="0"/>
            </w:tcBorders>
            <w:shd w:val="clear" w:color="auto" w:fill="auto"/>
            <w:vAlign w:val="center"/>
          </w:tcPr>
          <w:p w14:paraId="3E5F8D11">
            <w:pPr>
              <w:pStyle w:val="55"/>
              <w:bidi w:val="0"/>
              <w:rPr>
                <w:rFonts w:hint="default" w:ascii="Times New Roman" w:hAnsi="Times New Roman" w:eastAsia="楷体" w:cstheme="minorBidi"/>
                <w:snapToGrid w:val="0"/>
                <w:kern w:val="0"/>
                <w:sz w:val="24"/>
                <w:szCs w:val="24"/>
                <w:lang w:val="en-US" w:eastAsia="zh-CN" w:bidi="ar-SA"/>
              </w:rPr>
            </w:pPr>
            <w:r>
              <w:rPr>
                <w:rFonts w:hint="eastAsia" w:ascii="Times New Roman" w:hAnsi="Times New Roman"/>
                <w:sz w:val="24"/>
                <w:szCs w:val="24"/>
                <w:lang w:val="en-US" w:eastAsia="zh-CN"/>
              </w:rPr>
              <w:t>0.138</w:t>
            </w:r>
          </w:p>
        </w:tc>
        <w:tc>
          <w:tcPr>
            <w:tcW w:w="414" w:type="pct"/>
            <w:tcBorders>
              <w:left w:val="single" w:color="000000" w:sz="4" w:space="0"/>
            </w:tcBorders>
            <w:shd w:val="clear" w:color="auto" w:fill="auto"/>
            <w:vAlign w:val="center"/>
          </w:tcPr>
          <w:p w14:paraId="5B4AE931">
            <w:pPr>
              <w:pStyle w:val="55"/>
              <w:bidi w:val="0"/>
              <w:rPr>
                <w:rFonts w:hint="eastAsia"/>
                <w:sz w:val="24"/>
                <w:szCs w:val="24"/>
                <w:lang w:val="en-US" w:eastAsia="zh-CN"/>
              </w:rPr>
            </w:pPr>
            <w:r>
              <w:rPr>
                <w:rFonts w:hint="eastAsia" w:ascii="Times New Roman" w:hAnsi="Times New Roman"/>
                <w:sz w:val="24"/>
                <w:szCs w:val="24"/>
                <w:lang w:val="en-US" w:eastAsia="zh-CN"/>
              </w:rPr>
              <w:t>0.004</w:t>
            </w:r>
          </w:p>
        </w:tc>
        <w:tc>
          <w:tcPr>
            <w:tcW w:w="369" w:type="pct"/>
            <w:vMerge w:val="continue"/>
            <w:vAlign w:val="center"/>
          </w:tcPr>
          <w:p w14:paraId="789CCAB1">
            <w:pPr>
              <w:pStyle w:val="55"/>
              <w:rPr>
                <w:sz w:val="24"/>
                <w:szCs w:val="24"/>
              </w:rPr>
            </w:pPr>
          </w:p>
        </w:tc>
        <w:tc>
          <w:tcPr>
            <w:tcW w:w="346" w:type="pct"/>
            <w:vMerge w:val="continue"/>
            <w:tcBorders>
              <w:top w:val="single" w:color="000000" w:sz="4" w:space="0"/>
              <w:bottom w:val="single" w:color="000000" w:sz="4" w:space="0"/>
            </w:tcBorders>
            <w:vAlign w:val="center"/>
          </w:tcPr>
          <w:p w14:paraId="4A62330B">
            <w:pPr>
              <w:pStyle w:val="55"/>
              <w:rPr>
                <w:sz w:val="24"/>
                <w:szCs w:val="24"/>
              </w:rPr>
            </w:pPr>
          </w:p>
        </w:tc>
        <w:tc>
          <w:tcPr>
            <w:tcW w:w="422" w:type="pct"/>
            <w:vMerge w:val="continue"/>
            <w:vAlign w:val="center"/>
          </w:tcPr>
          <w:p w14:paraId="203FDD78">
            <w:pPr>
              <w:pStyle w:val="55"/>
              <w:rPr>
                <w:sz w:val="24"/>
                <w:szCs w:val="24"/>
              </w:rPr>
            </w:pPr>
          </w:p>
        </w:tc>
        <w:tc>
          <w:tcPr>
            <w:tcW w:w="331" w:type="pct"/>
            <w:vAlign w:val="center"/>
          </w:tcPr>
          <w:p w14:paraId="5369D522">
            <w:pPr>
              <w:pStyle w:val="55"/>
              <w:bidi w:val="0"/>
              <w:rPr>
                <w:sz w:val="24"/>
                <w:szCs w:val="24"/>
              </w:rPr>
            </w:pPr>
            <w:r>
              <w:rPr>
                <w:rFonts w:hint="eastAsia" w:ascii="Times New Roman" w:hAnsi="Times New Roman"/>
                <w:sz w:val="24"/>
                <w:szCs w:val="24"/>
                <w:lang w:val="en-US" w:eastAsia="zh-CN"/>
              </w:rPr>
              <w:t>0.0015</w:t>
            </w:r>
          </w:p>
        </w:tc>
        <w:tc>
          <w:tcPr>
            <w:tcW w:w="482" w:type="pct"/>
            <w:tcBorders>
              <w:right w:val="single" w:color="000000" w:sz="4" w:space="0"/>
            </w:tcBorders>
            <w:vAlign w:val="center"/>
          </w:tcPr>
          <w:p w14:paraId="55651172">
            <w:pPr>
              <w:pStyle w:val="55"/>
              <w:bidi w:val="0"/>
              <w:rPr>
                <w:sz w:val="24"/>
                <w:szCs w:val="24"/>
              </w:rPr>
            </w:pPr>
            <w:r>
              <w:rPr>
                <w:rFonts w:hint="eastAsia" w:ascii="Times New Roman" w:hAnsi="Times New Roman"/>
                <w:sz w:val="24"/>
                <w:szCs w:val="24"/>
                <w:lang w:val="en-US" w:eastAsia="zh-CN"/>
              </w:rPr>
              <w:t>0.007</w:t>
            </w:r>
          </w:p>
        </w:tc>
        <w:tc>
          <w:tcPr>
            <w:tcW w:w="414" w:type="pct"/>
            <w:tcBorders>
              <w:left w:val="single" w:color="000000" w:sz="4" w:space="0"/>
            </w:tcBorders>
            <w:vAlign w:val="center"/>
          </w:tcPr>
          <w:p w14:paraId="006020C6">
            <w:pPr>
              <w:pStyle w:val="55"/>
              <w:bidi w:val="0"/>
              <w:rPr>
                <w:rFonts w:hint="eastAsia"/>
                <w:sz w:val="24"/>
                <w:szCs w:val="24"/>
                <w:lang w:val="en-US" w:eastAsia="zh-CN"/>
              </w:rPr>
            </w:pPr>
            <w:r>
              <w:rPr>
                <w:rFonts w:hint="eastAsia" w:ascii="Times New Roman" w:hAnsi="Times New Roman"/>
                <w:sz w:val="24"/>
                <w:szCs w:val="24"/>
                <w:lang w:val="en-US" w:eastAsia="zh-CN"/>
              </w:rPr>
              <w:t>0.0002</w:t>
            </w:r>
          </w:p>
        </w:tc>
        <w:tc>
          <w:tcPr>
            <w:tcW w:w="306" w:type="pct"/>
            <w:vMerge w:val="continue"/>
            <w:vAlign w:val="center"/>
          </w:tcPr>
          <w:p w14:paraId="62C5AFEE">
            <w:pPr>
              <w:pStyle w:val="55"/>
              <w:rPr>
                <w:sz w:val="24"/>
                <w:szCs w:val="24"/>
              </w:rPr>
            </w:pPr>
          </w:p>
        </w:tc>
      </w:tr>
      <w:tr w14:paraId="710EA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54" w:type="pct"/>
            <w:vMerge w:val="continue"/>
            <w:vAlign w:val="center"/>
          </w:tcPr>
          <w:p w14:paraId="07BD174E">
            <w:pPr>
              <w:pStyle w:val="55"/>
              <w:rPr>
                <w:sz w:val="24"/>
                <w:szCs w:val="24"/>
              </w:rPr>
            </w:pPr>
          </w:p>
        </w:tc>
        <w:tc>
          <w:tcPr>
            <w:tcW w:w="310" w:type="pct"/>
            <w:vMerge w:val="continue"/>
            <w:vAlign w:val="center"/>
          </w:tcPr>
          <w:p w14:paraId="33208825">
            <w:pPr>
              <w:pStyle w:val="55"/>
              <w:rPr>
                <w:sz w:val="24"/>
                <w:szCs w:val="24"/>
              </w:rPr>
            </w:pPr>
          </w:p>
        </w:tc>
        <w:tc>
          <w:tcPr>
            <w:tcW w:w="539" w:type="pct"/>
            <w:vAlign w:val="center"/>
          </w:tcPr>
          <w:p w14:paraId="3591EE5F">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臭气浓度</w:t>
            </w:r>
          </w:p>
        </w:tc>
        <w:tc>
          <w:tcPr>
            <w:tcW w:w="369" w:type="pct"/>
            <w:shd w:val="clear" w:color="auto" w:fill="auto"/>
            <w:vAlign w:val="center"/>
          </w:tcPr>
          <w:p w14:paraId="5620BC3D">
            <w:pPr>
              <w:pStyle w:val="55"/>
              <w:bidi w:val="0"/>
              <w:rPr>
                <w:rFonts w:hint="default" w:ascii="Times New Roman" w:hAnsi="Times New Roman" w:eastAsia="楷体" w:cstheme="minorBidi"/>
                <w:snapToGrid w:val="0"/>
                <w:kern w:val="0"/>
                <w:sz w:val="24"/>
                <w:szCs w:val="24"/>
                <w:lang w:val="en-US" w:eastAsia="zh-CN" w:bidi="ar-SA"/>
              </w:rPr>
            </w:pPr>
            <w:r>
              <w:rPr>
                <w:rFonts w:hint="eastAsia"/>
                <w:sz w:val="24"/>
                <w:szCs w:val="24"/>
                <w:lang w:val="en-US" w:eastAsia="zh-CN"/>
              </w:rPr>
              <w:t>/</w:t>
            </w:r>
          </w:p>
        </w:tc>
        <w:tc>
          <w:tcPr>
            <w:tcW w:w="437" w:type="pct"/>
            <w:tcBorders>
              <w:right w:val="single" w:color="000000" w:sz="4" w:space="0"/>
            </w:tcBorders>
            <w:shd w:val="clear" w:color="auto" w:fill="auto"/>
            <w:vAlign w:val="center"/>
          </w:tcPr>
          <w:p w14:paraId="78D05DE7">
            <w:pPr>
              <w:pStyle w:val="55"/>
              <w:bidi w:val="0"/>
              <w:rPr>
                <w:rFonts w:hint="default" w:ascii="Times New Roman" w:hAnsi="Times New Roman" w:eastAsia="楷体" w:cstheme="minorBidi"/>
                <w:snapToGrid w:val="0"/>
                <w:kern w:val="0"/>
                <w:sz w:val="24"/>
                <w:szCs w:val="24"/>
                <w:lang w:val="en-US" w:eastAsia="zh-CN" w:bidi="ar-SA"/>
              </w:rPr>
            </w:pPr>
            <w:r>
              <w:rPr>
                <w:rFonts w:hint="eastAsia"/>
                <w:sz w:val="24"/>
                <w:szCs w:val="24"/>
                <w:lang w:val="en-US" w:eastAsia="zh-CN"/>
              </w:rPr>
              <w:t>/</w:t>
            </w:r>
          </w:p>
        </w:tc>
        <w:tc>
          <w:tcPr>
            <w:tcW w:w="414" w:type="pct"/>
            <w:tcBorders>
              <w:left w:val="single" w:color="000000" w:sz="4" w:space="0"/>
            </w:tcBorders>
            <w:shd w:val="clear" w:color="auto" w:fill="auto"/>
            <w:vAlign w:val="center"/>
          </w:tcPr>
          <w:p w14:paraId="68B4EB11">
            <w:pPr>
              <w:pStyle w:val="55"/>
              <w:bidi w:val="0"/>
              <w:rPr>
                <w:rFonts w:hint="eastAsia"/>
                <w:sz w:val="24"/>
                <w:szCs w:val="24"/>
                <w:lang w:val="en-US" w:eastAsia="zh-CN"/>
              </w:rPr>
            </w:pPr>
            <w:r>
              <w:rPr>
                <w:rFonts w:hint="eastAsia"/>
                <w:sz w:val="24"/>
                <w:szCs w:val="24"/>
                <w:lang w:val="en-US" w:eastAsia="zh-CN"/>
              </w:rPr>
              <w:t>/</w:t>
            </w:r>
          </w:p>
        </w:tc>
        <w:tc>
          <w:tcPr>
            <w:tcW w:w="369" w:type="pct"/>
            <w:vMerge w:val="continue"/>
            <w:vAlign w:val="center"/>
          </w:tcPr>
          <w:p w14:paraId="25B1A839">
            <w:pPr>
              <w:pStyle w:val="55"/>
              <w:rPr>
                <w:sz w:val="24"/>
                <w:szCs w:val="24"/>
              </w:rPr>
            </w:pPr>
          </w:p>
        </w:tc>
        <w:tc>
          <w:tcPr>
            <w:tcW w:w="346" w:type="pct"/>
            <w:vMerge w:val="continue"/>
            <w:tcBorders>
              <w:top w:val="single" w:color="000000" w:sz="4" w:space="0"/>
              <w:bottom w:val="single" w:color="000000" w:sz="4" w:space="0"/>
            </w:tcBorders>
            <w:vAlign w:val="center"/>
          </w:tcPr>
          <w:p w14:paraId="1FD56ED7">
            <w:pPr>
              <w:pStyle w:val="55"/>
              <w:rPr>
                <w:sz w:val="24"/>
                <w:szCs w:val="24"/>
              </w:rPr>
            </w:pPr>
          </w:p>
        </w:tc>
        <w:tc>
          <w:tcPr>
            <w:tcW w:w="422" w:type="pct"/>
            <w:vMerge w:val="continue"/>
            <w:tcBorders>
              <w:bottom w:val="single" w:color="000000" w:sz="4" w:space="0"/>
            </w:tcBorders>
            <w:vAlign w:val="center"/>
          </w:tcPr>
          <w:p w14:paraId="0C2FA3AC">
            <w:pPr>
              <w:pStyle w:val="55"/>
              <w:rPr>
                <w:sz w:val="24"/>
                <w:szCs w:val="24"/>
              </w:rPr>
            </w:pPr>
          </w:p>
        </w:tc>
        <w:tc>
          <w:tcPr>
            <w:tcW w:w="331" w:type="pct"/>
            <w:vAlign w:val="center"/>
          </w:tcPr>
          <w:p w14:paraId="1BEBD004">
            <w:pPr>
              <w:pStyle w:val="55"/>
              <w:bidi w:val="0"/>
              <w:rPr>
                <w:sz w:val="24"/>
                <w:szCs w:val="24"/>
              </w:rPr>
            </w:pPr>
            <w:r>
              <w:rPr>
                <w:rFonts w:hint="eastAsia"/>
                <w:sz w:val="24"/>
                <w:szCs w:val="24"/>
                <w:lang w:val="en-US" w:eastAsia="zh-CN"/>
              </w:rPr>
              <w:t>/</w:t>
            </w:r>
          </w:p>
        </w:tc>
        <w:tc>
          <w:tcPr>
            <w:tcW w:w="482" w:type="pct"/>
            <w:tcBorders>
              <w:right w:val="single" w:color="000000" w:sz="4" w:space="0"/>
            </w:tcBorders>
            <w:vAlign w:val="center"/>
          </w:tcPr>
          <w:p w14:paraId="24C02DA7">
            <w:pPr>
              <w:pStyle w:val="55"/>
              <w:bidi w:val="0"/>
              <w:rPr>
                <w:sz w:val="24"/>
                <w:szCs w:val="24"/>
              </w:rPr>
            </w:pPr>
            <w:r>
              <w:rPr>
                <w:rFonts w:hint="eastAsia"/>
                <w:sz w:val="24"/>
                <w:szCs w:val="24"/>
                <w:lang w:val="en-US" w:eastAsia="zh-CN"/>
              </w:rPr>
              <w:t>/</w:t>
            </w:r>
          </w:p>
        </w:tc>
        <w:tc>
          <w:tcPr>
            <w:tcW w:w="414" w:type="pct"/>
            <w:tcBorders>
              <w:left w:val="single" w:color="000000" w:sz="4" w:space="0"/>
            </w:tcBorders>
            <w:vAlign w:val="center"/>
          </w:tcPr>
          <w:p w14:paraId="13BF56FD">
            <w:pPr>
              <w:pStyle w:val="55"/>
              <w:bidi w:val="0"/>
              <w:rPr>
                <w:rFonts w:hint="eastAsia"/>
                <w:sz w:val="24"/>
                <w:szCs w:val="24"/>
                <w:lang w:val="en-US" w:eastAsia="zh-CN"/>
              </w:rPr>
            </w:pPr>
            <w:r>
              <w:rPr>
                <w:rFonts w:hint="eastAsia"/>
                <w:sz w:val="24"/>
                <w:szCs w:val="24"/>
                <w:lang w:val="en-US" w:eastAsia="zh-CN"/>
              </w:rPr>
              <w:t>/</w:t>
            </w:r>
          </w:p>
        </w:tc>
        <w:tc>
          <w:tcPr>
            <w:tcW w:w="306" w:type="pct"/>
            <w:vMerge w:val="continue"/>
            <w:vAlign w:val="center"/>
          </w:tcPr>
          <w:p w14:paraId="1A179F6A">
            <w:pPr>
              <w:pStyle w:val="55"/>
              <w:rPr>
                <w:sz w:val="24"/>
                <w:szCs w:val="24"/>
              </w:rPr>
            </w:pPr>
          </w:p>
        </w:tc>
      </w:tr>
      <w:tr w14:paraId="740AC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54" w:type="pct"/>
            <w:vMerge w:val="restart"/>
            <w:vAlign w:val="center"/>
          </w:tcPr>
          <w:p w14:paraId="197B3668">
            <w:pPr>
              <w:pStyle w:val="55"/>
              <w:rPr>
                <w:sz w:val="24"/>
                <w:szCs w:val="24"/>
              </w:rPr>
            </w:pPr>
            <w:r>
              <w:rPr>
                <w:rFonts w:hint="eastAsia"/>
                <w:sz w:val="24"/>
                <w:szCs w:val="24"/>
                <w:lang w:val="en-US" w:eastAsia="zh-CN"/>
              </w:rPr>
              <w:t>3</w:t>
            </w:r>
            <w:r>
              <w:rPr>
                <w:rFonts w:hint="eastAsia"/>
                <w:sz w:val="24"/>
                <w:szCs w:val="24"/>
              </w:rPr>
              <w:t>#生产车间</w:t>
            </w:r>
          </w:p>
        </w:tc>
        <w:tc>
          <w:tcPr>
            <w:tcW w:w="310" w:type="pct"/>
            <w:vAlign w:val="center"/>
          </w:tcPr>
          <w:p w14:paraId="63427A14">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lang w:val="en-US" w:eastAsia="zh-CN"/>
              </w:rPr>
              <w:t>投料搅拌</w:t>
            </w:r>
            <w:r>
              <w:rPr>
                <w:rFonts w:hint="default" w:ascii="Times New Roman" w:hAnsi="Times New Roman" w:eastAsia="楷体" w:cs="Times New Roman"/>
                <w:sz w:val="24"/>
                <w:szCs w:val="24"/>
                <w:lang w:val="en-US" w:eastAsia="zh-CN"/>
              </w:rPr>
              <w:t>工序</w:t>
            </w:r>
          </w:p>
        </w:tc>
        <w:tc>
          <w:tcPr>
            <w:tcW w:w="539" w:type="pct"/>
            <w:vAlign w:val="center"/>
          </w:tcPr>
          <w:p w14:paraId="57E5BA12">
            <w:pPr>
              <w:pStyle w:val="55"/>
              <w:rPr>
                <w:sz w:val="24"/>
                <w:szCs w:val="24"/>
              </w:rPr>
            </w:pPr>
            <w:r>
              <w:rPr>
                <w:rFonts w:hint="eastAsia"/>
                <w:sz w:val="24"/>
                <w:szCs w:val="24"/>
                <w:lang w:val="en-US" w:eastAsia="zh-CN"/>
              </w:rPr>
              <w:t>颗粒物</w:t>
            </w:r>
          </w:p>
        </w:tc>
        <w:tc>
          <w:tcPr>
            <w:tcW w:w="369" w:type="pct"/>
            <w:shd w:val="clear" w:color="auto" w:fill="auto"/>
            <w:vAlign w:val="center"/>
          </w:tcPr>
          <w:p w14:paraId="13899D44">
            <w:pPr>
              <w:pStyle w:val="55"/>
              <w:bidi w:val="0"/>
              <w:rPr>
                <w:rFonts w:hint="default" w:ascii="Times New Roman" w:hAnsi="Times New Roman"/>
                <w:sz w:val="24"/>
                <w:szCs w:val="24"/>
                <w:lang w:val="en-US" w:eastAsia="zh-CN"/>
              </w:rPr>
            </w:pPr>
            <w:r>
              <w:rPr>
                <w:rFonts w:hint="eastAsia" w:ascii="Times New Roman" w:hAnsi="Times New Roman"/>
                <w:sz w:val="24"/>
                <w:szCs w:val="24"/>
                <w:lang w:val="en-US" w:eastAsia="zh-CN"/>
              </w:rPr>
              <w:t>12.5</w:t>
            </w:r>
          </w:p>
        </w:tc>
        <w:tc>
          <w:tcPr>
            <w:tcW w:w="437" w:type="pct"/>
            <w:tcBorders>
              <w:right w:val="single" w:color="000000" w:sz="4" w:space="0"/>
            </w:tcBorders>
            <w:shd w:val="clear" w:color="auto" w:fill="auto"/>
            <w:vAlign w:val="center"/>
          </w:tcPr>
          <w:p w14:paraId="61A44457">
            <w:pPr>
              <w:pStyle w:val="55"/>
              <w:bidi w:val="0"/>
              <w:rPr>
                <w:rFonts w:hint="default" w:ascii="Times New Roman" w:hAnsi="Times New Roman"/>
                <w:sz w:val="24"/>
                <w:szCs w:val="24"/>
                <w:lang w:val="en-US" w:eastAsia="zh-CN"/>
              </w:rPr>
            </w:pPr>
            <w:r>
              <w:rPr>
                <w:rFonts w:hint="eastAsia" w:ascii="Times New Roman" w:hAnsi="Times New Roman"/>
                <w:sz w:val="24"/>
                <w:szCs w:val="24"/>
                <w:lang w:val="en-US" w:eastAsia="zh-CN"/>
              </w:rPr>
              <w:t>57.9</w:t>
            </w:r>
          </w:p>
        </w:tc>
        <w:tc>
          <w:tcPr>
            <w:tcW w:w="414" w:type="pct"/>
            <w:tcBorders>
              <w:left w:val="single" w:color="000000" w:sz="4" w:space="0"/>
            </w:tcBorders>
            <w:shd w:val="clear" w:color="auto" w:fill="auto"/>
            <w:vAlign w:val="center"/>
          </w:tcPr>
          <w:p w14:paraId="5E1269C1">
            <w:pPr>
              <w:pStyle w:val="55"/>
              <w:bidi w:val="0"/>
              <w:rPr>
                <w:rFonts w:hint="eastAsia" w:ascii="Times New Roman" w:hAnsi="Times New Roman"/>
                <w:sz w:val="24"/>
                <w:szCs w:val="24"/>
                <w:lang w:val="en-US" w:eastAsia="zh-CN"/>
              </w:rPr>
            </w:pPr>
            <w:r>
              <w:rPr>
                <w:rFonts w:hint="eastAsia" w:ascii="Times New Roman" w:hAnsi="Times New Roman"/>
                <w:sz w:val="24"/>
                <w:szCs w:val="24"/>
                <w:lang w:val="en-US" w:eastAsia="zh-CN"/>
              </w:rPr>
              <w:t>1.736</w:t>
            </w:r>
          </w:p>
        </w:tc>
        <w:tc>
          <w:tcPr>
            <w:tcW w:w="369" w:type="pct"/>
            <w:vMerge w:val="restart"/>
            <w:vAlign w:val="center"/>
          </w:tcPr>
          <w:p w14:paraId="76AA6B56">
            <w:pPr>
              <w:pStyle w:val="55"/>
              <w:rPr>
                <w:sz w:val="24"/>
                <w:szCs w:val="24"/>
              </w:rPr>
            </w:pPr>
            <w:r>
              <w:rPr>
                <w:rFonts w:hint="eastAsia" w:ascii="Times New Roman" w:hAnsi="Times New Roman" w:eastAsia="楷体" w:cs="Times New Roman"/>
                <w:sz w:val="24"/>
                <w:szCs w:val="24"/>
                <w:lang w:val="en-US" w:eastAsia="zh-CN"/>
              </w:rPr>
              <w:t>布袋除尘器+两级活性炭吸附装置</w:t>
            </w:r>
          </w:p>
        </w:tc>
        <w:tc>
          <w:tcPr>
            <w:tcW w:w="346" w:type="pct"/>
            <w:vMerge w:val="restart"/>
            <w:tcBorders>
              <w:top w:val="single" w:color="000000" w:sz="4" w:space="0"/>
              <w:bottom w:val="single" w:color="000000" w:sz="4" w:space="0"/>
            </w:tcBorders>
            <w:vAlign w:val="center"/>
          </w:tcPr>
          <w:p w14:paraId="19425651">
            <w:pPr>
              <w:pStyle w:val="55"/>
              <w:rPr>
                <w:sz w:val="24"/>
                <w:szCs w:val="24"/>
              </w:rPr>
            </w:pPr>
            <w:r>
              <w:rPr>
                <w:rFonts w:hint="eastAsia"/>
                <w:sz w:val="24"/>
                <w:szCs w:val="24"/>
                <w:lang w:val="en-US" w:eastAsia="zh-CN"/>
              </w:rPr>
              <w:t>97</w:t>
            </w:r>
          </w:p>
        </w:tc>
        <w:tc>
          <w:tcPr>
            <w:tcW w:w="422" w:type="pct"/>
            <w:vMerge w:val="restart"/>
            <w:tcBorders>
              <w:top w:val="single" w:color="000000" w:sz="4" w:space="0"/>
            </w:tcBorders>
            <w:vAlign w:val="center"/>
          </w:tcPr>
          <w:p w14:paraId="232AE8BC">
            <w:pPr>
              <w:pStyle w:val="55"/>
              <w:rPr>
                <w:sz w:val="24"/>
                <w:szCs w:val="24"/>
              </w:rPr>
            </w:pPr>
            <w:r>
              <w:rPr>
                <w:rFonts w:hint="eastAsia"/>
                <w:sz w:val="24"/>
                <w:szCs w:val="24"/>
                <w:lang w:val="en-US" w:eastAsia="zh-CN"/>
              </w:rPr>
              <w:t>30000</w:t>
            </w:r>
          </w:p>
        </w:tc>
        <w:tc>
          <w:tcPr>
            <w:tcW w:w="331" w:type="pct"/>
            <w:vMerge w:val="restart"/>
            <w:vAlign w:val="center"/>
          </w:tcPr>
          <w:p w14:paraId="602474C0">
            <w:pPr>
              <w:pStyle w:val="55"/>
              <w:bidi w:val="0"/>
              <w:rPr>
                <w:sz w:val="24"/>
                <w:szCs w:val="24"/>
              </w:rPr>
            </w:pPr>
            <w:r>
              <w:rPr>
                <w:rFonts w:hint="eastAsia"/>
                <w:sz w:val="24"/>
                <w:szCs w:val="24"/>
                <w:lang w:val="en-US" w:eastAsia="zh-CN"/>
              </w:rPr>
              <w:t>0.679</w:t>
            </w:r>
          </w:p>
        </w:tc>
        <w:tc>
          <w:tcPr>
            <w:tcW w:w="482" w:type="pct"/>
            <w:vMerge w:val="restart"/>
            <w:tcBorders>
              <w:right w:val="single" w:color="000000" w:sz="4" w:space="0"/>
            </w:tcBorders>
            <w:vAlign w:val="center"/>
          </w:tcPr>
          <w:p w14:paraId="1CB9A500">
            <w:pPr>
              <w:pStyle w:val="55"/>
              <w:bidi w:val="0"/>
              <w:rPr>
                <w:sz w:val="24"/>
                <w:szCs w:val="24"/>
              </w:rPr>
            </w:pPr>
            <w:r>
              <w:rPr>
                <w:rFonts w:hint="eastAsia"/>
                <w:sz w:val="24"/>
                <w:szCs w:val="24"/>
                <w:lang w:val="en-US" w:eastAsia="zh-CN"/>
              </w:rPr>
              <w:t>3.142</w:t>
            </w:r>
          </w:p>
        </w:tc>
        <w:tc>
          <w:tcPr>
            <w:tcW w:w="414" w:type="pct"/>
            <w:vMerge w:val="restart"/>
            <w:tcBorders>
              <w:left w:val="single" w:color="000000" w:sz="4" w:space="0"/>
            </w:tcBorders>
            <w:vAlign w:val="center"/>
          </w:tcPr>
          <w:p w14:paraId="19A04CA9">
            <w:pPr>
              <w:pStyle w:val="55"/>
              <w:bidi w:val="0"/>
              <w:rPr>
                <w:rFonts w:hint="default"/>
                <w:sz w:val="24"/>
                <w:szCs w:val="24"/>
                <w:lang w:val="en-US" w:eastAsia="zh-CN"/>
              </w:rPr>
            </w:pPr>
            <w:r>
              <w:rPr>
                <w:rFonts w:hint="eastAsia"/>
                <w:sz w:val="24"/>
                <w:szCs w:val="24"/>
                <w:lang w:val="en-US" w:eastAsia="zh-CN"/>
              </w:rPr>
              <w:t>0.094</w:t>
            </w:r>
          </w:p>
        </w:tc>
        <w:tc>
          <w:tcPr>
            <w:tcW w:w="306" w:type="pct"/>
            <w:vMerge w:val="restart"/>
            <w:vAlign w:val="center"/>
          </w:tcPr>
          <w:p w14:paraId="247E0088">
            <w:pPr>
              <w:pStyle w:val="55"/>
              <w:rPr>
                <w:sz w:val="24"/>
                <w:szCs w:val="24"/>
              </w:rPr>
            </w:pPr>
            <w:r>
              <w:rPr>
                <w:rFonts w:hint="eastAsia"/>
                <w:sz w:val="24"/>
                <w:szCs w:val="24"/>
                <w:lang w:val="en-US" w:eastAsia="zh-CN"/>
              </w:rPr>
              <w:t>7200</w:t>
            </w:r>
          </w:p>
        </w:tc>
      </w:tr>
      <w:tr w14:paraId="2D177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54" w:type="pct"/>
            <w:vMerge w:val="continue"/>
            <w:vAlign w:val="center"/>
          </w:tcPr>
          <w:p w14:paraId="71FB8677">
            <w:pPr>
              <w:pStyle w:val="55"/>
              <w:rPr>
                <w:sz w:val="24"/>
                <w:szCs w:val="24"/>
              </w:rPr>
            </w:pPr>
          </w:p>
        </w:tc>
        <w:tc>
          <w:tcPr>
            <w:tcW w:w="310" w:type="pct"/>
            <w:vMerge w:val="restart"/>
            <w:vAlign w:val="center"/>
          </w:tcPr>
          <w:p w14:paraId="5928FCD2">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default" w:ascii="Times New Roman" w:hAnsi="Times New Roman" w:eastAsia="楷体" w:cs="Times New Roman"/>
                <w:sz w:val="24"/>
                <w:szCs w:val="24"/>
                <w:lang w:val="en-US" w:eastAsia="zh-CN"/>
              </w:rPr>
              <w:t>挤出工序</w:t>
            </w:r>
          </w:p>
        </w:tc>
        <w:tc>
          <w:tcPr>
            <w:tcW w:w="539" w:type="pct"/>
            <w:vAlign w:val="center"/>
          </w:tcPr>
          <w:p w14:paraId="4AB608E7">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default" w:ascii="Times New Roman" w:hAnsi="Times New Roman" w:eastAsia="楷体" w:cs="Times New Roman"/>
                <w:sz w:val="24"/>
                <w:szCs w:val="24"/>
                <w:lang w:val="en-US" w:eastAsia="zh-CN"/>
              </w:rPr>
              <w:t>颗粒物</w:t>
            </w:r>
          </w:p>
        </w:tc>
        <w:tc>
          <w:tcPr>
            <w:tcW w:w="369" w:type="pct"/>
            <w:shd w:val="clear" w:color="auto" w:fill="auto"/>
            <w:vAlign w:val="center"/>
          </w:tcPr>
          <w:p w14:paraId="3C4F0D91">
            <w:pPr>
              <w:pStyle w:val="55"/>
              <w:bidi w:val="0"/>
              <w:rPr>
                <w:rFonts w:hint="default" w:ascii="Times New Roman" w:hAnsi="Times New Roman"/>
                <w:sz w:val="24"/>
                <w:szCs w:val="24"/>
                <w:lang w:val="en-US" w:eastAsia="zh-CN"/>
              </w:rPr>
            </w:pPr>
            <w:r>
              <w:rPr>
                <w:rFonts w:hint="eastAsia" w:ascii="Times New Roman" w:hAnsi="Times New Roman"/>
                <w:sz w:val="24"/>
                <w:szCs w:val="24"/>
                <w:lang w:val="en-US" w:eastAsia="zh-CN"/>
              </w:rPr>
              <w:t>10.4</w:t>
            </w:r>
          </w:p>
        </w:tc>
        <w:tc>
          <w:tcPr>
            <w:tcW w:w="437" w:type="pct"/>
            <w:tcBorders>
              <w:right w:val="single" w:color="000000" w:sz="4" w:space="0"/>
            </w:tcBorders>
            <w:shd w:val="clear" w:color="auto" w:fill="auto"/>
            <w:vAlign w:val="center"/>
          </w:tcPr>
          <w:p w14:paraId="66690C14">
            <w:pPr>
              <w:pStyle w:val="55"/>
              <w:bidi w:val="0"/>
              <w:rPr>
                <w:rFonts w:hint="default" w:ascii="Times New Roman" w:hAnsi="Times New Roman"/>
                <w:sz w:val="24"/>
                <w:szCs w:val="24"/>
                <w:lang w:val="en-US" w:eastAsia="zh-CN"/>
              </w:rPr>
            </w:pPr>
            <w:r>
              <w:rPr>
                <w:rFonts w:hint="eastAsia" w:ascii="Times New Roman" w:hAnsi="Times New Roman"/>
                <w:sz w:val="24"/>
                <w:szCs w:val="24"/>
                <w:lang w:val="en-US" w:eastAsia="zh-CN"/>
              </w:rPr>
              <w:t>47.9</w:t>
            </w:r>
          </w:p>
        </w:tc>
        <w:tc>
          <w:tcPr>
            <w:tcW w:w="414" w:type="pct"/>
            <w:tcBorders>
              <w:left w:val="single" w:color="000000" w:sz="4" w:space="0"/>
            </w:tcBorders>
            <w:shd w:val="clear" w:color="auto" w:fill="auto"/>
            <w:vAlign w:val="center"/>
          </w:tcPr>
          <w:p w14:paraId="5F902F34">
            <w:pPr>
              <w:pStyle w:val="55"/>
              <w:bidi w:val="0"/>
              <w:rPr>
                <w:rFonts w:hint="eastAsia" w:ascii="Times New Roman" w:hAnsi="Times New Roman"/>
                <w:sz w:val="24"/>
                <w:szCs w:val="24"/>
                <w:lang w:val="en-US" w:eastAsia="zh-CN"/>
              </w:rPr>
            </w:pPr>
            <w:r>
              <w:rPr>
                <w:rFonts w:hint="eastAsia" w:ascii="Times New Roman" w:hAnsi="Times New Roman"/>
                <w:sz w:val="24"/>
                <w:szCs w:val="24"/>
                <w:lang w:val="en-US" w:eastAsia="zh-CN"/>
              </w:rPr>
              <w:t>1.438</w:t>
            </w:r>
          </w:p>
        </w:tc>
        <w:tc>
          <w:tcPr>
            <w:tcW w:w="369" w:type="pct"/>
            <w:vMerge w:val="continue"/>
            <w:vAlign w:val="center"/>
          </w:tcPr>
          <w:p w14:paraId="2EA5BFBB">
            <w:pPr>
              <w:pStyle w:val="55"/>
              <w:rPr>
                <w:sz w:val="24"/>
                <w:szCs w:val="24"/>
              </w:rPr>
            </w:pPr>
          </w:p>
        </w:tc>
        <w:tc>
          <w:tcPr>
            <w:tcW w:w="346" w:type="pct"/>
            <w:vMerge w:val="continue"/>
            <w:tcBorders>
              <w:top w:val="single" w:color="000000" w:sz="4" w:space="0"/>
              <w:bottom w:val="single" w:color="000000" w:sz="4" w:space="0"/>
            </w:tcBorders>
            <w:vAlign w:val="center"/>
          </w:tcPr>
          <w:p w14:paraId="4CBAB7D5">
            <w:pPr>
              <w:pStyle w:val="55"/>
              <w:rPr>
                <w:sz w:val="24"/>
                <w:szCs w:val="24"/>
              </w:rPr>
            </w:pPr>
          </w:p>
        </w:tc>
        <w:tc>
          <w:tcPr>
            <w:tcW w:w="422" w:type="pct"/>
            <w:vMerge w:val="continue"/>
            <w:vAlign w:val="center"/>
          </w:tcPr>
          <w:p w14:paraId="32B8B2FB">
            <w:pPr>
              <w:pStyle w:val="55"/>
              <w:rPr>
                <w:sz w:val="24"/>
                <w:szCs w:val="24"/>
              </w:rPr>
            </w:pPr>
          </w:p>
        </w:tc>
        <w:tc>
          <w:tcPr>
            <w:tcW w:w="331" w:type="pct"/>
            <w:vMerge w:val="continue"/>
            <w:vAlign w:val="center"/>
          </w:tcPr>
          <w:p w14:paraId="6F8A9DD3">
            <w:pPr>
              <w:pStyle w:val="55"/>
              <w:rPr>
                <w:sz w:val="24"/>
                <w:szCs w:val="24"/>
              </w:rPr>
            </w:pPr>
          </w:p>
        </w:tc>
        <w:tc>
          <w:tcPr>
            <w:tcW w:w="482" w:type="pct"/>
            <w:vMerge w:val="continue"/>
            <w:tcBorders>
              <w:right w:val="single" w:color="000000" w:sz="4" w:space="0"/>
            </w:tcBorders>
            <w:vAlign w:val="center"/>
          </w:tcPr>
          <w:p w14:paraId="4EBC406F">
            <w:pPr>
              <w:pStyle w:val="55"/>
              <w:rPr>
                <w:sz w:val="24"/>
                <w:szCs w:val="24"/>
              </w:rPr>
            </w:pPr>
          </w:p>
        </w:tc>
        <w:tc>
          <w:tcPr>
            <w:tcW w:w="414" w:type="pct"/>
            <w:vMerge w:val="continue"/>
            <w:tcBorders>
              <w:left w:val="single" w:color="000000" w:sz="4" w:space="0"/>
            </w:tcBorders>
            <w:vAlign w:val="center"/>
          </w:tcPr>
          <w:p w14:paraId="6E3F6239">
            <w:pPr>
              <w:pStyle w:val="55"/>
              <w:rPr>
                <w:sz w:val="24"/>
                <w:szCs w:val="24"/>
              </w:rPr>
            </w:pPr>
          </w:p>
        </w:tc>
        <w:tc>
          <w:tcPr>
            <w:tcW w:w="306" w:type="pct"/>
            <w:vMerge w:val="continue"/>
            <w:vAlign w:val="center"/>
          </w:tcPr>
          <w:p w14:paraId="775FD2B2">
            <w:pPr>
              <w:pStyle w:val="55"/>
              <w:rPr>
                <w:sz w:val="24"/>
                <w:szCs w:val="24"/>
              </w:rPr>
            </w:pPr>
          </w:p>
        </w:tc>
      </w:tr>
      <w:tr w14:paraId="41A7C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54" w:type="pct"/>
            <w:vMerge w:val="continue"/>
            <w:vAlign w:val="center"/>
          </w:tcPr>
          <w:p w14:paraId="52668584">
            <w:pPr>
              <w:pStyle w:val="55"/>
              <w:rPr>
                <w:sz w:val="24"/>
                <w:szCs w:val="24"/>
              </w:rPr>
            </w:pPr>
          </w:p>
        </w:tc>
        <w:tc>
          <w:tcPr>
            <w:tcW w:w="310" w:type="pct"/>
            <w:vMerge w:val="continue"/>
            <w:vAlign w:val="center"/>
          </w:tcPr>
          <w:p w14:paraId="10BF24C5">
            <w:pPr>
              <w:pStyle w:val="55"/>
              <w:rPr>
                <w:sz w:val="24"/>
                <w:szCs w:val="24"/>
              </w:rPr>
            </w:pPr>
          </w:p>
        </w:tc>
        <w:tc>
          <w:tcPr>
            <w:tcW w:w="539" w:type="pct"/>
            <w:vAlign w:val="center"/>
          </w:tcPr>
          <w:p w14:paraId="0AFF3955">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lang w:val="en-US" w:eastAsia="zh-CN"/>
              </w:rPr>
              <w:t>非甲烷总烃</w:t>
            </w:r>
          </w:p>
        </w:tc>
        <w:tc>
          <w:tcPr>
            <w:tcW w:w="369" w:type="pct"/>
            <w:shd w:val="clear" w:color="auto" w:fill="auto"/>
            <w:vAlign w:val="center"/>
          </w:tcPr>
          <w:p w14:paraId="503A2ECA">
            <w:pPr>
              <w:pStyle w:val="55"/>
              <w:bidi w:val="0"/>
              <w:rPr>
                <w:rFonts w:hint="default" w:ascii="Times New Roman" w:hAnsi="Times New Roman"/>
                <w:sz w:val="24"/>
                <w:szCs w:val="24"/>
                <w:lang w:val="en-US" w:eastAsia="zh-CN"/>
              </w:rPr>
            </w:pPr>
            <w:r>
              <w:rPr>
                <w:rFonts w:hint="eastAsia" w:ascii="Times New Roman" w:hAnsi="Times New Roman"/>
                <w:sz w:val="24"/>
                <w:szCs w:val="24"/>
                <w:lang w:val="en-US" w:eastAsia="zh-CN"/>
              </w:rPr>
              <w:t>23</w:t>
            </w:r>
          </w:p>
        </w:tc>
        <w:tc>
          <w:tcPr>
            <w:tcW w:w="437" w:type="pct"/>
            <w:tcBorders>
              <w:right w:val="single" w:color="000000" w:sz="4" w:space="0"/>
            </w:tcBorders>
            <w:shd w:val="clear" w:color="auto" w:fill="auto"/>
            <w:vAlign w:val="center"/>
          </w:tcPr>
          <w:p w14:paraId="76B70A85">
            <w:pPr>
              <w:pStyle w:val="55"/>
              <w:bidi w:val="0"/>
              <w:rPr>
                <w:rFonts w:hint="default" w:ascii="Times New Roman" w:hAnsi="Times New Roman"/>
                <w:sz w:val="24"/>
                <w:szCs w:val="24"/>
                <w:lang w:val="en-US" w:eastAsia="zh-CN"/>
              </w:rPr>
            </w:pPr>
            <w:r>
              <w:rPr>
                <w:rFonts w:hint="eastAsia" w:ascii="Times New Roman" w:hAnsi="Times New Roman"/>
                <w:sz w:val="24"/>
                <w:szCs w:val="24"/>
                <w:lang w:val="en-US" w:eastAsia="zh-CN"/>
              </w:rPr>
              <w:t>106.5</w:t>
            </w:r>
          </w:p>
        </w:tc>
        <w:tc>
          <w:tcPr>
            <w:tcW w:w="414" w:type="pct"/>
            <w:tcBorders>
              <w:left w:val="single" w:color="000000" w:sz="4" w:space="0"/>
            </w:tcBorders>
            <w:shd w:val="clear" w:color="auto" w:fill="auto"/>
            <w:vAlign w:val="center"/>
          </w:tcPr>
          <w:p w14:paraId="32FAE292">
            <w:pPr>
              <w:pStyle w:val="55"/>
              <w:bidi w:val="0"/>
              <w:rPr>
                <w:rFonts w:hint="eastAsia" w:ascii="Times New Roman" w:hAnsi="Times New Roman"/>
                <w:sz w:val="24"/>
                <w:szCs w:val="24"/>
                <w:lang w:val="en-US" w:eastAsia="zh-CN"/>
              </w:rPr>
            </w:pPr>
            <w:r>
              <w:rPr>
                <w:rFonts w:hint="eastAsia" w:ascii="Times New Roman" w:hAnsi="Times New Roman"/>
                <w:sz w:val="24"/>
                <w:szCs w:val="24"/>
                <w:lang w:val="en-US" w:eastAsia="zh-CN"/>
              </w:rPr>
              <w:t>3.194</w:t>
            </w:r>
          </w:p>
        </w:tc>
        <w:tc>
          <w:tcPr>
            <w:tcW w:w="369" w:type="pct"/>
            <w:vMerge w:val="continue"/>
            <w:vAlign w:val="center"/>
          </w:tcPr>
          <w:p w14:paraId="13EB6BD8">
            <w:pPr>
              <w:pStyle w:val="55"/>
              <w:rPr>
                <w:sz w:val="24"/>
                <w:szCs w:val="24"/>
              </w:rPr>
            </w:pPr>
          </w:p>
        </w:tc>
        <w:tc>
          <w:tcPr>
            <w:tcW w:w="346" w:type="pct"/>
            <w:vMerge w:val="restart"/>
            <w:tcBorders>
              <w:top w:val="single" w:color="000000" w:sz="4" w:space="0"/>
            </w:tcBorders>
            <w:vAlign w:val="center"/>
          </w:tcPr>
          <w:p w14:paraId="5981AFB8">
            <w:pPr>
              <w:pStyle w:val="55"/>
              <w:rPr>
                <w:sz w:val="24"/>
                <w:szCs w:val="24"/>
              </w:rPr>
            </w:pPr>
            <w:r>
              <w:rPr>
                <w:rFonts w:hint="eastAsia"/>
                <w:sz w:val="24"/>
                <w:szCs w:val="24"/>
                <w:lang w:val="en-US" w:eastAsia="zh-CN"/>
              </w:rPr>
              <w:t>95</w:t>
            </w:r>
          </w:p>
        </w:tc>
        <w:tc>
          <w:tcPr>
            <w:tcW w:w="422" w:type="pct"/>
            <w:vMerge w:val="continue"/>
            <w:vAlign w:val="center"/>
          </w:tcPr>
          <w:p w14:paraId="5AA626E7">
            <w:pPr>
              <w:pStyle w:val="55"/>
              <w:rPr>
                <w:sz w:val="24"/>
                <w:szCs w:val="24"/>
              </w:rPr>
            </w:pPr>
          </w:p>
        </w:tc>
        <w:tc>
          <w:tcPr>
            <w:tcW w:w="331" w:type="pct"/>
            <w:vAlign w:val="center"/>
          </w:tcPr>
          <w:p w14:paraId="05400AC6">
            <w:pPr>
              <w:pStyle w:val="55"/>
              <w:bidi w:val="0"/>
              <w:rPr>
                <w:rFonts w:hint="eastAsia" w:ascii="Times New Roman" w:hAnsi="Times New Roman"/>
                <w:sz w:val="24"/>
                <w:szCs w:val="24"/>
                <w:lang w:val="en-US" w:eastAsia="zh-CN"/>
              </w:rPr>
            </w:pPr>
            <w:r>
              <w:rPr>
                <w:rFonts w:hint="eastAsia" w:ascii="Times New Roman" w:hAnsi="Times New Roman"/>
                <w:sz w:val="24"/>
                <w:szCs w:val="24"/>
                <w:lang w:val="en-US" w:eastAsia="zh-CN"/>
              </w:rPr>
              <w:t>1.139</w:t>
            </w:r>
          </w:p>
        </w:tc>
        <w:tc>
          <w:tcPr>
            <w:tcW w:w="482" w:type="pct"/>
            <w:tcBorders>
              <w:right w:val="single" w:color="000000" w:sz="4" w:space="0"/>
            </w:tcBorders>
            <w:vAlign w:val="center"/>
          </w:tcPr>
          <w:p w14:paraId="0D39399B">
            <w:pPr>
              <w:pStyle w:val="55"/>
              <w:bidi w:val="0"/>
              <w:rPr>
                <w:rFonts w:hint="eastAsia" w:ascii="Times New Roman" w:hAnsi="Times New Roman"/>
                <w:sz w:val="24"/>
                <w:szCs w:val="24"/>
                <w:lang w:val="en-US" w:eastAsia="zh-CN"/>
              </w:rPr>
            </w:pPr>
            <w:r>
              <w:rPr>
                <w:rFonts w:hint="eastAsia" w:ascii="Times New Roman" w:hAnsi="Times New Roman"/>
                <w:sz w:val="24"/>
                <w:szCs w:val="24"/>
                <w:lang w:val="en-US" w:eastAsia="zh-CN"/>
              </w:rPr>
              <w:t>5.271</w:t>
            </w:r>
          </w:p>
        </w:tc>
        <w:tc>
          <w:tcPr>
            <w:tcW w:w="414" w:type="pct"/>
            <w:tcBorders>
              <w:left w:val="single" w:color="000000" w:sz="4" w:space="0"/>
            </w:tcBorders>
            <w:vAlign w:val="center"/>
          </w:tcPr>
          <w:p w14:paraId="1FC33648">
            <w:pPr>
              <w:pStyle w:val="55"/>
              <w:bidi w:val="0"/>
              <w:rPr>
                <w:rFonts w:hint="eastAsia" w:ascii="Times New Roman" w:hAnsi="Times New Roman"/>
                <w:sz w:val="24"/>
                <w:szCs w:val="24"/>
                <w:lang w:val="en-US" w:eastAsia="zh-CN"/>
              </w:rPr>
            </w:pPr>
            <w:r>
              <w:rPr>
                <w:rFonts w:hint="eastAsia" w:ascii="Times New Roman" w:hAnsi="Times New Roman"/>
                <w:sz w:val="24"/>
                <w:szCs w:val="24"/>
                <w:lang w:val="en-US" w:eastAsia="zh-CN"/>
              </w:rPr>
              <w:t>0.158</w:t>
            </w:r>
          </w:p>
        </w:tc>
        <w:tc>
          <w:tcPr>
            <w:tcW w:w="306" w:type="pct"/>
            <w:vMerge w:val="continue"/>
            <w:vAlign w:val="center"/>
          </w:tcPr>
          <w:p w14:paraId="0342CE1D">
            <w:pPr>
              <w:pStyle w:val="55"/>
              <w:rPr>
                <w:sz w:val="24"/>
                <w:szCs w:val="24"/>
              </w:rPr>
            </w:pPr>
          </w:p>
        </w:tc>
      </w:tr>
      <w:tr w14:paraId="5B2DB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54" w:type="pct"/>
            <w:vMerge w:val="continue"/>
            <w:vAlign w:val="center"/>
          </w:tcPr>
          <w:p w14:paraId="473BB25B">
            <w:pPr>
              <w:pStyle w:val="55"/>
              <w:rPr>
                <w:sz w:val="24"/>
                <w:szCs w:val="24"/>
              </w:rPr>
            </w:pPr>
          </w:p>
        </w:tc>
        <w:tc>
          <w:tcPr>
            <w:tcW w:w="310" w:type="pct"/>
            <w:vMerge w:val="continue"/>
            <w:vAlign w:val="center"/>
          </w:tcPr>
          <w:p w14:paraId="000425DF">
            <w:pPr>
              <w:pStyle w:val="55"/>
              <w:rPr>
                <w:sz w:val="24"/>
                <w:szCs w:val="24"/>
              </w:rPr>
            </w:pPr>
          </w:p>
        </w:tc>
        <w:tc>
          <w:tcPr>
            <w:tcW w:w="539" w:type="pct"/>
            <w:vAlign w:val="center"/>
          </w:tcPr>
          <w:p w14:paraId="0E16B2C7">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default" w:ascii="Times New Roman" w:hAnsi="Times New Roman" w:eastAsia="楷体" w:cs="Times New Roman"/>
                <w:sz w:val="24"/>
                <w:szCs w:val="24"/>
                <w:lang w:val="en-US" w:eastAsia="zh-CN"/>
              </w:rPr>
              <w:t>氯化氢</w:t>
            </w:r>
          </w:p>
        </w:tc>
        <w:tc>
          <w:tcPr>
            <w:tcW w:w="369" w:type="pct"/>
            <w:shd w:val="clear" w:color="auto" w:fill="auto"/>
            <w:vAlign w:val="center"/>
          </w:tcPr>
          <w:p w14:paraId="19746633">
            <w:pPr>
              <w:pStyle w:val="55"/>
              <w:bidi w:val="0"/>
              <w:rPr>
                <w:rFonts w:hint="default" w:ascii="Times New Roman" w:hAnsi="Times New Roman"/>
                <w:sz w:val="24"/>
                <w:szCs w:val="24"/>
                <w:lang w:val="en-US" w:eastAsia="zh-CN"/>
              </w:rPr>
            </w:pPr>
            <w:r>
              <w:rPr>
                <w:rFonts w:hint="eastAsia" w:ascii="Times New Roman" w:hAnsi="Times New Roman"/>
                <w:sz w:val="24"/>
                <w:szCs w:val="24"/>
                <w:lang w:val="en-US" w:eastAsia="zh-CN"/>
              </w:rPr>
              <w:t>0.015</w:t>
            </w:r>
          </w:p>
        </w:tc>
        <w:tc>
          <w:tcPr>
            <w:tcW w:w="437" w:type="pct"/>
            <w:tcBorders>
              <w:right w:val="single" w:color="000000" w:sz="4" w:space="0"/>
            </w:tcBorders>
            <w:shd w:val="clear" w:color="auto" w:fill="auto"/>
            <w:vAlign w:val="center"/>
          </w:tcPr>
          <w:p w14:paraId="1E626CEF">
            <w:pPr>
              <w:pStyle w:val="55"/>
              <w:bidi w:val="0"/>
              <w:rPr>
                <w:rFonts w:hint="default" w:ascii="Times New Roman" w:hAnsi="Times New Roman"/>
                <w:sz w:val="24"/>
                <w:szCs w:val="24"/>
                <w:lang w:val="en-US" w:eastAsia="zh-CN"/>
              </w:rPr>
            </w:pPr>
            <w:r>
              <w:rPr>
                <w:rFonts w:hint="eastAsia" w:ascii="Times New Roman" w:hAnsi="Times New Roman"/>
                <w:sz w:val="24"/>
                <w:szCs w:val="24"/>
                <w:lang w:val="en-US" w:eastAsia="zh-CN"/>
              </w:rPr>
              <w:t>0.069</w:t>
            </w:r>
          </w:p>
        </w:tc>
        <w:tc>
          <w:tcPr>
            <w:tcW w:w="414" w:type="pct"/>
            <w:tcBorders>
              <w:left w:val="single" w:color="000000" w:sz="4" w:space="0"/>
            </w:tcBorders>
            <w:shd w:val="clear" w:color="auto" w:fill="auto"/>
            <w:vAlign w:val="center"/>
          </w:tcPr>
          <w:p w14:paraId="4D9F692B">
            <w:pPr>
              <w:pStyle w:val="55"/>
              <w:bidi w:val="0"/>
              <w:rPr>
                <w:rFonts w:hint="eastAsia" w:ascii="Times New Roman" w:hAnsi="Times New Roman"/>
                <w:sz w:val="24"/>
                <w:szCs w:val="24"/>
                <w:lang w:val="en-US" w:eastAsia="zh-CN"/>
              </w:rPr>
            </w:pPr>
            <w:r>
              <w:rPr>
                <w:rFonts w:hint="eastAsia" w:ascii="Times New Roman" w:hAnsi="Times New Roman"/>
                <w:sz w:val="24"/>
                <w:szCs w:val="24"/>
                <w:lang w:val="en-US" w:eastAsia="zh-CN"/>
              </w:rPr>
              <w:t>0.002</w:t>
            </w:r>
          </w:p>
        </w:tc>
        <w:tc>
          <w:tcPr>
            <w:tcW w:w="369" w:type="pct"/>
            <w:vMerge w:val="continue"/>
            <w:vAlign w:val="center"/>
          </w:tcPr>
          <w:p w14:paraId="01B56291">
            <w:pPr>
              <w:pStyle w:val="55"/>
              <w:rPr>
                <w:sz w:val="24"/>
                <w:szCs w:val="24"/>
              </w:rPr>
            </w:pPr>
          </w:p>
        </w:tc>
        <w:tc>
          <w:tcPr>
            <w:tcW w:w="346" w:type="pct"/>
            <w:vMerge w:val="continue"/>
            <w:tcBorders>
              <w:top w:val="single" w:color="000000" w:sz="4" w:space="0"/>
              <w:bottom w:val="single" w:color="000000" w:sz="4" w:space="0"/>
            </w:tcBorders>
            <w:vAlign w:val="center"/>
          </w:tcPr>
          <w:p w14:paraId="1F7DA996">
            <w:pPr>
              <w:pStyle w:val="55"/>
              <w:rPr>
                <w:sz w:val="24"/>
                <w:szCs w:val="24"/>
              </w:rPr>
            </w:pPr>
          </w:p>
        </w:tc>
        <w:tc>
          <w:tcPr>
            <w:tcW w:w="422" w:type="pct"/>
            <w:vMerge w:val="continue"/>
            <w:vAlign w:val="center"/>
          </w:tcPr>
          <w:p w14:paraId="73F39336">
            <w:pPr>
              <w:pStyle w:val="55"/>
              <w:rPr>
                <w:sz w:val="24"/>
                <w:szCs w:val="24"/>
              </w:rPr>
            </w:pPr>
          </w:p>
        </w:tc>
        <w:tc>
          <w:tcPr>
            <w:tcW w:w="331" w:type="pct"/>
            <w:vAlign w:val="center"/>
          </w:tcPr>
          <w:p w14:paraId="72814C1B">
            <w:pPr>
              <w:pStyle w:val="55"/>
              <w:bidi w:val="0"/>
              <w:rPr>
                <w:rFonts w:hint="eastAsia" w:ascii="Times New Roman" w:hAnsi="Times New Roman"/>
                <w:sz w:val="24"/>
                <w:szCs w:val="24"/>
                <w:lang w:val="en-US" w:eastAsia="zh-CN"/>
              </w:rPr>
            </w:pPr>
            <w:r>
              <w:rPr>
                <w:rFonts w:hint="eastAsia" w:ascii="Times New Roman" w:hAnsi="Times New Roman"/>
                <w:sz w:val="24"/>
                <w:szCs w:val="24"/>
                <w:lang w:val="en-US" w:eastAsia="zh-CN"/>
              </w:rPr>
              <w:t>0.0007</w:t>
            </w:r>
          </w:p>
        </w:tc>
        <w:tc>
          <w:tcPr>
            <w:tcW w:w="482" w:type="pct"/>
            <w:tcBorders>
              <w:right w:val="single" w:color="000000" w:sz="4" w:space="0"/>
            </w:tcBorders>
            <w:vAlign w:val="center"/>
          </w:tcPr>
          <w:p w14:paraId="0F1F50E3">
            <w:pPr>
              <w:pStyle w:val="55"/>
              <w:bidi w:val="0"/>
              <w:rPr>
                <w:rFonts w:hint="eastAsia" w:ascii="Times New Roman" w:hAnsi="Times New Roman"/>
                <w:sz w:val="24"/>
                <w:szCs w:val="24"/>
                <w:lang w:val="en-US" w:eastAsia="zh-CN"/>
              </w:rPr>
            </w:pPr>
            <w:r>
              <w:rPr>
                <w:rFonts w:hint="eastAsia" w:ascii="Times New Roman" w:hAnsi="Times New Roman"/>
                <w:sz w:val="24"/>
                <w:szCs w:val="24"/>
                <w:lang w:val="en-US" w:eastAsia="zh-CN"/>
              </w:rPr>
              <w:t>0.0034</w:t>
            </w:r>
          </w:p>
        </w:tc>
        <w:tc>
          <w:tcPr>
            <w:tcW w:w="414" w:type="pct"/>
            <w:tcBorders>
              <w:left w:val="single" w:color="000000" w:sz="4" w:space="0"/>
            </w:tcBorders>
            <w:vAlign w:val="center"/>
          </w:tcPr>
          <w:p w14:paraId="16752323">
            <w:pPr>
              <w:pStyle w:val="55"/>
              <w:bidi w:val="0"/>
              <w:rPr>
                <w:rFonts w:hint="eastAsia" w:ascii="Times New Roman" w:hAnsi="Times New Roman"/>
                <w:sz w:val="24"/>
                <w:szCs w:val="24"/>
                <w:lang w:val="en-US" w:eastAsia="zh-CN"/>
              </w:rPr>
            </w:pPr>
            <w:r>
              <w:rPr>
                <w:rFonts w:hint="eastAsia" w:ascii="Times New Roman" w:hAnsi="Times New Roman"/>
                <w:sz w:val="24"/>
                <w:szCs w:val="24"/>
                <w:lang w:val="en-US" w:eastAsia="zh-CN"/>
              </w:rPr>
              <w:t>0.0001</w:t>
            </w:r>
          </w:p>
        </w:tc>
        <w:tc>
          <w:tcPr>
            <w:tcW w:w="306" w:type="pct"/>
            <w:vMerge w:val="continue"/>
            <w:vAlign w:val="center"/>
          </w:tcPr>
          <w:p w14:paraId="15297667">
            <w:pPr>
              <w:pStyle w:val="55"/>
              <w:rPr>
                <w:sz w:val="24"/>
                <w:szCs w:val="24"/>
              </w:rPr>
            </w:pPr>
          </w:p>
        </w:tc>
      </w:tr>
      <w:tr w14:paraId="23AEE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54" w:type="pct"/>
            <w:vMerge w:val="continue"/>
            <w:vAlign w:val="center"/>
          </w:tcPr>
          <w:p w14:paraId="0D3BD767">
            <w:pPr>
              <w:pStyle w:val="55"/>
              <w:rPr>
                <w:sz w:val="24"/>
                <w:szCs w:val="24"/>
              </w:rPr>
            </w:pPr>
          </w:p>
        </w:tc>
        <w:tc>
          <w:tcPr>
            <w:tcW w:w="310" w:type="pct"/>
            <w:vMerge w:val="continue"/>
            <w:vAlign w:val="center"/>
          </w:tcPr>
          <w:p w14:paraId="7C5EFC7E">
            <w:pPr>
              <w:pStyle w:val="55"/>
              <w:rPr>
                <w:sz w:val="24"/>
                <w:szCs w:val="24"/>
              </w:rPr>
            </w:pPr>
          </w:p>
        </w:tc>
        <w:tc>
          <w:tcPr>
            <w:tcW w:w="539" w:type="pct"/>
            <w:vAlign w:val="center"/>
          </w:tcPr>
          <w:p w14:paraId="58BFBA0B">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臭气浓度</w:t>
            </w:r>
          </w:p>
        </w:tc>
        <w:tc>
          <w:tcPr>
            <w:tcW w:w="369" w:type="pct"/>
            <w:shd w:val="clear" w:color="auto" w:fill="auto"/>
            <w:vAlign w:val="center"/>
          </w:tcPr>
          <w:p w14:paraId="38BB1DD4">
            <w:pPr>
              <w:pStyle w:val="55"/>
              <w:bidi w:val="0"/>
              <w:rPr>
                <w:rFonts w:hint="default" w:ascii="Times New Roman" w:hAnsi="Times New Roman"/>
                <w:sz w:val="24"/>
                <w:szCs w:val="24"/>
                <w:lang w:val="en-US" w:eastAsia="zh-CN"/>
              </w:rPr>
            </w:pPr>
            <w:r>
              <w:rPr>
                <w:rFonts w:hint="eastAsia"/>
                <w:sz w:val="24"/>
                <w:szCs w:val="24"/>
                <w:lang w:val="en-US" w:eastAsia="zh-CN"/>
              </w:rPr>
              <w:t>/</w:t>
            </w:r>
          </w:p>
        </w:tc>
        <w:tc>
          <w:tcPr>
            <w:tcW w:w="437" w:type="pct"/>
            <w:tcBorders>
              <w:right w:val="single" w:color="000000" w:sz="4" w:space="0"/>
            </w:tcBorders>
            <w:shd w:val="clear" w:color="auto" w:fill="auto"/>
            <w:vAlign w:val="center"/>
          </w:tcPr>
          <w:p w14:paraId="2F60361A">
            <w:pPr>
              <w:pStyle w:val="55"/>
              <w:bidi w:val="0"/>
              <w:rPr>
                <w:rFonts w:hint="default" w:ascii="Times New Roman" w:hAnsi="Times New Roman"/>
                <w:sz w:val="24"/>
                <w:szCs w:val="24"/>
                <w:lang w:val="en-US" w:eastAsia="zh-CN"/>
              </w:rPr>
            </w:pPr>
            <w:r>
              <w:rPr>
                <w:rFonts w:hint="eastAsia"/>
                <w:sz w:val="24"/>
                <w:szCs w:val="24"/>
                <w:lang w:val="en-US" w:eastAsia="zh-CN"/>
              </w:rPr>
              <w:t>/</w:t>
            </w:r>
          </w:p>
        </w:tc>
        <w:tc>
          <w:tcPr>
            <w:tcW w:w="414" w:type="pct"/>
            <w:tcBorders>
              <w:left w:val="single" w:color="000000" w:sz="4" w:space="0"/>
            </w:tcBorders>
            <w:shd w:val="clear" w:color="auto" w:fill="auto"/>
            <w:vAlign w:val="center"/>
          </w:tcPr>
          <w:p w14:paraId="284F9170">
            <w:pPr>
              <w:pStyle w:val="55"/>
              <w:bidi w:val="0"/>
              <w:rPr>
                <w:rFonts w:hint="eastAsia" w:ascii="Times New Roman" w:hAnsi="Times New Roman"/>
                <w:sz w:val="24"/>
                <w:szCs w:val="24"/>
                <w:lang w:val="en-US" w:eastAsia="zh-CN"/>
              </w:rPr>
            </w:pPr>
            <w:r>
              <w:rPr>
                <w:rFonts w:hint="eastAsia"/>
                <w:sz w:val="24"/>
                <w:szCs w:val="24"/>
                <w:lang w:val="en-US" w:eastAsia="zh-CN"/>
              </w:rPr>
              <w:t>/</w:t>
            </w:r>
          </w:p>
        </w:tc>
        <w:tc>
          <w:tcPr>
            <w:tcW w:w="369" w:type="pct"/>
            <w:vMerge w:val="continue"/>
            <w:vAlign w:val="center"/>
          </w:tcPr>
          <w:p w14:paraId="2FB4A81C">
            <w:pPr>
              <w:pStyle w:val="55"/>
              <w:rPr>
                <w:sz w:val="24"/>
                <w:szCs w:val="24"/>
              </w:rPr>
            </w:pPr>
          </w:p>
        </w:tc>
        <w:tc>
          <w:tcPr>
            <w:tcW w:w="346" w:type="pct"/>
            <w:vMerge w:val="continue"/>
            <w:tcBorders>
              <w:top w:val="single" w:color="000000" w:sz="4" w:space="0"/>
              <w:bottom w:val="single" w:color="000000" w:sz="4" w:space="0"/>
            </w:tcBorders>
            <w:vAlign w:val="center"/>
          </w:tcPr>
          <w:p w14:paraId="66686761">
            <w:pPr>
              <w:pStyle w:val="55"/>
              <w:rPr>
                <w:sz w:val="24"/>
                <w:szCs w:val="24"/>
              </w:rPr>
            </w:pPr>
          </w:p>
        </w:tc>
        <w:tc>
          <w:tcPr>
            <w:tcW w:w="422" w:type="pct"/>
            <w:vMerge w:val="continue"/>
            <w:tcBorders>
              <w:bottom w:val="single" w:color="000000" w:sz="4" w:space="0"/>
            </w:tcBorders>
            <w:vAlign w:val="center"/>
          </w:tcPr>
          <w:p w14:paraId="691E9D5F">
            <w:pPr>
              <w:pStyle w:val="55"/>
              <w:rPr>
                <w:sz w:val="24"/>
                <w:szCs w:val="24"/>
              </w:rPr>
            </w:pPr>
          </w:p>
        </w:tc>
        <w:tc>
          <w:tcPr>
            <w:tcW w:w="331" w:type="pct"/>
            <w:vAlign w:val="center"/>
          </w:tcPr>
          <w:p w14:paraId="25CF5429">
            <w:pPr>
              <w:pStyle w:val="55"/>
              <w:bidi w:val="0"/>
              <w:rPr>
                <w:sz w:val="24"/>
                <w:szCs w:val="24"/>
              </w:rPr>
            </w:pPr>
            <w:r>
              <w:rPr>
                <w:rFonts w:hint="eastAsia"/>
                <w:sz w:val="24"/>
                <w:szCs w:val="24"/>
                <w:lang w:val="en-US" w:eastAsia="zh-CN"/>
              </w:rPr>
              <w:t>/</w:t>
            </w:r>
          </w:p>
        </w:tc>
        <w:tc>
          <w:tcPr>
            <w:tcW w:w="482" w:type="pct"/>
            <w:tcBorders>
              <w:right w:val="single" w:color="000000" w:sz="4" w:space="0"/>
            </w:tcBorders>
            <w:vAlign w:val="center"/>
          </w:tcPr>
          <w:p w14:paraId="580EBB4E">
            <w:pPr>
              <w:pStyle w:val="55"/>
              <w:bidi w:val="0"/>
              <w:rPr>
                <w:sz w:val="24"/>
                <w:szCs w:val="24"/>
              </w:rPr>
            </w:pPr>
            <w:r>
              <w:rPr>
                <w:rFonts w:hint="eastAsia"/>
                <w:sz w:val="24"/>
                <w:szCs w:val="24"/>
                <w:lang w:val="en-US" w:eastAsia="zh-CN"/>
              </w:rPr>
              <w:t>/</w:t>
            </w:r>
          </w:p>
        </w:tc>
        <w:tc>
          <w:tcPr>
            <w:tcW w:w="414" w:type="pct"/>
            <w:tcBorders>
              <w:left w:val="single" w:color="000000" w:sz="4" w:space="0"/>
            </w:tcBorders>
            <w:vAlign w:val="center"/>
          </w:tcPr>
          <w:p w14:paraId="013B7C6E">
            <w:pPr>
              <w:pStyle w:val="55"/>
              <w:bidi w:val="0"/>
              <w:rPr>
                <w:rFonts w:hint="default"/>
                <w:sz w:val="24"/>
                <w:szCs w:val="24"/>
                <w:lang w:val="en-US" w:eastAsia="zh-CN"/>
              </w:rPr>
            </w:pPr>
            <w:r>
              <w:rPr>
                <w:rFonts w:hint="eastAsia"/>
                <w:sz w:val="24"/>
                <w:szCs w:val="24"/>
                <w:lang w:val="en-US" w:eastAsia="zh-CN"/>
              </w:rPr>
              <w:t>/</w:t>
            </w:r>
          </w:p>
        </w:tc>
        <w:tc>
          <w:tcPr>
            <w:tcW w:w="306" w:type="pct"/>
            <w:vMerge w:val="continue"/>
            <w:vAlign w:val="center"/>
          </w:tcPr>
          <w:p w14:paraId="24DBFB84">
            <w:pPr>
              <w:pStyle w:val="55"/>
              <w:rPr>
                <w:sz w:val="24"/>
                <w:szCs w:val="24"/>
              </w:rPr>
            </w:pPr>
          </w:p>
        </w:tc>
      </w:tr>
    </w:tbl>
    <w:p w14:paraId="4AF967FA">
      <w:pPr>
        <w:pStyle w:val="47"/>
        <w:ind w:left="0" w:leftChars="0" w:firstLine="0" w:firstLineChars="0"/>
      </w:pPr>
    </w:p>
    <w:p w14:paraId="65778EFC">
      <w:pPr>
        <w:pStyle w:val="94"/>
        <w:bidi w:val="0"/>
        <w:ind w:left="0" w:leftChars="0" w:firstLine="0" w:firstLineChars="0"/>
      </w:pPr>
      <w:r>
        <w:rPr>
          <w:rFonts w:hint="eastAsia"/>
          <w:lang w:val="en-US" w:eastAsia="zh-CN"/>
        </w:rPr>
        <w:t>无组织</w:t>
      </w:r>
      <w:r>
        <w:rPr>
          <w:rFonts w:hint="eastAsia"/>
        </w:rPr>
        <w:t>废气污染源</w:t>
      </w:r>
      <w:r>
        <w:t>源强核算结果</w:t>
      </w:r>
    </w:p>
    <w:tbl>
      <w:tblPr>
        <w:tblStyle w:val="3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0"/>
        <w:gridCol w:w="3321"/>
        <w:gridCol w:w="1877"/>
        <w:gridCol w:w="1945"/>
        <w:gridCol w:w="2079"/>
        <w:gridCol w:w="1936"/>
        <w:gridCol w:w="1501"/>
      </w:tblGrid>
      <w:tr w14:paraId="57CC4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45" w:type="pct"/>
            <w:vMerge w:val="restart"/>
            <w:vAlign w:val="center"/>
          </w:tcPr>
          <w:p w14:paraId="761701F3">
            <w:pPr>
              <w:pStyle w:val="55"/>
              <w:rPr>
                <w:rFonts w:hint="eastAsia" w:eastAsia="楷体"/>
                <w:sz w:val="24"/>
                <w:szCs w:val="24"/>
                <w:lang w:val="en-US" w:eastAsia="zh-CN"/>
              </w:rPr>
            </w:pPr>
            <w:r>
              <w:rPr>
                <w:rFonts w:hint="eastAsia"/>
                <w:sz w:val="24"/>
                <w:szCs w:val="24"/>
              </w:rPr>
              <w:t>污染源</w:t>
            </w:r>
          </w:p>
        </w:tc>
        <w:tc>
          <w:tcPr>
            <w:tcW w:w="1168" w:type="pct"/>
            <w:vMerge w:val="restart"/>
            <w:vAlign w:val="center"/>
          </w:tcPr>
          <w:p w14:paraId="3A81703C">
            <w:pPr>
              <w:pStyle w:val="55"/>
              <w:rPr>
                <w:sz w:val="24"/>
                <w:szCs w:val="24"/>
              </w:rPr>
            </w:pPr>
            <w:r>
              <w:rPr>
                <w:rFonts w:hint="eastAsia"/>
                <w:sz w:val="24"/>
                <w:szCs w:val="24"/>
              </w:rPr>
              <w:t>污染物</w:t>
            </w:r>
          </w:p>
        </w:tc>
        <w:tc>
          <w:tcPr>
            <w:tcW w:w="1344" w:type="pct"/>
            <w:gridSpan w:val="2"/>
            <w:tcBorders>
              <w:left w:val="single" w:color="000000" w:sz="4" w:space="0"/>
            </w:tcBorders>
            <w:vAlign w:val="center"/>
          </w:tcPr>
          <w:p w14:paraId="3D8E6574">
            <w:pPr>
              <w:pStyle w:val="55"/>
              <w:rPr>
                <w:rFonts w:hint="eastAsia"/>
                <w:sz w:val="24"/>
                <w:szCs w:val="24"/>
              </w:rPr>
            </w:pPr>
            <w:r>
              <w:rPr>
                <w:rFonts w:hint="eastAsia"/>
                <w:sz w:val="24"/>
                <w:szCs w:val="24"/>
              </w:rPr>
              <w:t>污染物产生</w:t>
            </w:r>
          </w:p>
        </w:tc>
        <w:tc>
          <w:tcPr>
            <w:tcW w:w="1412" w:type="pct"/>
            <w:gridSpan w:val="2"/>
            <w:tcBorders>
              <w:left w:val="single" w:color="000000" w:sz="4" w:space="0"/>
            </w:tcBorders>
            <w:vAlign w:val="center"/>
          </w:tcPr>
          <w:p w14:paraId="37F6DA68">
            <w:pPr>
              <w:pStyle w:val="55"/>
              <w:rPr>
                <w:rFonts w:hint="eastAsia"/>
                <w:sz w:val="24"/>
                <w:szCs w:val="24"/>
              </w:rPr>
            </w:pPr>
            <w:r>
              <w:rPr>
                <w:rFonts w:hint="eastAsia"/>
                <w:sz w:val="24"/>
                <w:szCs w:val="24"/>
              </w:rPr>
              <w:t>污染物</w:t>
            </w:r>
            <w:r>
              <w:rPr>
                <w:sz w:val="24"/>
                <w:szCs w:val="24"/>
              </w:rPr>
              <w:t>排放</w:t>
            </w:r>
          </w:p>
        </w:tc>
        <w:tc>
          <w:tcPr>
            <w:tcW w:w="528" w:type="pct"/>
            <w:vMerge w:val="restart"/>
            <w:vAlign w:val="center"/>
          </w:tcPr>
          <w:p w14:paraId="3D8988A5">
            <w:pPr>
              <w:pStyle w:val="55"/>
              <w:rPr>
                <w:sz w:val="24"/>
                <w:szCs w:val="24"/>
              </w:rPr>
            </w:pPr>
            <w:r>
              <w:rPr>
                <w:rFonts w:hint="eastAsia"/>
                <w:sz w:val="24"/>
                <w:szCs w:val="24"/>
              </w:rPr>
              <w:t>排放时间/h</w:t>
            </w:r>
          </w:p>
        </w:tc>
      </w:tr>
      <w:tr w14:paraId="1AF7B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45" w:type="pct"/>
            <w:vMerge w:val="continue"/>
            <w:vAlign w:val="center"/>
          </w:tcPr>
          <w:p w14:paraId="06AE5E49">
            <w:pPr>
              <w:pStyle w:val="55"/>
              <w:rPr>
                <w:sz w:val="24"/>
                <w:szCs w:val="24"/>
              </w:rPr>
            </w:pPr>
          </w:p>
        </w:tc>
        <w:tc>
          <w:tcPr>
            <w:tcW w:w="1168" w:type="pct"/>
            <w:vMerge w:val="continue"/>
            <w:vAlign w:val="center"/>
          </w:tcPr>
          <w:p w14:paraId="184FB260">
            <w:pPr>
              <w:pStyle w:val="55"/>
              <w:rPr>
                <w:sz w:val="24"/>
                <w:szCs w:val="24"/>
              </w:rPr>
            </w:pPr>
          </w:p>
        </w:tc>
        <w:tc>
          <w:tcPr>
            <w:tcW w:w="660" w:type="pct"/>
            <w:vAlign w:val="center"/>
          </w:tcPr>
          <w:p w14:paraId="7798A303">
            <w:pPr>
              <w:pStyle w:val="55"/>
              <w:rPr>
                <w:sz w:val="24"/>
                <w:szCs w:val="24"/>
              </w:rPr>
            </w:pPr>
            <w:r>
              <w:rPr>
                <w:rFonts w:hint="eastAsia"/>
                <w:sz w:val="24"/>
                <w:szCs w:val="24"/>
              </w:rPr>
              <w:t>产生</w:t>
            </w:r>
            <w:r>
              <w:rPr>
                <w:rFonts w:hint="eastAsia"/>
                <w:sz w:val="24"/>
                <w:szCs w:val="24"/>
                <w:lang w:val="en-US" w:eastAsia="zh-CN"/>
              </w:rPr>
              <w:t>量</w:t>
            </w:r>
            <w:r>
              <w:rPr>
                <w:rFonts w:hint="eastAsia"/>
                <w:sz w:val="24"/>
                <w:szCs w:val="24"/>
              </w:rPr>
              <w:t>（</w:t>
            </w:r>
            <w:r>
              <w:rPr>
                <w:rFonts w:hint="eastAsia"/>
                <w:sz w:val="24"/>
                <w:szCs w:val="24"/>
                <w:lang w:val="en-US" w:eastAsia="zh-CN"/>
              </w:rPr>
              <w:t>t/a</w:t>
            </w:r>
            <w:r>
              <w:rPr>
                <w:rFonts w:hint="eastAsia"/>
                <w:sz w:val="24"/>
                <w:szCs w:val="24"/>
              </w:rPr>
              <w:t>）</w:t>
            </w:r>
          </w:p>
        </w:tc>
        <w:tc>
          <w:tcPr>
            <w:tcW w:w="684" w:type="pct"/>
            <w:vAlign w:val="center"/>
          </w:tcPr>
          <w:p w14:paraId="0ED73181">
            <w:pPr>
              <w:pStyle w:val="55"/>
              <w:rPr>
                <w:sz w:val="24"/>
                <w:szCs w:val="24"/>
              </w:rPr>
            </w:pPr>
            <w:r>
              <w:rPr>
                <w:rFonts w:hint="eastAsia"/>
                <w:sz w:val="24"/>
                <w:szCs w:val="24"/>
              </w:rPr>
              <w:t>产生</w:t>
            </w:r>
            <w:r>
              <w:rPr>
                <w:rFonts w:hint="eastAsia"/>
                <w:sz w:val="24"/>
                <w:szCs w:val="24"/>
                <w:lang w:val="en-US" w:eastAsia="zh-CN"/>
              </w:rPr>
              <w:t>速率</w:t>
            </w:r>
            <w:r>
              <w:rPr>
                <w:rFonts w:hint="eastAsia"/>
                <w:sz w:val="24"/>
                <w:szCs w:val="24"/>
              </w:rPr>
              <w:t>（</w:t>
            </w:r>
            <w:r>
              <w:rPr>
                <w:rFonts w:hint="eastAsia"/>
                <w:sz w:val="24"/>
                <w:szCs w:val="24"/>
                <w:lang w:val="en-US" w:eastAsia="zh-CN"/>
              </w:rPr>
              <w:t>kg/h</w:t>
            </w:r>
            <w:r>
              <w:rPr>
                <w:rFonts w:hint="eastAsia"/>
                <w:sz w:val="24"/>
                <w:szCs w:val="24"/>
              </w:rPr>
              <w:t>）</w:t>
            </w:r>
          </w:p>
        </w:tc>
        <w:tc>
          <w:tcPr>
            <w:tcW w:w="731" w:type="pct"/>
            <w:vAlign w:val="center"/>
          </w:tcPr>
          <w:p w14:paraId="1E574E9F">
            <w:pPr>
              <w:pStyle w:val="55"/>
              <w:rPr>
                <w:sz w:val="24"/>
                <w:szCs w:val="24"/>
              </w:rPr>
            </w:pPr>
            <w:r>
              <w:rPr>
                <w:rFonts w:hint="eastAsia"/>
                <w:sz w:val="24"/>
                <w:szCs w:val="24"/>
              </w:rPr>
              <w:t>排放</w:t>
            </w:r>
            <w:r>
              <w:rPr>
                <w:rFonts w:hint="eastAsia"/>
                <w:sz w:val="24"/>
                <w:szCs w:val="24"/>
                <w:lang w:val="en-US" w:eastAsia="zh-CN"/>
              </w:rPr>
              <w:t>量</w:t>
            </w:r>
            <w:r>
              <w:rPr>
                <w:rFonts w:hint="eastAsia"/>
                <w:sz w:val="24"/>
                <w:szCs w:val="24"/>
              </w:rPr>
              <w:t>（</w:t>
            </w:r>
            <w:r>
              <w:rPr>
                <w:rFonts w:hint="eastAsia"/>
                <w:sz w:val="24"/>
                <w:szCs w:val="24"/>
                <w:lang w:val="en-US" w:eastAsia="zh-CN"/>
              </w:rPr>
              <w:t>t/a</w:t>
            </w:r>
            <w:r>
              <w:rPr>
                <w:rFonts w:hint="eastAsia"/>
                <w:sz w:val="24"/>
                <w:szCs w:val="24"/>
              </w:rPr>
              <w:t>）</w:t>
            </w:r>
          </w:p>
        </w:tc>
        <w:tc>
          <w:tcPr>
            <w:tcW w:w="681" w:type="pct"/>
            <w:vAlign w:val="center"/>
          </w:tcPr>
          <w:p w14:paraId="2D6F1DCD">
            <w:pPr>
              <w:pStyle w:val="55"/>
              <w:rPr>
                <w:sz w:val="24"/>
                <w:szCs w:val="24"/>
              </w:rPr>
            </w:pPr>
            <w:r>
              <w:rPr>
                <w:rFonts w:hint="eastAsia"/>
                <w:sz w:val="24"/>
                <w:szCs w:val="24"/>
              </w:rPr>
              <w:t>排放</w:t>
            </w:r>
            <w:r>
              <w:rPr>
                <w:rFonts w:hint="eastAsia"/>
                <w:sz w:val="24"/>
                <w:szCs w:val="24"/>
                <w:lang w:val="en-US" w:eastAsia="zh-CN"/>
              </w:rPr>
              <w:t>速率</w:t>
            </w:r>
            <w:r>
              <w:rPr>
                <w:rFonts w:hint="eastAsia"/>
                <w:sz w:val="24"/>
                <w:szCs w:val="24"/>
              </w:rPr>
              <w:t>（</w:t>
            </w:r>
            <w:r>
              <w:rPr>
                <w:rFonts w:hint="eastAsia"/>
                <w:sz w:val="24"/>
                <w:szCs w:val="24"/>
                <w:lang w:val="en-US" w:eastAsia="zh-CN"/>
              </w:rPr>
              <w:t>kg/h</w:t>
            </w:r>
            <w:r>
              <w:rPr>
                <w:rFonts w:hint="eastAsia"/>
                <w:sz w:val="24"/>
                <w:szCs w:val="24"/>
              </w:rPr>
              <w:t>）</w:t>
            </w:r>
          </w:p>
        </w:tc>
        <w:tc>
          <w:tcPr>
            <w:tcW w:w="528" w:type="pct"/>
            <w:vMerge w:val="continue"/>
            <w:vAlign w:val="center"/>
          </w:tcPr>
          <w:p w14:paraId="4021EDCF">
            <w:pPr>
              <w:pStyle w:val="55"/>
              <w:rPr>
                <w:sz w:val="24"/>
                <w:szCs w:val="24"/>
              </w:rPr>
            </w:pPr>
          </w:p>
        </w:tc>
      </w:tr>
      <w:tr w14:paraId="3E114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45" w:type="pct"/>
            <w:vMerge w:val="restart"/>
            <w:vAlign w:val="center"/>
          </w:tcPr>
          <w:p w14:paraId="6E2B7978">
            <w:pPr>
              <w:pStyle w:val="55"/>
              <w:rPr>
                <w:rFonts w:hint="eastAsia" w:eastAsia="楷体"/>
                <w:sz w:val="24"/>
                <w:szCs w:val="24"/>
                <w:lang w:eastAsia="zh-CN"/>
              </w:rPr>
            </w:pPr>
            <w:r>
              <w:rPr>
                <w:rFonts w:hint="eastAsia"/>
                <w:sz w:val="24"/>
                <w:szCs w:val="24"/>
                <w:lang w:val="en-US" w:eastAsia="zh-CN"/>
              </w:rPr>
              <w:t>1</w:t>
            </w:r>
            <w:r>
              <w:rPr>
                <w:rFonts w:hint="eastAsia"/>
                <w:sz w:val="24"/>
                <w:szCs w:val="24"/>
              </w:rPr>
              <w:t>#生产车间</w:t>
            </w:r>
          </w:p>
        </w:tc>
        <w:tc>
          <w:tcPr>
            <w:tcW w:w="1168" w:type="pct"/>
            <w:vAlign w:val="center"/>
          </w:tcPr>
          <w:p w14:paraId="4F8F1BF7">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default" w:ascii="Times New Roman" w:hAnsi="Times New Roman" w:eastAsia="楷体" w:cs="Times New Roman"/>
                <w:sz w:val="24"/>
                <w:szCs w:val="24"/>
                <w:lang w:val="en-US" w:eastAsia="zh-CN"/>
              </w:rPr>
              <w:t>颗粒物</w:t>
            </w:r>
          </w:p>
        </w:tc>
        <w:tc>
          <w:tcPr>
            <w:tcW w:w="660" w:type="pct"/>
            <w:vAlign w:val="center"/>
          </w:tcPr>
          <w:p w14:paraId="62C27E58">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0.457</w:t>
            </w:r>
          </w:p>
        </w:tc>
        <w:tc>
          <w:tcPr>
            <w:tcW w:w="684" w:type="pct"/>
            <w:vAlign w:val="center"/>
          </w:tcPr>
          <w:p w14:paraId="15F590DF">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0.063</w:t>
            </w:r>
          </w:p>
        </w:tc>
        <w:tc>
          <w:tcPr>
            <w:tcW w:w="731" w:type="pct"/>
            <w:vAlign w:val="center"/>
          </w:tcPr>
          <w:p w14:paraId="5807068D">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0.457</w:t>
            </w:r>
          </w:p>
        </w:tc>
        <w:tc>
          <w:tcPr>
            <w:tcW w:w="681" w:type="pct"/>
            <w:vAlign w:val="center"/>
          </w:tcPr>
          <w:p w14:paraId="0A483A86">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0.063</w:t>
            </w:r>
          </w:p>
        </w:tc>
        <w:tc>
          <w:tcPr>
            <w:tcW w:w="528" w:type="pct"/>
            <w:vMerge w:val="restart"/>
            <w:vAlign w:val="center"/>
          </w:tcPr>
          <w:p w14:paraId="2CC639B7">
            <w:pPr>
              <w:pStyle w:val="55"/>
              <w:rPr>
                <w:sz w:val="24"/>
                <w:szCs w:val="24"/>
              </w:rPr>
            </w:pPr>
            <w:r>
              <w:rPr>
                <w:rFonts w:hint="eastAsia"/>
                <w:sz w:val="24"/>
                <w:szCs w:val="24"/>
                <w:lang w:val="en-US" w:eastAsia="zh-CN"/>
              </w:rPr>
              <w:t>7200</w:t>
            </w:r>
          </w:p>
        </w:tc>
      </w:tr>
      <w:tr w14:paraId="06D36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45" w:type="pct"/>
            <w:vMerge w:val="continue"/>
            <w:vAlign w:val="center"/>
          </w:tcPr>
          <w:p w14:paraId="5E416208">
            <w:pPr>
              <w:pStyle w:val="55"/>
              <w:rPr>
                <w:sz w:val="24"/>
                <w:szCs w:val="24"/>
              </w:rPr>
            </w:pPr>
          </w:p>
        </w:tc>
        <w:tc>
          <w:tcPr>
            <w:tcW w:w="1168" w:type="pct"/>
            <w:vAlign w:val="center"/>
          </w:tcPr>
          <w:p w14:paraId="7BB2515E">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lang w:val="en-US" w:eastAsia="zh-CN"/>
              </w:rPr>
              <w:t>非甲烷总烃</w:t>
            </w:r>
          </w:p>
        </w:tc>
        <w:tc>
          <w:tcPr>
            <w:tcW w:w="660" w:type="pct"/>
            <w:vAlign w:val="center"/>
          </w:tcPr>
          <w:p w14:paraId="719EE07F">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0.460</w:t>
            </w:r>
          </w:p>
        </w:tc>
        <w:tc>
          <w:tcPr>
            <w:tcW w:w="684" w:type="pct"/>
            <w:vAlign w:val="center"/>
          </w:tcPr>
          <w:p w14:paraId="391005CE">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0.064</w:t>
            </w:r>
          </w:p>
        </w:tc>
        <w:tc>
          <w:tcPr>
            <w:tcW w:w="731" w:type="pct"/>
            <w:vAlign w:val="center"/>
          </w:tcPr>
          <w:p w14:paraId="0DA06DC6">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0.460</w:t>
            </w:r>
          </w:p>
        </w:tc>
        <w:tc>
          <w:tcPr>
            <w:tcW w:w="681" w:type="pct"/>
            <w:vAlign w:val="center"/>
          </w:tcPr>
          <w:p w14:paraId="6EF9A47A">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0.064</w:t>
            </w:r>
          </w:p>
        </w:tc>
        <w:tc>
          <w:tcPr>
            <w:tcW w:w="528" w:type="pct"/>
            <w:vMerge w:val="continue"/>
            <w:vAlign w:val="center"/>
          </w:tcPr>
          <w:p w14:paraId="410E57F2">
            <w:pPr>
              <w:pStyle w:val="55"/>
              <w:rPr>
                <w:sz w:val="24"/>
                <w:szCs w:val="24"/>
              </w:rPr>
            </w:pPr>
          </w:p>
        </w:tc>
      </w:tr>
      <w:tr w14:paraId="2E699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45" w:type="pct"/>
            <w:vMerge w:val="continue"/>
            <w:vAlign w:val="center"/>
          </w:tcPr>
          <w:p w14:paraId="1CC065CD">
            <w:pPr>
              <w:pStyle w:val="55"/>
              <w:rPr>
                <w:rFonts w:hint="eastAsia"/>
                <w:sz w:val="24"/>
                <w:szCs w:val="24"/>
              </w:rPr>
            </w:pPr>
          </w:p>
        </w:tc>
        <w:tc>
          <w:tcPr>
            <w:tcW w:w="1168" w:type="pct"/>
            <w:tcBorders>
              <w:bottom w:val="single" w:color="000000" w:sz="4" w:space="0"/>
            </w:tcBorders>
            <w:vAlign w:val="center"/>
          </w:tcPr>
          <w:p w14:paraId="1EF3F7F2">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default" w:ascii="Times New Roman" w:hAnsi="Times New Roman" w:eastAsia="楷体" w:cs="Times New Roman"/>
                <w:sz w:val="24"/>
                <w:szCs w:val="24"/>
                <w:lang w:val="en-US" w:eastAsia="zh-CN"/>
              </w:rPr>
              <w:t>氯化氢</w:t>
            </w:r>
          </w:p>
        </w:tc>
        <w:tc>
          <w:tcPr>
            <w:tcW w:w="660" w:type="pct"/>
            <w:vAlign w:val="center"/>
          </w:tcPr>
          <w:p w14:paraId="0AFDAF79">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0.000</w:t>
            </w:r>
            <w:r>
              <w:rPr>
                <w:rFonts w:hint="eastAsia" w:eastAsia="楷体" w:cs="Times New Roman"/>
                <w:sz w:val="24"/>
                <w:szCs w:val="24"/>
                <w:vertAlign w:val="baseline"/>
                <w:lang w:val="en-US" w:eastAsia="zh-CN"/>
              </w:rPr>
              <w:t>3</w:t>
            </w:r>
          </w:p>
        </w:tc>
        <w:tc>
          <w:tcPr>
            <w:tcW w:w="684" w:type="pct"/>
            <w:vAlign w:val="center"/>
          </w:tcPr>
          <w:p w14:paraId="6E562F9B">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0.00004</w:t>
            </w:r>
          </w:p>
        </w:tc>
        <w:tc>
          <w:tcPr>
            <w:tcW w:w="731" w:type="pct"/>
            <w:vAlign w:val="center"/>
          </w:tcPr>
          <w:p w14:paraId="216FE9AE">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0.000</w:t>
            </w:r>
            <w:r>
              <w:rPr>
                <w:rFonts w:hint="eastAsia" w:eastAsia="楷体" w:cs="Times New Roman"/>
                <w:sz w:val="24"/>
                <w:szCs w:val="24"/>
                <w:vertAlign w:val="baseline"/>
                <w:lang w:val="en-US" w:eastAsia="zh-CN"/>
              </w:rPr>
              <w:t>3</w:t>
            </w:r>
          </w:p>
        </w:tc>
        <w:tc>
          <w:tcPr>
            <w:tcW w:w="681" w:type="pct"/>
            <w:vAlign w:val="center"/>
          </w:tcPr>
          <w:p w14:paraId="27BF2A9B">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0.00004</w:t>
            </w:r>
          </w:p>
        </w:tc>
        <w:tc>
          <w:tcPr>
            <w:tcW w:w="528" w:type="pct"/>
            <w:vMerge w:val="continue"/>
            <w:vAlign w:val="center"/>
          </w:tcPr>
          <w:p w14:paraId="2B2F093F">
            <w:pPr>
              <w:pStyle w:val="55"/>
              <w:rPr>
                <w:sz w:val="24"/>
                <w:szCs w:val="24"/>
              </w:rPr>
            </w:pPr>
          </w:p>
        </w:tc>
      </w:tr>
      <w:tr w14:paraId="22359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45" w:type="pct"/>
            <w:vMerge w:val="continue"/>
            <w:vAlign w:val="center"/>
          </w:tcPr>
          <w:p w14:paraId="4E5CF0D5">
            <w:pPr>
              <w:pStyle w:val="55"/>
              <w:rPr>
                <w:sz w:val="24"/>
                <w:szCs w:val="24"/>
              </w:rPr>
            </w:pPr>
          </w:p>
        </w:tc>
        <w:tc>
          <w:tcPr>
            <w:tcW w:w="1168" w:type="pct"/>
            <w:tcBorders>
              <w:top w:val="single" w:color="000000" w:sz="4" w:space="0"/>
              <w:bottom w:val="single" w:color="000000" w:sz="4" w:space="0"/>
            </w:tcBorders>
            <w:vAlign w:val="center"/>
          </w:tcPr>
          <w:p w14:paraId="6C4A423A">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臭气浓度</w:t>
            </w:r>
          </w:p>
        </w:tc>
        <w:tc>
          <w:tcPr>
            <w:tcW w:w="660" w:type="pct"/>
            <w:vAlign w:val="center"/>
          </w:tcPr>
          <w:p w14:paraId="0F302EAB">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w:t>
            </w:r>
          </w:p>
        </w:tc>
        <w:tc>
          <w:tcPr>
            <w:tcW w:w="684" w:type="pct"/>
            <w:vAlign w:val="center"/>
          </w:tcPr>
          <w:p w14:paraId="3796F730">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w:t>
            </w:r>
          </w:p>
        </w:tc>
        <w:tc>
          <w:tcPr>
            <w:tcW w:w="731" w:type="pct"/>
            <w:vAlign w:val="center"/>
          </w:tcPr>
          <w:p w14:paraId="058B070A">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w:t>
            </w:r>
          </w:p>
        </w:tc>
        <w:tc>
          <w:tcPr>
            <w:tcW w:w="681" w:type="pct"/>
            <w:vAlign w:val="center"/>
          </w:tcPr>
          <w:p w14:paraId="4C4DD271">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w:t>
            </w:r>
          </w:p>
        </w:tc>
        <w:tc>
          <w:tcPr>
            <w:tcW w:w="528" w:type="pct"/>
            <w:vMerge w:val="continue"/>
            <w:vAlign w:val="center"/>
          </w:tcPr>
          <w:p w14:paraId="7CACD0C5">
            <w:pPr>
              <w:pStyle w:val="55"/>
              <w:rPr>
                <w:sz w:val="24"/>
                <w:szCs w:val="24"/>
              </w:rPr>
            </w:pPr>
          </w:p>
        </w:tc>
      </w:tr>
      <w:tr w14:paraId="0BF1A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45" w:type="pct"/>
            <w:vMerge w:val="restart"/>
            <w:vAlign w:val="center"/>
          </w:tcPr>
          <w:p w14:paraId="642F753E">
            <w:pPr>
              <w:pStyle w:val="55"/>
              <w:rPr>
                <w:sz w:val="24"/>
                <w:szCs w:val="24"/>
              </w:rPr>
            </w:pPr>
            <w:r>
              <w:rPr>
                <w:rFonts w:hint="eastAsia"/>
                <w:sz w:val="24"/>
                <w:szCs w:val="24"/>
                <w:lang w:val="en-US" w:eastAsia="zh-CN"/>
              </w:rPr>
              <w:t>2</w:t>
            </w:r>
            <w:r>
              <w:rPr>
                <w:rFonts w:hint="eastAsia"/>
                <w:sz w:val="24"/>
                <w:szCs w:val="24"/>
              </w:rPr>
              <w:t>#生产车间</w:t>
            </w:r>
          </w:p>
        </w:tc>
        <w:tc>
          <w:tcPr>
            <w:tcW w:w="1168" w:type="pct"/>
            <w:tcBorders>
              <w:top w:val="single" w:color="000000" w:sz="4" w:space="0"/>
              <w:bottom w:val="single" w:color="000000" w:sz="4" w:space="0"/>
            </w:tcBorders>
            <w:vAlign w:val="center"/>
          </w:tcPr>
          <w:p w14:paraId="493CEA54">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eastAsia" w:ascii="Times New Roman" w:hAnsi="Times New Roman" w:eastAsia="楷体" w:cs="Times New Roman"/>
                <w:sz w:val="24"/>
                <w:szCs w:val="24"/>
                <w:vertAlign w:val="baseline"/>
                <w:lang w:val="en-US" w:eastAsia="zh-CN"/>
              </w:rPr>
            </w:pPr>
            <w:r>
              <w:rPr>
                <w:rFonts w:hint="default" w:ascii="Times New Roman" w:hAnsi="Times New Roman" w:eastAsia="楷体" w:cs="Times New Roman"/>
                <w:sz w:val="24"/>
                <w:szCs w:val="24"/>
                <w:lang w:val="en-US" w:eastAsia="zh-CN"/>
              </w:rPr>
              <w:t>颗粒物</w:t>
            </w:r>
          </w:p>
        </w:tc>
        <w:tc>
          <w:tcPr>
            <w:tcW w:w="660" w:type="pct"/>
            <w:vAlign w:val="center"/>
          </w:tcPr>
          <w:p w14:paraId="29E4C635">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0.457</w:t>
            </w:r>
          </w:p>
        </w:tc>
        <w:tc>
          <w:tcPr>
            <w:tcW w:w="684" w:type="pct"/>
            <w:vAlign w:val="center"/>
          </w:tcPr>
          <w:p w14:paraId="23449E58">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0.063</w:t>
            </w:r>
          </w:p>
        </w:tc>
        <w:tc>
          <w:tcPr>
            <w:tcW w:w="731" w:type="pct"/>
            <w:vAlign w:val="center"/>
          </w:tcPr>
          <w:p w14:paraId="490D2D9A">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0.457</w:t>
            </w:r>
          </w:p>
        </w:tc>
        <w:tc>
          <w:tcPr>
            <w:tcW w:w="681" w:type="pct"/>
            <w:vAlign w:val="center"/>
          </w:tcPr>
          <w:p w14:paraId="5B1A0AFB">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0.063</w:t>
            </w:r>
          </w:p>
        </w:tc>
        <w:tc>
          <w:tcPr>
            <w:tcW w:w="528" w:type="pct"/>
            <w:vMerge w:val="restart"/>
            <w:vAlign w:val="center"/>
          </w:tcPr>
          <w:p w14:paraId="4A7B9721">
            <w:pPr>
              <w:pStyle w:val="55"/>
              <w:rPr>
                <w:sz w:val="24"/>
                <w:szCs w:val="24"/>
              </w:rPr>
            </w:pPr>
            <w:r>
              <w:rPr>
                <w:rFonts w:hint="eastAsia"/>
                <w:sz w:val="24"/>
                <w:szCs w:val="24"/>
                <w:lang w:val="en-US" w:eastAsia="zh-CN"/>
              </w:rPr>
              <w:t>7200</w:t>
            </w:r>
          </w:p>
        </w:tc>
      </w:tr>
      <w:tr w14:paraId="4447D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45" w:type="pct"/>
            <w:vMerge w:val="continue"/>
            <w:vAlign w:val="center"/>
          </w:tcPr>
          <w:p w14:paraId="2CF869AA">
            <w:pPr>
              <w:pStyle w:val="55"/>
              <w:rPr>
                <w:sz w:val="24"/>
                <w:szCs w:val="24"/>
              </w:rPr>
            </w:pPr>
          </w:p>
        </w:tc>
        <w:tc>
          <w:tcPr>
            <w:tcW w:w="1168" w:type="pct"/>
            <w:tcBorders>
              <w:top w:val="single" w:color="000000" w:sz="4" w:space="0"/>
              <w:bottom w:val="single" w:color="000000" w:sz="4" w:space="0"/>
            </w:tcBorders>
            <w:vAlign w:val="center"/>
          </w:tcPr>
          <w:p w14:paraId="2012FADA">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eastAsia" w:ascii="Times New Roman" w:hAnsi="Times New Roman" w:eastAsia="楷体" w:cs="Times New Roman"/>
                <w:sz w:val="24"/>
                <w:szCs w:val="24"/>
                <w:vertAlign w:val="baseline"/>
                <w:lang w:val="en-US" w:eastAsia="zh-CN"/>
              </w:rPr>
            </w:pPr>
            <w:r>
              <w:rPr>
                <w:rFonts w:hint="eastAsia" w:ascii="Times New Roman" w:hAnsi="Times New Roman" w:eastAsia="楷体" w:cs="Times New Roman"/>
                <w:sz w:val="24"/>
                <w:szCs w:val="24"/>
                <w:lang w:val="en-US" w:eastAsia="zh-CN"/>
              </w:rPr>
              <w:t>非甲烷总烃</w:t>
            </w:r>
          </w:p>
        </w:tc>
        <w:tc>
          <w:tcPr>
            <w:tcW w:w="660" w:type="pct"/>
            <w:vAlign w:val="center"/>
          </w:tcPr>
          <w:p w14:paraId="46D1AF65">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0.460</w:t>
            </w:r>
          </w:p>
        </w:tc>
        <w:tc>
          <w:tcPr>
            <w:tcW w:w="684" w:type="pct"/>
            <w:vAlign w:val="center"/>
          </w:tcPr>
          <w:p w14:paraId="445CBC16">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0.064</w:t>
            </w:r>
          </w:p>
        </w:tc>
        <w:tc>
          <w:tcPr>
            <w:tcW w:w="731" w:type="pct"/>
            <w:vAlign w:val="center"/>
          </w:tcPr>
          <w:p w14:paraId="25206128">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0.460</w:t>
            </w:r>
          </w:p>
        </w:tc>
        <w:tc>
          <w:tcPr>
            <w:tcW w:w="681" w:type="pct"/>
            <w:vAlign w:val="center"/>
          </w:tcPr>
          <w:p w14:paraId="16520828">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0.064</w:t>
            </w:r>
          </w:p>
        </w:tc>
        <w:tc>
          <w:tcPr>
            <w:tcW w:w="528" w:type="pct"/>
            <w:vMerge w:val="continue"/>
            <w:vAlign w:val="center"/>
          </w:tcPr>
          <w:p w14:paraId="500580F0">
            <w:pPr>
              <w:pStyle w:val="55"/>
              <w:rPr>
                <w:sz w:val="24"/>
                <w:szCs w:val="24"/>
              </w:rPr>
            </w:pPr>
          </w:p>
        </w:tc>
      </w:tr>
      <w:tr w14:paraId="4F5F1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45" w:type="pct"/>
            <w:vMerge w:val="continue"/>
            <w:vAlign w:val="center"/>
          </w:tcPr>
          <w:p w14:paraId="4D21CB7D">
            <w:pPr>
              <w:pStyle w:val="55"/>
              <w:rPr>
                <w:sz w:val="24"/>
                <w:szCs w:val="24"/>
              </w:rPr>
            </w:pPr>
          </w:p>
        </w:tc>
        <w:tc>
          <w:tcPr>
            <w:tcW w:w="1168" w:type="pct"/>
            <w:tcBorders>
              <w:top w:val="single" w:color="000000" w:sz="4" w:space="0"/>
              <w:bottom w:val="single" w:color="000000" w:sz="4" w:space="0"/>
            </w:tcBorders>
            <w:vAlign w:val="center"/>
          </w:tcPr>
          <w:p w14:paraId="4C7A03E2">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eastAsia" w:ascii="Times New Roman" w:hAnsi="Times New Roman" w:eastAsia="楷体" w:cs="Times New Roman"/>
                <w:sz w:val="24"/>
                <w:szCs w:val="24"/>
                <w:vertAlign w:val="baseline"/>
                <w:lang w:val="en-US" w:eastAsia="zh-CN"/>
              </w:rPr>
            </w:pPr>
            <w:r>
              <w:rPr>
                <w:rFonts w:hint="default" w:ascii="Times New Roman" w:hAnsi="Times New Roman" w:eastAsia="楷体" w:cs="Times New Roman"/>
                <w:sz w:val="24"/>
                <w:szCs w:val="24"/>
                <w:lang w:val="en-US" w:eastAsia="zh-CN"/>
              </w:rPr>
              <w:t>氯化氢</w:t>
            </w:r>
          </w:p>
        </w:tc>
        <w:tc>
          <w:tcPr>
            <w:tcW w:w="660" w:type="pct"/>
            <w:vAlign w:val="center"/>
          </w:tcPr>
          <w:p w14:paraId="4DDE420C">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0.000</w:t>
            </w:r>
            <w:r>
              <w:rPr>
                <w:rFonts w:hint="eastAsia" w:eastAsia="楷体" w:cs="Times New Roman"/>
                <w:sz w:val="24"/>
                <w:szCs w:val="24"/>
                <w:vertAlign w:val="baseline"/>
                <w:lang w:val="en-US" w:eastAsia="zh-CN"/>
              </w:rPr>
              <w:t>3</w:t>
            </w:r>
          </w:p>
        </w:tc>
        <w:tc>
          <w:tcPr>
            <w:tcW w:w="684" w:type="pct"/>
            <w:vAlign w:val="center"/>
          </w:tcPr>
          <w:p w14:paraId="3B013E7C">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0.00004</w:t>
            </w:r>
          </w:p>
        </w:tc>
        <w:tc>
          <w:tcPr>
            <w:tcW w:w="731" w:type="pct"/>
            <w:vAlign w:val="center"/>
          </w:tcPr>
          <w:p w14:paraId="40D752B6">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default"/>
                <w:sz w:val="24"/>
                <w:szCs w:val="24"/>
                <w:lang w:val="en-US"/>
              </w:rPr>
            </w:pPr>
            <w:r>
              <w:rPr>
                <w:rFonts w:hint="eastAsia" w:ascii="Times New Roman" w:hAnsi="Times New Roman" w:eastAsia="楷体" w:cs="Times New Roman"/>
                <w:sz w:val="24"/>
                <w:szCs w:val="24"/>
                <w:vertAlign w:val="baseline"/>
                <w:lang w:val="en-US" w:eastAsia="zh-CN"/>
              </w:rPr>
              <w:t>0.000</w:t>
            </w:r>
            <w:r>
              <w:rPr>
                <w:rFonts w:hint="eastAsia" w:eastAsia="楷体" w:cs="Times New Roman"/>
                <w:sz w:val="24"/>
                <w:szCs w:val="24"/>
                <w:vertAlign w:val="baseline"/>
                <w:lang w:val="en-US" w:eastAsia="zh-CN"/>
              </w:rPr>
              <w:t>3</w:t>
            </w:r>
          </w:p>
        </w:tc>
        <w:tc>
          <w:tcPr>
            <w:tcW w:w="681" w:type="pct"/>
            <w:vAlign w:val="center"/>
          </w:tcPr>
          <w:p w14:paraId="12121494">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0.00004</w:t>
            </w:r>
          </w:p>
        </w:tc>
        <w:tc>
          <w:tcPr>
            <w:tcW w:w="528" w:type="pct"/>
            <w:vMerge w:val="continue"/>
            <w:vAlign w:val="center"/>
          </w:tcPr>
          <w:p w14:paraId="5A2E2840">
            <w:pPr>
              <w:pStyle w:val="55"/>
              <w:rPr>
                <w:sz w:val="24"/>
                <w:szCs w:val="24"/>
              </w:rPr>
            </w:pPr>
          </w:p>
        </w:tc>
      </w:tr>
      <w:tr w14:paraId="38CFF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45" w:type="pct"/>
            <w:vMerge w:val="continue"/>
            <w:vAlign w:val="center"/>
          </w:tcPr>
          <w:p w14:paraId="4CA7343E">
            <w:pPr>
              <w:pStyle w:val="55"/>
              <w:rPr>
                <w:sz w:val="24"/>
                <w:szCs w:val="24"/>
              </w:rPr>
            </w:pPr>
          </w:p>
        </w:tc>
        <w:tc>
          <w:tcPr>
            <w:tcW w:w="1168" w:type="pct"/>
            <w:tcBorders>
              <w:top w:val="single" w:color="000000" w:sz="4" w:space="0"/>
              <w:bottom w:val="single" w:color="000000" w:sz="4" w:space="0"/>
            </w:tcBorders>
            <w:vAlign w:val="center"/>
          </w:tcPr>
          <w:p w14:paraId="4F1A5AB6">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eastAsia" w:ascii="Times New Roman" w:hAnsi="Times New Roman" w:eastAsia="楷体" w:cs="Times New Roman"/>
                <w:sz w:val="24"/>
                <w:szCs w:val="24"/>
                <w:vertAlign w:val="baseline"/>
                <w:lang w:val="en-US" w:eastAsia="zh-CN"/>
              </w:rPr>
            </w:pPr>
            <w:r>
              <w:rPr>
                <w:rFonts w:hint="eastAsia" w:ascii="Times New Roman" w:hAnsi="Times New Roman" w:eastAsia="楷体" w:cs="Times New Roman"/>
                <w:sz w:val="24"/>
                <w:szCs w:val="24"/>
                <w:vertAlign w:val="baseline"/>
                <w:lang w:val="en-US" w:eastAsia="zh-CN"/>
              </w:rPr>
              <w:t>臭气浓度</w:t>
            </w:r>
          </w:p>
        </w:tc>
        <w:tc>
          <w:tcPr>
            <w:tcW w:w="660" w:type="pct"/>
            <w:vAlign w:val="center"/>
          </w:tcPr>
          <w:p w14:paraId="4D9D9CE6">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w:t>
            </w:r>
          </w:p>
        </w:tc>
        <w:tc>
          <w:tcPr>
            <w:tcW w:w="684" w:type="pct"/>
            <w:vAlign w:val="center"/>
          </w:tcPr>
          <w:p w14:paraId="2A1CC267">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w:t>
            </w:r>
          </w:p>
        </w:tc>
        <w:tc>
          <w:tcPr>
            <w:tcW w:w="731" w:type="pct"/>
            <w:vAlign w:val="center"/>
          </w:tcPr>
          <w:p w14:paraId="0B0C3B07">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w:t>
            </w:r>
          </w:p>
        </w:tc>
        <w:tc>
          <w:tcPr>
            <w:tcW w:w="681" w:type="pct"/>
            <w:vAlign w:val="center"/>
          </w:tcPr>
          <w:p w14:paraId="3040DD80">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w:t>
            </w:r>
          </w:p>
        </w:tc>
        <w:tc>
          <w:tcPr>
            <w:tcW w:w="528" w:type="pct"/>
            <w:vMerge w:val="continue"/>
            <w:vAlign w:val="center"/>
          </w:tcPr>
          <w:p w14:paraId="15D98C3E">
            <w:pPr>
              <w:pStyle w:val="55"/>
              <w:rPr>
                <w:sz w:val="24"/>
                <w:szCs w:val="24"/>
              </w:rPr>
            </w:pPr>
          </w:p>
        </w:tc>
      </w:tr>
      <w:tr w14:paraId="13F39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45" w:type="pct"/>
            <w:vMerge w:val="restart"/>
            <w:vAlign w:val="center"/>
          </w:tcPr>
          <w:p w14:paraId="3C75B640">
            <w:pPr>
              <w:pStyle w:val="55"/>
              <w:rPr>
                <w:sz w:val="24"/>
                <w:szCs w:val="24"/>
              </w:rPr>
            </w:pPr>
            <w:r>
              <w:rPr>
                <w:rFonts w:hint="eastAsia"/>
                <w:sz w:val="24"/>
                <w:szCs w:val="24"/>
                <w:lang w:val="en-US" w:eastAsia="zh-CN"/>
              </w:rPr>
              <w:t>3</w:t>
            </w:r>
            <w:r>
              <w:rPr>
                <w:rFonts w:hint="eastAsia"/>
                <w:sz w:val="24"/>
                <w:szCs w:val="24"/>
              </w:rPr>
              <w:t>#生产车间</w:t>
            </w:r>
          </w:p>
        </w:tc>
        <w:tc>
          <w:tcPr>
            <w:tcW w:w="1168" w:type="pct"/>
            <w:tcBorders>
              <w:top w:val="single" w:color="000000" w:sz="4" w:space="0"/>
              <w:bottom w:val="single" w:color="000000" w:sz="4" w:space="0"/>
            </w:tcBorders>
            <w:vAlign w:val="center"/>
          </w:tcPr>
          <w:p w14:paraId="56921993">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eastAsia" w:ascii="Times New Roman" w:hAnsi="Times New Roman" w:eastAsia="楷体" w:cs="Times New Roman"/>
                <w:sz w:val="24"/>
                <w:szCs w:val="24"/>
                <w:vertAlign w:val="baseline"/>
                <w:lang w:val="en-US" w:eastAsia="zh-CN"/>
              </w:rPr>
            </w:pPr>
            <w:r>
              <w:rPr>
                <w:rFonts w:hint="default" w:ascii="Times New Roman" w:hAnsi="Times New Roman" w:eastAsia="楷体" w:cs="Times New Roman"/>
                <w:sz w:val="24"/>
                <w:szCs w:val="24"/>
                <w:lang w:val="en-US" w:eastAsia="zh-CN"/>
              </w:rPr>
              <w:t>颗粒物</w:t>
            </w:r>
          </w:p>
        </w:tc>
        <w:tc>
          <w:tcPr>
            <w:tcW w:w="660" w:type="pct"/>
            <w:vAlign w:val="center"/>
          </w:tcPr>
          <w:p w14:paraId="66B7CC15">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0.229</w:t>
            </w:r>
          </w:p>
        </w:tc>
        <w:tc>
          <w:tcPr>
            <w:tcW w:w="684" w:type="pct"/>
            <w:vAlign w:val="center"/>
          </w:tcPr>
          <w:p w14:paraId="0E76C39E">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0.032</w:t>
            </w:r>
          </w:p>
        </w:tc>
        <w:tc>
          <w:tcPr>
            <w:tcW w:w="731" w:type="pct"/>
            <w:vAlign w:val="center"/>
          </w:tcPr>
          <w:p w14:paraId="0FA8CC2E">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0.229</w:t>
            </w:r>
          </w:p>
        </w:tc>
        <w:tc>
          <w:tcPr>
            <w:tcW w:w="681" w:type="pct"/>
            <w:vAlign w:val="center"/>
          </w:tcPr>
          <w:p w14:paraId="5DBC8A7B">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0.032</w:t>
            </w:r>
          </w:p>
        </w:tc>
        <w:tc>
          <w:tcPr>
            <w:tcW w:w="528" w:type="pct"/>
            <w:vMerge w:val="restart"/>
            <w:vAlign w:val="center"/>
          </w:tcPr>
          <w:p w14:paraId="4218BAE3">
            <w:pPr>
              <w:pStyle w:val="55"/>
              <w:rPr>
                <w:sz w:val="24"/>
                <w:szCs w:val="24"/>
              </w:rPr>
            </w:pPr>
            <w:r>
              <w:rPr>
                <w:rFonts w:hint="eastAsia"/>
                <w:sz w:val="24"/>
                <w:szCs w:val="24"/>
                <w:lang w:val="en-US" w:eastAsia="zh-CN"/>
              </w:rPr>
              <w:t>7200</w:t>
            </w:r>
          </w:p>
        </w:tc>
      </w:tr>
      <w:tr w14:paraId="1A64C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45" w:type="pct"/>
            <w:vMerge w:val="continue"/>
            <w:vAlign w:val="center"/>
          </w:tcPr>
          <w:p w14:paraId="4AE561EF">
            <w:pPr>
              <w:pStyle w:val="55"/>
              <w:rPr>
                <w:sz w:val="24"/>
                <w:szCs w:val="24"/>
              </w:rPr>
            </w:pPr>
          </w:p>
        </w:tc>
        <w:tc>
          <w:tcPr>
            <w:tcW w:w="1168" w:type="pct"/>
            <w:tcBorders>
              <w:top w:val="single" w:color="000000" w:sz="4" w:space="0"/>
              <w:bottom w:val="single" w:color="000000" w:sz="4" w:space="0"/>
            </w:tcBorders>
            <w:vAlign w:val="center"/>
          </w:tcPr>
          <w:p w14:paraId="52E35F3C">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eastAsia" w:ascii="Times New Roman" w:hAnsi="Times New Roman" w:eastAsia="楷体" w:cs="Times New Roman"/>
                <w:sz w:val="24"/>
                <w:szCs w:val="24"/>
                <w:vertAlign w:val="baseline"/>
                <w:lang w:val="en-US" w:eastAsia="zh-CN"/>
              </w:rPr>
            </w:pPr>
            <w:r>
              <w:rPr>
                <w:rFonts w:hint="eastAsia" w:ascii="Times New Roman" w:hAnsi="Times New Roman" w:eastAsia="楷体" w:cs="Times New Roman"/>
                <w:sz w:val="24"/>
                <w:szCs w:val="24"/>
                <w:lang w:val="en-US" w:eastAsia="zh-CN"/>
              </w:rPr>
              <w:t>非甲烷总烃</w:t>
            </w:r>
          </w:p>
        </w:tc>
        <w:tc>
          <w:tcPr>
            <w:tcW w:w="660" w:type="pct"/>
            <w:vAlign w:val="center"/>
          </w:tcPr>
          <w:p w14:paraId="4D1B79AF">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0.230</w:t>
            </w:r>
          </w:p>
        </w:tc>
        <w:tc>
          <w:tcPr>
            <w:tcW w:w="684" w:type="pct"/>
            <w:vAlign w:val="center"/>
          </w:tcPr>
          <w:p w14:paraId="3A798C61">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0.032</w:t>
            </w:r>
          </w:p>
        </w:tc>
        <w:tc>
          <w:tcPr>
            <w:tcW w:w="731" w:type="pct"/>
            <w:vAlign w:val="center"/>
          </w:tcPr>
          <w:p w14:paraId="1B2A231A">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0.230</w:t>
            </w:r>
          </w:p>
        </w:tc>
        <w:tc>
          <w:tcPr>
            <w:tcW w:w="681" w:type="pct"/>
            <w:vAlign w:val="center"/>
          </w:tcPr>
          <w:p w14:paraId="144EC65D">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0.032</w:t>
            </w:r>
          </w:p>
        </w:tc>
        <w:tc>
          <w:tcPr>
            <w:tcW w:w="528" w:type="pct"/>
            <w:vMerge w:val="continue"/>
            <w:vAlign w:val="center"/>
          </w:tcPr>
          <w:p w14:paraId="660A5DEB">
            <w:pPr>
              <w:pStyle w:val="55"/>
              <w:rPr>
                <w:sz w:val="24"/>
                <w:szCs w:val="24"/>
              </w:rPr>
            </w:pPr>
          </w:p>
        </w:tc>
      </w:tr>
      <w:tr w14:paraId="69962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545" w:type="pct"/>
            <w:vMerge w:val="continue"/>
            <w:vAlign w:val="center"/>
          </w:tcPr>
          <w:p w14:paraId="1149B42B">
            <w:pPr>
              <w:pStyle w:val="55"/>
              <w:rPr>
                <w:sz w:val="24"/>
                <w:szCs w:val="24"/>
              </w:rPr>
            </w:pPr>
          </w:p>
        </w:tc>
        <w:tc>
          <w:tcPr>
            <w:tcW w:w="1168" w:type="pct"/>
            <w:tcBorders>
              <w:top w:val="single" w:color="000000" w:sz="4" w:space="0"/>
              <w:bottom w:val="single" w:color="000000" w:sz="4" w:space="0"/>
            </w:tcBorders>
            <w:vAlign w:val="center"/>
          </w:tcPr>
          <w:p w14:paraId="686E6101">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eastAsia" w:ascii="Times New Roman" w:hAnsi="Times New Roman" w:eastAsia="楷体" w:cs="Times New Roman"/>
                <w:sz w:val="24"/>
                <w:szCs w:val="24"/>
                <w:vertAlign w:val="baseline"/>
                <w:lang w:val="en-US" w:eastAsia="zh-CN"/>
              </w:rPr>
            </w:pPr>
            <w:r>
              <w:rPr>
                <w:rFonts w:hint="default" w:ascii="Times New Roman" w:hAnsi="Times New Roman" w:eastAsia="楷体" w:cs="Times New Roman"/>
                <w:sz w:val="24"/>
                <w:szCs w:val="24"/>
                <w:lang w:val="en-US" w:eastAsia="zh-CN"/>
              </w:rPr>
              <w:t>氯化氢</w:t>
            </w:r>
          </w:p>
        </w:tc>
        <w:tc>
          <w:tcPr>
            <w:tcW w:w="660" w:type="pct"/>
            <w:vAlign w:val="center"/>
          </w:tcPr>
          <w:p w14:paraId="2BFBC1B6">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0.000</w:t>
            </w:r>
            <w:r>
              <w:rPr>
                <w:rFonts w:hint="eastAsia" w:eastAsia="楷体" w:cs="Times New Roman"/>
                <w:sz w:val="24"/>
                <w:szCs w:val="24"/>
                <w:vertAlign w:val="baseline"/>
                <w:lang w:val="en-US" w:eastAsia="zh-CN"/>
              </w:rPr>
              <w:t>1</w:t>
            </w:r>
          </w:p>
        </w:tc>
        <w:tc>
          <w:tcPr>
            <w:tcW w:w="684" w:type="pct"/>
            <w:vAlign w:val="center"/>
          </w:tcPr>
          <w:p w14:paraId="300A9E6E">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0.00002</w:t>
            </w:r>
          </w:p>
        </w:tc>
        <w:tc>
          <w:tcPr>
            <w:tcW w:w="731" w:type="pct"/>
            <w:vAlign w:val="center"/>
          </w:tcPr>
          <w:p w14:paraId="481C0F66">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0.000</w:t>
            </w:r>
            <w:r>
              <w:rPr>
                <w:rFonts w:hint="eastAsia" w:eastAsia="楷体" w:cs="Times New Roman"/>
                <w:sz w:val="24"/>
                <w:szCs w:val="24"/>
                <w:vertAlign w:val="baseline"/>
                <w:lang w:val="en-US" w:eastAsia="zh-CN"/>
              </w:rPr>
              <w:t>1</w:t>
            </w:r>
          </w:p>
        </w:tc>
        <w:tc>
          <w:tcPr>
            <w:tcW w:w="681" w:type="pct"/>
            <w:vAlign w:val="center"/>
          </w:tcPr>
          <w:p w14:paraId="2586DEDA">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0.00002</w:t>
            </w:r>
          </w:p>
        </w:tc>
        <w:tc>
          <w:tcPr>
            <w:tcW w:w="528" w:type="pct"/>
            <w:vMerge w:val="continue"/>
            <w:vAlign w:val="center"/>
          </w:tcPr>
          <w:p w14:paraId="7B4A08B4">
            <w:pPr>
              <w:pStyle w:val="55"/>
              <w:rPr>
                <w:sz w:val="24"/>
                <w:szCs w:val="24"/>
              </w:rPr>
            </w:pPr>
          </w:p>
        </w:tc>
      </w:tr>
      <w:tr w14:paraId="16FF0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45" w:type="pct"/>
            <w:vMerge w:val="continue"/>
            <w:vAlign w:val="center"/>
          </w:tcPr>
          <w:p w14:paraId="61A4787F">
            <w:pPr>
              <w:pStyle w:val="55"/>
              <w:rPr>
                <w:sz w:val="24"/>
                <w:szCs w:val="24"/>
              </w:rPr>
            </w:pPr>
          </w:p>
        </w:tc>
        <w:tc>
          <w:tcPr>
            <w:tcW w:w="1168" w:type="pct"/>
            <w:tcBorders>
              <w:top w:val="single" w:color="000000" w:sz="4" w:space="0"/>
              <w:bottom w:val="single" w:color="000000" w:sz="4" w:space="0"/>
            </w:tcBorders>
            <w:vAlign w:val="center"/>
          </w:tcPr>
          <w:p w14:paraId="6B047146">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eastAsia" w:ascii="Times New Roman" w:hAnsi="Times New Roman" w:eastAsia="楷体" w:cs="Times New Roman"/>
                <w:sz w:val="24"/>
                <w:szCs w:val="24"/>
                <w:vertAlign w:val="baseline"/>
                <w:lang w:val="en-US" w:eastAsia="zh-CN"/>
              </w:rPr>
            </w:pPr>
            <w:r>
              <w:rPr>
                <w:rFonts w:hint="eastAsia" w:ascii="Times New Roman" w:hAnsi="Times New Roman" w:eastAsia="楷体" w:cs="Times New Roman"/>
                <w:sz w:val="24"/>
                <w:szCs w:val="24"/>
                <w:vertAlign w:val="baseline"/>
                <w:lang w:val="en-US" w:eastAsia="zh-CN"/>
              </w:rPr>
              <w:t>臭气浓度</w:t>
            </w:r>
          </w:p>
        </w:tc>
        <w:tc>
          <w:tcPr>
            <w:tcW w:w="660" w:type="pct"/>
            <w:vAlign w:val="center"/>
          </w:tcPr>
          <w:p w14:paraId="544A6F24">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w:t>
            </w:r>
          </w:p>
        </w:tc>
        <w:tc>
          <w:tcPr>
            <w:tcW w:w="684" w:type="pct"/>
            <w:vAlign w:val="center"/>
          </w:tcPr>
          <w:p w14:paraId="04AF8360">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w:t>
            </w:r>
          </w:p>
        </w:tc>
        <w:tc>
          <w:tcPr>
            <w:tcW w:w="731" w:type="pct"/>
            <w:vAlign w:val="center"/>
          </w:tcPr>
          <w:p w14:paraId="59E8C0BC">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w:t>
            </w:r>
          </w:p>
        </w:tc>
        <w:tc>
          <w:tcPr>
            <w:tcW w:w="681" w:type="pct"/>
            <w:vAlign w:val="center"/>
          </w:tcPr>
          <w:p w14:paraId="1D2E400A">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w:t>
            </w:r>
          </w:p>
        </w:tc>
        <w:tc>
          <w:tcPr>
            <w:tcW w:w="528" w:type="pct"/>
            <w:vMerge w:val="continue"/>
            <w:vAlign w:val="center"/>
          </w:tcPr>
          <w:p w14:paraId="18232D75">
            <w:pPr>
              <w:pStyle w:val="55"/>
              <w:rPr>
                <w:sz w:val="24"/>
                <w:szCs w:val="24"/>
              </w:rPr>
            </w:pPr>
          </w:p>
        </w:tc>
      </w:tr>
    </w:tbl>
    <w:p w14:paraId="758CAAA7">
      <w:pPr>
        <w:pStyle w:val="47"/>
        <w:ind w:firstLine="482"/>
        <w:sectPr>
          <w:pgSz w:w="16838" w:h="11906" w:orient="landscape"/>
          <w:pgMar w:top="1417" w:right="1417" w:bottom="1417" w:left="1417" w:header="964" w:footer="964" w:gutter="0"/>
          <w:pgBorders>
            <w:top w:val="none" w:sz="0" w:space="0"/>
            <w:left w:val="none" w:sz="0" w:space="0"/>
            <w:bottom w:val="none" w:sz="0" w:space="0"/>
            <w:right w:val="none" w:sz="0" w:space="0"/>
          </w:pgBorders>
          <w:pgNumType w:fmt="decimal"/>
          <w:cols w:space="425" w:num="1"/>
          <w:docGrid w:type="linesAndChars" w:linePitch="326" w:charSpace="190"/>
        </w:sectPr>
      </w:pPr>
    </w:p>
    <w:p w14:paraId="55926B6E">
      <w:pPr>
        <w:pStyle w:val="47"/>
        <w:numPr>
          <w:ilvl w:val="0"/>
          <w:numId w:val="9"/>
        </w:numPr>
        <w:bidi w:val="0"/>
        <w:rPr>
          <w:rFonts w:hint="eastAsia"/>
          <w:lang w:eastAsia="zh-CN"/>
        </w:rPr>
      </w:pPr>
      <w:r>
        <w:rPr>
          <w:rFonts w:hint="eastAsia"/>
          <w:lang w:eastAsia="zh-CN"/>
        </w:rPr>
        <w:t>废气非正常工况</w:t>
      </w:r>
    </w:p>
    <w:p w14:paraId="3FC4F792">
      <w:pPr>
        <w:pStyle w:val="47"/>
        <w:bidi w:val="0"/>
        <w:rPr>
          <w:rFonts w:hint="default"/>
        </w:rPr>
      </w:pPr>
      <w:r>
        <w:rPr>
          <w:rFonts w:hint="default"/>
        </w:rPr>
        <w:t>项目</w:t>
      </w:r>
      <w:r>
        <w:rPr>
          <w:rFonts w:hint="default"/>
          <w:lang w:eastAsia="zh-CN"/>
        </w:rPr>
        <w:t>非正常工况</w:t>
      </w:r>
      <w:r>
        <w:rPr>
          <w:rFonts w:hint="default"/>
        </w:rPr>
        <w:t>主要考虑</w:t>
      </w:r>
      <w:r>
        <w:rPr>
          <w:rFonts w:hint="default"/>
          <w:lang w:val="en-US" w:eastAsia="zh-CN"/>
        </w:rPr>
        <w:t>废气处理</w:t>
      </w:r>
      <w:r>
        <w:rPr>
          <w:rFonts w:hint="default"/>
          <w:lang w:eastAsia="zh-CN"/>
        </w:rPr>
        <w:t>装置</w:t>
      </w:r>
      <w:r>
        <w:rPr>
          <w:rFonts w:hint="default"/>
        </w:rPr>
        <w:t>达不到应有效率的情况。本次环评按最不利情况，即</w:t>
      </w:r>
      <w:r>
        <w:rPr>
          <w:rFonts w:hint="eastAsia"/>
          <w:lang w:val="en-US" w:eastAsia="zh-CN"/>
        </w:rPr>
        <w:t>布袋除尘器</w:t>
      </w:r>
      <w:r>
        <w:rPr>
          <w:rFonts w:hint="default"/>
          <w:lang w:eastAsia="zh-CN"/>
        </w:rPr>
        <w:t>、</w:t>
      </w:r>
      <w:r>
        <w:rPr>
          <w:rFonts w:hint="default"/>
        </w:rPr>
        <w:t>活性炭吸附</w:t>
      </w:r>
      <w:r>
        <w:rPr>
          <w:rFonts w:hint="default"/>
          <w:lang w:val="en-US" w:eastAsia="zh-CN"/>
        </w:rPr>
        <w:t>等</w:t>
      </w:r>
      <w:r>
        <w:rPr>
          <w:rFonts w:hint="default"/>
        </w:rPr>
        <w:t>完全失效、废气处理效率为0考虑</w:t>
      </w:r>
      <w:r>
        <w:rPr>
          <w:rFonts w:hint="default"/>
          <w:lang w:val="en-US" w:eastAsia="zh-CN"/>
        </w:rPr>
        <w:t>（运行1h失效考虑）</w:t>
      </w:r>
      <w:r>
        <w:rPr>
          <w:rFonts w:hint="default"/>
        </w:rPr>
        <w:t>，</w:t>
      </w:r>
      <w:r>
        <w:rPr>
          <w:rFonts w:hint="default"/>
          <w:lang w:eastAsia="zh-CN"/>
        </w:rPr>
        <w:t>非正常工况</w:t>
      </w:r>
      <w:r>
        <w:rPr>
          <w:rFonts w:hint="default"/>
        </w:rPr>
        <w:t>时相关污染物排放情况详见表3.</w:t>
      </w:r>
      <w:r>
        <w:rPr>
          <w:rFonts w:hint="eastAsia"/>
          <w:lang w:val="en-US" w:eastAsia="zh-CN"/>
        </w:rPr>
        <w:t>4</w:t>
      </w:r>
      <w:r>
        <w:rPr>
          <w:rFonts w:hint="default"/>
        </w:rPr>
        <w:t>-</w:t>
      </w:r>
      <w:r>
        <w:rPr>
          <w:rFonts w:hint="eastAsia"/>
          <w:lang w:val="en-US" w:eastAsia="zh-CN"/>
        </w:rPr>
        <w:t>6</w:t>
      </w:r>
      <w:r>
        <w:rPr>
          <w:rFonts w:hint="default"/>
        </w:rPr>
        <w:t>。</w:t>
      </w:r>
    </w:p>
    <w:p w14:paraId="4592A581">
      <w:pPr>
        <w:pStyle w:val="94"/>
        <w:bidi w:val="0"/>
        <w:ind w:left="0" w:leftChars="0" w:firstLine="0" w:firstLineChars="0"/>
        <w:rPr>
          <w:rFonts w:hint="default"/>
          <w:lang w:val="en-US"/>
        </w:rPr>
      </w:pPr>
      <w:r>
        <w:rPr>
          <w:rFonts w:hint="default"/>
          <w:lang w:val="en-US" w:eastAsia="zh-CN"/>
        </w:rPr>
        <w:t>非正常工况</w:t>
      </w:r>
      <w:r>
        <w:rPr>
          <w:rFonts w:hint="default"/>
          <w:lang w:val="en-US"/>
        </w:rPr>
        <w:t>排污情况</w:t>
      </w:r>
    </w:p>
    <w:tbl>
      <w:tblPr>
        <w:tblStyle w:val="32"/>
        <w:tblW w:w="4998" w:type="pct"/>
        <w:jc w:val="center"/>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Layout w:type="autofit"/>
        <w:tblCellMar>
          <w:top w:w="0" w:type="dxa"/>
          <w:left w:w="108" w:type="dxa"/>
          <w:bottom w:w="0" w:type="dxa"/>
          <w:right w:w="108" w:type="dxa"/>
        </w:tblCellMar>
      </w:tblPr>
      <w:tblGrid>
        <w:gridCol w:w="1004"/>
        <w:gridCol w:w="1495"/>
        <w:gridCol w:w="1773"/>
        <w:gridCol w:w="2306"/>
        <w:gridCol w:w="881"/>
        <w:gridCol w:w="816"/>
        <w:gridCol w:w="1009"/>
      </w:tblGrid>
      <w:tr w14:paraId="60EC1176">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41" w:type="pct"/>
            <w:vMerge w:val="restart"/>
            <w:tcBorders>
              <w:top w:val="single" w:color="auto" w:sz="2" w:space="0"/>
            </w:tcBorders>
            <w:noWrap w:val="0"/>
            <w:vAlign w:val="center"/>
          </w:tcPr>
          <w:p w14:paraId="6853E146">
            <w:pPr>
              <w:pStyle w:val="55"/>
              <w:bidi w:val="0"/>
              <w:rPr>
                <w:rFonts w:hint="default"/>
                <w:sz w:val="24"/>
                <w:szCs w:val="24"/>
                <w:lang w:val="en-US" w:eastAsia="zh-CN"/>
              </w:rPr>
            </w:pPr>
            <w:r>
              <w:rPr>
                <w:rFonts w:hint="default"/>
                <w:sz w:val="24"/>
                <w:szCs w:val="24"/>
                <w:lang w:val="en-US" w:eastAsia="zh-CN"/>
              </w:rPr>
              <w:t>排放源</w:t>
            </w:r>
          </w:p>
        </w:tc>
        <w:tc>
          <w:tcPr>
            <w:tcW w:w="805" w:type="pct"/>
            <w:vMerge w:val="restart"/>
            <w:tcBorders>
              <w:top w:val="single" w:color="auto" w:sz="2" w:space="0"/>
            </w:tcBorders>
            <w:noWrap w:val="0"/>
            <w:vAlign w:val="center"/>
          </w:tcPr>
          <w:p w14:paraId="3A16270C">
            <w:pPr>
              <w:pStyle w:val="55"/>
              <w:bidi w:val="0"/>
              <w:rPr>
                <w:rFonts w:hint="default"/>
                <w:sz w:val="24"/>
                <w:szCs w:val="24"/>
                <w:lang w:val="en-US" w:eastAsia="zh-CN"/>
              </w:rPr>
            </w:pPr>
            <w:r>
              <w:rPr>
                <w:rFonts w:hint="default"/>
                <w:sz w:val="24"/>
                <w:szCs w:val="24"/>
                <w:lang w:val="en-US" w:eastAsia="zh-CN"/>
              </w:rPr>
              <w:t>非正常原因</w:t>
            </w:r>
          </w:p>
        </w:tc>
        <w:tc>
          <w:tcPr>
            <w:tcW w:w="954" w:type="pct"/>
            <w:vMerge w:val="restart"/>
            <w:tcBorders>
              <w:top w:val="single" w:color="auto" w:sz="2" w:space="0"/>
            </w:tcBorders>
            <w:noWrap w:val="0"/>
            <w:vAlign w:val="center"/>
          </w:tcPr>
          <w:p w14:paraId="63D019E6">
            <w:pPr>
              <w:pStyle w:val="55"/>
              <w:bidi w:val="0"/>
              <w:rPr>
                <w:rFonts w:hint="default"/>
                <w:sz w:val="24"/>
                <w:szCs w:val="24"/>
                <w:lang w:val="en-US" w:eastAsia="zh-CN"/>
              </w:rPr>
            </w:pPr>
            <w:r>
              <w:rPr>
                <w:rFonts w:hint="default"/>
                <w:sz w:val="24"/>
                <w:szCs w:val="24"/>
                <w:lang w:val="en-US" w:eastAsia="zh-CN"/>
              </w:rPr>
              <w:t>污染物名称</w:t>
            </w:r>
          </w:p>
        </w:tc>
        <w:tc>
          <w:tcPr>
            <w:tcW w:w="1241" w:type="pct"/>
            <w:tcBorders>
              <w:top w:val="single" w:color="auto" w:sz="2" w:space="0"/>
              <w:right w:val="single" w:color="000000" w:sz="4" w:space="0"/>
            </w:tcBorders>
            <w:noWrap w:val="0"/>
            <w:vAlign w:val="center"/>
          </w:tcPr>
          <w:p w14:paraId="6381896D">
            <w:pPr>
              <w:pStyle w:val="55"/>
              <w:bidi w:val="0"/>
              <w:rPr>
                <w:rFonts w:hint="default"/>
                <w:sz w:val="24"/>
                <w:szCs w:val="24"/>
                <w:lang w:val="en-US" w:eastAsia="zh-CN"/>
              </w:rPr>
            </w:pPr>
            <w:r>
              <w:rPr>
                <w:rFonts w:hint="default"/>
                <w:sz w:val="24"/>
                <w:szCs w:val="24"/>
                <w:lang w:val="en-US" w:eastAsia="zh-CN"/>
              </w:rPr>
              <w:t>排污情况</w:t>
            </w:r>
          </w:p>
        </w:tc>
        <w:tc>
          <w:tcPr>
            <w:tcW w:w="474" w:type="pct"/>
            <w:vMerge w:val="restart"/>
            <w:tcBorders>
              <w:top w:val="single" w:color="auto" w:sz="2" w:space="0"/>
            </w:tcBorders>
            <w:noWrap w:val="0"/>
            <w:vAlign w:val="center"/>
          </w:tcPr>
          <w:p w14:paraId="03B413A1">
            <w:pPr>
              <w:pStyle w:val="55"/>
              <w:bidi w:val="0"/>
              <w:rPr>
                <w:rFonts w:hint="default"/>
                <w:sz w:val="24"/>
                <w:szCs w:val="24"/>
                <w:lang w:val="en-US" w:eastAsia="zh-CN"/>
              </w:rPr>
            </w:pPr>
            <w:r>
              <w:rPr>
                <w:rFonts w:hint="default"/>
                <w:sz w:val="24"/>
                <w:szCs w:val="24"/>
                <w:lang w:val="en-US" w:eastAsia="zh-CN"/>
              </w:rPr>
              <w:t>单次持续时间</w:t>
            </w:r>
          </w:p>
        </w:tc>
        <w:tc>
          <w:tcPr>
            <w:tcW w:w="439" w:type="pct"/>
            <w:vMerge w:val="restart"/>
            <w:tcBorders>
              <w:top w:val="single" w:color="auto" w:sz="2" w:space="0"/>
            </w:tcBorders>
            <w:noWrap w:val="0"/>
            <w:vAlign w:val="center"/>
          </w:tcPr>
          <w:p w14:paraId="00541CF8">
            <w:pPr>
              <w:pStyle w:val="55"/>
              <w:bidi w:val="0"/>
              <w:rPr>
                <w:rFonts w:hint="default"/>
                <w:sz w:val="24"/>
                <w:szCs w:val="24"/>
                <w:lang w:val="en-US" w:eastAsia="zh-CN"/>
              </w:rPr>
            </w:pPr>
            <w:r>
              <w:rPr>
                <w:rFonts w:hint="default"/>
                <w:sz w:val="24"/>
                <w:szCs w:val="24"/>
                <w:lang w:val="en-US" w:eastAsia="zh-CN"/>
              </w:rPr>
              <w:t>年发生频次</w:t>
            </w:r>
          </w:p>
        </w:tc>
        <w:tc>
          <w:tcPr>
            <w:tcW w:w="543" w:type="pct"/>
            <w:vMerge w:val="restart"/>
            <w:tcBorders>
              <w:top w:val="single" w:color="auto" w:sz="2" w:space="0"/>
            </w:tcBorders>
            <w:noWrap w:val="0"/>
            <w:vAlign w:val="center"/>
          </w:tcPr>
          <w:p w14:paraId="2A84AB6D">
            <w:pPr>
              <w:pStyle w:val="55"/>
              <w:bidi w:val="0"/>
              <w:rPr>
                <w:rFonts w:hint="default"/>
                <w:sz w:val="24"/>
                <w:szCs w:val="24"/>
                <w:lang w:val="en-US" w:eastAsia="zh-CN"/>
              </w:rPr>
            </w:pPr>
            <w:r>
              <w:rPr>
                <w:rFonts w:hint="default"/>
                <w:sz w:val="24"/>
                <w:szCs w:val="24"/>
                <w:lang w:val="en-US" w:eastAsia="zh-CN"/>
              </w:rPr>
              <w:t>应对</w:t>
            </w:r>
          </w:p>
          <w:p w14:paraId="5224628B">
            <w:pPr>
              <w:pStyle w:val="55"/>
              <w:bidi w:val="0"/>
              <w:rPr>
                <w:rFonts w:hint="default"/>
                <w:sz w:val="24"/>
                <w:szCs w:val="24"/>
                <w:lang w:val="en-US" w:eastAsia="zh-CN"/>
              </w:rPr>
            </w:pPr>
            <w:r>
              <w:rPr>
                <w:rFonts w:hint="default"/>
                <w:sz w:val="24"/>
                <w:szCs w:val="24"/>
                <w:lang w:val="en-US" w:eastAsia="zh-CN"/>
              </w:rPr>
              <w:t>措施</w:t>
            </w:r>
          </w:p>
        </w:tc>
      </w:tr>
      <w:tr w14:paraId="6C55BFA4">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41" w:type="pct"/>
            <w:vMerge w:val="continue"/>
            <w:noWrap w:val="0"/>
            <w:vAlign w:val="center"/>
          </w:tcPr>
          <w:p w14:paraId="54D00768">
            <w:pPr>
              <w:pStyle w:val="55"/>
              <w:bidi w:val="0"/>
              <w:rPr>
                <w:rFonts w:hint="default"/>
                <w:sz w:val="24"/>
                <w:szCs w:val="24"/>
                <w:lang w:val="en-US" w:eastAsia="zh-CN"/>
              </w:rPr>
            </w:pPr>
          </w:p>
        </w:tc>
        <w:tc>
          <w:tcPr>
            <w:tcW w:w="805" w:type="pct"/>
            <w:vMerge w:val="continue"/>
            <w:noWrap w:val="0"/>
            <w:vAlign w:val="center"/>
          </w:tcPr>
          <w:p w14:paraId="5CB094C8">
            <w:pPr>
              <w:pStyle w:val="55"/>
              <w:bidi w:val="0"/>
              <w:rPr>
                <w:rFonts w:hint="default"/>
                <w:sz w:val="24"/>
                <w:szCs w:val="24"/>
                <w:lang w:val="en-US" w:eastAsia="zh-CN"/>
              </w:rPr>
            </w:pPr>
          </w:p>
        </w:tc>
        <w:tc>
          <w:tcPr>
            <w:tcW w:w="954" w:type="pct"/>
            <w:vMerge w:val="continue"/>
            <w:noWrap w:val="0"/>
            <w:vAlign w:val="center"/>
          </w:tcPr>
          <w:p w14:paraId="1538507B">
            <w:pPr>
              <w:pStyle w:val="55"/>
              <w:bidi w:val="0"/>
              <w:rPr>
                <w:rFonts w:hint="default"/>
                <w:sz w:val="24"/>
                <w:szCs w:val="24"/>
                <w:lang w:val="en-US" w:eastAsia="zh-CN"/>
              </w:rPr>
            </w:pPr>
          </w:p>
        </w:tc>
        <w:tc>
          <w:tcPr>
            <w:tcW w:w="1241" w:type="pct"/>
            <w:noWrap w:val="0"/>
            <w:vAlign w:val="center"/>
          </w:tcPr>
          <w:p w14:paraId="642168D6">
            <w:pPr>
              <w:pStyle w:val="55"/>
              <w:bidi w:val="0"/>
              <w:rPr>
                <w:rFonts w:hint="default"/>
                <w:sz w:val="24"/>
                <w:szCs w:val="24"/>
                <w:lang w:val="en-US" w:eastAsia="zh-CN"/>
              </w:rPr>
            </w:pPr>
            <w:r>
              <w:rPr>
                <w:rFonts w:hint="default"/>
                <w:sz w:val="24"/>
                <w:szCs w:val="24"/>
                <w:lang w:val="en-US" w:eastAsia="zh-CN"/>
              </w:rPr>
              <w:t>非正常排放速率（kg/h）</w:t>
            </w:r>
          </w:p>
        </w:tc>
        <w:tc>
          <w:tcPr>
            <w:tcW w:w="474" w:type="pct"/>
            <w:vMerge w:val="continue"/>
            <w:noWrap w:val="0"/>
            <w:vAlign w:val="center"/>
          </w:tcPr>
          <w:p w14:paraId="07692162">
            <w:pPr>
              <w:pStyle w:val="55"/>
              <w:bidi w:val="0"/>
              <w:rPr>
                <w:rFonts w:hint="default"/>
                <w:sz w:val="24"/>
                <w:szCs w:val="24"/>
                <w:lang w:val="en-US" w:eastAsia="zh-CN"/>
              </w:rPr>
            </w:pPr>
          </w:p>
        </w:tc>
        <w:tc>
          <w:tcPr>
            <w:tcW w:w="439" w:type="pct"/>
            <w:vMerge w:val="continue"/>
            <w:noWrap w:val="0"/>
            <w:vAlign w:val="center"/>
          </w:tcPr>
          <w:p w14:paraId="23E9BDF1">
            <w:pPr>
              <w:pStyle w:val="55"/>
              <w:bidi w:val="0"/>
              <w:rPr>
                <w:rFonts w:hint="default"/>
                <w:sz w:val="24"/>
                <w:szCs w:val="24"/>
                <w:lang w:val="en-US" w:eastAsia="zh-CN"/>
              </w:rPr>
            </w:pPr>
          </w:p>
        </w:tc>
        <w:tc>
          <w:tcPr>
            <w:tcW w:w="543" w:type="pct"/>
            <w:vMerge w:val="continue"/>
            <w:noWrap w:val="0"/>
            <w:vAlign w:val="center"/>
          </w:tcPr>
          <w:p w14:paraId="7C3FECA7">
            <w:pPr>
              <w:pStyle w:val="55"/>
              <w:bidi w:val="0"/>
              <w:rPr>
                <w:rFonts w:hint="default"/>
                <w:sz w:val="24"/>
                <w:szCs w:val="24"/>
                <w:lang w:val="en-US" w:eastAsia="zh-CN"/>
              </w:rPr>
            </w:pPr>
          </w:p>
        </w:tc>
      </w:tr>
      <w:tr w14:paraId="73EF37D0">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41" w:type="pct"/>
            <w:vMerge w:val="restart"/>
            <w:noWrap w:val="0"/>
            <w:vAlign w:val="center"/>
          </w:tcPr>
          <w:p w14:paraId="7B1BA380">
            <w:pPr>
              <w:pStyle w:val="55"/>
              <w:bidi w:val="0"/>
              <w:rPr>
                <w:rFonts w:hint="default"/>
                <w:sz w:val="24"/>
                <w:szCs w:val="24"/>
                <w:lang w:val="en-US" w:eastAsia="zh-CN"/>
              </w:rPr>
            </w:pPr>
            <w:r>
              <w:rPr>
                <w:rFonts w:hint="default"/>
                <w:sz w:val="24"/>
                <w:szCs w:val="24"/>
                <w:lang w:val="en-US" w:eastAsia="zh-CN"/>
              </w:rPr>
              <w:t>DA001</w:t>
            </w:r>
          </w:p>
        </w:tc>
        <w:tc>
          <w:tcPr>
            <w:tcW w:w="805" w:type="pct"/>
            <w:vMerge w:val="restart"/>
            <w:noWrap w:val="0"/>
            <w:vAlign w:val="center"/>
          </w:tcPr>
          <w:p w14:paraId="31FA02B0">
            <w:pPr>
              <w:pStyle w:val="55"/>
              <w:bidi w:val="0"/>
              <w:rPr>
                <w:rFonts w:hint="default"/>
                <w:sz w:val="24"/>
                <w:szCs w:val="24"/>
                <w:lang w:val="en-US" w:eastAsia="zh-CN"/>
              </w:rPr>
            </w:pPr>
            <w:r>
              <w:rPr>
                <w:rFonts w:hint="eastAsia"/>
                <w:sz w:val="24"/>
                <w:szCs w:val="24"/>
                <w:lang w:val="en-US" w:eastAsia="zh-CN"/>
              </w:rPr>
              <w:t>布袋除尘器+两级活性炭吸附装置</w:t>
            </w:r>
          </w:p>
        </w:tc>
        <w:tc>
          <w:tcPr>
            <w:tcW w:w="954" w:type="pct"/>
            <w:tcBorders>
              <w:bottom w:val="single" w:color="000000" w:sz="4" w:space="0"/>
            </w:tcBorders>
            <w:noWrap w:val="0"/>
            <w:vAlign w:val="center"/>
          </w:tcPr>
          <w:p w14:paraId="4B121E75">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default"/>
                <w:sz w:val="24"/>
                <w:szCs w:val="24"/>
                <w:lang w:val="en-US" w:eastAsia="zh-CN"/>
              </w:rPr>
            </w:pPr>
            <w:r>
              <w:rPr>
                <w:rFonts w:hint="default" w:ascii="Times New Roman" w:hAnsi="Times New Roman" w:eastAsia="楷体" w:cs="Times New Roman"/>
                <w:sz w:val="24"/>
                <w:szCs w:val="24"/>
                <w:lang w:val="en-US" w:eastAsia="zh-CN"/>
              </w:rPr>
              <w:t>颗粒物</w:t>
            </w:r>
          </w:p>
        </w:tc>
        <w:tc>
          <w:tcPr>
            <w:tcW w:w="1241" w:type="pct"/>
            <w:tcBorders>
              <w:bottom w:val="single" w:color="000000" w:sz="4" w:space="0"/>
            </w:tcBorders>
            <w:noWrap w:val="0"/>
            <w:vAlign w:val="center"/>
          </w:tcPr>
          <w:p w14:paraId="50876DD8">
            <w:pPr>
              <w:pStyle w:val="55"/>
              <w:bidi w:val="0"/>
              <w:rPr>
                <w:rFonts w:hint="default"/>
                <w:sz w:val="24"/>
                <w:szCs w:val="24"/>
                <w:lang w:val="en-US" w:eastAsia="zh-CN"/>
              </w:rPr>
            </w:pPr>
            <w:r>
              <w:rPr>
                <w:rFonts w:hint="eastAsia"/>
                <w:sz w:val="24"/>
                <w:szCs w:val="24"/>
                <w:lang w:val="en-US" w:eastAsia="zh-CN"/>
              </w:rPr>
              <w:t>6.347</w:t>
            </w:r>
          </w:p>
        </w:tc>
        <w:tc>
          <w:tcPr>
            <w:tcW w:w="474" w:type="pct"/>
            <w:vMerge w:val="restart"/>
            <w:noWrap w:val="0"/>
            <w:vAlign w:val="center"/>
          </w:tcPr>
          <w:p w14:paraId="795E0B50">
            <w:pPr>
              <w:pStyle w:val="55"/>
              <w:bidi w:val="0"/>
              <w:rPr>
                <w:rFonts w:hint="default"/>
                <w:sz w:val="24"/>
                <w:szCs w:val="24"/>
                <w:lang w:val="en-US" w:eastAsia="zh-CN"/>
              </w:rPr>
            </w:pPr>
            <w:r>
              <w:rPr>
                <w:rFonts w:hint="default"/>
                <w:sz w:val="24"/>
                <w:szCs w:val="24"/>
                <w:lang w:val="en-US" w:eastAsia="zh-CN"/>
              </w:rPr>
              <w:t>1h</w:t>
            </w:r>
          </w:p>
        </w:tc>
        <w:tc>
          <w:tcPr>
            <w:tcW w:w="439" w:type="pct"/>
            <w:vMerge w:val="restart"/>
            <w:noWrap w:val="0"/>
            <w:vAlign w:val="center"/>
          </w:tcPr>
          <w:p w14:paraId="0F85C2AF">
            <w:pPr>
              <w:pStyle w:val="55"/>
              <w:bidi w:val="0"/>
              <w:rPr>
                <w:rFonts w:hint="default"/>
                <w:sz w:val="24"/>
                <w:szCs w:val="24"/>
                <w:lang w:val="en-US" w:eastAsia="zh-CN"/>
              </w:rPr>
            </w:pPr>
            <w:r>
              <w:rPr>
                <w:rFonts w:hint="default"/>
                <w:sz w:val="24"/>
                <w:szCs w:val="24"/>
                <w:lang w:val="en-US" w:eastAsia="zh-CN"/>
              </w:rPr>
              <w:t>1次</w:t>
            </w:r>
          </w:p>
        </w:tc>
        <w:tc>
          <w:tcPr>
            <w:tcW w:w="543" w:type="pct"/>
            <w:vMerge w:val="restart"/>
            <w:noWrap w:val="0"/>
            <w:vAlign w:val="center"/>
          </w:tcPr>
          <w:p w14:paraId="126FCB2F">
            <w:pPr>
              <w:pStyle w:val="55"/>
              <w:bidi w:val="0"/>
              <w:rPr>
                <w:rFonts w:hint="default"/>
                <w:sz w:val="24"/>
                <w:szCs w:val="24"/>
                <w:lang w:val="en-US" w:eastAsia="zh-CN"/>
              </w:rPr>
            </w:pPr>
            <w:r>
              <w:rPr>
                <w:rFonts w:hint="eastAsia"/>
                <w:sz w:val="24"/>
                <w:szCs w:val="24"/>
                <w:lang w:val="en-US" w:eastAsia="zh-CN"/>
              </w:rPr>
              <w:t>注意日常维护，定期检修，一旦发生故障，立即停机，待设备恢复后，再恢复生产</w:t>
            </w:r>
          </w:p>
        </w:tc>
      </w:tr>
      <w:tr w14:paraId="6F467CAF">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41" w:type="pct"/>
            <w:vMerge w:val="continue"/>
            <w:noWrap w:val="0"/>
            <w:vAlign w:val="center"/>
          </w:tcPr>
          <w:p w14:paraId="6C035F14">
            <w:pPr>
              <w:pStyle w:val="55"/>
              <w:bidi w:val="0"/>
              <w:rPr>
                <w:rFonts w:hint="default"/>
                <w:sz w:val="24"/>
                <w:szCs w:val="24"/>
                <w:lang w:val="en-US" w:eastAsia="zh-CN"/>
              </w:rPr>
            </w:pPr>
          </w:p>
        </w:tc>
        <w:tc>
          <w:tcPr>
            <w:tcW w:w="805" w:type="pct"/>
            <w:vMerge w:val="continue"/>
            <w:noWrap w:val="0"/>
            <w:vAlign w:val="center"/>
          </w:tcPr>
          <w:p w14:paraId="30CD7B60">
            <w:pPr>
              <w:pStyle w:val="55"/>
              <w:bidi w:val="0"/>
              <w:rPr>
                <w:rFonts w:hint="eastAsia"/>
                <w:sz w:val="24"/>
                <w:szCs w:val="24"/>
                <w:lang w:val="en-US" w:eastAsia="zh-CN"/>
              </w:rPr>
            </w:pPr>
          </w:p>
        </w:tc>
        <w:tc>
          <w:tcPr>
            <w:tcW w:w="954" w:type="pct"/>
            <w:tcBorders>
              <w:top w:val="single" w:color="000000" w:sz="4" w:space="0"/>
              <w:bottom w:val="single" w:color="000000" w:sz="4" w:space="0"/>
            </w:tcBorders>
            <w:noWrap w:val="0"/>
            <w:vAlign w:val="center"/>
          </w:tcPr>
          <w:p w14:paraId="0E588CD1">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default"/>
                <w:sz w:val="24"/>
                <w:szCs w:val="24"/>
                <w:lang w:val="en-US" w:eastAsia="zh-CN"/>
              </w:rPr>
            </w:pPr>
            <w:r>
              <w:rPr>
                <w:rFonts w:hint="eastAsia" w:ascii="Times New Roman" w:hAnsi="Times New Roman" w:eastAsia="楷体" w:cs="Times New Roman"/>
                <w:sz w:val="24"/>
                <w:szCs w:val="24"/>
                <w:lang w:val="en-US" w:eastAsia="zh-CN"/>
              </w:rPr>
              <w:t>非甲烷总烃</w:t>
            </w:r>
          </w:p>
        </w:tc>
        <w:tc>
          <w:tcPr>
            <w:tcW w:w="1241" w:type="pct"/>
            <w:tcBorders>
              <w:top w:val="single" w:color="000000" w:sz="4" w:space="0"/>
              <w:bottom w:val="single" w:color="000000" w:sz="4" w:space="0"/>
            </w:tcBorders>
            <w:noWrap w:val="0"/>
            <w:vAlign w:val="center"/>
          </w:tcPr>
          <w:p w14:paraId="3DC1A0B4">
            <w:pPr>
              <w:pStyle w:val="55"/>
              <w:bidi w:val="0"/>
              <w:rPr>
                <w:rFonts w:hint="default"/>
                <w:sz w:val="24"/>
                <w:szCs w:val="24"/>
                <w:lang w:val="en-US" w:eastAsia="zh-CN"/>
              </w:rPr>
            </w:pPr>
            <w:r>
              <w:rPr>
                <w:rFonts w:hint="eastAsia"/>
                <w:sz w:val="24"/>
                <w:szCs w:val="24"/>
                <w:lang w:val="en-US" w:eastAsia="zh-CN"/>
              </w:rPr>
              <w:t>6.389</w:t>
            </w:r>
          </w:p>
        </w:tc>
        <w:tc>
          <w:tcPr>
            <w:tcW w:w="474" w:type="pct"/>
            <w:vMerge w:val="continue"/>
            <w:noWrap w:val="0"/>
            <w:vAlign w:val="center"/>
          </w:tcPr>
          <w:p w14:paraId="3EB55FBC">
            <w:pPr>
              <w:pStyle w:val="55"/>
              <w:bidi w:val="0"/>
              <w:rPr>
                <w:rFonts w:hint="default"/>
                <w:sz w:val="24"/>
                <w:szCs w:val="24"/>
                <w:lang w:val="en-US" w:eastAsia="zh-CN"/>
              </w:rPr>
            </w:pPr>
          </w:p>
        </w:tc>
        <w:tc>
          <w:tcPr>
            <w:tcW w:w="439" w:type="pct"/>
            <w:vMerge w:val="continue"/>
            <w:noWrap w:val="0"/>
            <w:vAlign w:val="center"/>
          </w:tcPr>
          <w:p w14:paraId="6FC1AE67">
            <w:pPr>
              <w:pStyle w:val="55"/>
              <w:bidi w:val="0"/>
              <w:rPr>
                <w:rFonts w:hint="default"/>
                <w:sz w:val="24"/>
                <w:szCs w:val="24"/>
                <w:lang w:val="en-US" w:eastAsia="zh-CN"/>
              </w:rPr>
            </w:pPr>
          </w:p>
        </w:tc>
        <w:tc>
          <w:tcPr>
            <w:tcW w:w="543" w:type="pct"/>
            <w:vMerge w:val="continue"/>
            <w:noWrap w:val="0"/>
            <w:vAlign w:val="center"/>
          </w:tcPr>
          <w:p w14:paraId="034ED423">
            <w:pPr>
              <w:pStyle w:val="55"/>
              <w:bidi w:val="0"/>
              <w:rPr>
                <w:rFonts w:hint="default"/>
                <w:sz w:val="24"/>
                <w:szCs w:val="24"/>
                <w:lang w:val="en-US" w:eastAsia="zh-CN"/>
              </w:rPr>
            </w:pPr>
          </w:p>
        </w:tc>
      </w:tr>
      <w:tr w14:paraId="5CFC08B0">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41" w:type="pct"/>
            <w:vMerge w:val="continue"/>
            <w:noWrap w:val="0"/>
            <w:vAlign w:val="center"/>
          </w:tcPr>
          <w:p w14:paraId="523A4E43">
            <w:pPr>
              <w:pStyle w:val="55"/>
              <w:bidi w:val="0"/>
              <w:rPr>
                <w:rFonts w:hint="default"/>
                <w:sz w:val="24"/>
                <w:szCs w:val="24"/>
                <w:lang w:val="en-US" w:eastAsia="zh-CN"/>
              </w:rPr>
            </w:pPr>
          </w:p>
        </w:tc>
        <w:tc>
          <w:tcPr>
            <w:tcW w:w="805" w:type="pct"/>
            <w:vMerge w:val="continue"/>
            <w:noWrap w:val="0"/>
            <w:vAlign w:val="center"/>
          </w:tcPr>
          <w:p w14:paraId="1EC4A5BA">
            <w:pPr>
              <w:pStyle w:val="55"/>
              <w:bidi w:val="0"/>
              <w:rPr>
                <w:rFonts w:hint="eastAsia"/>
                <w:sz w:val="24"/>
                <w:szCs w:val="24"/>
                <w:lang w:val="en-US" w:eastAsia="zh-CN"/>
              </w:rPr>
            </w:pPr>
          </w:p>
        </w:tc>
        <w:tc>
          <w:tcPr>
            <w:tcW w:w="954" w:type="pct"/>
            <w:tcBorders>
              <w:top w:val="single" w:color="000000" w:sz="4" w:space="0"/>
              <w:bottom w:val="single" w:color="000000" w:sz="4" w:space="0"/>
            </w:tcBorders>
            <w:noWrap w:val="0"/>
            <w:vAlign w:val="center"/>
          </w:tcPr>
          <w:p w14:paraId="47DBF199">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default"/>
                <w:sz w:val="24"/>
                <w:szCs w:val="24"/>
                <w:lang w:val="en-US" w:eastAsia="zh-CN"/>
              </w:rPr>
            </w:pPr>
            <w:r>
              <w:rPr>
                <w:rFonts w:hint="default" w:ascii="Times New Roman" w:hAnsi="Times New Roman" w:eastAsia="楷体" w:cs="Times New Roman"/>
                <w:sz w:val="24"/>
                <w:szCs w:val="24"/>
                <w:lang w:val="en-US" w:eastAsia="zh-CN"/>
              </w:rPr>
              <w:t>氯化氢</w:t>
            </w:r>
          </w:p>
        </w:tc>
        <w:tc>
          <w:tcPr>
            <w:tcW w:w="1241" w:type="pct"/>
            <w:tcBorders>
              <w:top w:val="single" w:color="000000" w:sz="4" w:space="0"/>
              <w:bottom w:val="single" w:color="000000" w:sz="4" w:space="0"/>
            </w:tcBorders>
            <w:noWrap w:val="0"/>
            <w:vAlign w:val="center"/>
          </w:tcPr>
          <w:p w14:paraId="609321FA">
            <w:pPr>
              <w:pStyle w:val="55"/>
              <w:bidi w:val="0"/>
              <w:rPr>
                <w:rFonts w:hint="default"/>
                <w:sz w:val="24"/>
                <w:szCs w:val="24"/>
                <w:lang w:val="en-US" w:eastAsia="zh-CN"/>
              </w:rPr>
            </w:pPr>
            <w:r>
              <w:rPr>
                <w:rFonts w:hint="eastAsia"/>
                <w:sz w:val="24"/>
                <w:szCs w:val="24"/>
                <w:lang w:val="en-US" w:eastAsia="zh-CN"/>
              </w:rPr>
              <w:t>0.004</w:t>
            </w:r>
          </w:p>
        </w:tc>
        <w:tc>
          <w:tcPr>
            <w:tcW w:w="474" w:type="pct"/>
            <w:vMerge w:val="continue"/>
            <w:noWrap w:val="0"/>
            <w:vAlign w:val="center"/>
          </w:tcPr>
          <w:p w14:paraId="33C2A35D">
            <w:pPr>
              <w:pStyle w:val="55"/>
              <w:bidi w:val="0"/>
              <w:rPr>
                <w:rFonts w:hint="default"/>
                <w:sz w:val="24"/>
                <w:szCs w:val="24"/>
                <w:lang w:val="en-US" w:eastAsia="zh-CN"/>
              </w:rPr>
            </w:pPr>
          </w:p>
        </w:tc>
        <w:tc>
          <w:tcPr>
            <w:tcW w:w="439" w:type="pct"/>
            <w:vMerge w:val="continue"/>
            <w:noWrap w:val="0"/>
            <w:vAlign w:val="center"/>
          </w:tcPr>
          <w:p w14:paraId="0C9D1D6E">
            <w:pPr>
              <w:pStyle w:val="55"/>
              <w:bidi w:val="0"/>
              <w:rPr>
                <w:rFonts w:hint="default"/>
                <w:sz w:val="24"/>
                <w:szCs w:val="24"/>
                <w:lang w:val="en-US" w:eastAsia="zh-CN"/>
              </w:rPr>
            </w:pPr>
          </w:p>
        </w:tc>
        <w:tc>
          <w:tcPr>
            <w:tcW w:w="543" w:type="pct"/>
            <w:vMerge w:val="continue"/>
            <w:noWrap w:val="0"/>
            <w:vAlign w:val="center"/>
          </w:tcPr>
          <w:p w14:paraId="28917BBE">
            <w:pPr>
              <w:pStyle w:val="55"/>
              <w:bidi w:val="0"/>
              <w:rPr>
                <w:rFonts w:hint="default"/>
                <w:sz w:val="24"/>
                <w:szCs w:val="24"/>
                <w:lang w:val="en-US" w:eastAsia="zh-CN"/>
              </w:rPr>
            </w:pPr>
          </w:p>
        </w:tc>
      </w:tr>
      <w:tr w14:paraId="77DE5E7F">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41" w:type="pct"/>
            <w:vMerge w:val="continue"/>
            <w:noWrap w:val="0"/>
            <w:vAlign w:val="center"/>
          </w:tcPr>
          <w:p w14:paraId="57BE128B">
            <w:pPr>
              <w:pStyle w:val="55"/>
              <w:bidi w:val="0"/>
              <w:rPr>
                <w:rFonts w:hint="default"/>
                <w:sz w:val="24"/>
                <w:szCs w:val="24"/>
                <w:lang w:val="en-US" w:eastAsia="zh-CN"/>
              </w:rPr>
            </w:pPr>
          </w:p>
        </w:tc>
        <w:tc>
          <w:tcPr>
            <w:tcW w:w="805" w:type="pct"/>
            <w:vMerge w:val="continue"/>
            <w:noWrap w:val="0"/>
            <w:vAlign w:val="center"/>
          </w:tcPr>
          <w:p w14:paraId="3C0546BC">
            <w:pPr>
              <w:pStyle w:val="55"/>
              <w:bidi w:val="0"/>
              <w:rPr>
                <w:rFonts w:hint="eastAsia"/>
                <w:sz w:val="24"/>
                <w:szCs w:val="24"/>
                <w:lang w:val="en-US" w:eastAsia="zh-CN"/>
              </w:rPr>
            </w:pPr>
          </w:p>
        </w:tc>
        <w:tc>
          <w:tcPr>
            <w:tcW w:w="954" w:type="pct"/>
            <w:tcBorders>
              <w:top w:val="single" w:color="000000" w:sz="4" w:space="0"/>
            </w:tcBorders>
            <w:noWrap w:val="0"/>
            <w:vAlign w:val="center"/>
          </w:tcPr>
          <w:p w14:paraId="3EF8E053">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default"/>
                <w:sz w:val="24"/>
                <w:szCs w:val="24"/>
                <w:lang w:val="en-US" w:eastAsia="zh-CN"/>
              </w:rPr>
            </w:pPr>
            <w:r>
              <w:rPr>
                <w:rFonts w:hint="eastAsia" w:ascii="Times New Roman" w:hAnsi="Times New Roman" w:eastAsia="楷体" w:cs="Times New Roman"/>
                <w:sz w:val="24"/>
                <w:szCs w:val="24"/>
                <w:vertAlign w:val="baseline"/>
                <w:lang w:val="en-US" w:eastAsia="zh-CN"/>
              </w:rPr>
              <w:t>臭气浓度</w:t>
            </w:r>
          </w:p>
        </w:tc>
        <w:tc>
          <w:tcPr>
            <w:tcW w:w="1241" w:type="pct"/>
            <w:tcBorders>
              <w:top w:val="single" w:color="000000" w:sz="4" w:space="0"/>
            </w:tcBorders>
            <w:noWrap w:val="0"/>
            <w:vAlign w:val="center"/>
          </w:tcPr>
          <w:p w14:paraId="69CEE16E">
            <w:pPr>
              <w:pStyle w:val="55"/>
              <w:bidi w:val="0"/>
              <w:rPr>
                <w:rFonts w:hint="default"/>
                <w:sz w:val="24"/>
                <w:szCs w:val="24"/>
                <w:lang w:val="en-US" w:eastAsia="zh-CN"/>
              </w:rPr>
            </w:pPr>
            <w:r>
              <w:rPr>
                <w:rFonts w:hint="eastAsia"/>
                <w:sz w:val="24"/>
                <w:szCs w:val="24"/>
                <w:lang w:val="en-US" w:eastAsia="zh-CN"/>
              </w:rPr>
              <w:t>/</w:t>
            </w:r>
          </w:p>
        </w:tc>
        <w:tc>
          <w:tcPr>
            <w:tcW w:w="474" w:type="pct"/>
            <w:vMerge w:val="continue"/>
            <w:noWrap w:val="0"/>
            <w:vAlign w:val="center"/>
          </w:tcPr>
          <w:p w14:paraId="7C3E5E55">
            <w:pPr>
              <w:pStyle w:val="55"/>
              <w:bidi w:val="0"/>
              <w:rPr>
                <w:rFonts w:hint="default"/>
                <w:sz w:val="24"/>
                <w:szCs w:val="24"/>
                <w:lang w:val="en-US" w:eastAsia="zh-CN"/>
              </w:rPr>
            </w:pPr>
          </w:p>
        </w:tc>
        <w:tc>
          <w:tcPr>
            <w:tcW w:w="439" w:type="pct"/>
            <w:vMerge w:val="continue"/>
            <w:noWrap w:val="0"/>
            <w:vAlign w:val="center"/>
          </w:tcPr>
          <w:p w14:paraId="198C5878">
            <w:pPr>
              <w:pStyle w:val="55"/>
              <w:bidi w:val="0"/>
              <w:rPr>
                <w:rFonts w:hint="default"/>
                <w:sz w:val="24"/>
                <w:szCs w:val="24"/>
                <w:lang w:val="en-US" w:eastAsia="zh-CN"/>
              </w:rPr>
            </w:pPr>
          </w:p>
        </w:tc>
        <w:tc>
          <w:tcPr>
            <w:tcW w:w="543" w:type="pct"/>
            <w:vMerge w:val="continue"/>
            <w:noWrap w:val="0"/>
            <w:vAlign w:val="center"/>
          </w:tcPr>
          <w:p w14:paraId="772BC69A">
            <w:pPr>
              <w:pStyle w:val="55"/>
              <w:bidi w:val="0"/>
              <w:rPr>
                <w:rFonts w:hint="default"/>
                <w:sz w:val="24"/>
                <w:szCs w:val="24"/>
                <w:lang w:val="en-US" w:eastAsia="zh-CN"/>
              </w:rPr>
            </w:pPr>
          </w:p>
        </w:tc>
      </w:tr>
      <w:tr w14:paraId="18D3980C">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41" w:type="pct"/>
            <w:vMerge w:val="restart"/>
            <w:noWrap w:val="0"/>
            <w:vAlign w:val="center"/>
          </w:tcPr>
          <w:p w14:paraId="2C1C8012">
            <w:pPr>
              <w:pStyle w:val="55"/>
              <w:bidi w:val="0"/>
              <w:rPr>
                <w:rFonts w:hint="default"/>
                <w:sz w:val="24"/>
                <w:szCs w:val="24"/>
                <w:lang w:val="en-US" w:eastAsia="zh-CN"/>
              </w:rPr>
            </w:pPr>
            <w:r>
              <w:rPr>
                <w:rFonts w:hint="default"/>
                <w:sz w:val="24"/>
                <w:szCs w:val="24"/>
                <w:lang w:val="en-US" w:eastAsia="zh-CN"/>
              </w:rPr>
              <w:t>DA002</w:t>
            </w:r>
          </w:p>
        </w:tc>
        <w:tc>
          <w:tcPr>
            <w:tcW w:w="805" w:type="pct"/>
            <w:vMerge w:val="restart"/>
            <w:noWrap w:val="0"/>
            <w:vAlign w:val="center"/>
          </w:tcPr>
          <w:p w14:paraId="03B2A4CC">
            <w:pPr>
              <w:pStyle w:val="55"/>
              <w:bidi w:val="0"/>
              <w:rPr>
                <w:rFonts w:hint="default"/>
                <w:sz w:val="24"/>
                <w:szCs w:val="24"/>
                <w:lang w:val="en-US" w:eastAsia="zh-CN"/>
              </w:rPr>
            </w:pPr>
            <w:r>
              <w:rPr>
                <w:rFonts w:hint="eastAsia"/>
                <w:sz w:val="24"/>
                <w:szCs w:val="24"/>
                <w:lang w:val="en-US" w:eastAsia="zh-CN"/>
              </w:rPr>
              <w:t>布袋除尘器+两级活性炭吸附装置</w:t>
            </w:r>
          </w:p>
        </w:tc>
        <w:tc>
          <w:tcPr>
            <w:tcW w:w="954" w:type="pct"/>
            <w:tcBorders>
              <w:bottom w:val="single" w:color="000000" w:sz="4" w:space="0"/>
            </w:tcBorders>
            <w:noWrap w:val="0"/>
            <w:vAlign w:val="center"/>
          </w:tcPr>
          <w:p w14:paraId="0E2D603E">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default"/>
                <w:sz w:val="24"/>
                <w:szCs w:val="24"/>
                <w:lang w:val="en-US" w:eastAsia="zh-CN"/>
              </w:rPr>
            </w:pPr>
            <w:r>
              <w:rPr>
                <w:rFonts w:hint="default" w:ascii="Times New Roman" w:hAnsi="Times New Roman" w:eastAsia="楷体" w:cs="Times New Roman"/>
                <w:sz w:val="24"/>
                <w:szCs w:val="24"/>
                <w:lang w:val="en-US" w:eastAsia="zh-CN"/>
              </w:rPr>
              <w:t>颗粒物</w:t>
            </w:r>
          </w:p>
        </w:tc>
        <w:tc>
          <w:tcPr>
            <w:tcW w:w="1241" w:type="pct"/>
            <w:tcBorders>
              <w:bottom w:val="single" w:color="000000" w:sz="4" w:space="0"/>
            </w:tcBorders>
            <w:noWrap w:val="0"/>
            <w:vAlign w:val="center"/>
          </w:tcPr>
          <w:p w14:paraId="32418A14">
            <w:pPr>
              <w:pStyle w:val="55"/>
              <w:bidi w:val="0"/>
              <w:rPr>
                <w:rFonts w:hint="default"/>
                <w:sz w:val="24"/>
                <w:szCs w:val="24"/>
                <w:lang w:val="en-US" w:eastAsia="zh-CN"/>
              </w:rPr>
            </w:pPr>
            <w:r>
              <w:rPr>
                <w:rFonts w:hint="eastAsia"/>
                <w:sz w:val="24"/>
                <w:szCs w:val="24"/>
                <w:lang w:val="en-US" w:eastAsia="zh-CN"/>
              </w:rPr>
              <w:t>6.347</w:t>
            </w:r>
          </w:p>
        </w:tc>
        <w:tc>
          <w:tcPr>
            <w:tcW w:w="474" w:type="pct"/>
            <w:vMerge w:val="restart"/>
            <w:noWrap w:val="0"/>
            <w:vAlign w:val="center"/>
          </w:tcPr>
          <w:p w14:paraId="5FE15630">
            <w:pPr>
              <w:pStyle w:val="55"/>
              <w:bidi w:val="0"/>
              <w:rPr>
                <w:rFonts w:hint="default"/>
                <w:sz w:val="24"/>
                <w:szCs w:val="24"/>
                <w:lang w:val="en-US" w:eastAsia="zh-CN"/>
              </w:rPr>
            </w:pPr>
            <w:r>
              <w:rPr>
                <w:rFonts w:hint="default"/>
                <w:sz w:val="24"/>
                <w:szCs w:val="24"/>
                <w:lang w:val="en-US" w:eastAsia="zh-CN"/>
              </w:rPr>
              <w:t>1h</w:t>
            </w:r>
          </w:p>
        </w:tc>
        <w:tc>
          <w:tcPr>
            <w:tcW w:w="439" w:type="pct"/>
            <w:vMerge w:val="restart"/>
            <w:noWrap w:val="0"/>
            <w:vAlign w:val="center"/>
          </w:tcPr>
          <w:p w14:paraId="566C7328">
            <w:pPr>
              <w:pStyle w:val="55"/>
              <w:bidi w:val="0"/>
              <w:rPr>
                <w:rFonts w:hint="default"/>
                <w:sz w:val="24"/>
                <w:szCs w:val="24"/>
                <w:lang w:val="en-US" w:eastAsia="zh-CN"/>
              </w:rPr>
            </w:pPr>
            <w:r>
              <w:rPr>
                <w:rFonts w:hint="default"/>
                <w:sz w:val="24"/>
                <w:szCs w:val="24"/>
                <w:lang w:val="en-US" w:eastAsia="zh-CN"/>
              </w:rPr>
              <w:t>1次</w:t>
            </w:r>
          </w:p>
        </w:tc>
        <w:tc>
          <w:tcPr>
            <w:tcW w:w="543" w:type="pct"/>
            <w:vMerge w:val="continue"/>
            <w:noWrap w:val="0"/>
            <w:vAlign w:val="center"/>
          </w:tcPr>
          <w:p w14:paraId="182CF6B7">
            <w:pPr>
              <w:pStyle w:val="55"/>
              <w:bidi w:val="0"/>
              <w:rPr>
                <w:rFonts w:hint="default"/>
                <w:sz w:val="24"/>
                <w:szCs w:val="24"/>
                <w:lang w:val="en-US" w:eastAsia="zh-CN"/>
              </w:rPr>
            </w:pPr>
          </w:p>
        </w:tc>
      </w:tr>
      <w:tr w14:paraId="3A1AD2EF">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41" w:type="pct"/>
            <w:vMerge w:val="continue"/>
            <w:noWrap w:val="0"/>
            <w:vAlign w:val="center"/>
          </w:tcPr>
          <w:p w14:paraId="2665DCCA">
            <w:pPr>
              <w:pStyle w:val="55"/>
              <w:bidi w:val="0"/>
              <w:rPr>
                <w:rFonts w:hint="default"/>
                <w:sz w:val="24"/>
                <w:szCs w:val="24"/>
                <w:lang w:val="en-US" w:eastAsia="zh-CN"/>
              </w:rPr>
            </w:pPr>
          </w:p>
        </w:tc>
        <w:tc>
          <w:tcPr>
            <w:tcW w:w="805" w:type="pct"/>
            <w:vMerge w:val="continue"/>
            <w:noWrap w:val="0"/>
            <w:vAlign w:val="center"/>
          </w:tcPr>
          <w:p w14:paraId="0BBF704D">
            <w:pPr>
              <w:pStyle w:val="55"/>
              <w:bidi w:val="0"/>
              <w:rPr>
                <w:rFonts w:hint="eastAsia"/>
                <w:sz w:val="24"/>
                <w:szCs w:val="24"/>
                <w:lang w:val="en-US" w:eastAsia="zh-CN"/>
              </w:rPr>
            </w:pPr>
          </w:p>
        </w:tc>
        <w:tc>
          <w:tcPr>
            <w:tcW w:w="954" w:type="pct"/>
            <w:tcBorders>
              <w:top w:val="single" w:color="000000" w:sz="4" w:space="0"/>
              <w:bottom w:val="single" w:color="000000" w:sz="4" w:space="0"/>
            </w:tcBorders>
            <w:noWrap w:val="0"/>
            <w:vAlign w:val="center"/>
          </w:tcPr>
          <w:p w14:paraId="152509D3">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default"/>
                <w:sz w:val="24"/>
                <w:szCs w:val="24"/>
                <w:lang w:val="en-US" w:eastAsia="zh-CN"/>
              </w:rPr>
            </w:pPr>
            <w:r>
              <w:rPr>
                <w:rFonts w:hint="eastAsia" w:ascii="Times New Roman" w:hAnsi="Times New Roman" w:eastAsia="楷体" w:cs="Times New Roman"/>
                <w:sz w:val="24"/>
                <w:szCs w:val="24"/>
                <w:lang w:val="en-US" w:eastAsia="zh-CN"/>
              </w:rPr>
              <w:t>非甲烷总烃</w:t>
            </w:r>
          </w:p>
        </w:tc>
        <w:tc>
          <w:tcPr>
            <w:tcW w:w="1241" w:type="pct"/>
            <w:tcBorders>
              <w:top w:val="single" w:color="000000" w:sz="4" w:space="0"/>
              <w:bottom w:val="single" w:color="000000" w:sz="4" w:space="0"/>
            </w:tcBorders>
            <w:noWrap w:val="0"/>
            <w:vAlign w:val="center"/>
          </w:tcPr>
          <w:p w14:paraId="2D1BA9F5">
            <w:pPr>
              <w:pStyle w:val="55"/>
              <w:bidi w:val="0"/>
              <w:rPr>
                <w:rFonts w:hint="default"/>
                <w:sz w:val="24"/>
                <w:szCs w:val="24"/>
                <w:lang w:val="en-US" w:eastAsia="zh-CN"/>
              </w:rPr>
            </w:pPr>
            <w:r>
              <w:rPr>
                <w:rFonts w:hint="eastAsia"/>
                <w:sz w:val="24"/>
                <w:szCs w:val="24"/>
                <w:lang w:val="en-US" w:eastAsia="zh-CN"/>
              </w:rPr>
              <w:t>6.389</w:t>
            </w:r>
          </w:p>
        </w:tc>
        <w:tc>
          <w:tcPr>
            <w:tcW w:w="474" w:type="pct"/>
            <w:vMerge w:val="continue"/>
            <w:noWrap w:val="0"/>
            <w:vAlign w:val="center"/>
          </w:tcPr>
          <w:p w14:paraId="08993C78">
            <w:pPr>
              <w:pStyle w:val="55"/>
              <w:bidi w:val="0"/>
              <w:rPr>
                <w:rFonts w:hint="default"/>
                <w:sz w:val="24"/>
                <w:szCs w:val="24"/>
                <w:lang w:val="en-US" w:eastAsia="zh-CN"/>
              </w:rPr>
            </w:pPr>
          </w:p>
        </w:tc>
        <w:tc>
          <w:tcPr>
            <w:tcW w:w="439" w:type="pct"/>
            <w:vMerge w:val="continue"/>
            <w:noWrap w:val="0"/>
            <w:vAlign w:val="center"/>
          </w:tcPr>
          <w:p w14:paraId="1123A9A2">
            <w:pPr>
              <w:pStyle w:val="55"/>
              <w:bidi w:val="0"/>
              <w:rPr>
                <w:rFonts w:hint="default"/>
                <w:sz w:val="24"/>
                <w:szCs w:val="24"/>
                <w:lang w:val="en-US" w:eastAsia="zh-CN"/>
              </w:rPr>
            </w:pPr>
          </w:p>
        </w:tc>
        <w:tc>
          <w:tcPr>
            <w:tcW w:w="543" w:type="pct"/>
            <w:vMerge w:val="continue"/>
            <w:noWrap w:val="0"/>
            <w:vAlign w:val="center"/>
          </w:tcPr>
          <w:p w14:paraId="4E9E2D03">
            <w:pPr>
              <w:pStyle w:val="55"/>
              <w:bidi w:val="0"/>
              <w:rPr>
                <w:rFonts w:hint="default"/>
                <w:sz w:val="24"/>
                <w:szCs w:val="24"/>
                <w:lang w:val="en-US" w:eastAsia="zh-CN"/>
              </w:rPr>
            </w:pPr>
          </w:p>
        </w:tc>
      </w:tr>
      <w:tr w14:paraId="415D15EC">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41" w:type="pct"/>
            <w:vMerge w:val="continue"/>
            <w:noWrap w:val="0"/>
            <w:vAlign w:val="center"/>
          </w:tcPr>
          <w:p w14:paraId="574F82B2">
            <w:pPr>
              <w:pStyle w:val="55"/>
              <w:bidi w:val="0"/>
              <w:rPr>
                <w:rFonts w:hint="default"/>
                <w:sz w:val="24"/>
                <w:szCs w:val="24"/>
                <w:lang w:val="en-US" w:eastAsia="zh-CN"/>
              </w:rPr>
            </w:pPr>
          </w:p>
        </w:tc>
        <w:tc>
          <w:tcPr>
            <w:tcW w:w="805" w:type="pct"/>
            <w:vMerge w:val="continue"/>
            <w:noWrap w:val="0"/>
            <w:vAlign w:val="center"/>
          </w:tcPr>
          <w:p w14:paraId="7935D609">
            <w:pPr>
              <w:pStyle w:val="55"/>
              <w:bidi w:val="0"/>
              <w:rPr>
                <w:rFonts w:hint="eastAsia"/>
                <w:sz w:val="24"/>
                <w:szCs w:val="24"/>
                <w:lang w:val="en-US" w:eastAsia="zh-CN"/>
              </w:rPr>
            </w:pPr>
          </w:p>
        </w:tc>
        <w:tc>
          <w:tcPr>
            <w:tcW w:w="954" w:type="pct"/>
            <w:tcBorders>
              <w:top w:val="single" w:color="000000" w:sz="4" w:space="0"/>
              <w:bottom w:val="single" w:color="000000" w:sz="4" w:space="0"/>
            </w:tcBorders>
            <w:noWrap w:val="0"/>
            <w:vAlign w:val="center"/>
          </w:tcPr>
          <w:p w14:paraId="478EC2C9">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default"/>
                <w:sz w:val="24"/>
                <w:szCs w:val="24"/>
                <w:lang w:val="en-US" w:eastAsia="zh-CN"/>
              </w:rPr>
            </w:pPr>
            <w:r>
              <w:rPr>
                <w:rFonts w:hint="default" w:ascii="Times New Roman" w:hAnsi="Times New Roman" w:eastAsia="楷体" w:cs="Times New Roman"/>
                <w:sz w:val="24"/>
                <w:szCs w:val="24"/>
                <w:lang w:val="en-US" w:eastAsia="zh-CN"/>
              </w:rPr>
              <w:t>氯化氢</w:t>
            </w:r>
          </w:p>
        </w:tc>
        <w:tc>
          <w:tcPr>
            <w:tcW w:w="1241" w:type="pct"/>
            <w:tcBorders>
              <w:top w:val="single" w:color="000000" w:sz="4" w:space="0"/>
              <w:bottom w:val="single" w:color="000000" w:sz="4" w:space="0"/>
            </w:tcBorders>
            <w:noWrap w:val="0"/>
            <w:vAlign w:val="center"/>
          </w:tcPr>
          <w:p w14:paraId="0050C8EA">
            <w:pPr>
              <w:pStyle w:val="55"/>
              <w:bidi w:val="0"/>
              <w:rPr>
                <w:rFonts w:hint="default"/>
                <w:sz w:val="24"/>
                <w:szCs w:val="24"/>
                <w:lang w:val="en-US" w:eastAsia="zh-CN"/>
              </w:rPr>
            </w:pPr>
            <w:r>
              <w:rPr>
                <w:rFonts w:hint="eastAsia"/>
                <w:sz w:val="24"/>
                <w:szCs w:val="24"/>
                <w:lang w:val="en-US" w:eastAsia="zh-CN"/>
              </w:rPr>
              <w:t>0.004</w:t>
            </w:r>
          </w:p>
        </w:tc>
        <w:tc>
          <w:tcPr>
            <w:tcW w:w="474" w:type="pct"/>
            <w:vMerge w:val="continue"/>
            <w:noWrap w:val="0"/>
            <w:vAlign w:val="center"/>
          </w:tcPr>
          <w:p w14:paraId="3E33C320">
            <w:pPr>
              <w:pStyle w:val="55"/>
              <w:bidi w:val="0"/>
              <w:rPr>
                <w:rFonts w:hint="default"/>
                <w:sz w:val="24"/>
                <w:szCs w:val="24"/>
                <w:lang w:val="en-US" w:eastAsia="zh-CN"/>
              </w:rPr>
            </w:pPr>
          </w:p>
        </w:tc>
        <w:tc>
          <w:tcPr>
            <w:tcW w:w="439" w:type="pct"/>
            <w:vMerge w:val="continue"/>
            <w:noWrap w:val="0"/>
            <w:vAlign w:val="center"/>
          </w:tcPr>
          <w:p w14:paraId="76500680">
            <w:pPr>
              <w:pStyle w:val="55"/>
              <w:bidi w:val="0"/>
              <w:rPr>
                <w:rFonts w:hint="default"/>
                <w:sz w:val="24"/>
                <w:szCs w:val="24"/>
                <w:lang w:val="en-US" w:eastAsia="zh-CN"/>
              </w:rPr>
            </w:pPr>
          </w:p>
        </w:tc>
        <w:tc>
          <w:tcPr>
            <w:tcW w:w="543" w:type="pct"/>
            <w:vMerge w:val="continue"/>
            <w:noWrap w:val="0"/>
            <w:vAlign w:val="center"/>
          </w:tcPr>
          <w:p w14:paraId="30DB6088">
            <w:pPr>
              <w:pStyle w:val="55"/>
              <w:bidi w:val="0"/>
              <w:rPr>
                <w:rFonts w:hint="default"/>
                <w:sz w:val="24"/>
                <w:szCs w:val="24"/>
                <w:lang w:val="en-US" w:eastAsia="zh-CN"/>
              </w:rPr>
            </w:pPr>
          </w:p>
        </w:tc>
      </w:tr>
      <w:tr w14:paraId="554DCB6A">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41" w:type="pct"/>
            <w:vMerge w:val="continue"/>
            <w:noWrap w:val="0"/>
            <w:vAlign w:val="center"/>
          </w:tcPr>
          <w:p w14:paraId="48797EF6">
            <w:pPr>
              <w:pStyle w:val="55"/>
              <w:bidi w:val="0"/>
              <w:rPr>
                <w:rFonts w:hint="default"/>
                <w:sz w:val="24"/>
                <w:szCs w:val="24"/>
                <w:lang w:val="en-US" w:eastAsia="zh-CN"/>
              </w:rPr>
            </w:pPr>
          </w:p>
        </w:tc>
        <w:tc>
          <w:tcPr>
            <w:tcW w:w="805" w:type="pct"/>
            <w:vMerge w:val="continue"/>
            <w:noWrap w:val="0"/>
            <w:vAlign w:val="center"/>
          </w:tcPr>
          <w:p w14:paraId="06CD2CF6">
            <w:pPr>
              <w:pStyle w:val="55"/>
              <w:bidi w:val="0"/>
              <w:rPr>
                <w:rFonts w:hint="eastAsia"/>
                <w:sz w:val="24"/>
                <w:szCs w:val="24"/>
                <w:lang w:val="en-US" w:eastAsia="zh-CN"/>
              </w:rPr>
            </w:pPr>
          </w:p>
        </w:tc>
        <w:tc>
          <w:tcPr>
            <w:tcW w:w="954" w:type="pct"/>
            <w:tcBorders>
              <w:top w:val="single" w:color="000000" w:sz="4" w:space="0"/>
            </w:tcBorders>
            <w:noWrap w:val="0"/>
            <w:vAlign w:val="center"/>
          </w:tcPr>
          <w:p w14:paraId="5B590517">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default"/>
                <w:sz w:val="24"/>
                <w:szCs w:val="24"/>
                <w:lang w:val="en-US" w:eastAsia="zh-CN"/>
              </w:rPr>
            </w:pPr>
            <w:r>
              <w:rPr>
                <w:rFonts w:hint="eastAsia" w:ascii="Times New Roman" w:hAnsi="Times New Roman" w:eastAsia="楷体" w:cs="Times New Roman"/>
                <w:sz w:val="24"/>
                <w:szCs w:val="24"/>
                <w:vertAlign w:val="baseline"/>
                <w:lang w:val="en-US" w:eastAsia="zh-CN"/>
              </w:rPr>
              <w:t>臭气浓度</w:t>
            </w:r>
          </w:p>
        </w:tc>
        <w:tc>
          <w:tcPr>
            <w:tcW w:w="1241" w:type="pct"/>
            <w:tcBorders>
              <w:top w:val="single" w:color="000000" w:sz="4" w:space="0"/>
            </w:tcBorders>
            <w:noWrap w:val="0"/>
            <w:vAlign w:val="center"/>
          </w:tcPr>
          <w:p w14:paraId="59C6422A">
            <w:pPr>
              <w:pStyle w:val="55"/>
              <w:bidi w:val="0"/>
              <w:rPr>
                <w:rFonts w:hint="default"/>
                <w:sz w:val="24"/>
                <w:szCs w:val="24"/>
                <w:lang w:val="en-US" w:eastAsia="zh-CN"/>
              </w:rPr>
            </w:pPr>
            <w:r>
              <w:rPr>
                <w:rFonts w:hint="eastAsia"/>
                <w:sz w:val="24"/>
                <w:szCs w:val="24"/>
                <w:lang w:val="en-US" w:eastAsia="zh-CN"/>
              </w:rPr>
              <w:t>/</w:t>
            </w:r>
          </w:p>
        </w:tc>
        <w:tc>
          <w:tcPr>
            <w:tcW w:w="474" w:type="pct"/>
            <w:vMerge w:val="continue"/>
            <w:noWrap w:val="0"/>
            <w:vAlign w:val="center"/>
          </w:tcPr>
          <w:p w14:paraId="65FD2F09">
            <w:pPr>
              <w:pStyle w:val="55"/>
              <w:bidi w:val="0"/>
              <w:rPr>
                <w:rFonts w:hint="default"/>
                <w:sz w:val="24"/>
                <w:szCs w:val="24"/>
                <w:lang w:val="en-US" w:eastAsia="zh-CN"/>
              </w:rPr>
            </w:pPr>
          </w:p>
        </w:tc>
        <w:tc>
          <w:tcPr>
            <w:tcW w:w="439" w:type="pct"/>
            <w:vMerge w:val="continue"/>
            <w:noWrap w:val="0"/>
            <w:vAlign w:val="center"/>
          </w:tcPr>
          <w:p w14:paraId="0E863731">
            <w:pPr>
              <w:pStyle w:val="55"/>
              <w:bidi w:val="0"/>
              <w:rPr>
                <w:rFonts w:hint="default"/>
                <w:sz w:val="24"/>
                <w:szCs w:val="24"/>
                <w:lang w:val="en-US" w:eastAsia="zh-CN"/>
              </w:rPr>
            </w:pPr>
          </w:p>
        </w:tc>
        <w:tc>
          <w:tcPr>
            <w:tcW w:w="543" w:type="pct"/>
            <w:vMerge w:val="continue"/>
            <w:noWrap w:val="0"/>
            <w:vAlign w:val="center"/>
          </w:tcPr>
          <w:p w14:paraId="53BC8B85">
            <w:pPr>
              <w:pStyle w:val="55"/>
              <w:bidi w:val="0"/>
              <w:rPr>
                <w:rFonts w:hint="default"/>
                <w:sz w:val="24"/>
                <w:szCs w:val="24"/>
                <w:lang w:val="en-US" w:eastAsia="zh-CN"/>
              </w:rPr>
            </w:pPr>
          </w:p>
        </w:tc>
      </w:tr>
      <w:tr w14:paraId="5C20C76A">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41" w:type="pct"/>
            <w:vMerge w:val="restart"/>
            <w:noWrap w:val="0"/>
            <w:vAlign w:val="center"/>
          </w:tcPr>
          <w:p w14:paraId="60727A25">
            <w:pPr>
              <w:pStyle w:val="55"/>
              <w:bidi w:val="0"/>
              <w:rPr>
                <w:rFonts w:hint="default"/>
                <w:sz w:val="24"/>
                <w:szCs w:val="24"/>
                <w:lang w:val="en-US" w:eastAsia="zh-CN"/>
              </w:rPr>
            </w:pPr>
            <w:r>
              <w:rPr>
                <w:rFonts w:hint="default"/>
                <w:sz w:val="24"/>
                <w:szCs w:val="24"/>
                <w:lang w:val="en-US" w:eastAsia="zh-CN"/>
              </w:rPr>
              <w:t>DA00</w:t>
            </w:r>
            <w:r>
              <w:rPr>
                <w:rFonts w:hint="eastAsia"/>
                <w:sz w:val="24"/>
                <w:szCs w:val="24"/>
                <w:lang w:val="en-US" w:eastAsia="zh-CN"/>
              </w:rPr>
              <w:t>3</w:t>
            </w:r>
          </w:p>
        </w:tc>
        <w:tc>
          <w:tcPr>
            <w:tcW w:w="805" w:type="pct"/>
            <w:vMerge w:val="restart"/>
            <w:noWrap w:val="0"/>
            <w:vAlign w:val="center"/>
          </w:tcPr>
          <w:p w14:paraId="5C273F6B">
            <w:pPr>
              <w:pStyle w:val="55"/>
              <w:bidi w:val="0"/>
              <w:rPr>
                <w:rFonts w:hint="default"/>
                <w:sz w:val="24"/>
                <w:szCs w:val="24"/>
                <w:lang w:val="en-US" w:eastAsia="zh-CN"/>
              </w:rPr>
            </w:pPr>
            <w:r>
              <w:rPr>
                <w:rFonts w:hint="eastAsia"/>
                <w:sz w:val="24"/>
                <w:szCs w:val="24"/>
                <w:lang w:val="en-US" w:eastAsia="zh-CN"/>
              </w:rPr>
              <w:t>布袋除尘器+两级活性炭吸附装置</w:t>
            </w:r>
          </w:p>
        </w:tc>
        <w:tc>
          <w:tcPr>
            <w:tcW w:w="954" w:type="pct"/>
            <w:tcBorders>
              <w:bottom w:val="single" w:color="000000" w:sz="4" w:space="0"/>
            </w:tcBorders>
            <w:noWrap w:val="0"/>
            <w:vAlign w:val="center"/>
          </w:tcPr>
          <w:p w14:paraId="7A08E7BB">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default"/>
                <w:sz w:val="24"/>
                <w:szCs w:val="24"/>
                <w:lang w:val="en-US" w:eastAsia="zh-CN"/>
              </w:rPr>
            </w:pPr>
            <w:r>
              <w:rPr>
                <w:rFonts w:hint="default" w:ascii="Times New Roman" w:hAnsi="Times New Roman" w:eastAsia="楷体" w:cs="Times New Roman"/>
                <w:sz w:val="24"/>
                <w:szCs w:val="24"/>
                <w:lang w:val="en-US" w:eastAsia="zh-CN"/>
              </w:rPr>
              <w:t>颗粒物</w:t>
            </w:r>
          </w:p>
        </w:tc>
        <w:tc>
          <w:tcPr>
            <w:tcW w:w="1241" w:type="pct"/>
            <w:tcBorders>
              <w:bottom w:val="single" w:color="000000" w:sz="4" w:space="0"/>
            </w:tcBorders>
            <w:noWrap w:val="0"/>
            <w:vAlign w:val="center"/>
          </w:tcPr>
          <w:p w14:paraId="7F002299">
            <w:pPr>
              <w:pStyle w:val="55"/>
              <w:bidi w:val="0"/>
              <w:rPr>
                <w:rFonts w:hint="default"/>
                <w:sz w:val="24"/>
                <w:szCs w:val="24"/>
                <w:lang w:val="en-US" w:eastAsia="zh-CN"/>
              </w:rPr>
            </w:pPr>
            <w:r>
              <w:rPr>
                <w:rFonts w:hint="eastAsia"/>
                <w:sz w:val="24"/>
                <w:szCs w:val="24"/>
                <w:lang w:val="en-US" w:eastAsia="zh-CN"/>
              </w:rPr>
              <w:t>3.174</w:t>
            </w:r>
          </w:p>
        </w:tc>
        <w:tc>
          <w:tcPr>
            <w:tcW w:w="474" w:type="pct"/>
            <w:vMerge w:val="restart"/>
            <w:noWrap w:val="0"/>
            <w:vAlign w:val="center"/>
          </w:tcPr>
          <w:p w14:paraId="619A044B">
            <w:pPr>
              <w:pStyle w:val="55"/>
              <w:bidi w:val="0"/>
              <w:rPr>
                <w:rFonts w:hint="default"/>
                <w:sz w:val="24"/>
                <w:szCs w:val="24"/>
                <w:lang w:val="en-US" w:eastAsia="zh-CN"/>
              </w:rPr>
            </w:pPr>
            <w:r>
              <w:rPr>
                <w:rFonts w:hint="default"/>
                <w:sz w:val="24"/>
                <w:szCs w:val="24"/>
                <w:lang w:val="en-US" w:eastAsia="zh-CN"/>
              </w:rPr>
              <w:t>1h</w:t>
            </w:r>
          </w:p>
        </w:tc>
        <w:tc>
          <w:tcPr>
            <w:tcW w:w="439" w:type="pct"/>
            <w:vMerge w:val="restart"/>
            <w:noWrap w:val="0"/>
            <w:vAlign w:val="center"/>
          </w:tcPr>
          <w:p w14:paraId="1D9A8A7B">
            <w:pPr>
              <w:pStyle w:val="55"/>
              <w:bidi w:val="0"/>
              <w:rPr>
                <w:rFonts w:hint="default"/>
                <w:sz w:val="24"/>
                <w:szCs w:val="24"/>
                <w:lang w:val="en-US" w:eastAsia="zh-CN"/>
              </w:rPr>
            </w:pPr>
            <w:r>
              <w:rPr>
                <w:rFonts w:hint="default"/>
                <w:sz w:val="24"/>
                <w:szCs w:val="24"/>
                <w:lang w:val="en-US" w:eastAsia="zh-CN"/>
              </w:rPr>
              <w:t>1次</w:t>
            </w:r>
          </w:p>
        </w:tc>
        <w:tc>
          <w:tcPr>
            <w:tcW w:w="543" w:type="pct"/>
            <w:vMerge w:val="continue"/>
            <w:noWrap w:val="0"/>
            <w:vAlign w:val="center"/>
          </w:tcPr>
          <w:p w14:paraId="4A0BA5E1">
            <w:pPr>
              <w:pStyle w:val="55"/>
              <w:bidi w:val="0"/>
              <w:rPr>
                <w:rFonts w:hint="default"/>
                <w:sz w:val="24"/>
                <w:szCs w:val="24"/>
                <w:lang w:val="en-US" w:eastAsia="zh-CN"/>
              </w:rPr>
            </w:pPr>
          </w:p>
        </w:tc>
      </w:tr>
      <w:tr w14:paraId="5A859DEC">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41" w:type="pct"/>
            <w:vMerge w:val="continue"/>
            <w:noWrap w:val="0"/>
            <w:vAlign w:val="center"/>
          </w:tcPr>
          <w:p w14:paraId="7EF845ED">
            <w:pPr>
              <w:pStyle w:val="55"/>
              <w:bidi w:val="0"/>
              <w:rPr>
                <w:rFonts w:hint="default"/>
                <w:sz w:val="24"/>
                <w:szCs w:val="24"/>
                <w:lang w:val="en-US" w:eastAsia="zh-CN"/>
              </w:rPr>
            </w:pPr>
          </w:p>
        </w:tc>
        <w:tc>
          <w:tcPr>
            <w:tcW w:w="805" w:type="pct"/>
            <w:vMerge w:val="continue"/>
            <w:noWrap w:val="0"/>
            <w:vAlign w:val="center"/>
          </w:tcPr>
          <w:p w14:paraId="0B9407C5">
            <w:pPr>
              <w:pStyle w:val="55"/>
              <w:bidi w:val="0"/>
              <w:rPr>
                <w:rFonts w:hint="eastAsia"/>
                <w:sz w:val="24"/>
                <w:szCs w:val="24"/>
                <w:lang w:val="en-US" w:eastAsia="zh-CN"/>
              </w:rPr>
            </w:pPr>
          </w:p>
        </w:tc>
        <w:tc>
          <w:tcPr>
            <w:tcW w:w="954" w:type="pct"/>
            <w:tcBorders>
              <w:top w:val="single" w:color="000000" w:sz="4" w:space="0"/>
              <w:bottom w:val="single" w:color="000000" w:sz="4" w:space="0"/>
            </w:tcBorders>
            <w:noWrap w:val="0"/>
            <w:vAlign w:val="center"/>
          </w:tcPr>
          <w:p w14:paraId="7AAFE37D">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default"/>
                <w:sz w:val="24"/>
                <w:szCs w:val="24"/>
                <w:lang w:val="en-US" w:eastAsia="zh-CN"/>
              </w:rPr>
            </w:pPr>
            <w:r>
              <w:rPr>
                <w:rFonts w:hint="eastAsia" w:ascii="Times New Roman" w:hAnsi="Times New Roman" w:eastAsia="楷体" w:cs="Times New Roman"/>
                <w:sz w:val="24"/>
                <w:szCs w:val="24"/>
                <w:lang w:val="en-US" w:eastAsia="zh-CN"/>
              </w:rPr>
              <w:t>非甲烷总烃</w:t>
            </w:r>
          </w:p>
        </w:tc>
        <w:tc>
          <w:tcPr>
            <w:tcW w:w="1241" w:type="pct"/>
            <w:tcBorders>
              <w:top w:val="single" w:color="000000" w:sz="4" w:space="0"/>
              <w:bottom w:val="single" w:color="000000" w:sz="4" w:space="0"/>
            </w:tcBorders>
            <w:noWrap w:val="0"/>
            <w:vAlign w:val="center"/>
          </w:tcPr>
          <w:p w14:paraId="6D580E28">
            <w:pPr>
              <w:pStyle w:val="55"/>
              <w:bidi w:val="0"/>
              <w:rPr>
                <w:rFonts w:hint="default"/>
                <w:sz w:val="24"/>
                <w:szCs w:val="24"/>
                <w:lang w:val="en-US" w:eastAsia="zh-CN"/>
              </w:rPr>
            </w:pPr>
            <w:r>
              <w:rPr>
                <w:rFonts w:hint="eastAsia"/>
                <w:sz w:val="24"/>
                <w:szCs w:val="24"/>
                <w:lang w:val="en-US" w:eastAsia="zh-CN"/>
              </w:rPr>
              <w:t>3.194</w:t>
            </w:r>
          </w:p>
        </w:tc>
        <w:tc>
          <w:tcPr>
            <w:tcW w:w="474" w:type="pct"/>
            <w:vMerge w:val="continue"/>
            <w:noWrap w:val="0"/>
            <w:vAlign w:val="center"/>
          </w:tcPr>
          <w:p w14:paraId="171BF403">
            <w:pPr>
              <w:pStyle w:val="55"/>
              <w:bidi w:val="0"/>
              <w:rPr>
                <w:rFonts w:hint="default"/>
                <w:sz w:val="24"/>
                <w:szCs w:val="24"/>
                <w:lang w:val="en-US" w:eastAsia="zh-CN"/>
              </w:rPr>
            </w:pPr>
          </w:p>
        </w:tc>
        <w:tc>
          <w:tcPr>
            <w:tcW w:w="439" w:type="pct"/>
            <w:vMerge w:val="continue"/>
            <w:noWrap w:val="0"/>
            <w:vAlign w:val="center"/>
          </w:tcPr>
          <w:p w14:paraId="5CB81067">
            <w:pPr>
              <w:pStyle w:val="55"/>
              <w:bidi w:val="0"/>
              <w:rPr>
                <w:rFonts w:hint="default"/>
                <w:sz w:val="24"/>
                <w:szCs w:val="24"/>
                <w:lang w:val="en-US" w:eastAsia="zh-CN"/>
              </w:rPr>
            </w:pPr>
          </w:p>
        </w:tc>
        <w:tc>
          <w:tcPr>
            <w:tcW w:w="543" w:type="pct"/>
            <w:vMerge w:val="continue"/>
            <w:noWrap w:val="0"/>
            <w:vAlign w:val="center"/>
          </w:tcPr>
          <w:p w14:paraId="7DAF4859">
            <w:pPr>
              <w:pStyle w:val="55"/>
              <w:bidi w:val="0"/>
              <w:rPr>
                <w:rFonts w:hint="default"/>
                <w:sz w:val="24"/>
                <w:szCs w:val="24"/>
                <w:lang w:val="en-US" w:eastAsia="zh-CN"/>
              </w:rPr>
            </w:pPr>
          </w:p>
        </w:tc>
      </w:tr>
      <w:tr w14:paraId="39FAC615">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41" w:type="pct"/>
            <w:vMerge w:val="continue"/>
            <w:noWrap w:val="0"/>
            <w:vAlign w:val="center"/>
          </w:tcPr>
          <w:p w14:paraId="64E632FE">
            <w:pPr>
              <w:pStyle w:val="55"/>
              <w:bidi w:val="0"/>
              <w:rPr>
                <w:rFonts w:hint="default"/>
                <w:sz w:val="24"/>
                <w:szCs w:val="24"/>
                <w:lang w:val="en-US" w:eastAsia="zh-CN"/>
              </w:rPr>
            </w:pPr>
          </w:p>
        </w:tc>
        <w:tc>
          <w:tcPr>
            <w:tcW w:w="805" w:type="pct"/>
            <w:vMerge w:val="continue"/>
            <w:noWrap w:val="0"/>
            <w:vAlign w:val="center"/>
          </w:tcPr>
          <w:p w14:paraId="135C4FA7">
            <w:pPr>
              <w:pStyle w:val="55"/>
              <w:bidi w:val="0"/>
              <w:rPr>
                <w:rFonts w:hint="eastAsia"/>
                <w:sz w:val="24"/>
                <w:szCs w:val="24"/>
                <w:lang w:val="en-US" w:eastAsia="zh-CN"/>
              </w:rPr>
            </w:pPr>
          </w:p>
        </w:tc>
        <w:tc>
          <w:tcPr>
            <w:tcW w:w="954" w:type="pct"/>
            <w:tcBorders>
              <w:top w:val="single" w:color="000000" w:sz="4" w:space="0"/>
              <w:bottom w:val="single" w:color="000000" w:sz="4" w:space="0"/>
            </w:tcBorders>
            <w:noWrap w:val="0"/>
            <w:vAlign w:val="center"/>
          </w:tcPr>
          <w:p w14:paraId="37314190">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default"/>
                <w:sz w:val="24"/>
                <w:szCs w:val="24"/>
                <w:lang w:val="en-US" w:eastAsia="zh-CN"/>
              </w:rPr>
            </w:pPr>
            <w:r>
              <w:rPr>
                <w:rFonts w:hint="default" w:ascii="Times New Roman" w:hAnsi="Times New Roman" w:eastAsia="楷体" w:cs="Times New Roman"/>
                <w:sz w:val="24"/>
                <w:szCs w:val="24"/>
                <w:lang w:val="en-US" w:eastAsia="zh-CN"/>
              </w:rPr>
              <w:t>氯化氢</w:t>
            </w:r>
          </w:p>
        </w:tc>
        <w:tc>
          <w:tcPr>
            <w:tcW w:w="1241" w:type="pct"/>
            <w:tcBorders>
              <w:top w:val="single" w:color="000000" w:sz="4" w:space="0"/>
              <w:bottom w:val="single" w:color="000000" w:sz="4" w:space="0"/>
            </w:tcBorders>
            <w:noWrap w:val="0"/>
            <w:vAlign w:val="center"/>
          </w:tcPr>
          <w:p w14:paraId="1859DDEC">
            <w:pPr>
              <w:pStyle w:val="55"/>
              <w:bidi w:val="0"/>
              <w:rPr>
                <w:rFonts w:hint="default"/>
                <w:sz w:val="24"/>
                <w:szCs w:val="24"/>
                <w:lang w:val="en-US" w:eastAsia="zh-CN"/>
              </w:rPr>
            </w:pPr>
            <w:r>
              <w:rPr>
                <w:rFonts w:hint="eastAsia"/>
                <w:sz w:val="24"/>
                <w:szCs w:val="24"/>
                <w:lang w:val="en-US" w:eastAsia="zh-CN"/>
              </w:rPr>
              <w:t>0.002</w:t>
            </w:r>
          </w:p>
        </w:tc>
        <w:tc>
          <w:tcPr>
            <w:tcW w:w="474" w:type="pct"/>
            <w:vMerge w:val="continue"/>
            <w:noWrap w:val="0"/>
            <w:vAlign w:val="center"/>
          </w:tcPr>
          <w:p w14:paraId="3E4F37DA">
            <w:pPr>
              <w:pStyle w:val="55"/>
              <w:bidi w:val="0"/>
              <w:rPr>
                <w:rFonts w:hint="default"/>
                <w:sz w:val="24"/>
                <w:szCs w:val="24"/>
                <w:lang w:val="en-US" w:eastAsia="zh-CN"/>
              </w:rPr>
            </w:pPr>
          </w:p>
        </w:tc>
        <w:tc>
          <w:tcPr>
            <w:tcW w:w="439" w:type="pct"/>
            <w:vMerge w:val="continue"/>
            <w:noWrap w:val="0"/>
            <w:vAlign w:val="center"/>
          </w:tcPr>
          <w:p w14:paraId="2C5EE70F">
            <w:pPr>
              <w:pStyle w:val="55"/>
              <w:bidi w:val="0"/>
              <w:rPr>
                <w:rFonts w:hint="default"/>
                <w:sz w:val="24"/>
                <w:szCs w:val="24"/>
                <w:lang w:val="en-US" w:eastAsia="zh-CN"/>
              </w:rPr>
            </w:pPr>
          </w:p>
        </w:tc>
        <w:tc>
          <w:tcPr>
            <w:tcW w:w="543" w:type="pct"/>
            <w:vMerge w:val="continue"/>
            <w:noWrap w:val="0"/>
            <w:vAlign w:val="center"/>
          </w:tcPr>
          <w:p w14:paraId="3AE5F700">
            <w:pPr>
              <w:pStyle w:val="55"/>
              <w:bidi w:val="0"/>
              <w:rPr>
                <w:rFonts w:hint="default"/>
                <w:sz w:val="24"/>
                <w:szCs w:val="24"/>
                <w:lang w:val="en-US" w:eastAsia="zh-CN"/>
              </w:rPr>
            </w:pPr>
          </w:p>
        </w:tc>
      </w:tr>
      <w:tr w14:paraId="32EB9BA6">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41" w:type="pct"/>
            <w:vMerge w:val="continue"/>
            <w:noWrap w:val="0"/>
            <w:vAlign w:val="center"/>
          </w:tcPr>
          <w:p w14:paraId="08FAFE95">
            <w:pPr>
              <w:pStyle w:val="55"/>
              <w:bidi w:val="0"/>
              <w:rPr>
                <w:rFonts w:hint="default"/>
                <w:sz w:val="24"/>
                <w:szCs w:val="24"/>
                <w:lang w:val="en-US" w:eastAsia="zh-CN"/>
              </w:rPr>
            </w:pPr>
          </w:p>
        </w:tc>
        <w:tc>
          <w:tcPr>
            <w:tcW w:w="805" w:type="pct"/>
            <w:vMerge w:val="continue"/>
            <w:noWrap w:val="0"/>
            <w:vAlign w:val="center"/>
          </w:tcPr>
          <w:p w14:paraId="35C636AF">
            <w:pPr>
              <w:pStyle w:val="55"/>
              <w:bidi w:val="0"/>
              <w:rPr>
                <w:rFonts w:hint="eastAsia"/>
                <w:sz w:val="24"/>
                <w:szCs w:val="24"/>
                <w:lang w:val="en-US" w:eastAsia="zh-CN"/>
              </w:rPr>
            </w:pPr>
          </w:p>
        </w:tc>
        <w:tc>
          <w:tcPr>
            <w:tcW w:w="954" w:type="pct"/>
            <w:tcBorders>
              <w:top w:val="single" w:color="000000" w:sz="4" w:space="0"/>
            </w:tcBorders>
            <w:noWrap w:val="0"/>
            <w:vAlign w:val="center"/>
          </w:tcPr>
          <w:p w14:paraId="4859F0BB">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default"/>
                <w:sz w:val="24"/>
                <w:szCs w:val="24"/>
                <w:lang w:val="en-US" w:eastAsia="zh-CN"/>
              </w:rPr>
            </w:pPr>
            <w:r>
              <w:rPr>
                <w:rFonts w:hint="eastAsia" w:ascii="Times New Roman" w:hAnsi="Times New Roman" w:eastAsia="楷体" w:cs="Times New Roman"/>
                <w:sz w:val="24"/>
                <w:szCs w:val="24"/>
                <w:vertAlign w:val="baseline"/>
                <w:lang w:val="en-US" w:eastAsia="zh-CN"/>
              </w:rPr>
              <w:t>臭气浓度</w:t>
            </w:r>
          </w:p>
        </w:tc>
        <w:tc>
          <w:tcPr>
            <w:tcW w:w="1241" w:type="pct"/>
            <w:tcBorders>
              <w:top w:val="single" w:color="000000" w:sz="4" w:space="0"/>
            </w:tcBorders>
            <w:noWrap w:val="0"/>
            <w:vAlign w:val="center"/>
          </w:tcPr>
          <w:p w14:paraId="551FEA55">
            <w:pPr>
              <w:pStyle w:val="55"/>
              <w:bidi w:val="0"/>
              <w:rPr>
                <w:rFonts w:hint="default"/>
                <w:sz w:val="24"/>
                <w:szCs w:val="24"/>
                <w:lang w:val="en-US" w:eastAsia="zh-CN"/>
              </w:rPr>
            </w:pPr>
            <w:r>
              <w:rPr>
                <w:rFonts w:hint="eastAsia"/>
                <w:sz w:val="24"/>
                <w:szCs w:val="24"/>
                <w:lang w:val="en-US" w:eastAsia="zh-CN"/>
              </w:rPr>
              <w:t>/</w:t>
            </w:r>
          </w:p>
        </w:tc>
        <w:tc>
          <w:tcPr>
            <w:tcW w:w="474" w:type="pct"/>
            <w:vMerge w:val="continue"/>
            <w:noWrap w:val="0"/>
            <w:vAlign w:val="center"/>
          </w:tcPr>
          <w:p w14:paraId="70EDD8FC">
            <w:pPr>
              <w:pStyle w:val="55"/>
              <w:bidi w:val="0"/>
              <w:rPr>
                <w:rFonts w:hint="default"/>
                <w:sz w:val="24"/>
                <w:szCs w:val="24"/>
                <w:lang w:val="en-US" w:eastAsia="zh-CN"/>
              </w:rPr>
            </w:pPr>
          </w:p>
        </w:tc>
        <w:tc>
          <w:tcPr>
            <w:tcW w:w="439" w:type="pct"/>
            <w:vMerge w:val="continue"/>
            <w:noWrap w:val="0"/>
            <w:vAlign w:val="center"/>
          </w:tcPr>
          <w:p w14:paraId="367341F5">
            <w:pPr>
              <w:pStyle w:val="55"/>
              <w:bidi w:val="0"/>
              <w:rPr>
                <w:rFonts w:hint="default"/>
                <w:sz w:val="24"/>
                <w:szCs w:val="24"/>
                <w:lang w:val="en-US" w:eastAsia="zh-CN"/>
              </w:rPr>
            </w:pPr>
          </w:p>
        </w:tc>
        <w:tc>
          <w:tcPr>
            <w:tcW w:w="543" w:type="pct"/>
            <w:vMerge w:val="continue"/>
            <w:noWrap w:val="0"/>
            <w:vAlign w:val="center"/>
          </w:tcPr>
          <w:p w14:paraId="63C2DBF4">
            <w:pPr>
              <w:pStyle w:val="55"/>
              <w:bidi w:val="0"/>
              <w:rPr>
                <w:rFonts w:hint="default"/>
                <w:sz w:val="24"/>
                <w:szCs w:val="24"/>
                <w:lang w:val="en-US" w:eastAsia="zh-CN"/>
              </w:rPr>
            </w:pPr>
          </w:p>
        </w:tc>
      </w:tr>
    </w:tbl>
    <w:p w14:paraId="0C8D66AB">
      <w:pPr>
        <w:pStyle w:val="96"/>
        <w:bidi w:val="0"/>
        <w:ind w:left="0" w:leftChars="0" w:firstLine="0" w:firstLineChars="0"/>
      </w:pPr>
      <w:r>
        <w:rPr>
          <w:rFonts w:hint="eastAsia"/>
        </w:rPr>
        <w:t>废水</w:t>
      </w:r>
    </w:p>
    <w:p w14:paraId="5ACE9F43">
      <w:pPr>
        <w:pStyle w:val="47"/>
        <w:ind w:firstLine="482"/>
        <w:rPr>
          <w:rFonts w:hint="default"/>
          <w:lang w:val="en-US"/>
        </w:rPr>
      </w:pPr>
      <w:r>
        <w:rPr>
          <w:rFonts w:hint="eastAsia"/>
        </w:rPr>
        <w:t>项目废水主要包括生活污水、</w:t>
      </w:r>
      <w:r>
        <w:rPr>
          <w:rFonts w:hint="eastAsia"/>
          <w:lang w:eastAsia="zh-CN"/>
        </w:rPr>
        <w:t>生产废水</w:t>
      </w:r>
      <w:r>
        <w:rPr>
          <w:rFonts w:hint="eastAsia"/>
        </w:rPr>
        <w:t>。</w:t>
      </w:r>
      <w:r>
        <w:rPr>
          <w:rFonts w:hint="eastAsia"/>
          <w:lang w:eastAsia="zh-CN"/>
        </w:rPr>
        <w:t>生产废水主要为</w:t>
      </w:r>
      <w:r>
        <w:rPr>
          <w:rFonts w:hint="eastAsia"/>
        </w:rPr>
        <w:t>湿式破碎及清洗</w:t>
      </w:r>
      <w:r>
        <w:rPr>
          <w:rFonts w:hint="eastAsia"/>
          <w:lang w:val="en-US" w:eastAsia="zh-CN"/>
        </w:rPr>
        <w:t>废水、</w:t>
      </w:r>
      <w:r>
        <w:rPr>
          <w:rFonts w:hint="eastAsia"/>
        </w:rPr>
        <w:t>挤出工序</w:t>
      </w:r>
      <w:r>
        <w:rPr>
          <w:rFonts w:hint="eastAsia"/>
          <w:lang w:val="en-US" w:eastAsia="zh-CN"/>
        </w:rPr>
        <w:t>冷却废水经沉淀池沉淀后循环使用，不外排；生活污水主要为职工盥洗废水，泼洒厂区地面抑尘，厂区设防渗旱厕，定期清掏不外排。</w:t>
      </w:r>
    </w:p>
    <w:p w14:paraId="387E6202">
      <w:pPr>
        <w:pStyle w:val="96"/>
        <w:bidi w:val="0"/>
        <w:ind w:left="0" w:leftChars="0" w:firstLine="0" w:firstLineChars="0"/>
      </w:pPr>
      <w:r>
        <w:rPr>
          <w:rFonts w:hint="eastAsia"/>
        </w:rPr>
        <w:t>噪声</w:t>
      </w:r>
    </w:p>
    <w:p w14:paraId="4D2D49BF">
      <w:pPr>
        <w:pStyle w:val="47"/>
        <w:bidi w:val="0"/>
        <w:rPr>
          <w:rFonts w:cs="Times New Roman"/>
        </w:rPr>
      </w:pPr>
      <w:r>
        <w:t>项目主要噪声源主要为</w:t>
      </w:r>
      <w:r>
        <w:rPr>
          <w:rFonts w:hint="eastAsia"/>
        </w:rPr>
        <w:t>破碎机、水浮分离机、卧式甩干机、高速混合机、挤出机、风机等设备</w:t>
      </w:r>
      <w:r>
        <w:rPr>
          <w:rFonts w:hint="eastAsia"/>
          <w:lang w:eastAsia="zh-CN"/>
        </w:rPr>
        <w:t>，</w:t>
      </w:r>
      <w:r>
        <w:rPr>
          <w:rFonts w:hint="eastAsia"/>
          <w:lang w:val="en-US" w:eastAsia="zh-CN"/>
        </w:rPr>
        <w:t>采取低噪声设备，采用减振、降噪等措施</w:t>
      </w:r>
      <w:r>
        <w:t>。本项目噪声源强情况详见下表。</w:t>
      </w:r>
    </w:p>
    <w:p w14:paraId="32369689">
      <w:pPr>
        <w:pStyle w:val="94"/>
        <w:bidi w:val="0"/>
        <w:ind w:left="0" w:leftChars="0" w:firstLine="0" w:firstLineChars="0"/>
      </w:pPr>
      <w:r>
        <w:rPr>
          <w:rFonts w:hint="eastAsia"/>
        </w:rPr>
        <w:t>噪声产生</w:t>
      </w:r>
      <w:r>
        <w:t>与排放情况</w:t>
      </w:r>
      <w:r>
        <w:rPr>
          <w:rFonts w:hint="eastAsia"/>
        </w:rPr>
        <w:t>一览表</w:t>
      </w:r>
    </w:p>
    <w:tbl>
      <w:tblPr>
        <w:tblStyle w:val="3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1005"/>
        <w:gridCol w:w="1635"/>
        <w:gridCol w:w="2439"/>
        <w:gridCol w:w="2021"/>
        <w:gridCol w:w="2023"/>
      </w:tblGrid>
      <w:tr w14:paraId="54CF4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67" w:hRule="atLeast"/>
        </w:trPr>
        <w:tc>
          <w:tcPr>
            <w:tcW w:w="551" w:type="pct"/>
            <w:vAlign w:val="center"/>
          </w:tcPr>
          <w:p w14:paraId="1362E340">
            <w:pPr>
              <w:pStyle w:val="55"/>
              <w:jc w:val="center"/>
              <w:rPr>
                <w:rFonts w:hint="eastAsia" w:eastAsia="楷体"/>
                <w:sz w:val="24"/>
                <w:szCs w:val="24"/>
                <w:lang w:eastAsia="zh-CN"/>
              </w:rPr>
            </w:pPr>
            <w:r>
              <w:rPr>
                <w:rFonts w:hint="eastAsia"/>
                <w:sz w:val="24"/>
                <w:szCs w:val="24"/>
                <w:lang w:val="en-US" w:eastAsia="zh-CN"/>
              </w:rPr>
              <w:t>序号</w:t>
            </w:r>
          </w:p>
        </w:tc>
        <w:tc>
          <w:tcPr>
            <w:tcW w:w="896" w:type="pct"/>
            <w:vAlign w:val="center"/>
          </w:tcPr>
          <w:p w14:paraId="3886C40E">
            <w:pPr>
              <w:pStyle w:val="55"/>
              <w:jc w:val="center"/>
              <w:rPr>
                <w:rFonts w:hint="default"/>
                <w:sz w:val="24"/>
                <w:szCs w:val="24"/>
                <w:lang w:val="en-US" w:eastAsia="zh-CN"/>
              </w:rPr>
            </w:pPr>
            <w:r>
              <w:rPr>
                <w:rFonts w:hint="eastAsia"/>
                <w:sz w:val="24"/>
                <w:szCs w:val="24"/>
                <w:lang w:val="en-US" w:eastAsia="zh-CN"/>
              </w:rPr>
              <w:t>车间</w:t>
            </w:r>
          </w:p>
        </w:tc>
        <w:tc>
          <w:tcPr>
            <w:tcW w:w="1336" w:type="pct"/>
            <w:vAlign w:val="center"/>
          </w:tcPr>
          <w:p w14:paraId="42DDDFD6">
            <w:pPr>
              <w:pStyle w:val="55"/>
              <w:jc w:val="center"/>
              <w:rPr>
                <w:sz w:val="24"/>
                <w:szCs w:val="24"/>
              </w:rPr>
            </w:pPr>
            <w:r>
              <w:rPr>
                <w:rFonts w:hint="eastAsia"/>
                <w:sz w:val="24"/>
                <w:szCs w:val="24"/>
              </w:rPr>
              <w:t>噪声源</w:t>
            </w:r>
          </w:p>
        </w:tc>
        <w:tc>
          <w:tcPr>
            <w:tcW w:w="1107" w:type="pct"/>
            <w:vAlign w:val="center"/>
          </w:tcPr>
          <w:p w14:paraId="0D4E9C6E">
            <w:pPr>
              <w:pStyle w:val="55"/>
              <w:jc w:val="center"/>
              <w:rPr>
                <w:rFonts w:hint="eastAsia" w:eastAsia="楷体"/>
                <w:sz w:val="24"/>
                <w:szCs w:val="24"/>
                <w:lang w:val="en-US" w:eastAsia="zh-CN"/>
              </w:rPr>
            </w:pPr>
            <w:r>
              <w:rPr>
                <w:rFonts w:hint="eastAsia"/>
                <w:sz w:val="24"/>
                <w:szCs w:val="24"/>
                <w:lang w:val="en-US" w:eastAsia="zh-CN"/>
              </w:rPr>
              <w:t>设备数量</w:t>
            </w:r>
          </w:p>
        </w:tc>
        <w:tc>
          <w:tcPr>
            <w:tcW w:w="1108" w:type="pct"/>
            <w:vAlign w:val="center"/>
          </w:tcPr>
          <w:p w14:paraId="7999AFE3">
            <w:pPr>
              <w:pStyle w:val="55"/>
              <w:jc w:val="center"/>
              <w:rPr>
                <w:sz w:val="24"/>
                <w:szCs w:val="24"/>
              </w:rPr>
            </w:pPr>
            <w:r>
              <w:rPr>
                <w:rFonts w:hint="eastAsia"/>
                <w:sz w:val="24"/>
                <w:szCs w:val="24"/>
              </w:rPr>
              <w:t>噪声源强/dB(</w:t>
            </w:r>
            <w:r>
              <w:rPr>
                <w:sz w:val="24"/>
                <w:szCs w:val="24"/>
              </w:rPr>
              <w:t>A)</w:t>
            </w:r>
          </w:p>
        </w:tc>
      </w:tr>
      <w:tr w14:paraId="15D7F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58" w:hRule="atLeast"/>
        </w:trPr>
        <w:tc>
          <w:tcPr>
            <w:tcW w:w="551" w:type="pct"/>
            <w:vMerge w:val="restart"/>
            <w:vAlign w:val="center"/>
          </w:tcPr>
          <w:p w14:paraId="1847087D">
            <w:pPr>
              <w:pStyle w:val="55"/>
              <w:bidi w:val="0"/>
              <w:jc w:val="center"/>
              <w:rPr>
                <w:sz w:val="24"/>
                <w:szCs w:val="24"/>
              </w:rPr>
            </w:pPr>
            <w:r>
              <w:rPr>
                <w:rFonts w:hint="eastAsia"/>
                <w:sz w:val="24"/>
                <w:szCs w:val="24"/>
                <w:lang w:val="en-US" w:eastAsia="zh-CN"/>
              </w:rPr>
              <w:t>1</w:t>
            </w:r>
          </w:p>
        </w:tc>
        <w:tc>
          <w:tcPr>
            <w:tcW w:w="896" w:type="pct"/>
            <w:vMerge w:val="restart"/>
            <w:vAlign w:val="center"/>
          </w:tcPr>
          <w:p w14:paraId="2DFC7521">
            <w:pPr>
              <w:pStyle w:val="55"/>
              <w:jc w:val="center"/>
              <w:rPr>
                <w:rFonts w:hint="eastAsia"/>
                <w:sz w:val="24"/>
                <w:szCs w:val="24"/>
                <w:lang w:val="en-US" w:eastAsia="zh-CN"/>
              </w:rPr>
            </w:pPr>
            <w:r>
              <w:rPr>
                <w:rFonts w:hint="eastAsia"/>
                <w:sz w:val="24"/>
                <w:szCs w:val="24"/>
                <w:lang w:val="en-US" w:eastAsia="zh-CN"/>
              </w:rPr>
              <w:t>1</w:t>
            </w:r>
            <w:r>
              <w:rPr>
                <w:rFonts w:hint="eastAsia"/>
                <w:sz w:val="24"/>
                <w:szCs w:val="24"/>
              </w:rPr>
              <w:t>#生产车间</w:t>
            </w:r>
          </w:p>
        </w:tc>
        <w:tc>
          <w:tcPr>
            <w:tcW w:w="1336" w:type="pct"/>
            <w:tcBorders>
              <w:bottom w:val="single" w:color="000000" w:sz="4" w:space="0"/>
            </w:tcBorders>
            <w:vAlign w:val="center"/>
          </w:tcPr>
          <w:p w14:paraId="023CB7AD">
            <w:pPr>
              <w:pStyle w:val="55"/>
              <w:bidi w:val="0"/>
              <w:jc w:val="center"/>
              <w:rPr>
                <w:color w:val="FF0000"/>
                <w:sz w:val="24"/>
                <w:szCs w:val="24"/>
              </w:rPr>
            </w:pPr>
            <w:r>
              <w:rPr>
                <w:rFonts w:hint="default"/>
                <w:sz w:val="24"/>
                <w:szCs w:val="24"/>
                <w:lang w:val="en-US" w:eastAsia="zh-CN"/>
              </w:rPr>
              <w:t>破碎机</w:t>
            </w:r>
          </w:p>
        </w:tc>
        <w:tc>
          <w:tcPr>
            <w:tcW w:w="1107" w:type="pct"/>
            <w:tcBorders>
              <w:bottom w:val="single" w:color="000000" w:sz="4" w:space="0"/>
            </w:tcBorders>
            <w:vAlign w:val="center"/>
          </w:tcPr>
          <w:p w14:paraId="4D399C09">
            <w:pPr>
              <w:pStyle w:val="55"/>
              <w:bidi w:val="0"/>
              <w:jc w:val="center"/>
              <w:rPr>
                <w:rFonts w:hint="default"/>
                <w:sz w:val="24"/>
                <w:szCs w:val="24"/>
                <w:lang w:val="en-US" w:eastAsia="zh-CN"/>
              </w:rPr>
            </w:pPr>
            <w:r>
              <w:rPr>
                <w:rFonts w:hint="eastAsia"/>
                <w:sz w:val="24"/>
                <w:szCs w:val="24"/>
                <w:lang w:val="en-US" w:eastAsia="zh-CN"/>
              </w:rPr>
              <w:t>3</w:t>
            </w:r>
          </w:p>
        </w:tc>
        <w:tc>
          <w:tcPr>
            <w:tcW w:w="1108" w:type="pct"/>
            <w:tcBorders>
              <w:bottom w:val="single" w:color="000000" w:sz="4" w:space="0"/>
            </w:tcBorders>
            <w:vAlign w:val="center"/>
          </w:tcPr>
          <w:p w14:paraId="05A8E91F">
            <w:pPr>
              <w:pStyle w:val="55"/>
              <w:jc w:val="center"/>
              <w:rPr>
                <w:rFonts w:hint="default" w:eastAsia="楷体"/>
                <w:sz w:val="24"/>
                <w:szCs w:val="24"/>
                <w:lang w:val="en-US" w:eastAsia="zh-CN"/>
              </w:rPr>
            </w:pPr>
            <w:r>
              <w:rPr>
                <w:rFonts w:hint="eastAsia"/>
                <w:sz w:val="24"/>
                <w:szCs w:val="24"/>
                <w:lang w:val="en-US" w:eastAsia="zh-CN"/>
              </w:rPr>
              <w:t>90</w:t>
            </w:r>
          </w:p>
        </w:tc>
      </w:tr>
      <w:tr w14:paraId="30989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58" w:hRule="atLeast"/>
        </w:trPr>
        <w:tc>
          <w:tcPr>
            <w:tcW w:w="551" w:type="pct"/>
            <w:vMerge w:val="continue"/>
            <w:vAlign w:val="center"/>
          </w:tcPr>
          <w:p w14:paraId="4DA47CC5">
            <w:pPr>
              <w:pStyle w:val="55"/>
              <w:bidi w:val="0"/>
              <w:jc w:val="center"/>
              <w:rPr>
                <w:rFonts w:hint="eastAsia"/>
                <w:sz w:val="24"/>
                <w:szCs w:val="24"/>
                <w:lang w:val="en-US" w:eastAsia="zh-CN"/>
              </w:rPr>
            </w:pPr>
          </w:p>
        </w:tc>
        <w:tc>
          <w:tcPr>
            <w:tcW w:w="896" w:type="pct"/>
            <w:vMerge w:val="continue"/>
            <w:vAlign w:val="center"/>
          </w:tcPr>
          <w:p w14:paraId="053FE738">
            <w:pPr>
              <w:pStyle w:val="55"/>
              <w:jc w:val="center"/>
              <w:rPr>
                <w:rFonts w:hint="eastAsia"/>
                <w:sz w:val="24"/>
                <w:szCs w:val="24"/>
                <w:lang w:val="en-US" w:eastAsia="zh-CN"/>
              </w:rPr>
            </w:pPr>
          </w:p>
        </w:tc>
        <w:tc>
          <w:tcPr>
            <w:tcW w:w="1336" w:type="pct"/>
            <w:tcBorders>
              <w:bottom w:val="single" w:color="000000" w:sz="4" w:space="0"/>
            </w:tcBorders>
            <w:vAlign w:val="center"/>
          </w:tcPr>
          <w:p w14:paraId="1B53C272">
            <w:pPr>
              <w:pStyle w:val="55"/>
              <w:bidi w:val="0"/>
              <w:jc w:val="center"/>
              <w:rPr>
                <w:rFonts w:hint="default"/>
                <w:sz w:val="24"/>
                <w:szCs w:val="24"/>
                <w:lang w:val="en-US" w:eastAsia="zh-CN"/>
              </w:rPr>
            </w:pPr>
            <w:r>
              <w:rPr>
                <w:rFonts w:hint="default"/>
                <w:sz w:val="24"/>
                <w:szCs w:val="24"/>
                <w:lang w:val="en-US" w:eastAsia="zh-CN"/>
              </w:rPr>
              <w:t>水浮分离机</w:t>
            </w:r>
          </w:p>
        </w:tc>
        <w:tc>
          <w:tcPr>
            <w:tcW w:w="1107" w:type="pct"/>
            <w:tcBorders>
              <w:bottom w:val="single" w:color="000000" w:sz="4" w:space="0"/>
            </w:tcBorders>
            <w:vAlign w:val="center"/>
          </w:tcPr>
          <w:p w14:paraId="2FA9E841">
            <w:pPr>
              <w:pStyle w:val="55"/>
              <w:bidi w:val="0"/>
              <w:jc w:val="center"/>
              <w:rPr>
                <w:rFonts w:hint="default"/>
                <w:sz w:val="24"/>
                <w:szCs w:val="24"/>
                <w:lang w:val="en-US" w:eastAsia="zh-CN"/>
              </w:rPr>
            </w:pPr>
            <w:r>
              <w:rPr>
                <w:rFonts w:hint="eastAsia"/>
                <w:sz w:val="24"/>
                <w:szCs w:val="24"/>
                <w:lang w:val="en-US" w:eastAsia="zh-CN"/>
              </w:rPr>
              <w:t>3</w:t>
            </w:r>
          </w:p>
        </w:tc>
        <w:tc>
          <w:tcPr>
            <w:tcW w:w="1108" w:type="pct"/>
            <w:tcBorders>
              <w:bottom w:val="single" w:color="000000" w:sz="4" w:space="0"/>
            </w:tcBorders>
            <w:shd w:val="clear" w:color="auto" w:fill="auto"/>
            <w:vAlign w:val="center"/>
          </w:tcPr>
          <w:p w14:paraId="39313E65">
            <w:pPr>
              <w:pStyle w:val="55"/>
              <w:jc w:val="center"/>
              <w:rPr>
                <w:rFonts w:hint="default" w:ascii="Times New Roman" w:hAnsi="Times New Roman" w:eastAsia="楷体" w:cstheme="minorBidi"/>
                <w:snapToGrid w:val="0"/>
                <w:kern w:val="0"/>
                <w:sz w:val="24"/>
                <w:szCs w:val="24"/>
                <w:lang w:val="en-US" w:eastAsia="zh-CN" w:bidi="ar-SA"/>
              </w:rPr>
            </w:pPr>
            <w:r>
              <w:rPr>
                <w:rFonts w:hint="eastAsia" w:cstheme="minorBidi"/>
                <w:snapToGrid w:val="0"/>
                <w:kern w:val="0"/>
                <w:sz w:val="24"/>
                <w:szCs w:val="24"/>
                <w:lang w:val="en-US" w:eastAsia="zh-CN" w:bidi="ar-SA"/>
              </w:rPr>
              <w:t>85</w:t>
            </w:r>
          </w:p>
        </w:tc>
      </w:tr>
      <w:tr w14:paraId="37309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58" w:hRule="atLeast"/>
        </w:trPr>
        <w:tc>
          <w:tcPr>
            <w:tcW w:w="551" w:type="pct"/>
            <w:vMerge w:val="continue"/>
            <w:vAlign w:val="center"/>
          </w:tcPr>
          <w:p w14:paraId="1C61FB3B">
            <w:pPr>
              <w:pStyle w:val="55"/>
              <w:bidi w:val="0"/>
              <w:jc w:val="center"/>
              <w:rPr>
                <w:rFonts w:hint="eastAsia"/>
                <w:sz w:val="24"/>
                <w:szCs w:val="24"/>
                <w:lang w:val="en-US" w:eastAsia="zh-CN"/>
              </w:rPr>
            </w:pPr>
          </w:p>
        </w:tc>
        <w:tc>
          <w:tcPr>
            <w:tcW w:w="896" w:type="pct"/>
            <w:vMerge w:val="continue"/>
            <w:vAlign w:val="center"/>
          </w:tcPr>
          <w:p w14:paraId="562D2FF9">
            <w:pPr>
              <w:pStyle w:val="55"/>
              <w:jc w:val="center"/>
              <w:rPr>
                <w:rFonts w:hint="eastAsia"/>
                <w:sz w:val="24"/>
                <w:szCs w:val="24"/>
                <w:lang w:val="en-US" w:eastAsia="zh-CN"/>
              </w:rPr>
            </w:pPr>
          </w:p>
        </w:tc>
        <w:tc>
          <w:tcPr>
            <w:tcW w:w="1336" w:type="pct"/>
            <w:tcBorders>
              <w:bottom w:val="single" w:color="000000" w:sz="4" w:space="0"/>
            </w:tcBorders>
            <w:vAlign w:val="center"/>
          </w:tcPr>
          <w:p w14:paraId="55240DBA">
            <w:pPr>
              <w:pStyle w:val="55"/>
              <w:bidi w:val="0"/>
              <w:jc w:val="center"/>
              <w:rPr>
                <w:rFonts w:hint="default"/>
                <w:sz w:val="24"/>
                <w:szCs w:val="24"/>
                <w:lang w:val="en-US" w:eastAsia="zh-CN"/>
              </w:rPr>
            </w:pPr>
            <w:r>
              <w:rPr>
                <w:rFonts w:hint="default"/>
                <w:sz w:val="24"/>
                <w:szCs w:val="24"/>
                <w:lang w:val="en-US" w:eastAsia="zh-CN"/>
              </w:rPr>
              <w:t>卧式甩干机</w:t>
            </w:r>
          </w:p>
        </w:tc>
        <w:tc>
          <w:tcPr>
            <w:tcW w:w="1107" w:type="pct"/>
            <w:tcBorders>
              <w:bottom w:val="single" w:color="000000" w:sz="4" w:space="0"/>
            </w:tcBorders>
            <w:vAlign w:val="center"/>
          </w:tcPr>
          <w:p w14:paraId="0B6AF8A8">
            <w:pPr>
              <w:pStyle w:val="55"/>
              <w:bidi w:val="0"/>
              <w:jc w:val="center"/>
              <w:rPr>
                <w:rFonts w:hint="default"/>
                <w:sz w:val="24"/>
                <w:szCs w:val="24"/>
                <w:lang w:val="en-US" w:eastAsia="zh-CN"/>
              </w:rPr>
            </w:pPr>
            <w:r>
              <w:rPr>
                <w:rFonts w:hint="eastAsia"/>
                <w:sz w:val="24"/>
                <w:szCs w:val="24"/>
                <w:lang w:val="en-US" w:eastAsia="zh-CN"/>
              </w:rPr>
              <w:t>3</w:t>
            </w:r>
          </w:p>
        </w:tc>
        <w:tc>
          <w:tcPr>
            <w:tcW w:w="1108" w:type="pct"/>
            <w:tcBorders>
              <w:bottom w:val="single" w:color="000000" w:sz="4" w:space="0"/>
            </w:tcBorders>
            <w:shd w:val="clear" w:color="auto" w:fill="auto"/>
            <w:vAlign w:val="center"/>
          </w:tcPr>
          <w:p w14:paraId="4BC41F91">
            <w:pPr>
              <w:pStyle w:val="55"/>
              <w:jc w:val="center"/>
              <w:rPr>
                <w:rFonts w:hint="default" w:ascii="Times New Roman" w:hAnsi="Times New Roman" w:eastAsia="楷体" w:cstheme="minorBidi"/>
                <w:snapToGrid w:val="0"/>
                <w:kern w:val="0"/>
                <w:sz w:val="24"/>
                <w:szCs w:val="24"/>
                <w:lang w:val="en-US" w:eastAsia="zh-CN" w:bidi="ar-SA"/>
              </w:rPr>
            </w:pPr>
            <w:r>
              <w:rPr>
                <w:rFonts w:hint="eastAsia" w:cstheme="minorBidi"/>
                <w:snapToGrid w:val="0"/>
                <w:kern w:val="0"/>
                <w:sz w:val="24"/>
                <w:szCs w:val="24"/>
                <w:lang w:val="en-US" w:eastAsia="zh-CN" w:bidi="ar-SA"/>
              </w:rPr>
              <w:t>85</w:t>
            </w:r>
          </w:p>
        </w:tc>
      </w:tr>
      <w:tr w14:paraId="1A66C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58" w:hRule="atLeast"/>
        </w:trPr>
        <w:tc>
          <w:tcPr>
            <w:tcW w:w="551" w:type="pct"/>
            <w:vMerge w:val="continue"/>
            <w:vAlign w:val="center"/>
          </w:tcPr>
          <w:p w14:paraId="53375258">
            <w:pPr>
              <w:pStyle w:val="55"/>
              <w:bidi w:val="0"/>
              <w:jc w:val="center"/>
              <w:rPr>
                <w:rFonts w:hint="eastAsia"/>
                <w:sz w:val="24"/>
                <w:szCs w:val="24"/>
                <w:lang w:val="en-US" w:eastAsia="zh-CN"/>
              </w:rPr>
            </w:pPr>
          </w:p>
        </w:tc>
        <w:tc>
          <w:tcPr>
            <w:tcW w:w="896" w:type="pct"/>
            <w:vMerge w:val="continue"/>
            <w:vAlign w:val="center"/>
          </w:tcPr>
          <w:p w14:paraId="1C7072D9">
            <w:pPr>
              <w:pStyle w:val="55"/>
              <w:jc w:val="center"/>
              <w:rPr>
                <w:rFonts w:hint="eastAsia"/>
                <w:sz w:val="24"/>
                <w:szCs w:val="24"/>
                <w:lang w:val="en-US" w:eastAsia="zh-CN"/>
              </w:rPr>
            </w:pPr>
          </w:p>
        </w:tc>
        <w:tc>
          <w:tcPr>
            <w:tcW w:w="1336" w:type="pct"/>
            <w:tcBorders>
              <w:bottom w:val="single" w:color="000000" w:sz="4" w:space="0"/>
            </w:tcBorders>
            <w:vAlign w:val="center"/>
          </w:tcPr>
          <w:p w14:paraId="276C1B13">
            <w:pPr>
              <w:pStyle w:val="55"/>
              <w:bidi w:val="0"/>
              <w:jc w:val="center"/>
              <w:rPr>
                <w:rFonts w:hint="default"/>
                <w:sz w:val="24"/>
                <w:szCs w:val="24"/>
                <w:lang w:val="en-US" w:eastAsia="zh-CN"/>
              </w:rPr>
            </w:pPr>
            <w:r>
              <w:rPr>
                <w:rFonts w:hint="default"/>
                <w:sz w:val="24"/>
                <w:szCs w:val="24"/>
                <w:lang w:val="en-US" w:eastAsia="zh-CN"/>
              </w:rPr>
              <w:t>高速混合机</w:t>
            </w:r>
          </w:p>
        </w:tc>
        <w:tc>
          <w:tcPr>
            <w:tcW w:w="1107" w:type="pct"/>
            <w:tcBorders>
              <w:bottom w:val="single" w:color="000000" w:sz="4" w:space="0"/>
            </w:tcBorders>
            <w:vAlign w:val="center"/>
          </w:tcPr>
          <w:p w14:paraId="4B911E57">
            <w:pPr>
              <w:pStyle w:val="55"/>
              <w:bidi w:val="0"/>
              <w:jc w:val="center"/>
              <w:rPr>
                <w:rFonts w:hint="default"/>
                <w:sz w:val="24"/>
                <w:szCs w:val="24"/>
                <w:lang w:val="en-US" w:eastAsia="zh-CN"/>
              </w:rPr>
            </w:pPr>
            <w:r>
              <w:rPr>
                <w:rFonts w:hint="eastAsia"/>
                <w:sz w:val="24"/>
                <w:szCs w:val="24"/>
                <w:lang w:val="en-US" w:eastAsia="zh-CN"/>
              </w:rPr>
              <w:t>8</w:t>
            </w:r>
          </w:p>
        </w:tc>
        <w:tc>
          <w:tcPr>
            <w:tcW w:w="1108" w:type="pct"/>
            <w:tcBorders>
              <w:bottom w:val="single" w:color="000000" w:sz="4" w:space="0"/>
            </w:tcBorders>
            <w:shd w:val="clear" w:color="auto" w:fill="auto"/>
            <w:vAlign w:val="center"/>
          </w:tcPr>
          <w:p w14:paraId="63A58225">
            <w:pPr>
              <w:pStyle w:val="55"/>
              <w:jc w:val="center"/>
              <w:rPr>
                <w:rFonts w:hint="default" w:ascii="Times New Roman" w:hAnsi="Times New Roman" w:eastAsia="楷体" w:cstheme="minorBidi"/>
                <w:snapToGrid w:val="0"/>
                <w:kern w:val="0"/>
                <w:sz w:val="24"/>
                <w:szCs w:val="24"/>
                <w:lang w:val="en-US" w:eastAsia="zh-CN" w:bidi="ar-SA"/>
              </w:rPr>
            </w:pPr>
            <w:r>
              <w:rPr>
                <w:rFonts w:hint="eastAsia"/>
                <w:sz w:val="24"/>
                <w:szCs w:val="24"/>
                <w:lang w:val="en-US" w:eastAsia="zh-CN"/>
              </w:rPr>
              <w:t>94</w:t>
            </w:r>
          </w:p>
        </w:tc>
      </w:tr>
      <w:tr w14:paraId="45A1D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58" w:hRule="atLeast"/>
        </w:trPr>
        <w:tc>
          <w:tcPr>
            <w:tcW w:w="551" w:type="pct"/>
            <w:vMerge w:val="continue"/>
            <w:vAlign w:val="center"/>
          </w:tcPr>
          <w:p w14:paraId="0813233C">
            <w:pPr>
              <w:pStyle w:val="55"/>
              <w:bidi w:val="0"/>
              <w:jc w:val="center"/>
              <w:rPr>
                <w:rFonts w:hint="eastAsia"/>
                <w:sz w:val="24"/>
                <w:szCs w:val="24"/>
                <w:lang w:val="en-US" w:eastAsia="zh-CN"/>
              </w:rPr>
            </w:pPr>
          </w:p>
        </w:tc>
        <w:tc>
          <w:tcPr>
            <w:tcW w:w="896" w:type="pct"/>
            <w:vMerge w:val="continue"/>
            <w:vAlign w:val="center"/>
          </w:tcPr>
          <w:p w14:paraId="48BD3858">
            <w:pPr>
              <w:pStyle w:val="55"/>
              <w:jc w:val="center"/>
              <w:rPr>
                <w:rFonts w:hint="eastAsia"/>
                <w:sz w:val="24"/>
                <w:szCs w:val="24"/>
                <w:lang w:val="en-US" w:eastAsia="zh-CN"/>
              </w:rPr>
            </w:pPr>
          </w:p>
        </w:tc>
        <w:tc>
          <w:tcPr>
            <w:tcW w:w="1336" w:type="pct"/>
            <w:tcBorders>
              <w:bottom w:val="single" w:color="000000" w:sz="4" w:space="0"/>
            </w:tcBorders>
            <w:vAlign w:val="center"/>
          </w:tcPr>
          <w:p w14:paraId="5B30B58F">
            <w:pPr>
              <w:pStyle w:val="55"/>
              <w:bidi w:val="0"/>
              <w:jc w:val="center"/>
              <w:rPr>
                <w:rFonts w:hint="default"/>
                <w:sz w:val="24"/>
                <w:szCs w:val="24"/>
                <w:lang w:val="en-US" w:eastAsia="zh-CN"/>
              </w:rPr>
            </w:pPr>
            <w:r>
              <w:rPr>
                <w:rFonts w:hint="default"/>
                <w:sz w:val="24"/>
                <w:szCs w:val="24"/>
                <w:lang w:val="en-US" w:eastAsia="zh-CN"/>
              </w:rPr>
              <w:t>挤出机</w:t>
            </w:r>
          </w:p>
        </w:tc>
        <w:tc>
          <w:tcPr>
            <w:tcW w:w="1107" w:type="pct"/>
            <w:tcBorders>
              <w:bottom w:val="single" w:color="000000" w:sz="4" w:space="0"/>
            </w:tcBorders>
            <w:vAlign w:val="center"/>
          </w:tcPr>
          <w:p w14:paraId="02969A68">
            <w:pPr>
              <w:pStyle w:val="55"/>
              <w:bidi w:val="0"/>
              <w:jc w:val="center"/>
              <w:rPr>
                <w:rFonts w:hint="default"/>
                <w:sz w:val="24"/>
                <w:szCs w:val="24"/>
                <w:lang w:val="en-US" w:eastAsia="zh-CN"/>
              </w:rPr>
            </w:pPr>
            <w:r>
              <w:rPr>
                <w:rFonts w:hint="eastAsia"/>
                <w:sz w:val="24"/>
                <w:szCs w:val="24"/>
                <w:lang w:val="en-US" w:eastAsia="zh-CN"/>
              </w:rPr>
              <w:t>8</w:t>
            </w:r>
          </w:p>
        </w:tc>
        <w:tc>
          <w:tcPr>
            <w:tcW w:w="1108" w:type="pct"/>
            <w:tcBorders>
              <w:bottom w:val="single" w:color="000000" w:sz="4" w:space="0"/>
            </w:tcBorders>
            <w:shd w:val="clear" w:color="auto" w:fill="auto"/>
            <w:vAlign w:val="center"/>
          </w:tcPr>
          <w:p w14:paraId="0850EA17">
            <w:pPr>
              <w:pStyle w:val="55"/>
              <w:jc w:val="center"/>
              <w:rPr>
                <w:rFonts w:hint="default" w:ascii="Times New Roman" w:hAnsi="Times New Roman" w:eastAsia="楷体" w:cstheme="minorBidi"/>
                <w:snapToGrid w:val="0"/>
                <w:kern w:val="0"/>
                <w:sz w:val="24"/>
                <w:szCs w:val="24"/>
                <w:lang w:val="en-US" w:eastAsia="zh-CN" w:bidi="ar-SA"/>
              </w:rPr>
            </w:pPr>
            <w:r>
              <w:rPr>
                <w:rFonts w:hint="eastAsia" w:cstheme="minorBidi"/>
                <w:snapToGrid w:val="0"/>
                <w:kern w:val="0"/>
                <w:sz w:val="24"/>
                <w:szCs w:val="24"/>
                <w:lang w:val="en-US" w:eastAsia="zh-CN" w:bidi="ar-SA"/>
              </w:rPr>
              <w:t>94</w:t>
            </w:r>
          </w:p>
        </w:tc>
      </w:tr>
      <w:tr w14:paraId="6489B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58" w:hRule="atLeast"/>
        </w:trPr>
        <w:tc>
          <w:tcPr>
            <w:tcW w:w="551" w:type="pct"/>
            <w:vMerge w:val="continue"/>
            <w:vAlign w:val="center"/>
          </w:tcPr>
          <w:p w14:paraId="6AB0E930">
            <w:pPr>
              <w:pStyle w:val="55"/>
              <w:bidi w:val="0"/>
              <w:jc w:val="center"/>
              <w:rPr>
                <w:rFonts w:hint="eastAsia"/>
                <w:sz w:val="24"/>
                <w:szCs w:val="24"/>
                <w:lang w:val="en-US" w:eastAsia="zh-CN"/>
              </w:rPr>
            </w:pPr>
          </w:p>
        </w:tc>
        <w:tc>
          <w:tcPr>
            <w:tcW w:w="896" w:type="pct"/>
            <w:vMerge w:val="continue"/>
            <w:vAlign w:val="center"/>
          </w:tcPr>
          <w:p w14:paraId="26C77DFC">
            <w:pPr>
              <w:pStyle w:val="55"/>
              <w:jc w:val="center"/>
              <w:rPr>
                <w:rFonts w:hint="eastAsia"/>
                <w:sz w:val="24"/>
                <w:szCs w:val="24"/>
                <w:lang w:val="en-US" w:eastAsia="zh-CN"/>
              </w:rPr>
            </w:pPr>
          </w:p>
        </w:tc>
        <w:tc>
          <w:tcPr>
            <w:tcW w:w="1336" w:type="pct"/>
            <w:tcBorders>
              <w:bottom w:val="single" w:color="000000" w:sz="4" w:space="0"/>
            </w:tcBorders>
            <w:vAlign w:val="center"/>
          </w:tcPr>
          <w:p w14:paraId="73E920AD">
            <w:pPr>
              <w:pStyle w:val="55"/>
              <w:bidi w:val="0"/>
              <w:jc w:val="center"/>
              <w:rPr>
                <w:rFonts w:hint="default"/>
                <w:sz w:val="24"/>
                <w:szCs w:val="24"/>
                <w:lang w:val="en-US" w:eastAsia="zh-CN"/>
              </w:rPr>
            </w:pPr>
            <w:r>
              <w:rPr>
                <w:rFonts w:hint="default"/>
                <w:sz w:val="24"/>
                <w:szCs w:val="24"/>
                <w:lang w:val="en-US" w:eastAsia="zh-CN"/>
              </w:rPr>
              <w:t>切粒机</w:t>
            </w:r>
          </w:p>
        </w:tc>
        <w:tc>
          <w:tcPr>
            <w:tcW w:w="1107" w:type="pct"/>
            <w:tcBorders>
              <w:bottom w:val="single" w:color="000000" w:sz="4" w:space="0"/>
            </w:tcBorders>
            <w:vAlign w:val="center"/>
          </w:tcPr>
          <w:p w14:paraId="2C55B46B">
            <w:pPr>
              <w:pStyle w:val="55"/>
              <w:bidi w:val="0"/>
              <w:jc w:val="center"/>
              <w:rPr>
                <w:rFonts w:hint="default"/>
                <w:sz w:val="24"/>
                <w:szCs w:val="24"/>
                <w:lang w:val="en-US" w:eastAsia="zh-CN"/>
              </w:rPr>
            </w:pPr>
            <w:r>
              <w:rPr>
                <w:rFonts w:hint="eastAsia"/>
                <w:sz w:val="24"/>
                <w:szCs w:val="24"/>
                <w:lang w:val="en-US" w:eastAsia="zh-CN"/>
              </w:rPr>
              <w:t>8</w:t>
            </w:r>
          </w:p>
        </w:tc>
        <w:tc>
          <w:tcPr>
            <w:tcW w:w="1108" w:type="pct"/>
            <w:tcBorders>
              <w:bottom w:val="single" w:color="000000" w:sz="4" w:space="0"/>
            </w:tcBorders>
            <w:shd w:val="clear" w:color="auto" w:fill="auto"/>
            <w:vAlign w:val="center"/>
          </w:tcPr>
          <w:p w14:paraId="3B1783A8">
            <w:pPr>
              <w:pStyle w:val="55"/>
              <w:jc w:val="center"/>
              <w:rPr>
                <w:rFonts w:hint="eastAsia" w:ascii="Times New Roman" w:hAnsi="Times New Roman" w:eastAsia="楷体" w:cstheme="minorBidi"/>
                <w:snapToGrid w:val="0"/>
                <w:kern w:val="0"/>
                <w:sz w:val="24"/>
                <w:szCs w:val="24"/>
                <w:lang w:val="en-US" w:eastAsia="zh-CN" w:bidi="ar-SA"/>
              </w:rPr>
            </w:pPr>
            <w:r>
              <w:rPr>
                <w:rFonts w:hint="eastAsia" w:cstheme="minorBidi"/>
                <w:snapToGrid w:val="0"/>
                <w:kern w:val="0"/>
                <w:sz w:val="24"/>
                <w:szCs w:val="24"/>
                <w:lang w:val="en-US" w:eastAsia="zh-CN" w:bidi="ar-SA"/>
              </w:rPr>
              <w:t>94</w:t>
            </w:r>
          </w:p>
        </w:tc>
      </w:tr>
      <w:tr w14:paraId="01881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58" w:hRule="atLeast"/>
        </w:trPr>
        <w:tc>
          <w:tcPr>
            <w:tcW w:w="551" w:type="pct"/>
            <w:vMerge w:val="continue"/>
            <w:vAlign w:val="center"/>
          </w:tcPr>
          <w:p w14:paraId="2FE65669">
            <w:pPr>
              <w:pStyle w:val="55"/>
              <w:bidi w:val="0"/>
              <w:jc w:val="center"/>
              <w:rPr>
                <w:rFonts w:hint="eastAsia"/>
                <w:sz w:val="24"/>
                <w:szCs w:val="24"/>
                <w:lang w:val="en-US" w:eastAsia="zh-CN"/>
              </w:rPr>
            </w:pPr>
          </w:p>
        </w:tc>
        <w:tc>
          <w:tcPr>
            <w:tcW w:w="896" w:type="pct"/>
            <w:vMerge w:val="continue"/>
            <w:vAlign w:val="center"/>
          </w:tcPr>
          <w:p w14:paraId="36C9E952">
            <w:pPr>
              <w:pStyle w:val="55"/>
              <w:jc w:val="center"/>
              <w:rPr>
                <w:rFonts w:hint="eastAsia"/>
                <w:sz w:val="24"/>
                <w:szCs w:val="24"/>
                <w:lang w:val="en-US" w:eastAsia="zh-CN"/>
              </w:rPr>
            </w:pPr>
          </w:p>
        </w:tc>
        <w:tc>
          <w:tcPr>
            <w:tcW w:w="1336" w:type="pct"/>
            <w:tcBorders>
              <w:bottom w:val="single" w:color="000000" w:sz="4" w:space="0"/>
            </w:tcBorders>
            <w:shd w:val="clear" w:color="auto" w:fill="auto"/>
            <w:vAlign w:val="center"/>
          </w:tcPr>
          <w:p w14:paraId="0398933F">
            <w:pPr>
              <w:pStyle w:val="55"/>
              <w:bidi w:val="0"/>
              <w:jc w:val="center"/>
              <w:rPr>
                <w:rFonts w:hint="default" w:ascii="Times New Roman" w:hAnsi="Times New Roman" w:eastAsia="楷体" w:cstheme="minorBidi"/>
                <w:snapToGrid w:val="0"/>
                <w:kern w:val="0"/>
                <w:sz w:val="24"/>
                <w:szCs w:val="24"/>
                <w:lang w:val="en-US" w:eastAsia="zh-CN" w:bidi="ar-SA"/>
              </w:rPr>
            </w:pPr>
            <w:r>
              <w:rPr>
                <w:rFonts w:hint="default"/>
                <w:sz w:val="24"/>
                <w:szCs w:val="24"/>
                <w:lang w:val="en-US" w:eastAsia="zh-CN"/>
              </w:rPr>
              <w:t>牵引机</w:t>
            </w:r>
          </w:p>
        </w:tc>
        <w:tc>
          <w:tcPr>
            <w:tcW w:w="1107" w:type="pct"/>
            <w:tcBorders>
              <w:bottom w:val="single" w:color="000000" w:sz="4" w:space="0"/>
            </w:tcBorders>
            <w:shd w:val="clear" w:color="auto" w:fill="auto"/>
            <w:vAlign w:val="center"/>
          </w:tcPr>
          <w:p w14:paraId="16B26FDF">
            <w:pPr>
              <w:pStyle w:val="55"/>
              <w:bidi w:val="0"/>
              <w:jc w:val="center"/>
              <w:rPr>
                <w:rFonts w:hint="eastAsia" w:ascii="Times New Roman" w:hAnsi="Times New Roman" w:eastAsia="楷体" w:cstheme="minorBidi"/>
                <w:snapToGrid w:val="0"/>
                <w:kern w:val="0"/>
                <w:sz w:val="24"/>
                <w:szCs w:val="24"/>
                <w:lang w:val="en-US" w:eastAsia="zh-CN" w:bidi="ar-SA"/>
              </w:rPr>
            </w:pPr>
            <w:r>
              <w:rPr>
                <w:rFonts w:hint="eastAsia"/>
                <w:sz w:val="24"/>
                <w:szCs w:val="24"/>
                <w:lang w:val="en-US" w:eastAsia="zh-CN"/>
              </w:rPr>
              <w:t>1</w:t>
            </w:r>
          </w:p>
        </w:tc>
        <w:tc>
          <w:tcPr>
            <w:tcW w:w="1108" w:type="pct"/>
            <w:tcBorders>
              <w:bottom w:val="single" w:color="000000" w:sz="4" w:space="0"/>
            </w:tcBorders>
            <w:vAlign w:val="center"/>
          </w:tcPr>
          <w:p w14:paraId="0BE89EDE">
            <w:pPr>
              <w:pStyle w:val="55"/>
              <w:jc w:val="center"/>
              <w:rPr>
                <w:rFonts w:hint="default"/>
                <w:sz w:val="24"/>
                <w:szCs w:val="24"/>
                <w:lang w:val="en-US" w:eastAsia="zh-CN"/>
              </w:rPr>
            </w:pPr>
            <w:r>
              <w:rPr>
                <w:rFonts w:hint="eastAsia"/>
                <w:sz w:val="24"/>
                <w:szCs w:val="24"/>
                <w:lang w:val="en-US" w:eastAsia="zh-CN"/>
              </w:rPr>
              <w:t>80</w:t>
            </w:r>
          </w:p>
        </w:tc>
      </w:tr>
      <w:tr w14:paraId="01E23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52" w:hRule="atLeast"/>
        </w:trPr>
        <w:tc>
          <w:tcPr>
            <w:tcW w:w="551" w:type="pct"/>
            <w:vMerge w:val="continue"/>
            <w:vAlign w:val="center"/>
          </w:tcPr>
          <w:p w14:paraId="5B3C8DAE">
            <w:pPr>
              <w:pStyle w:val="55"/>
              <w:bidi w:val="0"/>
              <w:jc w:val="center"/>
              <w:rPr>
                <w:rFonts w:hint="eastAsia"/>
                <w:sz w:val="24"/>
                <w:szCs w:val="24"/>
                <w:lang w:val="en-US" w:eastAsia="zh-CN"/>
              </w:rPr>
            </w:pPr>
          </w:p>
        </w:tc>
        <w:tc>
          <w:tcPr>
            <w:tcW w:w="896" w:type="pct"/>
            <w:vMerge w:val="continue"/>
            <w:vAlign w:val="center"/>
          </w:tcPr>
          <w:p w14:paraId="521DDD9E">
            <w:pPr>
              <w:pStyle w:val="55"/>
              <w:jc w:val="center"/>
              <w:rPr>
                <w:rFonts w:hint="eastAsia"/>
                <w:sz w:val="24"/>
                <w:szCs w:val="24"/>
                <w:lang w:val="en-US" w:eastAsia="zh-CN"/>
              </w:rPr>
            </w:pPr>
          </w:p>
        </w:tc>
        <w:tc>
          <w:tcPr>
            <w:tcW w:w="1336" w:type="pct"/>
            <w:tcBorders>
              <w:top w:val="single" w:color="000000" w:sz="4" w:space="0"/>
            </w:tcBorders>
            <w:vAlign w:val="center"/>
          </w:tcPr>
          <w:p w14:paraId="3AC7F86D">
            <w:pPr>
              <w:pStyle w:val="55"/>
              <w:bidi w:val="0"/>
              <w:jc w:val="center"/>
              <w:rPr>
                <w:rFonts w:hint="default"/>
                <w:sz w:val="24"/>
                <w:szCs w:val="24"/>
                <w:lang w:val="en-US" w:eastAsia="zh-CN"/>
              </w:rPr>
            </w:pPr>
            <w:r>
              <w:rPr>
                <w:rFonts w:hint="eastAsia"/>
                <w:sz w:val="24"/>
                <w:szCs w:val="24"/>
                <w:lang w:val="en-US" w:eastAsia="zh-CN"/>
              </w:rPr>
              <w:t>风机</w:t>
            </w:r>
          </w:p>
        </w:tc>
        <w:tc>
          <w:tcPr>
            <w:tcW w:w="1107" w:type="pct"/>
            <w:tcBorders>
              <w:top w:val="single" w:color="000000" w:sz="4" w:space="0"/>
            </w:tcBorders>
            <w:vAlign w:val="center"/>
          </w:tcPr>
          <w:p w14:paraId="1E282467">
            <w:pPr>
              <w:pStyle w:val="55"/>
              <w:bidi w:val="0"/>
              <w:jc w:val="center"/>
              <w:rPr>
                <w:rFonts w:hint="default"/>
                <w:sz w:val="24"/>
                <w:szCs w:val="24"/>
                <w:lang w:val="en-US" w:eastAsia="zh-CN"/>
              </w:rPr>
            </w:pPr>
            <w:r>
              <w:rPr>
                <w:rFonts w:hint="eastAsia"/>
                <w:sz w:val="24"/>
                <w:szCs w:val="24"/>
                <w:lang w:val="en-US" w:eastAsia="zh-CN"/>
              </w:rPr>
              <w:t>1</w:t>
            </w:r>
          </w:p>
        </w:tc>
        <w:tc>
          <w:tcPr>
            <w:tcW w:w="1108" w:type="pct"/>
            <w:tcBorders>
              <w:top w:val="single" w:color="000000" w:sz="4" w:space="0"/>
            </w:tcBorders>
            <w:vAlign w:val="center"/>
          </w:tcPr>
          <w:p w14:paraId="10F04E8A">
            <w:pPr>
              <w:pStyle w:val="55"/>
              <w:jc w:val="center"/>
              <w:rPr>
                <w:rFonts w:hint="default"/>
                <w:sz w:val="24"/>
                <w:szCs w:val="24"/>
                <w:lang w:val="en-US" w:eastAsia="zh-CN"/>
              </w:rPr>
            </w:pPr>
            <w:r>
              <w:rPr>
                <w:rFonts w:hint="eastAsia"/>
                <w:sz w:val="24"/>
                <w:szCs w:val="24"/>
                <w:lang w:val="en-US" w:eastAsia="zh-CN"/>
              </w:rPr>
              <w:t>85</w:t>
            </w:r>
          </w:p>
        </w:tc>
      </w:tr>
      <w:tr w14:paraId="5CF41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90" w:hRule="atLeast"/>
        </w:trPr>
        <w:tc>
          <w:tcPr>
            <w:tcW w:w="551" w:type="pct"/>
            <w:vMerge w:val="restart"/>
            <w:vAlign w:val="center"/>
          </w:tcPr>
          <w:p w14:paraId="612B6F64">
            <w:pPr>
              <w:pStyle w:val="55"/>
              <w:bidi w:val="0"/>
              <w:jc w:val="center"/>
              <w:rPr>
                <w:sz w:val="24"/>
                <w:szCs w:val="24"/>
              </w:rPr>
            </w:pPr>
            <w:r>
              <w:rPr>
                <w:rFonts w:hint="eastAsia"/>
                <w:sz w:val="24"/>
                <w:szCs w:val="24"/>
                <w:lang w:val="en-US" w:eastAsia="zh-CN"/>
              </w:rPr>
              <w:t>2</w:t>
            </w:r>
          </w:p>
        </w:tc>
        <w:tc>
          <w:tcPr>
            <w:tcW w:w="896" w:type="pct"/>
            <w:vMerge w:val="restart"/>
            <w:vAlign w:val="center"/>
          </w:tcPr>
          <w:p w14:paraId="4ED650B8">
            <w:pPr>
              <w:pStyle w:val="55"/>
              <w:jc w:val="center"/>
              <w:rPr>
                <w:rFonts w:hint="eastAsia"/>
                <w:sz w:val="24"/>
                <w:szCs w:val="24"/>
                <w:lang w:val="en-US" w:eastAsia="zh-CN"/>
              </w:rPr>
            </w:pPr>
            <w:r>
              <w:rPr>
                <w:rFonts w:hint="eastAsia"/>
                <w:sz w:val="24"/>
                <w:szCs w:val="24"/>
                <w:lang w:val="en-US" w:eastAsia="zh-CN"/>
              </w:rPr>
              <w:t>2</w:t>
            </w:r>
            <w:r>
              <w:rPr>
                <w:rFonts w:hint="eastAsia"/>
                <w:sz w:val="24"/>
                <w:szCs w:val="24"/>
              </w:rPr>
              <w:t>#生产车间</w:t>
            </w:r>
          </w:p>
        </w:tc>
        <w:tc>
          <w:tcPr>
            <w:tcW w:w="1336" w:type="pct"/>
            <w:tcBorders>
              <w:bottom w:val="single" w:color="000000" w:sz="4" w:space="0"/>
            </w:tcBorders>
            <w:vAlign w:val="center"/>
          </w:tcPr>
          <w:p w14:paraId="523F0E94">
            <w:pPr>
              <w:pStyle w:val="55"/>
              <w:bidi w:val="0"/>
              <w:jc w:val="center"/>
              <w:rPr>
                <w:color w:val="FF0000"/>
                <w:sz w:val="24"/>
                <w:szCs w:val="24"/>
              </w:rPr>
            </w:pPr>
            <w:r>
              <w:rPr>
                <w:rFonts w:hint="default"/>
                <w:sz w:val="24"/>
                <w:szCs w:val="24"/>
                <w:lang w:val="en-US" w:eastAsia="zh-CN"/>
              </w:rPr>
              <w:t>破碎机</w:t>
            </w:r>
          </w:p>
        </w:tc>
        <w:tc>
          <w:tcPr>
            <w:tcW w:w="1107" w:type="pct"/>
            <w:tcBorders>
              <w:bottom w:val="single" w:color="000000" w:sz="4" w:space="0"/>
            </w:tcBorders>
            <w:vAlign w:val="center"/>
          </w:tcPr>
          <w:p w14:paraId="505AB368">
            <w:pPr>
              <w:pStyle w:val="55"/>
              <w:bidi w:val="0"/>
              <w:jc w:val="center"/>
              <w:rPr>
                <w:rFonts w:hint="default"/>
                <w:sz w:val="24"/>
                <w:szCs w:val="24"/>
                <w:lang w:val="en-US" w:eastAsia="zh-CN"/>
              </w:rPr>
            </w:pPr>
            <w:r>
              <w:rPr>
                <w:rFonts w:hint="eastAsia"/>
                <w:sz w:val="24"/>
                <w:szCs w:val="24"/>
                <w:lang w:val="en-US" w:eastAsia="zh-CN"/>
              </w:rPr>
              <w:t>2</w:t>
            </w:r>
          </w:p>
        </w:tc>
        <w:tc>
          <w:tcPr>
            <w:tcW w:w="1108" w:type="pct"/>
            <w:tcBorders>
              <w:bottom w:val="single" w:color="000000" w:sz="4" w:space="0"/>
            </w:tcBorders>
            <w:vAlign w:val="center"/>
          </w:tcPr>
          <w:p w14:paraId="3CED6443">
            <w:pPr>
              <w:pStyle w:val="55"/>
              <w:jc w:val="center"/>
              <w:rPr>
                <w:rFonts w:hint="default" w:eastAsia="楷体"/>
                <w:sz w:val="24"/>
                <w:szCs w:val="24"/>
                <w:lang w:val="en-US" w:eastAsia="zh-CN"/>
              </w:rPr>
            </w:pPr>
            <w:r>
              <w:rPr>
                <w:rFonts w:hint="eastAsia"/>
                <w:sz w:val="24"/>
                <w:szCs w:val="24"/>
                <w:lang w:val="en-US" w:eastAsia="zh-CN"/>
              </w:rPr>
              <w:t>88</w:t>
            </w:r>
          </w:p>
        </w:tc>
      </w:tr>
      <w:tr w14:paraId="007EE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90" w:hRule="atLeast"/>
        </w:trPr>
        <w:tc>
          <w:tcPr>
            <w:tcW w:w="551" w:type="pct"/>
            <w:vMerge w:val="continue"/>
            <w:vAlign w:val="center"/>
          </w:tcPr>
          <w:p w14:paraId="0B9AA935">
            <w:pPr>
              <w:pStyle w:val="55"/>
              <w:bidi w:val="0"/>
              <w:jc w:val="center"/>
              <w:rPr>
                <w:rFonts w:hint="eastAsia"/>
                <w:sz w:val="24"/>
                <w:szCs w:val="24"/>
                <w:lang w:val="en-US" w:eastAsia="zh-CN"/>
              </w:rPr>
            </w:pPr>
          </w:p>
        </w:tc>
        <w:tc>
          <w:tcPr>
            <w:tcW w:w="896" w:type="pct"/>
            <w:vMerge w:val="continue"/>
            <w:vAlign w:val="center"/>
          </w:tcPr>
          <w:p w14:paraId="4C2631FE">
            <w:pPr>
              <w:pStyle w:val="55"/>
              <w:jc w:val="center"/>
              <w:rPr>
                <w:rFonts w:hint="eastAsia"/>
                <w:sz w:val="24"/>
                <w:szCs w:val="24"/>
                <w:lang w:val="en-US" w:eastAsia="zh-CN"/>
              </w:rPr>
            </w:pPr>
          </w:p>
        </w:tc>
        <w:tc>
          <w:tcPr>
            <w:tcW w:w="1336" w:type="pct"/>
            <w:tcBorders>
              <w:bottom w:val="single" w:color="000000" w:sz="4" w:space="0"/>
            </w:tcBorders>
            <w:vAlign w:val="center"/>
          </w:tcPr>
          <w:p w14:paraId="0CEB4FF3">
            <w:pPr>
              <w:pStyle w:val="55"/>
              <w:bidi w:val="0"/>
              <w:jc w:val="center"/>
              <w:rPr>
                <w:rFonts w:hint="default"/>
                <w:sz w:val="24"/>
                <w:szCs w:val="24"/>
                <w:lang w:val="en-US" w:eastAsia="zh-CN"/>
              </w:rPr>
            </w:pPr>
            <w:r>
              <w:rPr>
                <w:rFonts w:hint="default"/>
                <w:sz w:val="24"/>
                <w:szCs w:val="24"/>
                <w:lang w:val="en-US" w:eastAsia="zh-CN"/>
              </w:rPr>
              <w:t>水浮分离机</w:t>
            </w:r>
          </w:p>
        </w:tc>
        <w:tc>
          <w:tcPr>
            <w:tcW w:w="1107" w:type="pct"/>
            <w:tcBorders>
              <w:bottom w:val="single" w:color="000000" w:sz="4" w:space="0"/>
            </w:tcBorders>
            <w:vAlign w:val="center"/>
          </w:tcPr>
          <w:p w14:paraId="0A02BD19">
            <w:pPr>
              <w:pStyle w:val="55"/>
              <w:bidi w:val="0"/>
              <w:jc w:val="center"/>
              <w:rPr>
                <w:rFonts w:hint="default"/>
                <w:sz w:val="24"/>
                <w:szCs w:val="24"/>
                <w:lang w:val="en-US" w:eastAsia="zh-CN"/>
              </w:rPr>
            </w:pPr>
            <w:r>
              <w:rPr>
                <w:rFonts w:hint="eastAsia"/>
                <w:sz w:val="24"/>
                <w:szCs w:val="24"/>
                <w:lang w:val="en-US" w:eastAsia="zh-CN"/>
              </w:rPr>
              <w:t>2</w:t>
            </w:r>
          </w:p>
        </w:tc>
        <w:tc>
          <w:tcPr>
            <w:tcW w:w="1108" w:type="pct"/>
            <w:tcBorders>
              <w:bottom w:val="single" w:color="000000" w:sz="4" w:space="0"/>
            </w:tcBorders>
            <w:vAlign w:val="center"/>
          </w:tcPr>
          <w:p w14:paraId="5D17E431">
            <w:pPr>
              <w:pStyle w:val="55"/>
              <w:jc w:val="center"/>
              <w:rPr>
                <w:rFonts w:hint="default"/>
                <w:sz w:val="24"/>
                <w:szCs w:val="24"/>
                <w:lang w:val="en-US" w:eastAsia="zh-CN"/>
              </w:rPr>
            </w:pPr>
            <w:r>
              <w:rPr>
                <w:rFonts w:hint="eastAsia"/>
                <w:sz w:val="24"/>
                <w:szCs w:val="24"/>
                <w:lang w:val="en-US" w:eastAsia="zh-CN"/>
              </w:rPr>
              <w:t>83</w:t>
            </w:r>
          </w:p>
        </w:tc>
      </w:tr>
      <w:tr w14:paraId="13405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90" w:hRule="atLeast"/>
        </w:trPr>
        <w:tc>
          <w:tcPr>
            <w:tcW w:w="551" w:type="pct"/>
            <w:vMerge w:val="continue"/>
            <w:vAlign w:val="center"/>
          </w:tcPr>
          <w:p w14:paraId="241A5F0A">
            <w:pPr>
              <w:pStyle w:val="55"/>
              <w:bidi w:val="0"/>
              <w:jc w:val="center"/>
              <w:rPr>
                <w:rFonts w:hint="eastAsia"/>
                <w:sz w:val="24"/>
                <w:szCs w:val="24"/>
                <w:lang w:val="en-US" w:eastAsia="zh-CN"/>
              </w:rPr>
            </w:pPr>
          </w:p>
        </w:tc>
        <w:tc>
          <w:tcPr>
            <w:tcW w:w="896" w:type="pct"/>
            <w:vMerge w:val="continue"/>
            <w:vAlign w:val="center"/>
          </w:tcPr>
          <w:p w14:paraId="0B98F627">
            <w:pPr>
              <w:pStyle w:val="55"/>
              <w:jc w:val="center"/>
              <w:rPr>
                <w:rFonts w:hint="eastAsia"/>
                <w:sz w:val="24"/>
                <w:szCs w:val="24"/>
                <w:lang w:val="en-US" w:eastAsia="zh-CN"/>
              </w:rPr>
            </w:pPr>
          </w:p>
        </w:tc>
        <w:tc>
          <w:tcPr>
            <w:tcW w:w="1336" w:type="pct"/>
            <w:tcBorders>
              <w:bottom w:val="single" w:color="000000" w:sz="4" w:space="0"/>
            </w:tcBorders>
            <w:vAlign w:val="center"/>
          </w:tcPr>
          <w:p w14:paraId="12925577">
            <w:pPr>
              <w:pStyle w:val="55"/>
              <w:bidi w:val="0"/>
              <w:jc w:val="center"/>
              <w:rPr>
                <w:rFonts w:hint="default"/>
                <w:sz w:val="24"/>
                <w:szCs w:val="24"/>
                <w:lang w:val="en-US" w:eastAsia="zh-CN"/>
              </w:rPr>
            </w:pPr>
            <w:r>
              <w:rPr>
                <w:rFonts w:hint="default"/>
                <w:sz w:val="24"/>
                <w:szCs w:val="24"/>
                <w:lang w:val="en-US" w:eastAsia="zh-CN"/>
              </w:rPr>
              <w:t>卧式甩干机</w:t>
            </w:r>
          </w:p>
        </w:tc>
        <w:tc>
          <w:tcPr>
            <w:tcW w:w="1107" w:type="pct"/>
            <w:tcBorders>
              <w:bottom w:val="single" w:color="000000" w:sz="4" w:space="0"/>
            </w:tcBorders>
            <w:vAlign w:val="center"/>
          </w:tcPr>
          <w:p w14:paraId="51BBDE9B">
            <w:pPr>
              <w:pStyle w:val="55"/>
              <w:bidi w:val="0"/>
              <w:jc w:val="center"/>
              <w:rPr>
                <w:rFonts w:hint="default"/>
                <w:sz w:val="24"/>
                <w:szCs w:val="24"/>
                <w:lang w:val="en-US" w:eastAsia="zh-CN"/>
              </w:rPr>
            </w:pPr>
            <w:r>
              <w:rPr>
                <w:rFonts w:hint="eastAsia"/>
                <w:sz w:val="24"/>
                <w:szCs w:val="24"/>
                <w:lang w:val="en-US" w:eastAsia="zh-CN"/>
              </w:rPr>
              <w:t>2</w:t>
            </w:r>
          </w:p>
        </w:tc>
        <w:tc>
          <w:tcPr>
            <w:tcW w:w="1108" w:type="pct"/>
            <w:tcBorders>
              <w:bottom w:val="single" w:color="000000" w:sz="4" w:space="0"/>
            </w:tcBorders>
            <w:vAlign w:val="center"/>
          </w:tcPr>
          <w:p w14:paraId="78133F07">
            <w:pPr>
              <w:pStyle w:val="55"/>
              <w:jc w:val="center"/>
              <w:rPr>
                <w:rFonts w:hint="default"/>
                <w:sz w:val="24"/>
                <w:szCs w:val="24"/>
                <w:lang w:val="en-US" w:eastAsia="zh-CN"/>
              </w:rPr>
            </w:pPr>
            <w:r>
              <w:rPr>
                <w:rFonts w:hint="eastAsia"/>
                <w:sz w:val="24"/>
                <w:szCs w:val="24"/>
                <w:lang w:val="en-US" w:eastAsia="zh-CN"/>
              </w:rPr>
              <w:t>83</w:t>
            </w:r>
          </w:p>
        </w:tc>
      </w:tr>
      <w:tr w14:paraId="47966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90" w:hRule="atLeast"/>
        </w:trPr>
        <w:tc>
          <w:tcPr>
            <w:tcW w:w="551" w:type="pct"/>
            <w:vMerge w:val="continue"/>
            <w:vAlign w:val="center"/>
          </w:tcPr>
          <w:p w14:paraId="17E1467A">
            <w:pPr>
              <w:pStyle w:val="55"/>
              <w:bidi w:val="0"/>
              <w:jc w:val="center"/>
              <w:rPr>
                <w:rFonts w:hint="eastAsia"/>
                <w:sz w:val="24"/>
                <w:szCs w:val="24"/>
                <w:lang w:val="en-US" w:eastAsia="zh-CN"/>
              </w:rPr>
            </w:pPr>
          </w:p>
        </w:tc>
        <w:tc>
          <w:tcPr>
            <w:tcW w:w="896" w:type="pct"/>
            <w:vMerge w:val="continue"/>
            <w:vAlign w:val="center"/>
          </w:tcPr>
          <w:p w14:paraId="02CD1297">
            <w:pPr>
              <w:pStyle w:val="55"/>
              <w:jc w:val="center"/>
              <w:rPr>
                <w:rFonts w:hint="eastAsia"/>
                <w:sz w:val="24"/>
                <w:szCs w:val="24"/>
                <w:lang w:val="en-US" w:eastAsia="zh-CN"/>
              </w:rPr>
            </w:pPr>
          </w:p>
        </w:tc>
        <w:tc>
          <w:tcPr>
            <w:tcW w:w="1336" w:type="pct"/>
            <w:tcBorders>
              <w:bottom w:val="single" w:color="000000" w:sz="4" w:space="0"/>
            </w:tcBorders>
            <w:vAlign w:val="center"/>
          </w:tcPr>
          <w:p w14:paraId="752EA5F9">
            <w:pPr>
              <w:pStyle w:val="55"/>
              <w:bidi w:val="0"/>
              <w:jc w:val="center"/>
              <w:rPr>
                <w:rFonts w:hint="default"/>
                <w:sz w:val="24"/>
                <w:szCs w:val="24"/>
                <w:lang w:val="en-US" w:eastAsia="zh-CN"/>
              </w:rPr>
            </w:pPr>
            <w:r>
              <w:rPr>
                <w:rFonts w:hint="default"/>
                <w:sz w:val="24"/>
                <w:szCs w:val="24"/>
                <w:lang w:val="en-US" w:eastAsia="zh-CN"/>
              </w:rPr>
              <w:t>高速混合机</w:t>
            </w:r>
          </w:p>
        </w:tc>
        <w:tc>
          <w:tcPr>
            <w:tcW w:w="1107" w:type="pct"/>
            <w:tcBorders>
              <w:bottom w:val="single" w:color="000000" w:sz="4" w:space="0"/>
            </w:tcBorders>
            <w:vAlign w:val="center"/>
          </w:tcPr>
          <w:p w14:paraId="406BEA72">
            <w:pPr>
              <w:pStyle w:val="55"/>
              <w:bidi w:val="0"/>
              <w:jc w:val="center"/>
              <w:rPr>
                <w:rFonts w:hint="default"/>
                <w:sz w:val="24"/>
                <w:szCs w:val="24"/>
                <w:lang w:val="en-US" w:eastAsia="zh-CN"/>
              </w:rPr>
            </w:pPr>
            <w:r>
              <w:rPr>
                <w:rFonts w:hint="eastAsia"/>
                <w:sz w:val="24"/>
                <w:szCs w:val="24"/>
                <w:lang w:val="en-US" w:eastAsia="zh-CN"/>
              </w:rPr>
              <w:t>8</w:t>
            </w:r>
          </w:p>
        </w:tc>
        <w:tc>
          <w:tcPr>
            <w:tcW w:w="1108" w:type="pct"/>
            <w:tcBorders>
              <w:bottom w:val="single" w:color="000000" w:sz="4" w:space="0"/>
            </w:tcBorders>
            <w:vAlign w:val="center"/>
          </w:tcPr>
          <w:p w14:paraId="350C5B3D">
            <w:pPr>
              <w:pStyle w:val="55"/>
              <w:jc w:val="center"/>
              <w:rPr>
                <w:rFonts w:hint="default"/>
                <w:sz w:val="24"/>
                <w:szCs w:val="24"/>
                <w:lang w:val="en-US" w:eastAsia="zh-CN"/>
              </w:rPr>
            </w:pPr>
            <w:r>
              <w:rPr>
                <w:rFonts w:hint="eastAsia"/>
                <w:sz w:val="24"/>
                <w:szCs w:val="24"/>
                <w:lang w:val="en-US" w:eastAsia="zh-CN"/>
              </w:rPr>
              <w:t>94</w:t>
            </w:r>
          </w:p>
        </w:tc>
      </w:tr>
      <w:tr w14:paraId="2A528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90" w:hRule="atLeast"/>
        </w:trPr>
        <w:tc>
          <w:tcPr>
            <w:tcW w:w="551" w:type="pct"/>
            <w:vMerge w:val="continue"/>
            <w:vAlign w:val="center"/>
          </w:tcPr>
          <w:p w14:paraId="3B69D6BB">
            <w:pPr>
              <w:pStyle w:val="55"/>
              <w:bidi w:val="0"/>
              <w:jc w:val="center"/>
              <w:rPr>
                <w:rFonts w:hint="eastAsia"/>
                <w:sz w:val="24"/>
                <w:szCs w:val="24"/>
                <w:lang w:val="en-US" w:eastAsia="zh-CN"/>
              </w:rPr>
            </w:pPr>
          </w:p>
        </w:tc>
        <w:tc>
          <w:tcPr>
            <w:tcW w:w="896" w:type="pct"/>
            <w:vMerge w:val="continue"/>
            <w:vAlign w:val="center"/>
          </w:tcPr>
          <w:p w14:paraId="1307822F">
            <w:pPr>
              <w:pStyle w:val="55"/>
              <w:jc w:val="center"/>
              <w:rPr>
                <w:rFonts w:hint="eastAsia"/>
                <w:sz w:val="24"/>
                <w:szCs w:val="24"/>
                <w:lang w:val="en-US" w:eastAsia="zh-CN"/>
              </w:rPr>
            </w:pPr>
          </w:p>
        </w:tc>
        <w:tc>
          <w:tcPr>
            <w:tcW w:w="1336" w:type="pct"/>
            <w:tcBorders>
              <w:bottom w:val="single" w:color="000000" w:sz="4" w:space="0"/>
            </w:tcBorders>
            <w:vAlign w:val="center"/>
          </w:tcPr>
          <w:p w14:paraId="2FCE5217">
            <w:pPr>
              <w:pStyle w:val="55"/>
              <w:bidi w:val="0"/>
              <w:jc w:val="center"/>
              <w:rPr>
                <w:rFonts w:hint="default"/>
                <w:sz w:val="24"/>
                <w:szCs w:val="24"/>
                <w:lang w:val="en-US" w:eastAsia="zh-CN"/>
              </w:rPr>
            </w:pPr>
            <w:r>
              <w:rPr>
                <w:rFonts w:hint="default"/>
                <w:sz w:val="24"/>
                <w:szCs w:val="24"/>
                <w:lang w:val="en-US" w:eastAsia="zh-CN"/>
              </w:rPr>
              <w:t>挤出机</w:t>
            </w:r>
          </w:p>
        </w:tc>
        <w:tc>
          <w:tcPr>
            <w:tcW w:w="1107" w:type="pct"/>
            <w:tcBorders>
              <w:bottom w:val="single" w:color="000000" w:sz="4" w:space="0"/>
            </w:tcBorders>
            <w:vAlign w:val="center"/>
          </w:tcPr>
          <w:p w14:paraId="0EB4BDB1">
            <w:pPr>
              <w:pStyle w:val="55"/>
              <w:bidi w:val="0"/>
              <w:jc w:val="center"/>
              <w:rPr>
                <w:rFonts w:hint="default"/>
                <w:sz w:val="24"/>
                <w:szCs w:val="24"/>
                <w:lang w:val="en-US" w:eastAsia="zh-CN"/>
              </w:rPr>
            </w:pPr>
            <w:r>
              <w:rPr>
                <w:rFonts w:hint="eastAsia"/>
                <w:sz w:val="24"/>
                <w:szCs w:val="24"/>
                <w:lang w:val="en-US" w:eastAsia="zh-CN"/>
              </w:rPr>
              <w:t>8</w:t>
            </w:r>
          </w:p>
        </w:tc>
        <w:tc>
          <w:tcPr>
            <w:tcW w:w="1108" w:type="pct"/>
            <w:tcBorders>
              <w:bottom w:val="single" w:color="000000" w:sz="4" w:space="0"/>
            </w:tcBorders>
            <w:vAlign w:val="center"/>
          </w:tcPr>
          <w:p w14:paraId="3C952CEC">
            <w:pPr>
              <w:pStyle w:val="55"/>
              <w:jc w:val="center"/>
              <w:rPr>
                <w:rFonts w:hint="eastAsia"/>
                <w:sz w:val="24"/>
                <w:szCs w:val="24"/>
                <w:lang w:val="en-US" w:eastAsia="zh-CN"/>
              </w:rPr>
            </w:pPr>
            <w:r>
              <w:rPr>
                <w:rFonts w:hint="eastAsia" w:cstheme="minorBidi"/>
                <w:snapToGrid w:val="0"/>
                <w:kern w:val="0"/>
                <w:sz w:val="24"/>
                <w:szCs w:val="24"/>
                <w:lang w:val="en-US" w:eastAsia="zh-CN" w:bidi="ar-SA"/>
              </w:rPr>
              <w:t>94</w:t>
            </w:r>
          </w:p>
        </w:tc>
      </w:tr>
      <w:tr w14:paraId="7BB4E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0" w:hRule="atLeast"/>
        </w:trPr>
        <w:tc>
          <w:tcPr>
            <w:tcW w:w="551" w:type="pct"/>
            <w:vMerge w:val="continue"/>
            <w:vAlign w:val="center"/>
          </w:tcPr>
          <w:p w14:paraId="3A04DF4C">
            <w:pPr>
              <w:pStyle w:val="55"/>
              <w:bidi w:val="0"/>
              <w:jc w:val="center"/>
              <w:rPr>
                <w:rFonts w:hint="eastAsia"/>
                <w:sz w:val="24"/>
                <w:szCs w:val="24"/>
                <w:lang w:val="en-US" w:eastAsia="zh-CN"/>
              </w:rPr>
            </w:pPr>
          </w:p>
        </w:tc>
        <w:tc>
          <w:tcPr>
            <w:tcW w:w="896" w:type="pct"/>
            <w:vMerge w:val="continue"/>
            <w:vAlign w:val="center"/>
          </w:tcPr>
          <w:p w14:paraId="2FBA826B">
            <w:pPr>
              <w:pStyle w:val="55"/>
              <w:jc w:val="center"/>
              <w:rPr>
                <w:rFonts w:hint="eastAsia"/>
                <w:sz w:val="24"/>
                <w:szCs w:val="24"/>
                <w:lang w:val="en-US" w:eastAsia="zh-CN"/>
              </w:rPr>
            </w:pPr>
          </w:p>
        </w:tc>
        <w:tc>
          <w:tcPr>
            <w:tcW w:w="1336" w:type="pct"/>
            <w:tcBorders>
              <w:bottom w:val="single" w:color="000000" w:sz="4" w:space="0"/>
            </w:tcBorders>
            <w:vAlign w:val="center"/>
          </w:tcPr>
          <w:p w14:paraId="01325B25">
            <w:pPr>
              <w:pStyle w:val="55"/>
              <w:bidi w:val="0"/>
              <w:jc w:val="center"/>
              <w:rPr>
                <w:rFonts w:hint="default"/>
                <w:sz w:val="24"/>
                <w:szCs w:val="24"/>
                <w:lang w:val="en-US" w:eastAsia="zh-CN"/>
              </w:rPr>
            </w:pPr>
            <w:r>
              <w:rPr>
                <w:rFonts w:hint="default"/>
                <w:sz w:val="24"/>
                <w:szCs w:val="24"/>
                <w:lang w:val="en-US" w:eastAsia="zh-CN"/>
              </w:rPr>
              <w:t>切粒机</w:t>
            </w:r>
          </w:p>
        </w:tc>
        <w:tc>
          <w:tcPr>
            <w:tcW w:w="1107" w:type="pct"/>
            <w:tcBorders>
              <w:bottom w:val="single" w:color="000000" w:sz="4" w:space="0"/>
            </w:tcBorders>
            <w:vAlign w:val="center"/>
          </w:tcPr>
          <w:p w14:paraId="78F52FD6">
            <w:pPr>
              <w:pStyle w:val="55"/>
              <w:bidi w:val="0"/>
              <w:jc w:val="center"/>
              <w:rPr>
                <w:rFonts w:hint="default"/>
                <w:sz w:val="24"/>
                <w:szCs w:val="24"/>
                <w:lang w:val="en-US" w:eastAsia="zh-CN"/>
              </w:rPr>
            </w:pPr>
            <w:r>
              <w:rPr>
                <w:rFonts w:hint="eastAsia"/>
                <w:sz w:val="24"/>
                <w:szCs w:val="24"/>
                <w:lang w:val="en-US" w:eastAsia="zh-CN"/>
              </w:rPr>
              <w:t>8</w:t>
            </w:r>
          </w:p>
        </w:tc>
        <w:tc>
          <w:tcPr>
            <w:tcW w:w="1108" w:type="pct"/>
            <w:tcBorders>
              <w:bottom w:val="single" w:color="000000" w:sz="4" w:space="0"/>
            </w:tcBorders>
            <w:vAlign w:val="center"/>
          </w:tcPr>
          <w:p w14:paraId="1E33F322">
            <w:pPr>
              <w:pStyle w:val="55"/>
              <w:jc w:val="center"/>
              <w:rPr>
                <w:rFonts w:hint="eastAsia"/>
                <w:sz w:val="24"/>
                <w:szCs w:val="24"/>
                <w:lang w:val="en-US" w:eastAsia="zh-CN"/>
              </w:rPr>
            </w:pPr>
            <w:r>
              <w:rPr>
                <w:rFonts w:hint="eastAsia" w:cstheme="minorBidi"/>
                <w:snapToGrid w:val="0"/>
                <w:kern w:val="0"/>
                <w:sz w:val="24"/>
                <w:szCs w:val="24"/>
                <w:lang w:val="en-US" w:eastAsia="zh-CN" w:bidi="ar-SA"/>
              </w:rPr>
              <w:t>94</w:t>
            </w:r>
          </w:p>
        </w:tc>
      </w:tr>
      <w:tr w14:paraId="715DE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90" w:hRule="atLeast"/>
        </w:trPr>
        <w:tc>
          <w:tcPr>
            <w:tcW w:w="551" w:type="pct"/>
            <w:vMerge w:val="continue"/>
            <w:vAlign w:val="center"/>
          </w:tcPr>
          <w:p w14:paraId="2F80781E">
            <w:pPr>
              <w:pStyle w:val="55"/>
              <w:bidi w:val="0"/>
              <w:jc w:val="center"/>
              <w:rPr>
                <w:rFonts w:hint="eastAsia"/>
                <w:sz w:val="24"/>
                <w:szCs w:val="24"/>
                <w:lang w:val="en-US" w:eastAsia="zh-CN"/>
              </w:rPr>
            </w:pPr>
          </w:p>
        </w:tc>
        <w:tc>
          <w:tcPr>
            <w:tcW w:w="896" w:type="pct"/>
            <w:vMerge w:val="continue"/>
            <w:vAlign w:val="center"/>
          </w:tcPr>
          <w:p w14:paraId="5EAD5393">
            <w:pPr>
              <w:pStyle w:val="55"/>
              <w:jc w:val="center"/>
              <w:rPr>
                <w:rFonts w:hint="eastAsia"/>
                <w:sz w:val="24"/>
                <w:szCs w:val="24"/>
                <w:lang w:val="en-US" w:eastAsia="zh-CN"/>
              </w:rPr>
            </w:pPr>
          </w:p>
        </w:tc>
        <w:tc>
          <w:tcPr>
            <w:tcW w:w="1336" w:type="pct"/>
            <w:tcBorders>
              <w:bottom w:val="single" w:color="000000" w:sz="4" w:space="0"/>
            </w:tcBorders>
            <w:vAlign w:val="center"/>
          </w:tcPr>
          <w:p w14:paraId="6BD84320">
            <w:pPr>
              <w:pStyle w:val="55"/>
              <w:bidi w:val="0"/>
              <w:jc w:val="center"/>
              <w:rPr>
                <w:rFonts w:hint="default"/>
                <w:sz w:val="24"/>
                <w:szCs w:val="24"/>
                <w:lang w:val="en-US" w:eastAsia="zh-CN"/>
              </w:rPr>
            </w:pPr>
            <w:r>
              <w:rPr>
                <w:rFonts w:hint="default"/>
                <w:sz w:val="24"/>
                <w:szCs w:val="24"/>
                <w:lang w:val="en-US" w:eastAsia="zh-CN"/>
              </w:rPr>
              <w:t>牵引机</w:t>
            </w:r>
          </w:p>
        </w:tc>
        <w:tc>
          <w:tcPr>
            <w:tcW w:w="1107" w:type="pct"/>
            <w:tcBorders>
              <w:bottom w:val="single" w:color="000000" w:sz="4" w:space="0"/>
            </w:tcBorders>
            <w:vAlign w:val="center"/>
          </w:tcPr>
          <w:p w14:paraId="2F5D6E14">
            <w:pPr>
              <w:pStyle w:val="55"/>
              <w:bidi w:val="0"/>
              <w:jc w:val="center"/>
              <w:rPr>
                <w:rFonts w:hint="eastAsia"/>
                <w:sz w:val="24"/>
                <w:szCs w:val="24"/>
                <w:lang w:val="en-US" w:eastAsia="zh-CN"/>
              </w:rPr>
            </w:pPr>
            <w:r>
              <w:rPr>
                <w:rFonts w:hint="eastAsia"/>
                <w:sz w:val="24"/>
                <w:szCs w:val="24"/>
                <w:lang w:val="en-US" w:eastAsia="zh-CN"/>
              </w:rPr>
              <w:t>1</w:t>
            </w:r>
          </w:p>
        </w:tc>
        <w:tc>
          <w:tcPr>
            <w:tcW w:w="1108" w:type="pct"/>
            <w:tcBorders>
              <w:bottom w:val="single" w:color="000000" w:sz="4" w:space="0"/>
            </w:tcBorders>
            <w:vAlign w:val="center"/>
          </w:tcPr>
          <w:p w14:paraId="1FB1EA27">
            <w:pPr>
              <w:pStyle w:val="55"/>
              <w:jc w:val="center"/>
              <w:rPr>
                <w:rFonts w:hint="default"/>
                <w:sz w:val="24"/>
                <w:szCs w:val="24"/>
                <w:lang w:val="en-US" w:eastAsia="zh-CN"/>
              </w:rPr>
            </w:pPr>
            <w:r>
              <w:rPr>
                <w:rFonts w:hint="eastAsia"/>
                <w:sz w:val="24"/>
                <w:szCs w:val="24"/>
                <w:lang w:val="en-US" w:eastAsia="zh-CN"/>
              </w:rPr>
              <w:t>80</w:t>
            </w:r>
          </w:p>
        </w:tc>
      </w:tr>
      <w:tr w14:paraId="59B7A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20" w:hRule="atLeast"/>
        </w:trPr>
        <w:tc>
          <w:tcPr>
            <w:tcW w:w="551" w:type="pct"/>
            <w:vMerge w:val="continue"/>
            <w:vAlign w:val="center"/>
          </w:tcPr>
          <w:p w14:paraId="027A0E63">
            <w:pPr>
              <w:pStyle w:val="55"/>
              <w:bidi w:val="0"/>
              <w:jc w:val="center"/>
              <w:rPr>
                <w:rFonts w:hint="eastAsia"/>
                <w:sz w:val="24"/>
                <w:szCs w:val="24"/>
                <w:lang w:val="en-US" w:eastAsia="zh-CN"/>
              </w:rPr>
            </w:pPr>
          </w:p>
        </w:tc>
        <w:tc>
          <w:tcPr>
            <w:tcW w:w="896" w:type="pct"/>
            <w:vMerge w:val="continue"/>
            <w:vAlign w:val="center"/>
          </w:tcPr>
          <w:p w14:paraId="0808B81B">
            <w:pPr>
              <w:pStyle w:val="55"/>
              <w:jc w:val="center"/>
              <w:rPr>
                <w:rFonts w:hint="eastAsia"/>
                <w:sz w:val="24"/>
                <w:szCs w:val="24"/>
                <w:lang w:val="en-US" w:eastAsia="zh-CN"/>
              </w:rPr>
            </w:pPr>
          </w:p>
        </w:tc>
        <w:tc>
          <w:tcPr>
            <w:tcW w:w="1336" w:type="pct"/>
            <w:tcBorders>
              <w:top w:val="single" w:color="000000" w:sz="4" w:space="0"/>
            </w:tcBorders>
            <w:vAlign w:val="center"/>
          </w:tcPr>
          <w:p w14:paraId="0ECC4D59">
            <w:pPr>
              <w:pStyle w:val="55"/>
              <w:bidi w:val="0"/>
              <w:jc w:val="center"/>
              <w:rPr>
                <w:rFonts w:hint="default"/>
                <w:sz w:val="24"/>
                <w:szCs w:val="24"/>
                <w:lang w:val="en-US" w:eastAsia="zh-CN"/>
              </w:rPr>
            </w:pPr>
            <w:r>
              <w:rPr>
                <w:rFonts w:hint="eastAsia"/>
                <w:sz w:val="24"/>
                <w:szCs w:val="24"/>
                <w:lang w:val="en-US" w:eastAsia="zh-CN"/>
              </w:rPr>
              <w:t>风机</w:t>
            </w:r>
          </w:p>
        </w:tc>
        <w:tc>
          <w:tcPr>
            <w:tcW w:w="1107" w:type="pct"/>
            <w:tcBorders>
              <w:top w:val="single" w:color="000000" w:sz="4" w:space="0"/>
            </w:tcBorders>
            <w:vAlign w:val="center"/>
          </w:tcPr>
          <w:p w14:paraId="6CB8E909">
            <w:pPr>
              <w:pStyle w:val="55"/>
              <w:bidi w:val="0"/>
              <w:jc w:val="center"/>
              <w:rPr>
                <w:rFonts w:hint="default"/>
                <w:sz w:val="24"/>
                <w:szCs w:val="24"/>
                <w:lang w:val="en-US" w:eastAsia="zh-CN"/>
              </w:rPr>
            </w:pPr>
            <w:r>
              <w:rPr>
                <w:rFonts w:hint="eastAsia"/>
                <w:sz w:val="24"/>
                <w:szCs w:val="24"/>
                <w:lang w:val="en-US" w:eastAsia="zh-CN"/>
              </w:rPr>
              <w:t>1</w:t>
            </w:r>
          </w:p>
        </w:tc>
        <w:tc>
          <w:tcPr>
            <w:tcW w:w="1108" w:type="pct"/>
            <w:tcBorders>
              <w:top w:val="single" w:color="000000" w:sz="4" w:space="0"/>
            </w:tcBorders>
            <w:vAlign w:val="center"/>
          </w:tcPr>
          <w:p w14:paraId="73452A41">
            <w:pPr>
              <w:pStyle w:val="55"/>
              <w:jc w:val="center"/>
              <w:rPr>
                <w:rFonts w:hint="default"/>
                <w:sz w:val="24"/>
                <w:szCs w:val="24"/>
                <w:lang w:val="en-US" w:eastAsia="zh-CN"/>
              </w:rPr>
            </w:pPr>
            <w:r>
              <w:rPr>
                <w:rFonts w:hint="eastAsia"/>
                <w:sz w:val="24"/>
                <w:szCs w:val="24"/>
                <w:lang w:val="en-US" w:eastAsia="zh-CN"/>
              </w:rPr>
              <w:t>85</w:t>
            </w:r>
          </w:p>
        </w:tc>
      </w:tr>
      <w:tr w14:paraId="10E37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55" w:hRule="atLeast"/>
        </w:trPr>
        <w:tc>
          <w:tcPr>
            <w:tcW w:w="551" w:type="pct"/>
            <w:vMerge w:val="restart"/>
            <w:vAlign w:val="center"/>
          </w:tcPr>
          <w:p w14:paraId="0A3250EC">
            <w:pPr>
              <w:pStyle w:val="55"/>
              <w:bidi w:val="0"/>
              <w:jc w:val="center"/>
              <w:rPr>
                <w:sz w:val="24"/>
                <w:szCs w:val="24"/>
              </w:rPr>
            </w:pPr>
            <w:r>
              <w:rPr>
                <w:rFonts w:hint="eastAsia"/>
                <w:sz w:val="24"/>
                <w:szCs w:val="24"/>
                <w:lang w:val="en-US" w:eastAsia="zh-CN"/>
              </w:rPr>
              <w:t>3</w:t>
            </w:r>
          </w:p>
        </w:tc>
        <w:tc>
          <w:tcPr>
            <w:tcW w:w="896" w:type="pct"/>
            <w:vMerge w:val="restart"/>
            <w:vAlign w:val="center"/>
          </w:tcPr>
          <w:p w14:paraId="2E447AC7">
            <w:pPr>
              <w:pStyle w:val="55"/>
              <w:jc w:val="center"/>
              <w:rPr>
                <w:rFonts w:hint="eastAsia"/>
                <w:sz w:val="24"/>
                <w:szCs w:val="24"/>
                <w:lang w:val="en-US" w:eastAsia="zh-CN"/>
              </w:rPr>
            </w:pPr>
            <w:r>
              <w:rPr>
                <w:rFonts w:hint="eastAsia"/>
                <w:sz w:val="24"/>
                <w:szCs w:val="24"/>
                <w:lang w:val="en-US" w:eastAsia="zh-CN"/>
              </w:rPr>
              <w:t>3</w:t>
            </w:r>
            <w:r>
              <w:rPr>
                <w:rFonts w:hint="eastAsia"/>
                <w:sz w:val="24"/>
                <w:szCs w:val="24"/>
              </w:rPr>
              <w:t>#生产车间</w:t>
            </w:r>
          </w:p>
        </w:tc>
        <w:tc>
          <w:tcPr>
            <w:tcW w:w="1336" w:type="pct"/>
            <w:tcBorders>
              <w:bottom w:val="single" w:color="000000" w:sz="4" w:space="0"/>
            </w:tcBorders>
            <w:vAlign w:val="center"/>
          </w:tcPr>
          <w:p w14:paraId="68BD79C9">
            <w:pPr>
              <w:pStyle w:val="55"/>
              <w:bidi w:val="0"/>
              <w:jc w:val="center"/>
              <w:rPr>
                <w:sz w:val="24"/>
                <w:szCs w:val="24"/>
              </w:rPr>
            </w:pPr>
            <w:r>
              <w:rPr>
                <w:rFonts w:hint="default"/>
                <w:sz w:val="24"/>
                <w:szCs w:val="24"/>
                <w:lang w:val="en-US" w:eastAsia="zh-CN"/>
              </w:rPr>
              <w:t>破碎机</w:t>
            </w:r>
          </w:p>
        </w:tc>
        <w:tc>
          <w:tcPr>
            <w:tcW w:w="1107" w:type="pct"/>
            <w:tcBorders>
              <w:bottom w:val="single" w:color="000000" w:sz="4" w:space="0"/>
            </w:tcBorders>
            <w:vAlign w:val="center"/>
          </w:tcPr>
          <w:p w14:paraId="363EBB34">
            <w:pPr>
              <w:pStyle w:val="55"/>
              <w:bidi w:val="0"/>
              <w:jc w:val="center"/>
              <w:rPr>
                <w:rFonts w:hint="default"/>
                <w:sz w:val="24"/>
                <w:szCs w:val="24"/>
                <w:lang w:val="en-US" w:eastAsia="zh-CN"/>
              </w:rPr>
            </w:pPr>
            <w:r>
              <w:rPr>
                <w:rFonts w:hint="eastAsia"/>
                <w:sz w:val="24"/>
                <w:szCs w:val="24"/>
                <w:lang w:val="en-US" w:eastAsia="zh-CN"/>
              </w:rPr>
              <w:t>1</w:t>
            </w:r>
          </w:p>
        </w:tc>
        <w:tc>
          <w:tcPr>
            <w:tcW w:w="1108" w:type="pct"/>
            <w:tcBorders>
              <w:bottom w:val="single" w:color="000000" w:sz="4" w:space="0"/>
            </w:tcBorders>
            <w:vAlign w:val="center"/>
          </w:tcPr>
          <w:p w14:paraId="0539C43B">
            <w:pPr>
              <w:pStyle w:val="55"/>
              <w:jc w:val="center"/>
              <w:rPr>
                <w:rFonts w:hint="default" w:eastAsia="楷体"/>
                <w:sz w:val="24"/>
                <w:szCs w:val="24"/>
                <w:lang w:val="en-US" w:eastAsia="zh-CN"/>
              </w:rPr>
            </w:pPr>
            <w:r>
              <w:rPr>
                <w:rFonts w:hint="eastAsia"/>
                <w:sz w:val="24"/>
                <w:szCs w:val="24"/>
                <w:lang w:val="en-US" w:eastAsia="zh-CN"/>
              </w:rPr>
              <w:t>85</w:t>
            </w:r>
          </w:p>
        </w:tc>
      </w:tr>
      <w:tr w14:paraId="3B91D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55" w:hRule="atLeast"/>
        </w:trPr>
        <w:tc>
          <w:tcPr>
            <w:tcW w:w="551" w:type="pct"/>
            <w:vMerge w:val="continue"/>
            <w:vAlign w:val="center"/>
          </w:tcPr>
          <w:p w14:paraId="72C28ECA">
            <w:pPr>
              <w:pStyle w:val="55"/>
              <w:bidi w:val="0"/>
              <w:jc w:val="center"/>
              <w:rPr>
                <w:rFonts w:hint="eastAsia"/>
                <w:sz w:val="24"/>
                <w:szCs w:val="24"/>
                <w:lang w:val="en-US" w:eastAsia="zh-CN"/>
              </w:rPr>
            </w:pPr>
          </w:p>
        </w:tc>
        <w:tc>
          <w:tcPr>
            <w:tcW w:w="896" w:type="pct"/>
            <w:vMerge w:val="continue"/>
            <w:vAlign w:val="center"/>
          </w:tcPr>
          <w:p w14:paraId="69EE2D4D">
            <w:pPr>
              <w:pStyle w:val="55"/>
              <w:jc w:val="center"/>
              <w:rPr>
                <w:rFonts w:hint="eastAsia"/>
                <w:sz w:val="24"/>
                <w:szCs w:val="24"/>
                <w:lang w:val="en-US" w:eastAsia="zh-CN"/>
              </w:rPr>
            </w:pPr>
          </w:p>
        </w:tc>
        <w:tc>
          <w:tcPr>
            <w:tcW w:w="1336" w:type="pct"/>
            <w:tcBorders>
              <w:bottom w:val="single" w:color="000000" w:sz="4" w:space="0"/>
            </w:tcBorders>
            <w:vAlign w:val="center"/>
          </w:tcPr>
          <w:p w14:paraId="3A0659B9">
            <w:pPr>
              <w:pStyle w:val="55"/>
              <w:bidi w:val="0"/>
              <w:jc w:val="center"/>
              <w:rPr>
                <w:rFonts w:hint="default"/>
                <w:sz w:val="24"/>
                <w:szCs w:val="24"/>
                <w:lang w:val="en-US" w:eastAsia="zh-CN"/>
              </w:rPr>
            </w:pPr>
            <w:r>
              <w:rPr>
                <w:rFonts w:hint="default"/>
                <w:sz w:val="24"/>
                <w:szCs w:val="24"/>
                <w:lang w:val="en-US" w:eastAsia="zh-CN"/>
              </w:rPr>
              <w:t>水浮分离机</w:t>
            </w:r>
          </w:p>
        </w:tc>
        <w:tc>
          <w:tcPr>
            <w:tcW w:w="1107" w:type="pct"/>
            <w:tcBorders>
              <w:bottom w:val="single" w:color="000000" w:sz="4" w:space="0"/>
            </w:tcBorders>
            <w:vAlign w:val="center"/>
          </w:tcPr>
          <w:p w14:paraId="28A710A6">
            <w:pPr>
              <w:pStyle w:val="55"/>
              <w:bidi w:val="0"/>
              <w:jc w:val="center"/>
              <w:rPr>
                <w:rFonts w:hint="default"/>
                <w:sz w:val="24"/>
                <w:szCs w:val="24"/>
                <w:lang w:val="en-US" w:eastAsia="zh-CN"/>
              </w:rPr>
            </w:pPr>
            <w:r>
              <w:rPr>
                <w:rFonts w:hint="eastAsia"/>
                <w:sz w:val="24"/>
                <w:szCs w:val="24"/>
                <w:lang w:val="en-US" w:eastAsia="zh-CN"/>
              </w:rPr>
              <w:t>1</w:t>
            </w:r>
          </w:p>
        </w:tc>
        <w:tc>
          <w:tcPr>
            <w:tcW w:w="1108" w:type="pct"/>
            <w:tcBorders>
              <w:bottom w:val="single" w:color="000000" w:sz="4" w:space="0"/>
            </w:tcBorders>
            <w:vAlign w:val="center"/>
          </w:tcPr>
          <w:p w14:paraId="558AD581">
            <w:pPr>
              <w:pStyle w:val="55"/>
              <w:jc w:val="center"/>
              <w:rPr>
                <w:rFonts w:hint="default"/>
                <w:sz w:val="24"/>
                <w:szCs w:val="24"/>
                <w:lang w:val="en-US" w:eastAsia="zh-CN"/>
              </w:rPr>
            </w:pPr>
            <w:r>
              <w:rPr>
                <w:rFonts w:hint="eastAsia"/>
                <w:sz w:val="24"/>
                <w:szCs w:val="24"/>
                <w:lang w:val="en-US" w:eastAsia="zh-CN"/>
              </w:rPr>
              <w:t>80</w:t>
            </w:r>
          </w:p>
        </w:tc>
      </w:tr>
      <w:tr w14:paraId="1A5D9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55" w:hRule="atLeast"/>
        </w:trPr>
        <w:tc>
          <w:tcPr>
            <w:tcW w:w="551" w:type="pct"/>
            <w:vMerge w:val="continue"/>
            <w:vAlign w:val="center"/>
          </w:tcPr>
          <w:p w14:paraId="54DAC00B">
            <w:pPr>
              <w:pStyle w:val="55"/>
              <w:bidi w:val="0"/>
              <w:jc w:val="center"/>
              <w:rPr>
                <w:rFonts w:hint="eastAsia"/>
                <w:sz w:val="24"/>
                <w:szCs w:val="24"/>
                <w:lang w:val="en-US" w:eastAsia="zh-CN"/>
              </w:rPr>
            </w:pPr>
          </w:p>
        </w:tc>
        <w:tc>
          <w:tcPr>
            <w:tcW w:w="896" w:type="pct"/>
            <w:vMerge w:val="continue"/>
            <w:vAlign w:val="center"/>
          </w:tcPr>
          <w:p w14:paraId="19CD0184">
            <w:pPr>
              <w:pStyle w:val="55"/>
              <w:jc w:val="center"/>
              <w:rPr>
                <w:rFonts w:hint="eastAsia"/>
                <w:sz w:val="24"/>
                <w:szCs w:val="24"/>
                <w:lang w:val="en-US" w:eastAsia="zh-CN"/>
              </w:rPr>
            </w:pPr>
          </w:p>
        </w:tc>
        <w:tc>
          <w:tcPr>
            <w:tcW w:w="1336" w:type="pct"/>
            <w:tcBorders>
              <w:bottom w:val="single" w:color="000000" w:sz="4" w:space="0"/>
            </w:tcBorders>
            <w:vAlign w:val="center"/>
          </w:tcPr>
          <w:p w14:paraId="51A35FB7">
            <w:pPr>
              <w:pStyle w:val="55"/>
              <w:bidi w:val="0"/>
              <w:jc w:val="center"/>
              <w:rPr>
                <w:rFonts w:hint="default"/>
                <w:sz w:val="24"/>
                <w:szCs w:val="24"/>
                <w:lang w:val="en-US" w:eastAsia="zh-CN"/>
              </w:rPr>
            </w:pPr>
            <w:r>
              <w:rPr>
                <w:rFonts w:hint="default"/>
                <w:sz w:val="24"/>
                <w:szCs w:val="24"/>
                <w:lang w:val="en-US" w:eastAsia="zh-CN"/>
              </w:rPr>
              <w:t>卧式甩干机</w:t>
            </w:r>
          </w:p>
        </w:tc>
        <w:tc>
          <w:tcPr>
            <w:tcW w:w="1107" w:type="pct"/>
            <w:tcBorders>
              <w:bottom w:val="single" w:color="000000" w:sz="4" w:space="0"/>
            </w:tcBorders>
            <w:vAlign w:val="center"/>
          </w:tcPr>
          <w:p w14:paraId="2A7CDF06">
            <w:pPr>
              <w:pStyle w:val="55"/>
              <w:bidi w:val="0"/>
              <w:jc w:val="center"/>
              <w:rPr>
                <w:rFonts w:hint="default"/>
                <w:sz w:val="24"/>
                <w:szCs w:val="24"/>
                <w:lang w:val="en-US" w:eastAsia="zh-CN"/>
              </w:rPr>
            </w:pPr>
            <w:r>
              <w:rPr>
                <w:rFonts w:hint="eastAsia"/>
                <w:sz w:val="24"/>
                <w:szCs w:val="24"/>
                <w:lang w:val="en-US" w:eastAsia="zh-CN"/>
              </w:rPr>
              <w:t>1</w:t>
            </w:r>
          </w:p>
        </w:tc>
        <w:tc>
          <w:tcPr>
            <w:tcW w:w="1108" w:type="pct"/>
            <w:tcBorders>
              <w:bottom w:val="single" w:color="000000" w:sz="4" w:space="0"/>
            </w:tcBorders>
            <w:vAlign w:val="center"/>
          </w:tcPr>
          <w:p w14:paraId="4734200D">
            <w:pPr>
              <w:pStyle w:val="55"/>
              <w:jc w:val="center"/>
              <w:rPr>
                <w:rFonts w:hint="default"/>
                <w:sz w:val="24"/>
                <w:szCs w:val="24"/>
                <w:lang w:val="en-US" w:eastAsia="zh-CN"/>
              </w:rPr>
            </w:pPr>
            <w:r>
              <w:rPr>
                <w:rFonts w:hint="eastAsia"/>
                <w:sz w:val="24"/>
                <w:szCs w:val="24"/>
                <w:lang w:val="en-US" w:eastAsia="zh-CN"/>
              </w:rPr>
              <w:t>80</w:t>
            </w:r>
          </w:p>
        </w:tc>
      </w:tr>
      <w:tr w14:paraId="35EF2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55" w:hRule="atLeast"/>
        </w:trPr>
        <w:tc>
          <w:tcPr>
            <w:tcW w:w="551" w:type="pct"/>
            <w:vMerge w:val="continue"/>
            <w:vAlign w:val="center"/>
          </w:tcPr>
          <w:p w14:paraId="1D6D6A8F">
            <w:pPr>
              <w:pStyle w:val="55"/>
              <w:bidi w:val="0"/>
              <w:jc w:val="center"/>
              <w:rPr>
                <w:rFonts w:hint="eastAsia"/>
                <w:sz w:val="24"/>
                <w:szCs w:val="24"/>
                <w:lang w:val="en-US" w:eastAsia="zh-CN"/>
              </w:rPr>
            </w:pPr>
          </w:p>
        </w:tc>
        <w:tc>
          <w:tcPr>
            <w:tcW w:w="896" w:type="pct"/>
            <w:vMerge w:val="continue"/>
            <w:vAlign w:val="center"/>
          </w:tcPr>
          <w:p w14:paraId="5521D8C6">
            <w:pPr>
              <w:pStyle w:val="55"/>
              <w:jc w:val="center"/>
              <w:rPr>
                <w:rFonts w:hint="eastAsia"/>
                <w:sz w:val="24"/>
                <w:szCs w:val="24"/>
                <w:lang w:val="en-US" w:eastAsia="zh-CN"/>
              </w:rPr>
            </w:pPr>
          </w:p>
        </w:tc>
        <w:tc>
          <w:tcPr>
            <w:tcW w:w="1336" w:type="pct"/>
            <w:tcBorders>
              <w:bottom w:val="single" w:color="000000" w:sz="4" w:space="0"/>
            </w:tcBorders>
            <w:vAlign w:val="center"/>
          </w:tcPr>
          <w:p w14:paraId="27DB3692">
            <w:pPr>
              <w:pStyle w:val="55"/>
              <w:bidi w:val="0"/>
              <w:jc w:val="center"/>
              <w:rPr>
                <w:rFonts w:hint="default"/>
                <w:sz w:val="24"/>
                <w:szCs w:val="24"/>
                <w:lang w:val="en-US" w:eastAsia="zh-CN"/>
              </w:rPr>
            </w:pPr>
            <w:r>
              <w:rPr>
                <w:rFonts w:hint="default"/>
                <w:sz w:val="24"/>
                <w:szCs w:val="24"/>
                <w:lang w:val="en-US" w:eastAsia="zh-CN"/>
              </w:rPr>
              <w:t>高速混合机</w:t>
            </w:r>
          </w:p>
        </w:tc>
        <w:tc>
          <w:tcPr>
            <w:tcW w:w="1107" w:type="pct"/>
            <w:tcBorders>
              <w:bottom w:val="single" w:color="000000" w:sz="4" w:space="0"/>
            </w:tcBorders>
            <w:vAlign w:val="center"/>
          </w:tcPr>
          <w:p w14:paraId="0080BDBC">
            <w:pPr>
              <w:pStyle w:val="55"/>
              <w:bidi w:val="0"/>
              <w:jc w:val="center"/>
              <w:rPr>
                <w:rFonts w:hint="default"/>
                <w:sz w:val="24"/>
                <w:szCs w:val="24"/>
                <w:lang w:val="en-US" w:eastAsia="zh-CN"/>
              </w:rPr>
            </w:pPr>
            <w:r>
              <w:rPr>
                <w:rFonts w:hint="eastAsia"/>
                <w:sz w:val="24"/>
                <w:szCs w:val="24"/>
                <w:lang w:val="en-US" w:eastAsia="zh-CN"/>
              </w:rPr>
              <w:t>4</w:t>
            </w:r>
          </w:p>
        </w:tc>
        <w:tc>
          <w:tcPr>
            <w:tcW w:w="1108" w:type="pct"/>
            <w:tcBorders>
              <w:bottom w:val="single" w:color="000000" w:sz="4" w:space="0"/>
            </w:tcBorders>
            <w:vAlign w:val="center"/>
          </w:tcPr>
          <w:p w14:paraId="74D173D1">
            <w:pPr>
              <w:pStyle w:val="55"/>
              <w:jc w:val="center"/>
              <w:rPr>
                <w:rFonts w:hint="default"/>
                <w:sz w:val="24"/>
                <w:szCs w:val="24"/>
                <w:lang w:val="en-US" w:eastAsia="zh-CN"/>
              </w:rPr>
            </w:pPr>
            <w:r>
              <w:rPr>
                <w:rFonts w:hint="eastAsia"/>
                <w:sz w:val="24"/>
                <w:szCs w:val="24"/>
                <w:lang w:val="en-US" w:eastAsia="zh-CN"/>
              </w:rPr>
              <w:t>91</w:t>
            </w:r>
          </w:p>
        </w:tc>
      </w:tr>
      <w:tr w14:paraId="4AA5C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55" w:hRule="atLeast"/>
        </w:trPr>
        <w:tc>
          <w:tcPr>
            <w:tcW w:w="551" w:type="pct"/>
            <w:vMerge w:val="continue"/>
            <w:vAlign w:val="center"/>
          </w:tcPr>
          <w:p w14:paraId="33156C84">
            <w:pPr>
              <w:pStyle w:val="55"/>
              <w:bidi w:val="0"/>
              <w:jc w:val="center"/>
              <w:rPr>
                <w:rFonts w:hint="eastAsia"/>
                <w:sz w:val="24"/>
                <w:szCs w:val="24"/>
                <w:lang w:val="en-US" w:eastAsia="zh-CN"/>
              </w:rPr>
            </w:pPr>
          </w:p>
        </w:tc>
        <w:tc>
          <w:tcPr>
            <w:tcW w:w="896" w:type="pct"/>
            <w:vMerge w:val="continue"/>
            <w:vAlign w:val="center"/>
          </w:tcPr>
          <w:p w14:paraId="0995CC66">
            <w:pPr>
              <w:pStyle w:val="55"/>
              <w:jc w:val="center"/>
              <w:rPr>
                <w:rFonts w:hint="eastAsia"/>
                <w:sz w:val="24"/>
                <w:szCs w:val="24"/>
                <w:lang w:val="en-US" w:eastAsia="zh-CN"/>
              </w:rPr>
            </w:pPr>
          </w:p>
        </w:tc>
        <w:tc>
          <w:tcPr>
            <w:tcW w:w="1336" w:type="pct"/>
            <w:tcBorders>
              <w:bottom w:val="single" w:color="000000" w:sz="4" w:space="0"/>
            </w:tcBorders>
            <w:vAlign w:val="center"/>
          </w:tcPr>
          <w:p w14:paraId="5F595754">
            <w:pPr>
              <w:pStyle w:val="55"/>
              <w:bidi w:val="0"/>
              <w:jc w:val="center"/>
              <w:rPr>
                <w:rFonts w:hint="default"/>
                <w:sz w:val="24"/>
                <w:szCs w:val="24"/>
                <w:lang w:val="en-US" w:eastAsia="zh-CN"/>
              </w:rPr>
            </w:pPr>
            <w:r>
              <w:rPr>
                <w:rFonts w:hint="default"/>
                <w:sz w:val="24"/>
                <w:szCs w:val="24"/>
                <w:lang w:val="en-US" w:eastAsia="zh-CN"/>
              </w:rPr>
              <w:t>挤出机</w:t>
            </w:r>
          </w:p>
        </w:tc>
        <w:tc>
          <w:tcPr>
            <w:tcW w:w="1107" w:type="pct"/>
            <w:tcBorders>
              <w:bottom w:val="single" w:color="000000" w:sz="4" w:space="0"/>
            </w:tcBorders>
            <w:vAlign w:val="center"/>
          </w:tcPr>
          <w:p w14:paraId="0BA484E2">
            <w:pPr>
              <w:pStyle w:val="55"/>
              <w:bidi w:val="0"/>
              <w:jc w:val="center"/>
              <w:rPr>
                <w:rFonts w:hint="default"/>
                <w:sz w:val="24"/>
                <w:szCs w:val="24"/>
                <w:lang w:val="en-US" w:eastAsia="zh-CN"/>
              </w:rPr>
            </w:pPr>
            <w:r>
              <w:rPr>
                <w:rFonts w:hint="eastAsia"/>
                <w:sz w:val="24"/>
                <w:szCs w:val="24"/>
                <w:lang w:val="en-US" w:eastAsia="zh-CN"/>
              </w:rPr>
              <w:t>4</w:t>
            </w:r>
          </w:p>
        </w:tc>
        <w:tc>
          <w:tcPr>
            <w:tcW w:w="1108" w:type="pct"/>
            <w:tcBorders>
              <w:bottom w:val="single" w:color="000000" w:sz="4" w:space="0"/>
            </w:tcBorders>
            <w:vAlign w:val="center"/>
          </w:tcPr>
          <w:p w14:paraId="4A2A5819">
            <w:pPr>
              <w:pStyle w:val="55"/>
              <w:jc w:val="center"/>
              <w:rPr>
                <w:rFonts w:hint="eastAsia"/>
                <w:sz w:val="24"/>
                <w:szCs w:val="24"/>
                <w:lang w:val="en-US" w:eastAsia="zh-CN"/>
              </w:rPr>
            </w:pPr>
            <w:r>
              <w:rPr>
                <w:rFonts w:hint="eastAsia"/>
                <w:sz w:val="24"/>
                <w:szCs w:val="24"/>
                <w:lang w:val="en-US" w:eastAsia="zh-CN"/>
              </w:rPr>
              <w:t>91</w:t>
            </w:r>
          </w:p>
        </w:tc>
      </w:tr>
      <w:tr w14:paraId="254DA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55" w:hRule="atLeast"/>
        </w:trPr>
        <w:tc>
          <w:tcPr>
            <w:tcW w:w="551" w:type="pct"/>
            <w:vMerge w:val="continue"/>
            <w:vAlign w:val="center"/>
          </w:tcPr>
          <w:p w14:paraId="6054C2F7">
            <w:pPr>
              <w:pStyle w:val="55"/>
              <w:bidi w:val="0"/>
              <w:jc w:val="center"/>
              <w:rPr>
                <w:rFonts w:hint="eastAsia"/>
                <w:sz w:val="24"/>
                <w:szCs w:val="24"/>
                <w:lang w:val="en-US" w:eastAsia="zh-CN"/>
              </w:rPr>
            </w:pPr>
          </w:p>
        </w:tc>
        <w:tc>
          <w:tcPr>
            <w:tcW w:w="896" w:type="pct"/>
            <w:vMerge w:val="continue"/>
            <w:vAlign w:val="center"/>
          </w:tcPr>
          <w:p w14:paraId="1B43745E">
            <w:pPr>
              <w:pStyle w:val="55"/>
              <w:jc w:val="center"/>
              <w:rPr>
                <w:rFonts w:hint="eastAsia"/>
                <w:sz w:val="24"/>
                <w:szCs w:val="24"/>
                <w:lang w:val="en-US" w:eastAsia="zh-CN"/>
              </w:rPr>
            </w:pPr>
          </w:p>
        </w:tc>
        <w:tc>
          <w:tcPr>
            <w:tcW w:w="1336" w:type="pct"/>
            <w:tcBorders>
              <w:bottom w:val="single" w:color="000000" w:sz="4" w:space="0"/>
            </w:tcBorders>
            <w:vAlign w:val="center"/>
          </w:tcPr>
          <w:p w14:paraId="57898BD9">
            <w:pPr>
              <w:pStyle w:val="55"/>
              <w:bidi w:val="0"/>
              <w:jc w:val="center"/>
              <w:rPr>
                <w:rFonts w:hint="default"/>
                <w:sz w:val="24"/>
                <w:szCs w:val="24"/>
                <w:lang w:val="en-US" w:eastAsia="zh-CN"/>
              </w:rPr>
            </w:pPr>
            <w:r>
              <w:rPr>
                <w:rFonts w:hint="default"/>
                <w:sz w:val="24"/>
                <w:szCs w:val="24"/>
                <w:lang w:val="en-US" w:eastAsia="zh-CN"/>
              </w:rPr>
              <w:t>切粒机</w:t>
            </w:r>
          </w:p>
        </w:tc>
        <w:tc>
          <w:tcPr>
            <w:tcW w:w="1107" w:type="pct"/>
            <w:tcBorders>
              <w:bottom w:val="single" w:color="000000" w:sz="4" w:space="0"/>
            </w:tcBorders>
            <w:vAlign w:val="center"/>
          </w:tcPr>
          <w:p w14:paraId="60C16CC5">
            <w:pPr>
              <w:pStyle w:val="55"/>
              <w:bidi w:val="0"/>
              <w:jc w:val="center"/>
              <w:rPr>
                <w:rFonts w:hint="default"/>
                <w:sz w:val="24"/>
                <w:szCs w:val="24"/>
                <w:lang w:val="en-US" w:eastAsia="zh-CN"/>
              </w:rPr>
            </w:pPr>
            <w:r>
              <w:rPr>
                <w:rFonts w:hint="eastAsia"/>
                <w:sz w:val="24"/>
                <w:szCs w:val="24"/>
                <w:lang w:val="en-US" w:eastAsia="zh-CN"/>
              </w:rPr>
              <w:t>4</w:t>
            </w:r>
          </w:p>
        </w:tc>
        <w:tc>
          <w:tcPr>
            <w:tcW w:w="1108" w:type="pct"/>
            <w:tcBorders>
              <w:bottom w:val="single" w:color="000000" w:sz="4" w:space="0"/>
            </w:tcBorders>
            <w:vAlign w:val="center"/>
          </w:tcPr>
          <w:p w14:paraId="796FB833">
            <w:pPr>
              <w:pStyle w:val="55"/>
              <w:jc w:val="center"/>
              <w:rPr>
                <w:rFonts w:hint="eastAsia"/>
                <w:sz w:val="24"/>
                <w:szCs w:val="24"/>
                <w:lang w:val="en-US" w:eastAsia="zh-CN"/>
              </w:rPr>
            </w:pPr>
            <w:r>
              <w:rPr>
                <w:rFonts w:hint="eastAsia"/>
                <w:sz w:val="24"/>
                <w:szCs w:val="24"/>
                <w:lang w:val="en-US" w:eastAsia="zh-CN"/>
              </w:rPr>
              <w:t>91</w:t>
            </w:r>
          </w:p>
        </w:tc>
      </w:tr>
      <w:tr w14:paraId="4E316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55" w:hRule="atLeast"/>
        </w:trPr>
        <w:tc>
          <w:tcPr>
            <w:tcW w:w="551" w:type="pct"/>
            <w:vMerge w:val="continue"/>
            <w:vAlign w:val="center"/>
          </w:tcPr>
          <w:p w14:paraId="48FEDEB6">
            <w:pPr>
              <w:pStyle w:val="55"/>
              <w:bidi w:val="0"/>
              <w:jc w:val="center"/>
              <w:rPr>
                <w:rFonts w:hint="eastAsia"/>
                <w:sz w:val="24"/>
                <w:szCs w:val="24"/>
                <w:lang w:val="en-US" w:eastAsia="zh-CN"/>
              </w:rPr>
            </w:pPr>
          </w:p>
        </w:tc>
        <w:tc>
          <w:tcPr>
            <w:tcW w:w="896" w:type="pct"/>
            <w:vMerge w:val="continue"/>
            <w:vAlign w:val="center"/>
          </w:tcPr>
          <w:p w14:paraId="018F472C">
            <w:pPr>
              <w:pStyle w:val="55"/>
              <w:jc w:val="center"/>
              <w:rPr>
                <w:rFonts w:hint="eastAsia"/>
                <w:sz w:val="24"/>
                <w:szCs w:val="24"/>
                <w:lang w:val="en-US" w:eastAsia="zh-CN"/>
              </w:rPr>
            </w:pPr>
          </w:p>
        </w:tc>
        <w:tc>
          <w:tcPr>
            <w:tcW w:w="1336" w:type="pct"/>
            <w:tcBorders>
              <w:bottom w:val="single" w:color="000000" w:sz="4" w:space="0"/>
            </w:tcBorders>
            <w:vAlign w:val="center"/>
          </w:tcPr>
          <w:p w14:paraId="575EACB0">
            <w:pPr>
              <w:pStyle w:val="55"/>
              <w:bidi w:val="0"/>
              <w:jc w:val="center"/>
              <w:rPr>
                <w:rFonts w:hint="default"/>
                <w:sz w:val="24"/>
                <w:szCs w:val="24"/>
                <w:lang w:val="en-US" w:eastAsia="zh-CN"/>
              </w:rPr>
            </w:pPr>
            <w:r>
              <w:rPr>
                <w:rFonts w:hint="eastAsia"/>
                <w:sz w:val="24"/>
                <w:szCs w:val="24"/>
                <w:lang w:val="en-US" w:eastAsia="zh-CN"/>
              </w:rPr>
              <w:t>风机</w:t>
            </w:r>
          </w:p>
        </w:tc>
        <w:tc>
          <w:tcPr>
            <w:tcW w:w="1107" w:type="pct"/>
            <w:tcBorders>
              <w:bottom w:val="single" w:color="000000" w:sz="4" w:space="0"/>
            </w:tcBorders>
            <w:vAlign w:val="center"/>
          </w:tcPr>
          <w:p w14:paraId="69DA406F">
            <w:pPr>
              <w:pStyle w:val="55"/>
              <w:bidi w:val="0"/>
              <w:jc w:val="center"/>
              <w:rPr>
                <w:rFonts w:hint="default"/>
                <w:sz w:val="24"/>
                <w:szCs w:val="24"/>
                <w:lang w:val="en-US" w:eastAsia="zh-CN"/>
              </w:rPr>
            </w:pPr>
            <w:r>
              <w:rPr>
                <w:rFonts w:hint="eastAsia"/>
                <w:sz w:val="24"/>
                <w:szCs w:val="24"/>
                <w:lang w:val="en-US" w:eastAsia="zh-CN"/>
              </w:rPr>
              <w:t>4</w:t>
            </w:r>
          </w:p>
        </w:tc>
        <w:tc>
          <w:tcPr>
            <w:tcW w:w="1108" w:type="pct"/>
            <w:tcBorders>
              <w:bottom w:val="single" w:color="000000" w:sz="4" w:space="0"/>
            </w:tcBorders>
            <w:vAlign w:val="center"/>
          </w:tcPr>
          <w:p w14:paraId="2BF79B8E">
            <w:pPr>
              <w:pStyle w:val="55"/>
              <w:jc w:val="center"/>
              <w:rPr>
                <w:rFonts w:hint="default"/>
                <w:sz w:val="24"/>
                <w:szCs w:val="24"/>
                <w:lang w:val="en-US" w:eastAsia="zh-CN"/>
              </w:rPr>
            </w:pPr>
            <w:r>
              <w:rPr>
                <w:rFonts w:hint="eastAsia"/>
                <w:sz w:val="24"/>
                <w:szCs w:val="24"/>
                <w:lang w:val="en-US" w:eastAsia="zh-CN"/>
              </w:rPr>
              <w:t>85</w:t>
            </w:r>
          </w:p>
        </w:tc>
      </w:tr>
    </w:tbl>
    <w:p w14:paraId="4CB469D6">
      <w:pPr>
        <w:pStyle w:val="96"/>
        <w:bidi w:val="0"/>
        <w:ind w:left="0" w:leftChars="0" w:firstLine="0" w:firstLineChars="0"/>
      </w:pPr>
      <w:r>
        <w:rPr>
          <w:rFonts w:hint="eastAsia"/>
        </w:rPr>
        <w:t>固体</w:t>
      </w:r>
      <w:r>
        <w:t>废物</w:t>
      </w:r>
    </w:p>
    <w:p w14:paraId="3050D81A">
      <w:pPr>
        <w:pStyle w:val="47"/>
        <w:bidi w:val="0"/>
      </w:pPr>
      <w:r>
        <w:rPr>
          <w:rFonts w:hint="eastAsia"/>
        </w:rPr>
        <w:t>项目产生的固体废物包括一般工业固体废物、生活垃圾及危险废物。</w:t>
      </w:r>
    </w:p>
    <w:p w14:paraId="07E05CA5">
      <w:pPr>
        <w:pStyle w:val="47"/>
        <w:bidi w:val="0"/>
      </w:pPr>
      <w:r>
        <w:rPr>
          <w:rFonts w:hint="eastAsia"/>
        </w:rPr>
        <w:t>（1）一般固体废物</w:t>
      </w:r>
    </w:p>
    <w:p w14:paraId="5B83EBE5">
      <w:pPr>
        <w:pStyle w:val="47"/>
        <w:bidi w:val="0"/>
        <w:rPr>
          <w:rFonts w:hint="default"/>
          <w:lang w:val="en-US" w:eastAsia="zh-CN"/>
        </w:rPr>
      </w:pPr>
      <w:r>
        <w:rPr>
          <w:rFonts w:hint="default"/>
          <w:lang w:val="en-US" w:eastAsia="zh-CN"/>
        </w:rPr>
        <w:t>①分拣废物</w:t>
      </w:r>
    </w:p>
    <w:p w14:paraId="5EB4BE27">
      <w:pPr>
        <w:pStyle w:val="47"/>
        <w:bidi w:val="0"/>
        <w:rPr>
          <w:rFonts w:hint="default"/>
          <w:lang w:val="en-US" w:eastAsia="zh-CN"/>
        </w:rPr>
      </w:pPr>
      <w:r>
        <w:rPr>
          <w:rFonts w:hint="default"/>
          <w:lang w:val="en-US" w:eastAsia="zh-CN"/>
        </w:rPr>
        <w:t>项目废旧PVC塑料</w:t>
      </w:r>
      <w:r>
        <w:rPr>
          <w:rFonts w:hint="eastAsia"/>
          <w:lang w:val="en-US" w:eastAsia="zh-CN"/>
        </w:rPr>
        <w:t>需</w:t>
      </w:r>
      <w:r>
        <w:rPr>
          <w:rFonts w:hint="default"/>
          <w:lang w:val="en-US" w:eastAsia="zh-CN"/>
        </w:rPr>
        <w:t>人工进行分拣</w:t>
      </w:r>
      <w:r>
        <w:rPr>
          <w:rFonts w:hint="eastAsia"/>
          <w:lang w:val="en-US" w:eastAsia="zh-CN"/>
        </w:rPr>
        <w:t>，产生分选杂质，主要为废旧塑料中少量的砂石、木柴、金属及废纸等。分选杂质占</w:t>
      </w:r>
      <w:r>
        <w:rPr>
          <w:rFonts w:hint="default"/>
          <w:lang w:val="en-US" w:eastAsia="zh-CN"/>
        </w:rPr>
        <w:t>废旧PVC塑料</w:t>
      </w:r>
      <w:r>
        <w:rPr>
          <w:rFonts w:hint="eastAsia"/>
          <w:lang w:val="en-US" w:eastAsia="zh-CN"/>
        </w:rPr>
        <w:t>总重量的0.01%，项目塑料年用量为18333t/a，则分选杂质产生量为1.83t/a，定期送往环卫部门指定地点处置。</w:t>
      </w:r>
    </w:p>
    <w:p w14:paraId="339CA03F">
      <w:pPr>
        <w:pStyle w:val="47"/>
        <w:bidi w:val="0"/>
        <w:rPr>
          <w:rFonts w:hint="default"/>
          <w:lang w:val="en-US" w:eastAsia="zh-CN"/>
        </w:rPr>
      </w:pPr>
      <w:r>
        <w:rPr>
          <w:rFonts w:hint="eastAsia" w:ascii="楷体" w:hAnsi="楷体" w:eastAsia="楷体" w:cs="楷体"/>
          <w:lang w:val="en-US" w:eastAsia="zh-CN"/>
        </w:rPr>
        <w:t>②</w:t>
      </w:r>
      <w:r>
        <w:rPr>
          <w:rFonts w:hint="default"/>
          <w:lang w:val="en-US" w:eastAsia="zh-CN"/>
        </w:rPr>
        <w:t>沉淀池污泥</w:t>
      </w:r>
    </w:p>
    <w:p w14:paraId="354BED84">
      <w:pPr>
        <w:pStyle w:val="47"/>
        <w:bidi w:val="0"/>
        <w:rPr>
          <w:rFonts w:hint="default"/>
          <w:lang w:val="en-US" w:eastAsia="zh-CN"/>
        </w:rPr>
      </w:pPr>
      <w:r>
        <w:rPr>
          <w:rFonts w:hint="default"/>
          <w:lang w:val="en-US" w:eastAsia="zh-CN"/>
        </w:rPr>
        <w:t>清洗过程中会产生一定量的污泥，清洗主要为了去除废旧塑料表面的粉尘、浮土等杂质，污泥主要以土细微小杂质颗粒为主，沉淀池污泥产生量为</w:t>
      </w:r>
      <w:r>
        <w:rPr>
          <w:rFonts w:hint="eastAsia"/>
          <w:lang w:val="en-US" w:eastAsia="zh-CN"/>
        </w:rPr>
        <w:t>2</w:t>
      </w:r>
      <w:r>
        <w:rPr>
          <w:rFonts w:hint="default"/>
          <w:lang w:val="en-US" w:eastAsia="zh-CN"/>
        </w:rPr>
        <w:t>t/a，定期清掏自然干化后作为生活垃圾交由环卫部门处理。</w:t>
      </w:r>
    </w:p>
    <w:p w14:paraId="743ED1E8">
      <w:pPr>
        <w:pStyle w:val="47"/>
        <w:bidi w:val="0"/>
        <w:rPr>
          <w:rFonts w:hint="default"/>
          <w:lang w:val="en-US" w:eastAsia="zh-CN"/>
        </w:rPr>
      </w:pPr>
      <w:r>
        <w:rPr>
          <w:rFonts w:hint="eastAsia" w:ascii="楷体" w:hAnsi="楷体" w:eastAsia="楷体" w:cs="楷体"/>
          <w:lang w:val="en-US" w:eastAsia="zh-CN"/>
        </w:rPr>
        <w:t>③</w:t>
      </w:r>
      <w:r>
        <w:rPr>
          <w:rFonts w:hint="default"/>
          <w:lang w:val="en-US" w:eastAsia="zh-CN"/>
        </w:rPr>
        <w:t>废滤网</w:t>
      </w:r>
    </w:p>
    <w:p w14:paraId="7106294D">
      <w:pPr>
        <w:pStyle w:val="47"/>
        <w:bidi w:val="0"/>
        <w:rPr>
          <w:rFonts w:hint="eastAsia"/>
          <w:lang w:val="en-US" w:eastAsia="zh-CN"/>
        </w:rPr>
      </w:pPr>
      <w:r>
        <w:rPr>
          <w:rFonts w:hint="eastAsia"/>
          <w:lang w:val="en-US" w:eastAsia="zh-CN"/>
        </w:rPr>
        <w:t>项目废旧塑料在挤出工序需要进行加热融化，为保证再生颗粒料的质量，需要对熔融态废料进行过滤后再进行造粒，所使用的滤网随着使用时间的延长，网眼会逐渐变小，直至不能使用，因此需定期更换过滤网，从而产生一定的废过滤网。根据同类项目调查，滤网每天更换2次，每次20张，每张过滤网重约0.25kg，则项目废旧滤网产生量约为3t/a。根据《废塑料加工利用污染防治管理规定》（原环境保护部、发展改革委、商务部联合公告2012年第55号）“废塑料加工利用单位应当以环境无害化方式处理废塑料加工利用过程产生的残余垃圾、滤网；禁止交不符合环保要求的单位或个人处置。禁止露天焚烧废塑料及加工利用过程产生的残余垃圾、滤网”。项目由</w:t>
      </w:r>
      <w:r>
        <w:rPr>
          <w:rFonts w:hint="default"/>
          <w:lang w:val="en-US" w:eastAsia="zh-CN"/>
        </w:rPr>
        <w:t>滤网</w:t>
      </w:r>
      <w:r>
        <w:rPr>
          <w:rFonts w:hint="eastAsia"/>
          <w:lang w:val="en-US" w:eastAsia="zh-CN"/>
        </w:rPr>
        <w:t>厂家定期更换新</w:t>
      </w:r>
      <w:r>
        <w:rPr>
          <w:rFonts w:hint="default"/>
          <w:lang w:val="en-US" w:eastAsia="zh-CN"/>
        </w:rPr>
        <w:t>滤网</w:t>
      </w:r>
      <w:r>
        <w:rPr>
          <w:rFonts w:hint="eastAsia"/>
          <w:lang w:val="en-US" w:eastAsia="zh-CN"/>
        </w:rPr>
        <w:t>，</w:t>
      </w:r>
      <w:r>
        <w:rPr>
          <w:rFonts w:hint="default"/>
          <w:lang w:val="en-US" w:eastAsia="zh-CN"/>
        </w:rPr>
        <w:t>废滤网</w:t>
      </w:r>
      <w:r>
        <w:rPr>
          <w:rFonts w:hint="eastAsia"/>
          <w:lang w:val="en-US" w:eastAsia="zh-CN"/>
        </w:rPr>
        <w:t>由</w:t>
      </w:r>
      <w:r>
        <w:rPr>
          <w:rFonts w:hint="default"/>
          <w:lang w:val="en-US" w:eastAsia="zh-CN"/>
        </w:rPr>
        <w:t>厂家回收</w:t>
      </w:r>
      <w:r>
        <w:rPr>
          <w:rFonts w:hint="eastAsia"/>
          <w:lang w:val="en-US" w:eastAsia="zh-CN"/>
        </w:rPr>
        <w:t>处置。</w:t>
      </w:r>
    </w:p>
    <w:p w14:paraId="4F5599E6">
      <w:pPr>
        <w:pStyle w:val="47"/>
        <w:bidi w:val="0"/>
        <w:rPr>
          <w:rFonts w:hint="eastAsia"/>
          <w:lang w:val="en-US" w:eastAsia="zh-CN"/>
        </w:rPr>
      </w:pPr>
      <w:r>
        <w:rPr>
          <w:rFonts w:hint="eastAsia" w:ascii="楷体" w:hAnsi="楷体" w:eastAsia="楷体" w:cs="楷体"/>
          <w:lang w:val="en-US" w:eastAsia="zh-CN"/>
        </w:rPr>
        <w:t>④</w:t>
      </w:r>
      <w:r>
        <w:rPr>
          <w:rFonts w:hint="eastAsia"/>
          <w:lang w:val="en-US" w:eastAsia="zh-CN"/>
        </w:rPr>
        <w:t>布袋除尘器除尘灰</w:t>
      </w:r>
    </w:p>
    <w:p w14:paraId="76D8BAC6">
      <w:pPr>
        <w:pStyle w:val="47"/>
        <w:bidi w:val="0"/>
        <w:rPr>
          <w:rFonts w:hint="default"/>
          <w:highlight w:val="none"/>
          <w:lang w:val="en-US" w:eastAsia="zh-CN"/>
        </w:rPr>
      </w:pPr>
      <w:r>
        <w:rPr>
          <w:rFonts w:hint="eastAsia"/>
          <w:highlight w:val="none"/>
          <w:lang w:val="en-US" w:eastAsia="zh-CN"/>
        </w:rPr>
        <w:t>布袋除尘器收集的粉尘为110t/a，全部回用于生产。</w:t>
      </w:r>
    </w:p>
    <w:p w14:paraId="283DC3EB">
      <w:pPr>
        <w:pStyle w:val="47"/>
        <w:ind w:firstLine="482" w:firstLineChars="0"/>
        <w:rPr>
          <w:rFonts w:hint="eastAsia" w:eastAsia="楷体"/>
          <w:highlight w:val="none"/>
          <w:lang w:val="en-US" w:eastAsia="zh-CN"/>
        </w:rPr>
      </w:pPr>
      <w:r>
        <w:rPr>
          <w:rFonts w:hint="eastAsia" w:ascii="楷体" w:hAnsi="楷体" w:eastAsia="楷体" w:cs="楷体"/>
          <w:highlight w:val="none"/>
        </w:rPr>
        <w:t>⑤</w:t>
      </w:r>
      <w:r>
        <w:rPr>
          <w:rFonts w:hint="eastAsia"/>
          <w:highlight w:val="none"/>
          <w:lang w:val="en-US" w:eastAsia="zh-CN"/>
        </w:rPr>
        <w:t>废包装袋</w:t>
      </w:r>
    </w:p>
    <w:p w14:paraId="24DF015A">
      <w:pPr>
        <w:pStyle w:val="47"/>
        <w:bidi w:val="0"/>
        <w:rPr>
          <w:rFonts w:hint="eastAsia"/>
        </w:rPr>
      </w:pPr>
      <w:r>
        <w:rPr>
          <w:rFonts w:hint="eastAsia"/>
          <w:highlight w:val="none"/>
          <w:lang w:val="en-US" w:eastAsia="zh-CN"/>
        </w:rPr>
        <w:t>原料包装拆包产生的废包装袋产生量为1t/a，定期外售废品收购站。</w:t>
      </w:r>
    </w:p>
    <w:p w14:paraId="499DAC54">
      <w:pPr>
        <w:pStyle w:val="47"/>
        <w:ind w:firstLine="482"/>
      </w:pPr>
      <w:r>
        <w:rPr>
          <w:rFonts w:hint="eastAsia"/>
        </w:rPr>
        <w:t>（2）生活垃圾</w:t>
      </w:r>
    </w:p>
    <w:p w14:paraId="676BF225">
      <w:pPr>
        <w:pStyle w:val="47"/>
        <w:ind w:firstLine="482"/>
        <w:rPr>
          <w:rFonts w:hint="eastAsia"/>
        </w:rPr>
      </w:pPr>
      <w:r>
        <w:rPr>
          <w:rFonts w:hint="eastAsia"/>
        </w:rPr>
        <w:t>项目员工50人，年工作天数300天，员工垃圾系数为0.5kg/d·人，则生活垃圾</w:t>
      </w:r>
      <w:r>
        <w:rPr>
          <w:rFonts w:hint="eastAsia"/>
          <w:lang w:val="en-US" w:eastAsia="zh-CN"/>
        </w:rPr>
        <w:t>产生量为</w:t>
      </w:r>
      <w:r>
        <w:rPr>
          <w:rFonts w:hint="eastAsia"/>
        </w:rPr>
        <w:t>7.5t/a，由环卫部门集中收集后统一处置。</w:t>
      </w:r>
    </w:p>
    <w:p w14:paraId="45552442">
      <w:pPr>
        <w:pStyle w:val="47"/>
        <w:ind w:firstLine="482"/>
      </w:pPr>
      <w:r>
        <w:rPr>
          <w:rFonts w:hint="eastAsia"/>
        </w:rPr>
        <w:t>本项目一般固体废物基本情况详见下表</w:t>
      </w:r>
      <w:r>
        <w:t>。</w:t>
      </w:r>
    </w:p>
    <w:p w14:paraId="2A7A77AB">
      <w:pPr>
        <w:pStyle w:val="94"/>
        <w:bidi w:val="0"/>
        <w:ind w:left="0" w:leftChars="0" w:firstLine="0" w:firstLineChars="0"/>
      </w:pPr>
      <w:r>
        <w:t>建设项目一般固体废物</w:t>
      </w:r>
      <w:r>
        <w:rPr>
          <w:rFonts w:hint="eastAsia"/>
        </w:rPr>
        <w:t>基本</w:t>
      </w:r>
      <w:r>
        <w:t>情况汇总表</w:t>
      </w:r>
    </w:p>
    <w:tbl>
      <w:tblPr>
        <w:tblStyle w:val="3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85" w:type="dxa"/>
          <w:bottom w:w="0" w:type="dxa"/>
          <w:right w:w="85" w:type="dxa"/>
        </w:tblCellMar>
      </w:tblPr>
      <w:tblGrid>
        <w:gridCol w:w="909"/>
        <w:gridCol w:w="2332"/>
        <w:gridCol w:w="1835"/>
        <w:gridCol w:w="1364"/>
        <w:gridCol w:w="2795"/>
      </w:tblGrid>
      <w:tr w14:paraId="0CCF1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54" w:hRule="atLeast"/>
          <w:tblHeader/>
          <w:jc w:val="center"/>
        </w:trPr>
        <w:tc>
          <w:tcPr>
            <w:tcW w:w="492" w:type="pct"/>
            <w:shd w:val="clear" w:color="auto" w:fill="auto"/>
            <w:vAlign w:val="center"/>
          </w:tcPr>
          <w:p w14:paraId="73A70B8B">
            <w:pPr>
              <w:pStyle w:val="55"/>
            </w:pPr>
            <w:r>
              <w:t>序号</w:t>
            </w:r>
          </w:p>
        </w:tc>
        <w:tc>
          <w:tcPr>
            <w:tcW w:w="1262" w:type="pct"/>
            <w:shd w:val="clear" w:color="auto" w:fill="auto"/>
            <w:vAlign w:val="center"/>
          </w:tcPr>
          <w:p w14:paraId="6C9BE4A0">
            <w:pPr>
              <w:pStyle w:val="55"/>
            </w:pPr>
            <w:r>
              <w:t>废物名称</w:t>
            </w:r>
          </w:p>
        </w:tc>
        <w:tc>
          <w:tcPr>
            <w:tcW w:w="993" w:type="pct"/>
            <w:shd w:val="clear" w:color="auto" w:fill="auto"/>
            <w:vAlign w:val="center"/>
          </w:tcPr>
          <w:p w14:paraId="2C17B639">
            <w:pPr>
              <w:pStyle w:val="55"/>
              <w:rPr>
                <w:rFonts w:hint="eastAsia" w:eastAsia="楷体"/>
                <w:lang w:val="en-US" w:eastAsia="zh-CN"/>
              </w:rPr>
            </w:pPr>
            <w:r>
              <w:rPr>
                <w:rFonts w:hint="eastAsia"/>
                <w:lang w:val="en-US" w:eastAsia="zh-CN"/>
              </w:rPr>
              <w:t>固废代码</w:t>
            </w:r>
          </w:p>
        </w:tc>
        <w:tc>
          <w:tcPr>
            <w:tcW w:w="738" w:type="pct"/>
            <w:shd w:val="clear" w:color="auto" w:fill="auto"/>
            <w:vAlign w:val="center"/>
          </w:tcPr>
          <w:p w14:paraId="11831E87">
            <w:pPr>
              <w:pStyle w:val="55"/>
            </w:pPr>
            <w:r>
              <w:t>产生量</w:t>
            </w:r>
            <w:r>
              <w:rPr>
                <w:rFonts w:hint="eastAsia"/>
              </w:rPr>
              <w:t>/(</w:t>
            </w:r>
            <w:r>
              <w:t>t/a</w:t>
            </w:r>
            <w:r>
              <w:rPr>
                <w:rFonts w:hint="eastAsia"/>
              </w:rPr>
              <w:t>)</w:t>
            </w:r>
          </w:p>
        </w:tc>
        <w:tc>
          <w:tcPr>
            <w:tcW w:w="1512" w:type="pct"/>
            <w:vAlign w:val="center"/>
          </w:tcPr>
          <w:p w14:paraId="118BC6DF">
            <w:pPr>
              <w:pStyle w:val="55"/>
            </w:pPr>
            <w:r>
              <w:rPr>
                <w:rFonts w:hint="eastAsia"/>
              </w:rPr>
              <w:t>处置方式</w:t>
            </w:r>
          </w:p>
        </w:tc>
      </w:tr>
      <w:tr w14:paraId="53712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54" w:hRule="atLeast"/>
          <w:jc w:val="center"/>
        </w:trPr>
        <w:tc>
          <w:tcPr>
            <w:tcW w:w="492" w:type="pct"/>
            <w:shd w:val="clear" w:color="auto" w:fill="auto"/>
            <w:vAlign w:val="center"/>
          </w:tcPr>
          <w:p w14:paraId="04EA5351">
            <w:pPr>
              <w:pStyle w:val="55"/>
              <w:rPr>
                <w:rFonts w:hint="eastAsia" w:eastAsia="楷体"/>
                <w:lang w:val="en-US" w:eastAsia="zh-CN"/>
              </w:rPr>
            </w:pPr>
            <w:r>
              <w:rPr>
                <w:rFonts w:hint="eastAsia"/>
                <w:lang w:val="en-US" w:eastAsia="zh-CN"/>
              </w:rPr>
              <w:t>1</w:t>
            </w:r>
          </w:p>
        </w:tc>
        <w:tc>
          <w:tcPr>
            <w:tcW w:w="1262" w:type="pct"/>
            <w:shd w:val="clear" w:color="auto" w:fill="auto"/>
            <w:vAlign w:val="center"/>
          </w:tcPr>
          <w:p w14:paraId="1C9FEF27">
            <w:pPr>
              <w:pStyle w:val="55"/>
            </w:pPr>
            <w:r>
              <w:rPr>
                <w:rFonts w:hint="eastAsia"/>
              </w:rPr>
              <w:t>分拣废物</w:t>
            </w:r>
          </w:p>
        </w:tc>
        <w:tc>
          <w:tcPr>
            <w:tcW w:w="993" w:type="pct"/>
            <w:shd w:val="clear" w:color="auto" w:fill="auto"/>
            <w:vAlign w:val="center"/>
          </w:tcPr>
          <w:p w14:paraId="39834B82">
            <w:pPr>
              <w:pStyle w:val="55"/>
            </w:pPr>
            <w:r>
              <w:rPr>
                <w:rFonts w:hint="eastAsia" w:ascii="Times New Roman" w:hAnsi="Times New Roman" w:eastAsia="宋体" w:cs="Times New Roman"/>
                <w:color w:val="auto"/>
                <w:highlight w:val="none"/>
                <w:lang w:val="en-US" w:eastAsia="zh-CN"/>
              </w:rPr>
              <w:t>900-999-99</w:t>
            </w:r>
          </w:p>
        </w:tc>
        <w:tc>
          <w:tcPr>
            <w:tcW w:w="738" w:type="pct"/>
            <w:shd w:val="clear" w:color="auto" w:fill="auto"/>
            <w:vAlign w:val="center"/>
          </w:tcPr>
          <w:p w14:paraId="4D0BB7D1">
            <w:pPr>
              <w:pStyle w:val="55"/>
              <w:rPr>
                <w:rFonts w:hint="default" w:eastAsia="楷体"/>
                <w:lang w:val="en-US" w:eastAsia="zh-CN"/>
              </w:rPr>
            </w:pPr>
            <w:r>
              <w:rPr>
                <w:rFonts w:hint="eastAsia"/>
                <w:lang w:val="en-US" w:eastAsia="zh-CN"/>
              </w:rPr>
              <w:t>1.83</w:t>
            </w:r>
          </w:p>
        </w:tc>
        <w:tc>
          <w:tcPr>
            <w:tcW w:w="1512" w:type="pct"/>
            <w:vAlign w:val="center"/>
          </w:tcPr>
          <w:p w14:paraId="08CA2732">
            <w:pPr>
              <w:pStyle w:val="55"/>
            </w:pPr>
            <w:r>
              <w:rPr>
                <w:rFonts w:hint="eastAsia"/>
              </w:rPr>
              <w:t>定期送往环卫部门指定地点处置</w:t>
            </w:r>
          </w:p>
        </w:tc>
      </w:tr>
      <w:tr w14:paraId="77730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54" w:hRule="atLeast"/>
          <w:jc w:val="center"/>
        </w:trPr>
        <w:tc>
          <w:tcPr>
            <w:tcW w:w="492" w:type="pct"/>
            <w:shd w:val="clear" w:color="auto" w:fill="auto"/>
            <w:vAlign w:val="center"/>
          </w:tcPr>
          <w:p w14:paraId="2564C8DA">
            <w:pPr>
              <w:pStyle w:val="55"/>
              <w:rPr>
                <w:rFonts w:hint="eastAsia" w:eastAsia="楷体"/>
                <w:lang w:val="en-US" w:eastAsia="zh-CN"/>
              </w:rPr>
            </w:pPr>
            <w:r>
              <w:rPr>
                <w:rFonts w:hint="eastAsia"/>
                <w:lang w:val="en-US" w:eastAsia="zh-CN"/>
              </w:rPr>
              <w:t>2</w:t>
            </w:r>
          </w:p>
        </w:tc>
        <w:tc>
          <w:tcPr>
            <w:tcW w:w="1262" w:type="pct"/>
            <w:shd w:val="clear" w:color="auto" w:fill="auto"/>
            <w:vAlign w:val="center"/>
          </w:tcPr>
          <w:p w14:paraId="74724038">
            <w:pPr>
              <w:pStyle w:val="55"/>
            </w:pPr>
            <w:r>
              <w:rPr>
                <w:rFonts w:hint="eastAsia"/>
              </w:rPr>
              <w:t>沉淀池污泥</w:t>
            </w:r>
          </w:p>
        </w:tc>
        <w:tc>
          <w:tcPr>
            <w:tcW w:w="993" w:type="pct"/>
            <w:shd w:val="clear" w:color="auto" w:fill="auto"/>
            <w:vAlign w:val="center"/>
          </w:tcPr>
          <w:p w14:paraId="52CF8BC0">
            <w:pPr>
              <w:pStyle w:val="55"/>
            </w:pPr>
            <w:r>
              <w:rPr>
                <w:rFonts w:hint="eastAsia" w:ascii="Times New Roman" w:hAnsi="Times New Roman" w:eastAsia="宋体" w:cs="Times New Roman"/>
                <w:color w:val="auto"/>
                <w:highlight w:val="none"/>
                <w:lang w:val="en-US" w:eastAsia="zh-CN"/>
              </w:rPr>
              <w:t>900-999-99</w:t>
            </w:r>
          </w:p>
        </w:tc>
        <w:tc>
          <w:tcPr>
            <w:tcW w:w="738" w:type="pct"/>
            <w:shd w:val="clear" w:color="auto" w:fill="auto"/>
            <w:vAlign w:val="center"/>
          </w:tcPr>
          <w:p w14:paraId="5B577417">
            <w:pPr>
              <w:pStyle w:val="55"/>
              <w:rPr>
                <w:rFonts w:hint="eastAsia" w:eastAsia="楷体"/>
                <w:lang w:val="en-US" w:eastAsia="zh-CN"/>
              </w:rPr>
            </w:pPr>
            <w:r>
              <w:rPr>
                <w:rFonts w:hint="eastAsia"/>
                <w:lang w:val="en-US" w:eastAsia="zh-CN"/>
              </w:rPr>
              <w:t>2</w:t>
            </w:r>
          </w:p>
        </w:tc>
        <w:tc>
          <w:tcPr>
            <w:tcW w:w="1512" w:type="pct"/>
            <w:vAlign w:val="center"/>
          </w:tcPr>
          <w:p w14:paraId="47EB9FBE">
            <w:pPr>
              <w:pStyle w:val="55"/>
            </w:pPr>
            <w:r>
              <w:rPr>
                <w:rFonts w:hint="eastAsia"/>
              </w:rPr>
              <w:t>定期清掏自然干化后作为生活垃圾交由环卫部门处理</w:t>
            </w:r>
          </w:p>
        </w:tc>
      </w:tr>
      <w:tr w14:paraId="1B8A4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54" w:hRule="atLeast"/>
          <w:jc w:val="center"/>
        </w:trPr>
        <w:tc>
          <w:tcPr>
            <w:tcW w:w="492" w:type="pct"/>
            <w:shd w:val="clear" w:color="auto" w:fill="auto"/>
            <w:vAlign w:val="center"/>
          </w:tcPr>
          <w:p w14:paraId="1ADE0ABD">
            <w:pPr>
              <w:pStyle w:val="55"/>
              <w:rPr>
                <w:rFonts w:hint="eastAsia" w:eastAsia="楷体"/>
                <w:lang w:val="en-US" w:eastAsia="zh-CN"/>
              </w:rPr>
            </w:pPr>
            <w:r>
              <w:rPr>
                <w:rFonts w:hint="eastAsia"/>
                <w:lang w:val="en-US" w:eastAsia="zh-CN"/>
              </w:rPr>
              <w:t>3</w:t>
            </w:r>
          </w:p>
        </w:tc>
        <w:tc>
          <w:tcPr>
            <w:tcW w:w="1262" w:type="pct"/>
            <w:shd w:val="clear" w:color="auto" w:fill="auto"/>
            <w:vAlign w:val="center"/>
          </w:tcPr>
          <w:p w14:paraId="51E1706B">
            <w:pPr>
              <w:pStyle w:val="55"/>
            </w:pPr>
            <w:r>
              <w:rPr>
                <w:rFonts w:hint="eastAsia"/>
              </w:rPr>
              <w:t>废滤网</w:t>
            </w:r>
          </w:p>
        </w:tc>
        <w:tc>
          <w:tcPr>
            <w:tcW w:w="993" w:type="pct"/>
            <w:shd w:val="clear" w:color="auto" w:fill="auto"/>
            <w:vAlign w:val="center"/>
          </w:tcPr>
          <w:p w14:paraId="01764616">
            <w:pPr>
              <w:pStyle w:val="55"/>
            </w:pPr>
            <w:r>
              <w:rPr>
                <w:rFonts w:hint="eastAsia" w:ascii="Times New Roman" w:hAnsi="Times New Roman" w:eastAsia="宋体" w:cs="Times New Roman"/>
                <w:color w:val="auto"/>
                <w:highlight w:val="none"/>
                <w:lang w:val="en-US" w:eastAsia="zh-CN"/>
              </w:rPr>
              <w:t>900-999-99</w:t>
            </w:r>
          </w:p>
        </w:tc>
        <w:tc>
          <w:tcPr>
            <w:tcW w:w="738" w:type="pct"/>
            <w:shd w:val="clear" w:color="auto" w:fill="auto"/>
            <w:vAlign w:val="center"/>
          </w:tcPr>
          <w:p w14:paraId="78458FD2">
            <w:pPr>
              <w:pStyle w:val="55"/>
              <w:rPr>
                <w:rFonts w:hint="default" w:eastAsia="楷体"/>
                <w:lang w:val="en-US" w:eastAsia="zh-CN"/>
              </w:rPr>
            </w:pPr>
            <w:r>
              <w:rPr>
                <w:rFonts w:hint="eastAsia"/>
                <w:lang w:val="en-US" w:eastAsia="zh-CN"/>
              </w:rPr>
              <w:t>3</w:t>
            </w:r>
          </w:p>
        </w:tc>
        <w:tc>
          <w:tcPr>
            <w:tcW w:w="1512" w:type="pct"/>
            <w:vAlign w:val="center"/>
          </w:tcPr>
          <w:p w14:paraId="18036F6F">
            <w:pPr>
              <w:pStyle w:val="55"/>
              <w:rPr>
                <w:rFonts w:hint="default"/>
                <w:lang w:val="en-US"/>
              </w:rPr>
            </w:pPr>
            <w:r>
              <w:rPr>
                <w:rFonts w:hint="default"/>
                <w:lang w:val="en-US" w:eastAsia="zh-CN"/>
              </w:rPr>
              <w:t>由厂家回收</w:t>
            </w:r>
            <w:r>
              <w:rPr>
                <w:rFonts w:hint="eastAsia"/>
                <w:lang w:val="en-US" w:eastAsia="zh-CN"/>
              </w:rPr>
              <w:t>处置</w:t>
            </w:r>
          </w:p>
        </w:tc>
      </w:tr>
      <w:tr w14:paraId="6EC9C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54" w:hRule="atLeast"/>
          <w:jc w:val="center"/>
        </w:trPr>
        <w:tc>
          <w:tcPr>
            <w:tcW w:w="492" w:type="pct"/>
            <w:shd w:val="clear" w:color="auto" w:fill="auto"/>
            <w:vAlign w:val="center"/>
          </w:tcPr>
          <w:p w14:paraId="0427EBC8">
            <w:pPr>
              <w:pStyle w:val="55"/>
              <w:rPr>
                <w:rFonts w:hint="eastAsia" w:eastAsia="楷体"/>
                <w:lang w:val="en-US" w:eastAsia="zh-CN"/>
              </w:rPr>
            </w:pPr>
            <w:r>
              <w:rPr>
                <w:rFonts w:hint="eastAsia"/>
                <w:lang w:val="en-US" w:eastAsia="zh-CN"/>
              </w:rPr>
              <w:t>4</w:t>
            </w:r>
          </w:p>
        </w:tc>
        <w:tc>
          <w:tcPr>
            <w:tcW w:w="1262" w:type="pct"/>
            <w:shd w:val="clear" w:color="auto" w:fill="auto"/>
            <w:vAlign w:val="center"/>
          </w:tcPr>
          <w:p w14:paraId="35CD0347">
            <w:pPr>
              <w:pStyle w:val="55"/>
            </w:pPr>
            <w:r>
              <w:rPr>
                <w:rFonts w:hint="eastAsia"/>
              </w:rPr>
              <w:t>布袋除尘器除尘灰</w:t>
            </w:r>
          </w:p>
        </w:tc>
        <w:tc>
          <w:tcPr>
            <w:tcW w:w="993" w:type="pct"/>
            <w:shd w:val="clear" w:color="auto" w:fill="auto"/>
            <w:vAlign w:val="center"/>
          </w:tcPr>
          <w:p w14:paraId="7D6F998E">
            <w:pPr>
              <w:pStyle w:val="55"/>
            </w:pPr>
            <w:r>
              <w:rPr>
                <w:rFonts w:hint="default" w:ascii="Times New Roman" w:hAnsi="Times New Roman" w:eastAsia="宋体" w:cs="Times New Roman"/>
                <w:color w:val="auto"/>
                <w:sz w:val="21"/>
                <w:szCs w:val="21"/>
                <w:highlight w:val="none"/>
                <w:lang w:val="en-US" w:eastAsia="en-US"/>
              </w:rPr>
              <w:t>900-999-99</w:t>
            </w:r>
          </w:p>
        </w:tc>
        <w:tc>
          <w:tcPr>
            <w:tcW w:w="738" w:type="pct"/>
            <w:shd w:val="clear" w:color="auto" w:fill="auto"/>
            <w:vAlign w:val="center"/>
          </w:tcPr>
          <w:p w14:paraId="6CE4D4D8">
            <w:pPr>
              <w:pStyle w:val="55"/>
              <w:rPr>
                <w:rFonts w:hint="default" w:eastAsia="楷体"/>
                <w:lang w:val="en-US" w:eastAsia="zh-CN"/>
              </w:rPr>
            </w:pPr>
            <w:r>
              <w:rPr>
                <w:rFonts w:hint="eastAsia"/>
                <w:lang w:val="en-US" w:eastAsia="zh-CN"/>
              </w:rPr>
              <w:t>110</w:t>
            </w:r>
          </w:p>
        </w:tc>
        <w:tc>
          <w:tcPr>
            <w:tcW w:w="1512" w:type="pct"/>
            <w:vAlign w:val="center"/>
          </w:tcPr>
          <w:p w14:paraId="467EDFA4">
            <w:pPr>
              <w:pStyle w:val="55"/>
            </w:pPr>
            <w:r>
              <w:rPr>
                <w:rFonts w:hint="eastAsia"/>
                <w:lang w:val="en-US" w:eastAsia="zh-CN"/>
              </w:rPr>
              <w:t>全部回用于生产</w:t>
            </w:r>
          </w:p>
        </w:tc>
      </w:tr>
      <w:tr w14:paraId="3BA61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54" w:hRule="atLeast"/>
          <w:jc w:val="center"/>
        </w:trPr>
        <w:tc>
          <w:tcPr>
            <w:tcW w:w="492" w:type="pct"/>
            <w:shd w:val="clear" w:color="auto" w:fill="auto"/>
            <w:vAlign w:val="center"/>
          </w:tcPr>
          <w:p w14:paraId="632F7476">
            <w:pPr>
              <w:pStyle w:val="55"/>
              <w:rPr>
                <w:rFonts w:hint="default"/>
                <w:lang w:val="en-US" w:eastAsia="zh-CN"/>
              </w:rPr>
            </w:pPr>
            <w:r>
              <w:rPr>
                <w:rFonts w:hint="eastAsia"/>
                <w:lang w:val="en-US" w:eastAsia="zh-CN"/>
              </w:rPr>
              <w:t>5</w:t>
            </w:r>
          </w:p>
        </w:tc>
        <w:tc>
          <w:tcPr>
            <w:tcW w:w="1262" w:type="pct"/>
            <w:shd w:val="clear" w:color="auto" w:fill="auto"/>
            <w:vAlign w:val="center"/>
          </w:tcPr>
          <w:p w14:paraId="54C07F56">
            <w:pPr>
              <w:pStyle w:val="55"/>
            </w:pPr>
            <w:r>
              <w:rPr>
                <w:rFonts w:hint="eastAsia"/>
              </w:rPr>
              <w:t>废包装袋</w:t>
            </w:r>
          </w:p>
        </w:tc>
        <w:tc>
          <w:tcPr>
            <w:tcW w:w="993" w:type="pct"/>
            <w:shd w:val="clear" w:color="auto" w:fill="auto"/>
            <w:vAlign w:val="center"/>
          </w:tcPr>
          <w:p w14:paraId="5FE77CA0">
            <w:pPr>
              <w:pStyle w:val="55"/>
            </w:pPr>
            <w:r>
              <w:rPr>
                <w:rFonts w:hint="default" w:ascii="Times New Roman" w:hAnsi="Times New Roman" w:eastAsia="宋体" w:cs="Times New Roman"/>
                <w:color w:val="auto"/>
                <w:sz w:val="21"/>
                <w:szCs w:val="21"/>
                <w:highlight w:val="none"/>
                <w:lang w:val="en-US" w:eastAsia="en-US"/>
              </w:rPr>
              <w:t>292-006-07</w:t>
            </w:r>
          </w:p>
        </w:tc>
        <w:tc>
          <w:tcPr>
            <w:tcW w:w="738" w:type="pct"/>
            <w:shd w:val="clear" w:color="auto" w:fill="auto"/>
            <w:vAlign w:val="center"/>
          </w:tcPr>
          <w:p w14:paraId="7159A53C">
            <w:pPr>
              <w:pStyle w:val="55"/>
              <w:rPr>
                <w:rFonts w:hint="default" w:eastAsia="楷体"/>
                <w:lang w:val="en-US" w:eastAsia="zh-CN"/>
              </w:rPr>
            </w:pPr>
            <w:r>
              <w:rPr>
                <w:rFonts w:hint="eastAsia"/>
                <w:lang w:val="en-US" w:eastAsia="zh-CN"/>
              </w:rPr>
              <w:t>1</w:t>
            </w:r>
          </w:p>
        </w:tc>
        <w:tc>
          <w:tcPr>
            <w:tcW w:w="1512" w:type="pct"/>
            <w:vAlign w:val="center"/>
          </w:tcPr>
          <w:p w14:paraId="60E793BA">
            <w:pPr>
              <w:pStyle w:val="55"/>
              <w:rPr>
                <w:rFonts w:hint="default" w:eastAsia="楷体"/>
                <w:lang w:val="en-US" w:eastAsia="zh-CN"/>
              </w:rPr>
            </w:pPr>
            <w:r>
              <w:rPr>
                <w:rFonts w:hint="eastAsia"/>
                <w:lang w:val="en-US" w:eastAsia="zh-CN"/>
              </w:rPr>
              <w:t>收集暂存后外售</w:t>
            </w:r>
          </w:p>
        </w:tc>
      </w:tr>
      <w:tr w14:paraId="7254E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54" w:hRule="atLeast"/>
          <w:jc w:val="center"/>
        </w:trPr>
        <w:tc>
          <w:tcPr>
            <w:tcW w:w="492" w:type="pct"/>
            <w:shd w:val="clear" w:color="auto" w:fill="auto"/>
            <w:vAlign w:val="center"/>
          </w:tcPr>
          <w:p w14:paraId="7450274D">
            <w:pPr>
              <w:pStyle w:val="55"/>
              <w:rPr>
                <w:rFonts w:hint="default"/>
                <w:lang w:val="en-US" w:eastAsia="zh-CN"/>
              </w:rPr>
            </w:pPr>
            <w:r>
              <w:rPr>
                <w:rFonts w:hint="eastAsia"/>
                <w:lang w:val="en-US" w:eastAsia="zh-CN"/>
              </w:rPr>
              <w:t>6</w:t>
            </w:r>
          </w:p>
        </w:tc>
        <w:tc>
          <w:tcPr>
            <w:tcW w:w="1262" w:type="pct"/>
            <w:shd w:val="clear" w:color="auto" w:fill="auto"/>
            <w:vAlign w:val="center"/>
          </w:tcPr>
          <w:p w14:paraId="248AA17D">
            <w:pPr>
              <w:pStyle w:val="55"/>
              <w:rPr>
                <w:rFonts w:hint="eastAsia" w:eastAsia="楷体"/>
                <w:lang w:val="en-US" w:eastAsia="zh-CN"/>
              </w:rPr>
            </w:pPr>
            <w:r>
              <w:rPr>
                <w:rFonts w:hint="eastAsia"/>
                <w:lang w:val="en-US" w:eastAsia="zh-CN"/>
              </w:rPr>
              <w:t>生活垃圾</w:t>
            </w:r>
          </w:p>
        </w:tc>
        <w:tc>
          <w:tcPr>
            <w:tcW w:w="993" w:type="pct"/>
            <w:shd w:val="clear" w:color="auto" w:fill="auto"/>
            <w:vAlign w:val="center"/>
          </w:tcPr>
          <w:p w14:paraId="0E68363C">
            <w:pPr>
              <w:pStyle w:val="55"/>
              <w:rPr>
                <w:rFonts w:hint="eastAsia"/>
                <w:lang w:val="en-US" w:eastAsia="zh-CN"/>
              </w:rPr>
            </w:pPr>
            <w:r>
              <w:rPr>
                <w:rFonts w:hint="default" w:ascii="Times New Roman" w:hAnsi="Times New Roman" w:eastAsia="宋体" w:cs="Times New Roman"/>
                <w:color w:val="auto"/>
                <w:sz w:val="21"/>
                <w:szCs w:val="21"/>
                <w:highlight w:val="none"/>
                <w:lang w:val="en-US" w:eastAsia="en-US"/>
              </w:rPr>
              <w:t>900-999-99</w:t>
            </w:r>
          </w:p>
        </w:tc>
        <w:tc>
          <w:tcPr>
            <w:tcW w:w="738" w:type="pct"/>
            <w:shd w:val="clear" w:color="auto" w:fill="auto"/>
            <w:vAlign w:val="center"/>
          </w:tcPr>
          <w:p w14:paraId="4C32FDDC">
            <w:pPr>
              <w:pStyle w:val="55"/>
            </w:pPr>
            <w:r>
              <w:rPr>
                <w:rFonts w:hint="eastAsia"/>
              </w:rPr>
              <w:t>7.5</w:t>
            </w:r>
          </w:p>
        </w:tc>
        <w:tc>
          <w:tcPr>
            <w:tcW w:w="1512" w:type="pct"/>
            <w:vAlign w:val="center"/>
          </w:tcPr>
          <w:p w14:paraId="3843B221">
            <w:pPr>
              <w:pStyle w:val="55"/>
            </w:pPr>
            <w:r>
              <w:rPr>
                <w:rFonts w:hint="eastAsia"/>
              </w:rPr>
              <w:t>由环卫部门集中收集后统一处置</w:t>
            </w:r>
          </w:p>
        </w:tc>
      </w:tr>
    </w:tbl>
    <w:p w14:paraId="2C9829C8">
      <w:pPr>
        <w:pStyle w:val="47"/>
        <w:ind w:firstLine="482" w:firstLineChars="0"/>
        <w:rPr>
          <w:lang w:val="en-US"/>
        </w:rPr>
      </w:pPr>
      <w:r>
        <w:rPr>
          <w:rFonts w:hint="eastAsia"/>
          <w:lang w:val="en-US"/>
        </w:rPr>
        <w:t>（3）危险废物</w:t>
      </w:r>
    </w:p>
    <w:p w14:paraId="7F823104">
      <w:pPr>
        <w:pStyle w:val="47"/>
        <w:bidi w:val="0"/>
        <w:rPr>
          <w:rFonts w:hint="default"/>
          <w:lang w:val="en-US" w:eastAsia="zh-CN"/>
        </w:rPr>
      </w:pPr>
      <w:r>
        <w:rPr>
          <w:rFonts w:hint="eastAsia" w:ascii="楷体" w:hAnsi="楷体" w:eastAsia="楷体" w:cs="楷体"/>
          <w:lang w:val="en-US" w:eastAsia="zh-CN"/>
        </w:rPr>
        <w:t>①</w:t>
      </w:r>
      <w:r>
        <w:rPr>
          <w:rFonts w:hint="default"/>
          <w:lang w:val="en-US" w:eastAsia="zh-CN"/>
        </w:rPr>
        <w:t>废活性炭</w:t>
      </w:r>
    </w:p>
    <w:p w14:paraId="2841AFEB">
      <w:pPr>
        <w:pStyle w:val="47"/>
        <w:bidi w:val="0"/>
        <w:rPr>
          <w:rFonts w:hint="default"/>
          <w:lang w:val="en-US" w:eastAsia="zh-CN"/>
        </w:rPr>
      </w:pPr>
      <w:r>
        <w:rPr>
          <w:rFonts w:hint="default"/>
          <w:lang w:val="en-US" w:eastAsia="zh-CN"/>
        </w:rPr>
        <w:t>项目有机废气经过两级活性炭吸附装置吸附处理，活性炭吸附一定量的废气后会饱和，根据该类处置措施设计运行数据，平均每1个月需要更换一次，每年工作时间约</w:t>
      </w:r>
      <w:r>
        <w:rPr>
          <w:rFonts w:hint="eastAsia"/>
          <w:lang w:val="en-US" w:eastAsia="zh-CN"/>
        </w:rPr>
        <w:t>10</w:t>
      </w:r>
      <w:r>
        <w:rPr>
          <w:rFonts w:hint="default"/>
          <w:lang w:val="en-US" w:eastAsia="zh-CN"/>
        </w:rPr>
        <w:t>个月，废活性炭产生量0.8t/次，则项目废活性炭产生量为</w:t>
      </w:r>
      <w:r>
        <w:rPr>
          <w:rFonts w:hint="eastAsia"/>
          <w:lang w:val="en-US" w:eastAsia="zh-CN"/>
        </w:rPr>
        <w:t>8</w:t>
      </w:r>
      <w:r>
        <w:rPr>
          <w:rFonts w:hint="default"/>
          <w:lang w:val="en-US" w:eastAsia="zh-CN"/>
        </w:rPr>
        <w:t>t/a，暂存于危废暂存间，定期委托有资质单位处置。</w:t>
      </w:r>
    </w:p>
    <w:p w14:paraId="6D38ACBC">
      <w:pPr>
        <w:pStyle w:val="47"/>
        <w:bidi w:val="0"/>
        <w:rPr>
          <w:rFonts w:hint="default"/>
          <w:lang w:val="en-US" w:eastAsia="zh-CN"/>
        </w:rPr>
      </w:pPr>
      <w:r>
        <w:rPr>
          <w:rFonts w:hint="eastAsia" w:ascii="楷体" w:hAnsi="楷体" w:eastAsia="楷体" w:cs="楷体"/>
          <w:lang w:val="en-US" w:eastAsia="zh-CN"/>
        </w:rPr>
        <w:t>②</w:t>
      </w:r>
      <w:r>
        <w:rPr>
          <w:rFonts w:hint="default"/>
          <w:lang w:val="en-US" w:eastAsia="zh-CN"/>
        </w:rPr>
        <w:t>废</w:t>
      </w:r>
      <w:r>
        <w:rPr>
          <w:rFonts w:hint="eastAsia"/>
          <w:lang w:val="en-US" w:eastAsia="zh-CN"/>
        </w:rPr>
        <w:t>过滤棉</w:t>
      </w:r>
    </w:p>
    <w:p w14:paraId="08D86F86">
      <w:pPr>
        <w:pStyle w:val="47"/>
        <w:bidi w:val="0"/>
        <w:rPr>
          <w:rFonts w:hint="default"/>
          <w:lang w:val="en-US" w:eastAsia="zh-CN"/>
        </w:rPr>
      </w:pPr>
      <w:r>
        <w:rPr>
          <w:rFonts w:hint="default"/>
          <w:lang w:val="en-US" w:eastAsia="zh-CN"/>
        </w:rPr>
        <w:t>活性炭装置前端的过滤箱，需定期更换过滤棉，过滤棉主要是拦截废气中的颗粒物，但不可避免地也会沾染、截留少量挥发性有机物，因此也视为危险废物，产生量约为</w:t>
      </w:r>
      <w:r>
        <w:rPr>
          <w:rFonts w:hint="eastAsia"/>
          <w:lang w:val="en-US" w:eastAsia="zh-CN"/>
        </w:rPr>
        <w:t>2</w:t>
      </w:r>
      <w:r>
        <w:rPr>
          <w:rFonts w:hint="default"/>
          <w:lang w:val="en-US" w:eastAsia="zh-CN"/>
        </w:rPr>
        <w:t>t/a，暂存于危废暂存间，定期委托有资质单位处置。</w:t>
      </w:r>
    </w:p>
    <w:p w14:paraId="0BC1C83D">
      <w:pPr>
        <w:pStyle w:val="47"/>
        <w:bidi w:val="0"/>
        <w:rPr>
          <w:rFonts w:hint="default"/>
          <w:lang w:val="en-US" w:eastAsia="zh-CN"/>
        </w:rPr>
      </w:pPr>
      <w:r>
        <w:rPr>
          <w:rFonts w:hint="eastAsia" w:ascii="楷体" w:hAnsi="楷体" w:eastAsia="楷体" w:cs="楷体"/>
          <w:lang w:val="en-US" w:eastAsia="zh-CN"/>
        </w:rPr>
        <w:t>③</w:t>
      </w:r>
      <w:r>
        <w:rPr>
          <w:rFonts w:hint="default"/>
          <w:lang w:val="en-US" w:eastAsia="zh-CN"/>
        </w:rPr>
        <w:t>废润滑油</w:t>
      </w:r>
      <w:r>
        <w:rPr>
          <w:rFonts w:hint="eastAsia"/>
          <w:lang w:val="en-US" w:eastAsia="zh-CN"/>
        </w:rPr>
        <w:t>及废</w:t>
      </w:r>
      <w:r>
        <w:rPr>
          <w:rFonts w:hint="default"/>
          <w:lang w:val="en-US" w:eastAsia="zh-CN"/>
        </w:rPr>
        <w:t>润滑油</w:t>
      </w:r>
      <w:r>
        <w:rPr>
          <w:rFonts w:hint="eastAsia"/>
          <w:lang w:val="en-US" w:eastAsia="zh-CN"/>
        </w:rPr>
        <w:t>桶</w:t>
      </w:r>
    </w:p>
    <w:p w14:paraId="76650E24">
      <w:pPr>
        <w:pStyle w:val="47"/>
        <w:bidi w:val="0"/>
        <w:rPr>
          <w:rFonts w:hint="default"/>
          <w:lang w:val="en-US" w:eastAsia="zh-CN"/>
        </w:rPr>
      </w:pPr>
      <w:r>
        <w:rPr>
          <w:rFonts w:hint="default"/>
          <w:lang w:val="en-US" w:eastAsia="zh-CN"/>
        </w:rPr>
        <w:t>项目设备维修、维护</w:t>
      </w:r>
      <w:r>
        <w:rPr>
          <w:rFonts w:hint="eastAsia"/>
          <w:lang w:val="en-US" w:eastAsia="zh-CN"/>
        </w:rPr>
        <w:t>会产生一定量的</w:t>
      </w:r>
      <w:r>
        <w:rPr>
          <w:rFonts w:hint="default"/>
          <w:lang w:val="en-US" w:eastAsia="zh-CN"/>
        </w:rPr>
        <w:t>废润滑油</w:t>
      </w:r>
      <w:r>
        <w:rPr>
          <w:rFonts w:hint="eastAsia"/>
          <w:lang w:val="en-US" w:eastAsia="zh-CN"/>
        </w:rPr>
        <w:t>、废</w:t>
      </w:r>
      <w:r>
        <w:rPr>
          <w:rFonts w:hint="default"/>
          <w:lang w:val="en-US" w:eastAsia="zh-CN"/>
        </w:rPr>
        <w:t>润滑油</w:t>
      </w:r>
      <w:r>
        <w:rPr>
          <w:rFonts w:hint="eastAsia"/>
          <w:lang w:val="en-US" w:eastAsia="zh-CN"/>
        </w:rPr>
        <w:t>桶</w:t>
      </w:r>
      <w:r>
        <w:rPr>
          <w:rFonts w:hint="default"/>
          <w:lang w:val="en-US" w:eastAsia="zh-CN"/>
        </w:rPr>
        <w:t>产生量约为</w:t>
      </w:r>
      <w:r>
        <w:rPr>
          <w:rFonts w:hint="eastAsia"/>
          <w:lang w:val="en-US" w:eastAsia="zh-CN"/>
        </w:rPr>
        <w:t>0.8</w:t>
      </w:r>
      <w:r>
        <w:rPr>
          <w:rFonts w:hint="default"/>
          <w:lang w:val="en-US" w:eastAsia="zh-CN"/>
        </w:rPr>
        <w:t>t/a</w:t>
      </w:r>
      <w:r>
        <w:rPr>
          <w:rFonts w:hint="eastAsia"/>
          <w:lang w:val="en-US" w:eastAsia="zh-CN"/>
        </w:rPr>
        <w:t>、0.5</w:t>
      </w:r>
      <w:r>
        <w:rPr>
          <w:rFonts w:hint="default"/>
          <w:lang w:val="en-US" w:eastAsia="zh-CN"/>
        </w:rPr>
        <w:t>t/a，暂存于危废暂存间，定期委托有资质单位处置。</w:t>
      </w:r>
    </w:p>
    <w:p w14:paraId="0D3FF82D">
      <w:pPr>
        <w:pStyle w:val="47"/>
        <w:ind w:firstLine="482"/>
      </w:pPr>
      <w:r>
        <w:rPr>
          <w:rFonts w:hint="eastAsia"/>
        </w:rPr>
        <w:t>本项目危险废物基本情况详见下表</w:t>
      </w:r>
      <w:r>
        <w:t>。</w:t>
      </w:r>
    </w:p>
    <w:p w14:paraId="37B8CE71">
      <w:pPr>
        <w:pStyle w:val="94"/>
        <w:bidi w:val="0"/>
        <w:ind w:left="0" w:leftChars="0" w:firstLine="0" w:firstLineChars="0"/>
        <w:rPr>
          <w:rFonts w:hint="default"/>
          <w:lang w:val="en-US" w:eastAsia="zh-CN"/>
        </w:rPr>
      </w:pPr>
      <w:r>
        <w:rPr>
          <w:rFonts w:hint="default"/>
          <w:lang w:val="en-US" w:eastAsia="zh-CN"/>
        </w:rPr>
        <w:t>项目危险废物分析结果汇总表</w:t>
      </w:r>
    </w:p>
    <w:tbl>
      <w:tblPr>
        <w:tblStyle w:val="3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1087"/>
        <w:gridCol w:w="1848"/>
        <w:gridCol w:w="1300"/>
        <w:gridCol w:w="977"/>
        <w:gridCol w:w="1211"/>
        <w:gridCol w:w="778"/>
        <w:gridCol w:w="935"/>
        <w:gridCol w:w="988"/>
      </w:tblGrid>
      <w:tr w14:paraId="02083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595" w:type="pct"/>
            <w:tcBorders>
              <w:tl2br w:val="nil"/>
              <w:tr2bl w:val="nil"/>
            </w:tcBorders>
            <w:noWrap w:val="0"/>
            <w:vAlign w:val="center"/>
          </w:tcPr>
          <w:p w14:paraId="08C32285">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名称</w:t>
            </w:r>
          </w:p>
        </w:tc>
        <w:tc>
          <w:tcPr>
            <w:tcW w:w="1012" w:type="pct"/>
            <w:tcBorders>
              <w:tl2br w:val="nil"/>
              <w:tr2bl w:val="nil"/>
            </w:tcBorders>
            <w:noWrap w:val="0"/>
            <w:vAlign w:val="center"/>
          </w:tcPr>
          <w:p w14:paraId="57A3F10C">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类别</w:t>
            </w:r>
          </w:p>
        </w:tc>
        <w:tc>
          <w:tcPr>
            <w:tcW w:w="712" w:type="pct"/>
            <w:tcBorders>
              <w:tl2br w:val="nil"/>
              <w:tr2bl w:val="nil"/>
            </w:tcBorders>
            <w:noWrap w:val="0"/>
            <w:vAlign w:val="center"/>
          </w:tcPr>
          <w:p w14:paraId="77AEC664">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代码</w:t>
            </w:r>
          </w:p>
        </w:tc>
        <w:tc>
          <w:tcPr>
            <w:tcW w:w="535" w:type="pct"/>
            <w:tcBorders>
              <w:tl2br w:val="nil"/>
              <w:tr2bl w:val="nil"/>
            </w:tcBorders>
            <w:noWrap w:val="0"/>
            <w:vAlign w:val="center"/>
          </w:tcPr>
          <w:p w14:paraId="580E3DE3">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产生量</w:t>
            </w:r>
          </w:p>
        </w:tc>
        <w:tc>
          <w:tcPr>
            <w:tcW w:w="663" w:type="pct"/>
            <w:tcBorders>
              <w:tl2br w:val="nil"/>
              <w:tr2bl w:val="nil"/>
            </w:tcBorders>
            <w:noWrap w:val="0"/>
            <w:vAlign w:val="center"/>
          </w:tcPr>
          <w:p w14:paraId="2573E614">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产生工序及装置</w:t>
            </w:r>
          </w:p>
        </w:tc>
        <w:tc>
          <w:tcPr>
            <w:tcW w:w="426" w:type="pct"/>
            <w:tcBorders>
              <w:tl2br w:val="nil"/>
              <w:tr2bl w:val="nil"/>
            </w:tcBorders>
            <w:noWrap w:val="0"/>
            <w:vAlign w:val="center"/>
          </w:tcPr>
          <w:p w14:paraId="75F442AD">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形态</w:t>
            </w:r>
          </w:p>
        </w:tc>
        <w:tc>
          <w:tcPr>
            <w:tcW w:w="512" w:type="pct"/>
            <w:tcBorders>
              <w:tl2br w:val="nil"/>
              <w:tr2bl w:val="nil"/>
            </w:tcBorders>
            <w:noWrap w:val="0"/>
            <w:vAlign w:val="center"/>
          </w:tcPr>
          <w:p w14:paraId="2E98D4EB">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有害</w:t>
            </w:r>
          </w:p>
          <w:p w14:paraId="31932BC6">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成分</w:t>
            </w:r>
          </w:p>
        </w:tc>
        <w:tc>
          <w:tcPr>
            <w:tcW w:w="541" w:type="pct"/>
            <w:tcBorders>
              <w:tl2br w:val="nil"/>
              <w:tr2bl w:val="nil"/>
            </w:tcBorders>
            <w:noWrap w:val="0"/>
            <w:vAlign w:val="center"/>
          </w:tcPr>
          <w:p w14:paraId="3C288A3C">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危险</w:t>
            </w:r>
          </w:p>
          <w:p w14:paraId="6B2BE9CC">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特性</w:t>
            </w:r>
          </w:p>
        </w:tc>
      </w:tr>
      <w:tr w14:paraId="407BE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595" w:type="pct"/>
            <w:tcBorders>
              <w:tl2br w:val="nil"/>
              <w:tr2bl w:val="nil"/>
            </w:tcBorders>
            <w:noWrap w:val="0"/>
            <w:vAlign w:val="center"/>
          </w:tcPr>
          <w:p w14:paraId="32F4B066">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废活性炭</w:t>
            </w:r>
          </w:p>
        </w:tc>
        <w:tc>
          <w:tcPr>
            <w:tcW w:w="1012" w:type="pct"/>
            <w:tcBorders>
              <w:tl2br w:val="nil"/>
              <w:tr2bl w:val="nil"/>
            </w:tcBorders>
            <w:noWrap w:val="0"/>
            <w:vAlign w:val="center"/>
          </w:tcPr>
          <w:p w14:paraId="45E79575">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HW49其他废物</w:t>
            </w:r>
          </w:p>
        </w:tc>
        <w:tc>
          <w:tcPr>
            <w:tcW w:w="712" w:type="pct"/>
            <w:tcBorders>
              <w:tl2br w:val="nil"/>
              <w:tr2bl w:val="nil"/>
            </w:tcBorders>
            <w:noWrap w:val="0"/>
            <w:vAlign w:val="center"/>
          </w:tcPr>
          <w:p w14:paraId="462D54D3">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900-0</w:t>
            </w:r>
            <w:r>
              <w:rPr>
                <w:rFonts w:hint="eastAsia" w:ascii="Times New Roman" w:hAnsi="Times New Roman" w:eastAsia="楷体" w:cs="Times New Roman"/>
                <w:color w:val="000000" w:themeColor="text1"/>
                <w:sz w:val="24"/>
                <w:szCs w:val="24"/>
                <w:highlight w:val="none"/>
                <w14:textFill>
                  <w14:solidFill>
                    <w14:schemeClr w14:val="tx1"/>
                  </w14:solidFill>
                </w14:textFill>
              </w:rPr>
              <w:t>39</w:t>
            </w:r>
            <w:r>
              <w:rPr>
                <w:rFonts w:hint="default" w:ascii="Times New Roman" w:hAnsi="Times New Roman" w:eastAsia="楷体" w:cs="Times New Roman"/>
                <w:color w:val="000000" w:themeColor="text1"/>
                <w:sz w:val="24"/>
                <w:szCs w:val="24"/>
                <w:highlight w:val="none"/>
                <w14:textFill>
                  <w14:solidFill>
                    <w14:schemeClr w14:val="tx1"/>
                  </w14:solidFill>
                </w14:textFill>
              </w:rPr>
              <w:t>-49</w:t>
            </w:r>
          </w:p>
        </w:tc>
        <w:tc>
          <w:tcPr>
            <w:tcW w:w="535" w:type="pct"/>
            <w:tcBorders>
              <w:tl2br w:val="nil"/>
              <w:tr2bl w:val="nil"/>
            </w:tcBorders>
            <w:noWrap w:val="0"/>
            <w:vAlign w:val="center"/>
          </w:tcPr>
          <w:p w14:paraId="3860AF71">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eastAsia" w:eastAsia="楷体" w:cs="Times New Roman"/>
                <w:snapToGrid w:val="0"/>
                <w:color w:val="000000" w:themeColor="text1"/>
                <w:sz w:val="24"/>
                <w:szCs w:val="24"/>
                <w:highlight w:val="none"/>
                <w:lang w:val="en-US" w:eastAsia="zh-CN" w:bidi="ar-SA"/>
                <w14:textFill>
                  <w14:solidFill>
                    <w14:schemeClr w14:val="tx1"/>
                  </w14:solidFill>
                </w14:textFill>
              </w:rPr>
              <w:t>8</w:t>
            </w:r>
            <w:r>
              <w:rPr>
                <w:rFonts w:hint="default" w:ascii="Times New Roman" w:hAnsi="Times New Roman" w:eastAsia="楷体" w:cs="Times New Roman"/>
                <w:color w:val="000000" w:themeColor="text1"/>
                <w:sz w:val="24"/>
                <w:szCs w:val="24"/>
                <w:highlight w:val="none"/>
                <w14:textFill>
                  <w14:solidFill>
                    <w14:schemeClr w14:val="tx1"/>
                  </w14:solidFill>
                </w14:textFill>
              </w:rPr>
              <w:t>t/</w:t>
            </w:r>
            <w:r>
              <w:rPr>
                <w:rFonts w:hint="eastAsia" w:ascii="Times New Roman" w:hAnsi="Times New Roman" w:eastAsia="楷体" w:cs="Times New Roman"/>
                <w:color w:val="000000" w:themeColor="text1"/>
                <w:sz w:val="24"/>
                <w:szCs w:val="24"/>
                <w:highlight w:val="none"/>
                <w14:textFill>
                  <w14:solidFill>
                    <w14:schemeClr w14:val="tx1"/>
                  </w14:solidFill>
                </w14:textFill>
              </w:rPr>
              <w:t>a</w:t>
            </w:r>
          </w:p>
        </w:tc>
        <w:tc>
          <w:tcPr>
            <w:tcW w:w="663" w:type="pct"/>
            <w:vMerge w:val="restart"/>
            <w:tcBorders>
              <w:tl2br w:val="nil"/>
              <w:tr2bl w:val="nil"/>
            </w:tcBorders>
            <w:noWrap w:val="0"/>
            <w:vAlign w:val="center"/>
          </w:tcPr>
          <w:p w14:paraId="32564A28">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两级活性炭吸附装置</w:t>
            </w:r>
          </w:p>
        </w:tc>
        <w:tc>
          <w:tcPr>
            <w:tcW w:w="426" w:type="pct"/>
            <w:tcBorders>
              <w:tl2br w:val="nil"/>
              <w:tr2bl w:val="nil"/>
            </w:tcBorders>
            <w:noWrap w:val="0"/>
            <w:vAlign w:val="center"/>
          </w:tcPr>
          <w:p w14:paraId="193621DC">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固态</w:t>
            </w:r>
          </w:p>
        </w:tc>
        <w:tc>
          <w:tcPr>
            <w:tcW w:w="512" w:type="pct"/>
            <w:tcBorders>
              <w:tl2br w:val="nil"/>
              <w:tr2bl w:val="nil"/>
            </w:tcBorders>
            <w:noWrap w:val="0"/>
            <w:vAlign w:val="center"/>
          </w:tcPr>
          <w:p w14:paraId="5A33FF5B">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lang w:val="en-US" w:eastAsia="zh-CN"/>
                <w14:textFill>
                  <w14:solidFill>
                    <w14:schemeClr w14:val="tx1"/>
                  </w14:solidFill>
                </w14:textFill>
              </w:rPr>
            </w:pPr>
            <w:r>
              <w:rPr>
                <w:rFonts w:hint="eastAsia" w:eastAsia="楷体" w:cs="Times New Roman"/>
                <w:color w:val="000000" w:themeColor="text1"/>
                <w:sz w:val="24"/>
                <w:szCs w:val="24"/>
                <w:highlight w:val="none"/>
                <w:lang w:val="en-US" w:eastAsia="zh-CN"/>
                <w14:textFill>
                  <w14:solidFill>
                    <w14:schemeClr w14:val="tx1"/>
                  </w14:solidFill>
                </w14:textFill>
              </w:rPr>
              <w:t>挥发性有机物</w:t>
            </w:r>
          </w:p>
        </w:tc>
        <w:tc>
          <w:tcPr>
            <w:tcW w:w="541" w:type="pct"/>
            <w:tcBorders>
              <w:tl2br w:val="nil"/>
              <w:tr2bl w:val="nil"/>
            </w:tcBorders>
            <w:noWrap w:val="0"/>
            <w:vAlign w:val="center"/>
          </w:tcPr>
          <w:p w14:paraId="2BCBA994">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T</w:t>
            </w:r>
          </w:p>
        </w:tc>
      </w:tr>
      <w:tr w14:paraId="78FCC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595" w:type="pct"/>
            <w:tcBorders>
              <w:tl2br w:val="nil"/>
              <w:tr2bl w:val="nil"/>
            </w:tcBorders>
            <w:noWrap w:val="0"/>
            <w:vAlign w:val="center"/>
          </w:tcPr>
          <w:p w14:paraId="3ACC0922">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eastAsia" w:ascii="Times New Roman" w:hAnsi="Times New Roman" w:eastAsia="楷体" w:cs="Times New Roman"/>
                <w:color w:val="000000" w:themeColor="text1"/>
                <w:sz w:val="24"/>
                <w:szCs w:val="24"/>
                <w:highlight w:val="none"/>
                <w:lang w:val="en-US" w:eastAsia="zh-CN"/>
                <w14:textFill>
                  <w14:solidFill>
                    <w14:schemeClr w14:val="tx1"/>
                  </w14:solidFill>
                </w14:textFill>
              </w:rPr>
            </w:pPr>
            <w:r>
              <w:rPr>
                <w:rFonts w:hint="eastAsia" w:eastAsia="楷体" w:cs="Times New Roman"/>
                <w:color w:val="000000" w:themeColor="text1"/>
                <w:sz w:val="24"/>
                <w:szCs w:val="24"/>
                <w:highlight w:val="none"/>
                <w:lang w:val="en-US" w:eastAsia="zh-CN"/>
                <w14:textFill>
                  <w14:solidFill>
                    <w14:schemeClr w14:val="tx1"/>
                  </w14:solidFill>
                </w14:textFill>
              </w:rPr>
              <w:t>废过滤棉</w:t>
            </w:r>
          </w:p>
        </w:tc>
        <w:tc>
          <w:tcPr>
            <w:tcW w:w="1012" w:type="pct"/>
            <w:tcBorders>
              <w:tl2br w:val="nil"/>
              <w:tr2bl w:val="nil"/>
            </w:tcBorders>
            <w:noWrap w:val="0"/>
            <w:vAlign w:val="center"/>
          </w:tcPr>
          <w:p w14:paraId="0815581E">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HW49其他废物</w:t>
            </w:r>
          </w:p>
        </w:tc>
        <w:tc>
          <w:tcPr>
            <w:tcW w:w="712" w:type="pct"/>
            <w:tcBorders>
              <w:tl2br w:val="nil"/>
              <w:tr2bl w:val="nil"/>
            </w:tcBorders>
            <w:noWrap w:val="0"/>
            <w:vAlign w:val="center"/>
          </w:tcPr>
          <w:p w14:paraId="3E5C5707">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b w:val="0"/>
                <w:bCs w:val="0"/>
                <w:color w:val="000000" w:themeColor="text1"/>
                <w:kern w:val="0"/>
                <w:sz w:val="24"/>
                <w:szCs w:val="24"/>
                <w:highlight w:val="none"/>
                <w:lang w:val="en-US" w:eastAsia="zh-CN" w:bidi="ar"/>
                <w14:textFill>
                  <w14:solidFill>
                    <w14:schemeClr w14:val="tx1"/>
                  </w14:solidFill>
                </w14:textFill>
              </w:rPr>
              <w:t>900-041-49</w:t>
            </w:r>
          </w:p>
        </w:tc>
        <w:tc>
          <w:tcPr>
            <w:tcW w:w="535" w:type="pct"/>
            <w:tcBorders>
              <w:tl2br w:val="nil"/>
              <w:tr2bl w:val="nil"/>
            </w:tcBorders>
            <w:noWrap w:val="0"/>
            <w:vAlign w:val="center"/>
          </w:tcPr>
          <w:p w14:paraId="440B24AC">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lang w:val="en-US" w:eastAsia="zh-CN"/>
                <w14:textFill>
                  <w14:solidFill>
                    <w14:schemeClr w14:val="tx1"/>
                  </w14:solidFill>
                </w14:textFill>
              </w:rPr>
            </w:pPr>
            <w:r>
              <w:rPr>
                <w:rFonts w:hint="eastAsia" w:eastAsia="楷体" w:cs="Times New Roman"/>
                <w:color w:val="000000" w:themeColor="text1"/>
                <w:sz w:val="24"/>
                <w:szCs w:val="24"/>
                <w:highlight w:val="none"/>
                <w:lang w:val="en-US" w:eastAsia="zh-CN"/>
                <w14:textFill>
                  <w14:solidFill>
                    <w14:schemeClr w14:val="tx1"/>
                  </w14:solidFill>
                </w14:textFill>
              </w:rPr>
              <w:t>2t/a</w:t>
            </w:r>
          </w:p>
        </w:tc>
        <w:tc>
          <w:tcPr>
            <w:tcW w:w="663" w:type="pct"/>
            <w:vMerge w:val="continue"/>
            <w:tcBorders>
              <w:tl2br w:val="nil"/>
              <w:tr2bl w:val="nil"/>
            </w:tcBorders>
            <w:noWrap w:val="0"/>
            <w:vAlign w:val="center"/>
          </w:tcPr>
          <w:p w14:paraId="5378A54D">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p>
        </w:tc>
        <w:tc>
          <w:tcPr>
            <w:tcW w:w="426" w:type="pct"/>
            <w:tcBorders>
              <w:tl2br w:val="nil"/>
              <w:tr2bl w:val="nil"/>
            </w:tcBorders>
            <w:noWrap w:val="0"/>
            <w:vAlign w:val="center"/>
          </w:tcPr>
          <w:p w14:paraId="6470200C">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固态</w:t>
            </w:r>
          </w:p>
        </w:tc>
        <w:tc>
          <w:tcPr>
            <w:tcW w:w="512" w:type="pct"/>
            <w:tcBorders>
              <w:tl2br w:val="nil"/>
              <w:tr2bl w:val="nil"/>
            </w:tcBorders>
            <w:noWrap w:val="0"/>
            <w:vAlign w:val="center"/>
          </w:tcPr>
          <w:p w14:paraId="42B5089D">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lang w:val="en-US" w:eastAsia="zh-CN"/>
                <w14:textFill>
                  <w14:solidFill>
                    <w14:schemeClr w14:val="tx1"/>
                  </w14:solidFill>
                </w14:textFill>
              </w:rPr>
            </w:pPr>
            <w:r>
              <w:rPr>
                <w:rFonts w:hint="eastAsia" w:eastAsia="楷体" w:cs="Times New Roman"/>
                <w:color w:val="000000" w:themeColor="text1"/>
                <w:sz w:val="24"/>
                <w:szCs w:val="24"/>
                <w:highlight w:val="none"/>
                <w:lang w:val="en-US" w:eastAsia="zh-CN"/>
                <w14:textFill>
                  <w14:solidFill>
                    <w14:schemeClr w14:val="tx1"/>
                  </w14:solidFill>
                </w14:textFill>
              </w:rPr>
              <w:t>挥发性有机物</w:t>
            </w:r>
          </w:p>
        </w:tc>
        <w:tc>
          <w:tcPr>
            <w:tcW w:w="541" w:type="pct"/>
            <w:tcBorders>
              <w:tl2br w:val="nil"/>
              <w:tr2bl w:val="nil"/>
            </w:tcBorders>
            <w:noWrap w:val="0"/>
            <w:vAlign w:val="center"/>
          </w:tcPr>
          <w:p w14:paraId="52D5073A">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T</w:t>
            </w:r>
            <w:r>
              <w:rPr>
                <w:rFonts w:hint="eastAsia" w:eastAsia="楷体" w:cs="Times New Roman"/>
                <w:color w:val="000000" w:themeColor="text1"/>
                <w:sz w:val="24"/>
                <w:szCs w:val="24"/>
                <w:highlight w:val="none"/>
                <w:lang w:val="en-US" w:eastAsia="zh-CN"/>
                <w14:textFill>
                  <w14:solidFill>
                    <w14:schemeClr w14:val="tx1"/>
                  </w14:solidFill>
                </w14:textFill>
              </w:rPr>
              <w:t>/In</w:t>
            </w:r>
          </w:p>
        </w:tc>
      </w:tr>
      <w:tr w14:paraId="797CA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595" w:type="pct"/>
            <w:tcBorders>
              <w:tl2br w:val="nil"/>
              <w:tr2bl w:val="nil"/>
            </w:tcBorders>
            <w:noWrap w:val="0"/>
            <w:vAlign w:val="center"/>
          </w:tcPr>
          <w:p w14:paraId="3AFDBBCA">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eastAsia" w:ascii="Times New Roman" w:hAnsi="Times New Roman" w:eastAsia="楷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废</w:t>
            </w:r>
            <w:r>
              <w:rPr>
                <w:rFonts w:hint="eastAsia" w:ascii="Times New Roman" w:hAnsi="Times New Roman" w:eastAsia="楷体" w:cs="Times New Roman"/>
                <w:color w:val="000000" w:themeColor="text1"/>
                <w:sz w:val="24"/>
                <w:szCs w:val="24"/>
                <w:highlight w:val="none"/>
                <w:lang w:val="en-US" w:eastAsia="zh-CN"/>
                <w14:textFill>
                  <w14:solidFill>
                    <w14:schemeClr w14:val="tx1"/>
                  </w14:solidFill>
                </w14:textFill>
              </w:rPr>
              <w:t>润滑油</w:t>
            </w:r>
          </w:p>
        </w:tc>
        <w:tc>
          <w:tcPr>
            <w:tcW w:w="1012" w:type="pct"/>
            <w:tcBorders>
              <w:tl2br w:val="nil"/>
              <w:tr2bl w:val="nil"/>
            </w:tcBorders>
            <w:noWrap w:val="0"/>
            <w:vAlign w:val="center"/>
          </w:tcPr>
          <w:p w14:paraId="6140B668">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HW08废矿物油</w:t>
            </w:r>
            <w:r>
              <w:rPr>
                <w:rFonts w:hint="eastAsia" w:eastAsia="楷体" w:cs="Times New Roman"/>
                <w:color w:val="000000" w:themeColor="text1"/>
                <w:sz w:val="24"/>
                <w:szCs w:val="24"/>
                <w:highlight w:val="none"/>
                <w:lang w:val="en-US" w:eastAsia="zh-CN"/>
                <w14:textFill>
                  <w14:solidFill>
                    <w14:schemeClr w14:val="tx1"/>
                  </w14:solidFill>
                </w14:textFill>
              </w:rPr>
              <w:t>与</w:t>
            </w:r>
            <w:r>
              <w:rPr>
                <w:rFonts w:hint="default" w:ascii="Times New Roman" w:hAnsi="Times New Roman" w:eastAsia="楷体" w:cs="Times New Roman"/>
                <w:color w:val="000000" w:themeColor="text1"/>
                <w:sz w:val="24"/>
                <w:szCs w:val="24"/>
                <w:highlight w:val="none"/>
                <w14:textFill>
                  <w14:solidFill>
                    <w14:schemeClr w14:val="tx1"/>
                  </w14:solidFill>
                </w14:textFill>
              </w:rPr>
              <w:t>含矿物油废物</w:t>
            </w:r>
          </w:p>
        </w:tc>
        <w:tc>
          <w:tcPr>
            <w:tcW w:w="712" w:type="pct"/>
            <w:tcBorders>
              <w:tl2br w:val="nil"/>
              <w:tr2bl w:val="nil"/>
            </w:tcBorders>
            <w:noWrap w:val="0"/>
            <w:vAlign w:val="center"/>
          </w:tcPr>
          <w:p w14:paraId="31C73CA3">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900-214-08</w:t>
            </w:r>
          </w:p>
        </w:tc>
        <w:tc>
          <w:tcPr>
            <w:tcW w:w="535" w:type="pct"/>
            <w:tcBorders>
              <w:tl2br w:val="nil"/>
              <w:tr2bl w:val="nil"/>
            </w:tcBorders>
            <w:noWrap w:val="0"/>
            <w:vAlign w:val="center"/>
          </w:tcPr>
          <w:p w14:paraId="6F3A3219">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0.</w:t>
            </w:r>
            <w:r>
              <w:rPr>
                <w:rFonts w:hint="eastAsia" w:ascii="Times New Roman" w:hAnsi="Times New Roman" w:eastAsia="楷体" w:cs="Times New Roman"/>
                <w:color w:val="000000" w:themeColor="text1"/>
                <w:sz w:val="24"/>
                <w:szCs w:val="24"/>
                <w:highlight w:val="none"/>
                <w:lang w:val="en-US" w:eastAsia="zh-CN"/>
                <w14:textFill>
                  <w14:solidFill>
                    <w14:schemeClr w14:val="tx1"/>
                  </w14:solidFill>
                </w14:textFill>
              </w:rPr>
              <w:t>8</w:t>
            </w:r>
            <w:r>
              <w:rPr>
                <w:rFonts w:hint="default" w:ascii="Times New Roman" w:hAnsi="Times New Roman" w:eastAsia="楷体" w:cs="Times New Roman"/>
                <w:color w:val="000000" w:themeColor="text1"/>
                <w:sz w:val="24"/>
                <w:szCs w:val="24"/>
                <w:highlight w:val="none"/>
                <w14:textFill>
                  <w14:solidFill>
                    <w14:schemeClr w14:val="tx1"/>
                  </w14:solidFill>
                </w14:textFill>
              </w:rPr>
              <w:t>t/a</w:t>
            </w:r>
          </w:p>
        </w:tc>
        <w:tc>
          <w:tcPr>
            <w:tcW w:w="663" w:type="pct"/>
            <w:tcBorders>
              <w:tl2br w:val="nil"/>
              <w:tr2bl w:val="nil"/>
            </w:tcBorders>
            <w:noWrap w:val="0"/>
            <w:vAlign w:val="center"/>
          </w:tcPr>
          <w:p w14:paraId="02565438">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设备维修</w:t>
            </w:r>
          </w:p>
        </w:tc>
        <w:tc>
          <w:tcPr>
            <w:tcW w:w="426" w:type="pct"/>
            <w:tcBorders>
              <w:tl2br w:val="nil"/>
              <w:tr2bl w:val="nil"/>
            </w:tcBorders>
            <w:noWrap w:val="0"/>
            <w:vAlign w:val="center"/>
          </w:tcPr>
          <w:p w14:paraId="75EC1E27">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eastAsia" w:eastAsia="楷体" w:cs="Times New Roman"/>
                <w:color w:val="000000" w:themeColor="text1"/>
                <w:sz w:val="24"/>
                <w:szCs w:val="24"/>
                <w:highlight w:val="none"/>
                <w:lang w:eastAsia="zh-CN"/>
                <w14:textFill>
                  <w14:solidFill>
                    <w14:schemeClr w14:val="tx1"/>
                  </w14:solidFill>
                </w14:textFill>
              </w:rPr>
              <w:t>半固</w:t>
            </w:r>
            <w:r>
              <w:rPr>
                <w:rFonts w:hint="default" w:ascii="Times New Roman" w:hAnsi="Times New Roman" w:eastAsia="楷体" w:cs="Times New Roman"/>
                <w:color w:val="000000" w:themeColor="text1"/>
                <w:sz w:val="24"/>
                <w:szCs w:val="24"/>
                <w:highlight w:val="none"/>
                <w14:textFill>
                  <w14:solidFill>
                    <w14:schemeClr w14:val="tx1"/>
                  </w14:solidFill>
                </w14:textFill>
              </w:rPr>
              <w:t>态</w:t>
            </w:r>
          </w:p>
        </w:tc>
        <w:tc>
          <w:tcPr>
            <w:tcW w:w="512" w:type="pct"/>
            <w:tcBorders>
              <w:tl2br w:val="nil"/>
              <w:tr2bl w:val="nil"/>
            </w:tcBorders>
            <w:noWrap w:val="0"/>
            <w:vAlign w:val="center"/>
          </w:tcPr>
          <w:p w14:paraId="17A685BE">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矿物油</w:t>
            </w:r>
          </w:p>
        </w:tc>
        <w:tc>
          <w:tcPr>
            <w:tcW w:w="541" w:type="pct"/>
            <w:tcBorders>
              <w:tl2br w:val="nil"/>
              <w:tr2bl w:val="nil"/>
            </w:tcBorders>
            <w:noWrap w:val="0"/>
            <w:vAlign w:val="center"/>
          </w:tcPr>
          <w:p w14:paraId="192E7A4E">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T、I</w:t>
            </w:r>
          </w:p>
        </w:tc>
      </w:tr>
      <w:tr w14:paraId="4DE62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595" w:type="pct"/>
            <w:tcBorders>
              <w:tl2br w:val="nil"/>
              <w:tr2bl w:val="nil"/>
            </w:tcBorders>
            <w:noWrap w:val="0"/>
            <w:vAlign w:val="center"/>
          </w:tcPr>
          <w:p w14:paraId="4EC9C240">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lang w:val="en-US"/>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废</w:t>
            </w:r>
            <w:r>
              <w:rPr>
                <w:rFonts w:hint="eastAsia" w:ascii="Times New Roman" w:hAnsi="Times New Roman" w:eastAsia="楷体" w:cs="Times New Roman"/>
                <w:color w:val="000000" w:themeColor="text1"/>
                <w:sz w:val="24"/>
                <w:szCs w:val="24"/>
                <w:highlight w:val="none"/>
                <w:lang w:val="en-US" w:eastAsia="zh-CN"/>
                <w14:textFill>
                  <w14:solidFill>
                    <w14:schemeClr w14:val="tx1"/>
                  </w14:solidFill>
                </w14:textFill>
              </w:rPr>
              <w:t>润滑油桶</w:t>
            </w:r>
          </w:p>
        </w:tc>
        <w:tc>
          <w:tcPr>
            <w:tcW w:w="1012" w:type="pct"/>
            <w:tcBorders>
              <w:tl2br w:val="nil"/>
              <w:tr2bl w:val="nil"/>
            </w:tcBorders>
            <w:noWrap w:val="0"/>
            <w:vAlign w:val="center"/>
          </w:tcPr>
          <w:p w14:paraId="6E634BC5">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HW08废矿物油</w:t>
            </w:r>
            <w:r>
              <w:rPr>
                <w:rFonts w:hint="eastAsia" w:eastAsia="楷体" w:cs="Times New Roman"/>
                <w:color w:val="000000" w:themeColor="text1"/>
                <w:sz w:val="24"/>
                <w:szCs w:val="24"/>
                <w:highlight w:val="none"/>
                <w:lang w:val="en-US" w:eastAsia="zh-CN"/>
                <w14:textFill>
                  <w14:solidFill>
                    <w14:schemeClr w14:val="tx1"/>
                  </w14:solidFill>
                </w14:textFill>
              </w:rPr>
              <w:t>与</w:t>
            </w:r>
            <w:r>
              <w:rPr>
                <w:rFonts w:hint="default" w:ascii="Times New Roman" w:hAnsi="Times New Roman" w:eastAsia="楷体" w:cs="Times New Roman"/>
                <w:color w:val="000000" w:themeColor="text1"/>
                <w:sz w:val="24"/>
                <w:szCs w:val="24"/>
                <w:highlight w:val="none"/>
                <w14:textFill>
                  <w14:solidFill>
                    <w14:schemeClr w14:val="tx1"/>
                  </w14:solidFill>
                </w14:textFill>
              </w:rPr>
              <w:t>含矿物油废物</w:t>
            </w:r>
          </w:p>
        </w:tc>
        <w:tc>
          <w:tcPr>
            <w:tcW w:w="712" w:type="pct"/>
            <w:tcBorders>
              <w:tl2br w:val="nil"/>
              <w:tr2bl w:val="nil"/>
            </w:tcBorders>
            <w:noWrap w:val="0"/>
            <w:vAlign w:val="center"/>
          </w:tcPr>
          <w:p w14:paraId="183696EB">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lang w:val="en-US"/>
                <w14:textFill>
                  <w14:solidFill>
                    <w14:schemeClr w14:val="tx1"/>
                  </w14:solidFill>
                </w14:textFill>
              </w:rPr>
            </w:pPr>
            <w:r>
              <w:rPr>
                <w:rFonts w:hint="eastAsia" w:ascii="Times New Roman" w:hAnsi="Times New Roman" w:eastAsia="宋体" w:cs="Times New Roman"/>
                <w:b w:val="0"/>
                <w:bCs w:val="0"/>
                <w:color w:val="000000" w:themeColor="text1"/>
                <w:spacing w:val="5"/>
                <w:kern w:val="0"/>
                <w:sz w:val="24"/>
                <w:szCs w:val="24"/>
                <w:highlight w:val="none"/>
                <w:lang w:val="en-US" w:eastAsia="zh-CN" w:bidi="ar-SA"/>
                <w14:textFill>
                  <w14:solidFill>
                    <w14:schemeClr w14:val="tx1"/>
                  </w14:solidFill>
                </w14:textFill>
              </w:rPr>
              <w:t>900-</w:t>
            </w:r>
            <w:r>
              <w:rPr>
                <w:rFonts w:hint="eastAsia" w:cs="Times New Roman"/>
                <w:b w:val="0"/>
                <w:bCs w:val="0"/>
                <w:color w:val="000000" w:themeColor="text1"/>
                <w:spacing w:val="5"/>
                <w:kern w:val="0"/>
                <w:sz w:val="24"/>
                <w:szCs w:val="24"/>
                <w:highlight w:val="none"/>
                <w:lang w:val="en-US" w:eastAsia="zh-CN" w:bidi="ar-SA"/>
                <w14:textFill>
                  <w14:solidFill>
                    <w14:schemeClr w14:val="tx1"/>
                  </w14:solidFill>
                </w14:textFill>
              </w:rPr>
              <w:t>249</w:t>
            </w:r>
            <w:r>
              <w:rPr>
                <w:rFonts w:hint="eastAsia" w:ascii="Times New Roman" w:hAnsi="Times New Roman" w:eastAsia="宋体" w:cs="Times New Roman"/>
                <w:b w:val="0"/>
                <w:bCs w:val="0"/>
                <w:color w:val="000000" w:themeColor="text1"/>
                <w:spacing w:val="5"/>
                <w:kern w:val="0"/>
                <w:sz w:val="24"/>
                <w:szCs w:val="24"/>
                <w:highlight w:val="none"/>
                <w:lang w:val="en-US" w:eastAsia="zh-CN" w:bidi="ar-SA"/>
                <w14:textFill>
                  <w14:solidFill>
                    <w14:schemeClr w14:val="tx1"/>
                  </w14:solidFill>
                </w14:textFill>
              </w:rPr>
              <w:t>-</w:t>
            </w:r>
            <w:r>
              <w:rPr>
                <w:rFonts w:hint="eastAsia" w:cs="Times New Roman"/>
                <w:b w:val="0"/>
                <w:bCs w:val="0"/>
                <w:color w:val="000000" w:themeColor="text1"/>
                <w:spacing w:val="5"/>
                <w:kern w:val="0"/>
                <w:sz w:val="24"/>
                <w:szCs w:val="24"/>
                <w:highlight w:val="none"/>
                <w:lang w:val="en-US" w:eastAsia="zh-CN" w:bidi="ar-SA"/>
                <w14:textFill>
                  <w14:solidFill>
                    <w14:schemeClr w14:val="tx1"/>
                  </w14:solidFill>
                </w14:textFill>
              </w:rPr>
              <w:t>08</w:t>
            </w:r>
          </w:p>
        </w:tc>
        <w:tc>
          <w:tcPr>
            <w:tcW w:w="535" w:type="pct"/>
            <w:tcBorders>
              <w:tl2br w:val="nil"/>
              <w:tr2bl w:val="nil"/>
            </w:tcBorders>
            <w:noWrap w:val="0"/>
            <w:vAlign w:val="center"/>
          </w:tcPr>
          <w:p w14:paraId="5B54DEE6">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0.</w:t>
            </w:r>
            <w:r>
              <w:rPr>
                <w:rFonts w:hint="eastAsia" w:ascii="Times New Roman" w:hAnsi="Times New Roman" w:eastAsia="楷体" w:cs="Times New Roman"/>
                <w:color w:val="000000" w:themeColor="text1"/>
                <w:sz w:val="24"/>
                <w:szCs w:val="24"/>
                <w:highlight w:val="none"/>
                <w:lang w:val="en-US" w:eastAsia="zh-CN"/>
                <w14:textFill>
                  <w14:solidFill>
                    <w14:schemeClr w14:val="tx1"/>
                  </w14:solidFill>
                </w14:textFill>
              </w:rPr>
              <w:t>5</w:t>
            </w:r>
            <w:r>
              <w:rPr>
                <w:rFonts w:hint="default" w:ascii="Times New Roman" w:hAnsi="Times New Roman" w:eastAsia="楷体" w:cs="Times New Roman"/>
                <w:color w:val="000000" w:themeColor="text1"/>
                <w:sz w:val="24"/>
                <w:szCs w:val="24"/>
                <w:highlight w:val="none"/>
                <w14:textFill>
                  <w14:solidFill>
                    <w14:schemeClr w14:val="tx1"/>
                  </w14:solidFill>
                </w14:textFill>
              </w:rPr>
              <w:t>t/a</w:t>
            </w:r>
          </w:p>
        </w:tc>
        <w:tc>
          <w:tcPr>
            <w:tcW w:w="663" w:type="pct"/>
            <w:tcBorders>
              <w:tl2br w:val="nil"/>
              <w:tr2bl w:val="nil"/>
            </w:tcBorders>
            <w:noWrap w:val="0"/>
            <w:vAlign w:val="center"/>
          </w:tcPr>
          <w:p w14:paraId="1F9F1B8E">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设备维修</w:t>
            </w:r>
          </w:p>
        </w:tc>
        <w:tc>
          <w:tcPr>
            <w:tcW w:w="426" w:type="pct"/>
            <w:tcBorders>
              <w:tl2br w:val="nil"/>
              <w:tr2bl w:val="nil"/>
            </w:tcBorders>
            <w:noWrap w:val="0"/>
            <w:vAlign w:val="center"/>
          </w:tcPr>
          <w:p w14:paraId="72DE9F2F">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固态</w:t>
            </w:r>
          </w:p>
        </w:tc>
        <w:tc>
          <w:tcPr>
            <w:tcW w:w="512" w:type="pct"/>
            <w:tcBorders>
              <w:tl2br w:val="nil"/>
              <w:tr2bl w:val="nil"/>
            </w:tcBorders>
            <w:noWrap w:val="0"/>
            <w:vAlign w:val="center"/>
          </w:tcPr>
          <w:p w14:paraId="5AD10DA8">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矿物油</w:t>
            </w:r>
          </w:p>
        </w:tc>
        <w:tc>
          <w:tcPr>
            <w:tcW w:w="541" w:type="pct"/>
            <w:tcBorders>
              <w:tl2br w:val="nil"/>
              <w:tr2bl w:val="nil"/>
            </w:tcBorders>
            <w:noWrap w:val="0"/>
            <w:vAlign w:val="center"/>
          </w:tcPr>
          <w:p w14:paraId="54859706">
            <w:pPr>
              <w:pStyle w:val="101"/>
              <w:keepNext w:val="0"/>
              <w:keepLines w:val="0"/>
              <w:pageBreakBefore w:val="0"/>
              <w:widowControl/>
              <w:kinsoku/>
              <w:wordWrap/>
              <w:overflowPunct/>
              <w:topLinePunct w:val="0"/>
              <w:autoSpaceDE/>
              <w:autoSpaceDN/>
              <w:bidi w:val="0"/>
              <w:adjustRightInd w:val="0"/>
              <w:snapToGrid w:val="0"/>
              <w:spacing w:line="300" w:lineRule="atLeas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T、I</w:t>
            </w:r>
          </w:p>
        </w:tc>
      </w:tr>
    </w:tbl>
    <w:p w14:paraId="5FEE4C26">
      <w:pPr>
        <w:pStyle w:val="47"/>
        <w:ind w:firstLine="482"/>
      </w:pPr>
      <w:r>
        <w:rPr>
          <w:rFonts w:hint="eastAsia"/>
        </w:rPr>
        <w:t>本项目固体废物</w:t>
      </w:r>
      <w:r>
        <w:t>产生情况汇总见下表。</w:t>
      </w:r>
    </w:p>
    <w:p w14:paraId="0EE744CF">
      <w:pPr>
        <w:pStyle w:val="94"/>
        <w:bidi w:val="0"/>
        <w:ind w:left="0" w:leftChars="0" w:firstLine="0" w:firstLineChars="0"/>
      </w:pPr>
      <w:r>
        <w:rPr>
          <w:rFonts w:hint="eastAsia"/>
        </w:rPr>
        <w:t>固体废物</w:t>
      </w:r>
      <w:r>
        <w:t>污染源源强核算结果一览表</w:t>
      </w:r>
    </w:p>
    <w:tbl>
      <w:tblPr>
        <w:tblStyle w:val="3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666"/>
        <w:gridCol w:w="1412"/>
        <w:gridCol w:w="926"/>
        <w:gridCol w:w="1420"/>
        <w:gridCol w:w="1459"/>
        <w:gridCol w:w="3296"/>
      </w:tblGrid>
      <w:tr w14:paraId="189F0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363" w:type="pct"/>
            <w:noWrap w:val="0"/>
            <w:vAlign w:val="center"/>
          </w:tcPr>
          <w:p w14:paraId="21BCD2F0">
            <w:pPr>
              <w:pStyle w:val="55"/>
              <w:bidi w:val="0"/>
              <w:rPr>
                <w:rFonts w:hint="default"/>
                <w:sz w:val="24"/>
                <w:szCs w:val="24"/>
              </w:rPr>
            </w:pPr>
            <w:r>
              <w:rPr>
                <w:rFonts w:hint="default"/>
                <w:sz w:val="24"/>
                <w:szCs w:val="24"/>
              </w:rPr>
              <w:t>编号</w:t>
            </w:r>
          </w:p>
        </w:tc>
        <w:tc>
          <w:tcPr>
            <w:tcW w:w="769" w:type="pct"/>
            <w:noWrap w:val="0"/>
            <w:vAlign w:val="center"/>
          </w:tcPr>
          <w:p w14:paraId="14059FBE">
            <w:pPr>
              <w:pStyle w:val="55"/>
              <w:bidi w:val="0"/>
              <w:rPr>
                <w:rFonts w:hint="default"/>
                <w:sz w:val="24"/>
                <w:szCs w:val="24"/>
              </w:rPr>
            </w:pPr>
            <w:r>
              <w:rPr>
                <w:rFonts w:hint="default"/>
                <w:sz w:val="24"/>
                <w:szCs w:val="24"/>
              </w:rPr>
              <w:t>固废</w:t>
            </w:r>
          </w:p>
          <w:p w14:paraId="0E9AC34B">
            <w:pPr>
              <w:pStyle w:val="55"/>
              <w:bidi w:val="0"/>
              <w:rPr>
                <w:rFonts w:hint="default"/>
                <w:sz w:val="24"/>
                <w:szCs w:val="24"/>
              </w:rPr>
            </w:pPr>
            <w:r>
              <w:rPr>
                <w:rFonts w:hint="default"/>
                <w:sz w:val="24"/>
                <w:szCs w:val="24"/>
              </w:rPr>
              <w:t>名称</w:t>
            </w:r>
          </w:p>
        </w:tc>
        <w:tc>
          <w:tcPr>
            <w:tcW w:w="504" w:type="pct"/>
            <w:noWrap w:val="0"/>
            <w:vAlign w:val="center"/>
          </w:tcPr>
          <w:p w14:paraId="21ED56CC">
            <w:pPr>
              <w:pStyle w:val="55"/>
              <w:bidi w:val="0"/>
              <w:rPr>
                <w:rFonts w:hint="default"/>
                <w:sz w:val="24"/>
                <w:szCs w:val="24"/>
              </w:rPr>
            </w:pPr>
            <w:r>
              <w:rPr>
                <w:rFonts w:hint="default"/>
                <w:sz w:val="24"/>
                <w:szCs w:val="24"/>
              </w:rPr>
              <w:t>属性</w:t>
            </w:r>
          </w:p>
        </w:tc>
        <w:tc>
          <w:tcPr>
            <w:tcW w:w="773" w:type="pct"/>
            <w:noWrap w:val="0"/>
            <w:vAlign w:val="center"/>
          </w:tcPr>
          <w:p w14:paraId="5D24086E">
            <w:pPr>
              <w:pStyle w:val="55"/>
              <w:bidi w:val="0"/>
              <w:rPr>
                <w:rFonts w:hint="default"/>
                <w:sz w:val="24"/>
                <w:szCs w:val="24"/>
              </w:rPr>
            </w:pPr>
            <w:r>
              <w:rPr>
                <w:rFonts w:hint="default"/>
                <w:sz w:val="24"/>
                <w:szCs w:val="24"/>
              </w:rPr>
              <w:t>废物代码</w:t>
            </w:r>
          </w:p>
        </w:tc>
        <w:tc>
          <w:tcPr>
            <w:tcW w:w="794" w:type="pct"/>
            <w:noWrap w:val="0"/>
            <w:vAlign w:val="center"/>
          </w:tcPr>
          <w:p w14:paraId="7430706E">
            <w:pPr>
              <w:pStyle w:val="55"/>
              <w:bidi w:val="0"/>
              <w:rPr>
                <w:rFonts w:hint="default"/>
                <w:sz w:val="24"/>
                <w:szCs w:val="24"/>
                <w:lang w:val="en-US" w:eastAsia="zh-CN"/>
              </w:rPr>
            </w:pPr>
            <w:r>
              <w:rPr>
                <w:rFonts w:hint="default"/>
                <w:sz w:val="24"/>
                <w:szCs w:val="24"/>
              </w:rPr>
              <w:t>产生量</w:t>
            </w:r>
            <w:r>
              <w:rPr>
                <w:rFonts w:hint="eastAsia"/>
                <w:sz w:val="24"/>
                <w:szCs w:val="24"/>
                <w:lang w:val="en-US" w:eastAsia="zh-CN"/>
              </w:rPr>
              <w:t>（</w:t>
            </w:r>
            <w:r>
              <w:rPr>
                <w:rFonts w:hint="default"/>
                <w:sz w:val="24"/>
                <w:szCs w:val="24"/>
                <w:lang w:val="en-US" w:eastAsia="zh-CN"/>
              </w:rPr>
              <w:t>t/a</w:t>
            </w:r>
            <w:r>
              <w:rPr>
                <w:rFonts w:hint="eastAsia"/>
                <w:sz w:val="24"/>
                <w:szCs w:val="24"/>
                <w:lang w:val="en-US" w:eastAsia="zh-CN"/>
              </w:rPr>
              <w:t>）</w:t>
            </w:r>
          </w:p>
        </w:tc>
        <w:tc>
          <w:tcPr>
            <w:tcW w:w="1794" w:type="pct"/>
            <w:noWrap w:val="0"/>
            <w:vAlign w:val="center"/>
          </w:tcPr>
          <w:p w14:paraId="7188BED0">
            <w:pPr>
              <w:pStyle w:val="55"/>
              <w:bidi w:val="0"/>
              <w:rPr>
                <w:rFonts w:hint="default"/>
                <w:sz w:val="24"/>
                <w:szCs w:val="24"/>
              </w:rPr>
            </w:pPr>
            <w:r>
              <w:rPr>
                <w:rFonts w:hint="default"/>
                <w:sz w:val="24"/>
                <w:szCs w:val="24"/>
              </w:rPr>
              <w:t>处置方法</w:t>
            </w:r>
          </w:p>
        </w:tc>
      </w:tr>
      <w:tr w14:paraId="27498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363" w:type="pct"/>
            <w:noWrap w:val="0"/>
            <w:vAlign w:val="center"/>
          </w:tcPr>
          <w:p w14:paraId="1CADFA38">
            <w:pPr>
              <w:pStyle w:val="55"/>
              <w:bidi w:val="0"/>
              <w:rPr>
                <w:rFonts w:hint="default"/>
                <w:sz w:val="24"/>
                <w:szCs w:val="24"/>
              </w:rPr>
            </w:pPr>
            <w:r>
              <w:rPr>
                <w:rFonts w:hint="default"/>
                <w:sz w:val="24"/>
                <w:szCs w:val="24"/>
              </w:rPr>
              <w:t>1</w:t>
            </w:r>
          </w:p>
        </w:tc>
        <w:tc>
          <w:tcPr>
            <w:tcW w:w="769" w:type="pct"/>
            <w:noWrap w:val="0"/>
            <w:vAlign w:val="center"/>
          </w:tcPr>
          <w:p w14:paraId="68A52BCC">
            <w:pPr>
              <w:pStyle w:val="55"/>
              <w:rPr>
                <w:rFonts w:hint="default"/>
                <w:sz w:val="24"/>
                <w:szCs w:val="24"/>
              </w:rPr>
            </w:pPr>
            <w:r>
              <w:rPr>
                <w:rFonts w:hint="eastAsia"/>
                <w:sz w:val="24"/>
                <w:szCs w:val="24"/>
              </w:rPr>
              <w:t>分拣废物</w:t>
            </w:r>
          </w:p>
        </w:tc>
        <w:tc>
          <w:tcPr>
            <w:tcW w:w="504" w:type="pct"/>
            <w:vMerge w:val="restart"/>
            <w:noWrap w:val="0"/>
            <w:vAlign w:val="center"/>
          </w:tcPr>
          <w:p w14:paraId="1EBF99AF">
            <w:pPr>
              <w:pStyle w:val="55"/>
              <w:bidi w:val="0"/>
              <w:rPr>
                <w:rFonts w:hint="default"/>
                <w:sz w:val="24"/>
                <w:szCs w:val="24"/>
                <w:lang w:eastAsia="zh-CN"/>
              </w:rPr>
            </w:pPr>
            <w:r>
              <w:rPr>
                <w:rFonts w:hint="default"/>
                <w:sz w:val="24"/>
                <w:szCs w:val="24"/>
                <w:lang w:eastAsia="zh-CN"/>
              </w:rPr>
              <w:t>一般固废</w:t>
            </w:r>
          </w:p>
        </w:tc>
        <w:tc>
          <w:tcPr>
            <w:tcW w:w="773" w:type="pct"/>
            <w:noWrap w:val="0"/>
            <w:vAlign w:val="center"/>
          </w:tcPr>
          <w:p w14:paraId="06BBA5E4">
            <w:pPr>
              <w:pStyle w:val="55"/>
              <w:rPr>
                <w:rFonts w:hint="default"/>
                <w:sz w:val="24"/>
                <w:szCs w:val="24"/>
                <w:lang w:val="en-US" w:eastAsia="en-US"/>
              </w:rPr>
            </w:pPr>
            <w:r>
              <w:rPr>
                <w:rFonts w:hint="eastAsia" w:ascii="Times New Roman" w:hAnsi="Times New Roman" w:eastAsia="宋体" w:cs="Times New Roman"/>
                <w:color w:val="auto"/>
                <w:sz w:val="24"/>
                <w:szCs w:val="24"/>
                <w:highlight w:val="none"/>
                <w:lang w:val="en-US" w:eastAsia="zh-CN"/>
              </w:rPr>
              <w:t>900-999-99</w:t>
            </w:r>
          </w:p>
        </w:tc>
        <w:tc>
          <w:tcPr>
            <w:tcW w:w="794" w:type="pct"/>
            <w:noWrap w:val="0"/>
            <w:vAlign w:val="center"/>
          </w:tcPr>
          <w:p w14:paraId="16D475DC">
            <w:pPr>
              <w:pStyle w:val="55"/>
              <w:rPr>
                <w:rFonts w:hint="default"/>
                <w:sz w:val="24"/>
                <w:szCs w:val="24"/>
                <w:lang w:val="en-US" w:eastAsia="zh-CN"/>
              </w:rPr>
            </w:pPr>
            <w:r>
              <w:rPr>
                <w:rFonts w:hint="eastAsia"/>
                <w:lang w:val="en-US" w:eastAsia="zh-CN"/>
              </w:rPr>
              <w:t>1.83</w:t>
            </w:r>
          </w:p>
        </w:tc>
        <w:tc>
          <w:tcPr>
            <w:tcW w:w="1794" w:type="pct"/>
            <w:noWrap w:val="0"/>
            <w:vAlign w:val="center"/>
          </w:tcPr>
          <w:p w14:paraId="203F9B7A">
            <w:pPr>
              <w:pStyle w:val="55"/>
              <w:rPr>
                <w:rFonts w:hint="default"/>
                <w:sz w:val="24"/>
                <w:szCs w:val="24"/>
                <w:lang w:eastAsia="zh-CN"/>
              </w:rPr>
            </w:pPr>
            <w:r>
              <w:rPr>
                <w:rFonts w:hint="eastAsia"/>
                <w:sz w:val="24"/>
                <w:szCs w:val="24"/>
              </w:rPr>
              <w:t>定期送往环卫部门指定地点处置</w:t>
            </w:r>
          </w:p>
        </w:tc>
      </w:tr>
      <w:tr w14:paraId="77DC3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363" w:type="pct"/>
            <w:noWrap w:val="0"/>
            <w:vAlign w:val="center"/>
          </w:tcPr>
          <w:p w14:paraId="649BC604">
            <w:pPr>
              <w:pStyle w:val="55"/>
              <w:bidi w:val="0"/>
              <w:rPr>
                <w:rFonts w:hint="default"/>
                <w:sz w:val="24"/>
                <w:szCs w:val="24"/>
                <w:lang w:val="en-US" w:eastAsia="zh-CN"/>
              </w:rPr>
            </w:pPr>
            <w:r>
              <w:rPr>
                <w:rFonts w:hint="default"/>
                <w:sz w:val="24"/>
                <w:szCs w:val="24"/>
                <w:lang w:val="en-US" w:eastAsia="zh-CN"/>
              </w:rPr>
              <w:t>2</w:t>
            </w:r>
          </w:p>
        </w:tc>
        <w:tc>
          <w:tcPr>
            <w:tcW w:w="769" w:type="pct"/>
            <w:noWrap w:val="0"/>
            <w:vAlign w:val="center"/>
          </w:tcPr>
          <w:p w14:paraId="57C01190">
            <w:pPr>
              <w:pStyle w:val="55"/>
              <w:rPr>
                <w:rFonts w:hint="default"/>
                <w:sz w:val="24"/>
                <w:szCs w:val="24"/>
                <w:lang w:eastAsia="zh-CN"/>
              </w:rPr>
            </w:pPr>
            <w:r>
              <w:rPr>
                <w:rFonts w:hint="eastAsia"/>
                <w:sz w:val="24"/>
                <w:szCs w:val="24"/>
              </w:rPr>
              <w:t>沉淀池污泥</w:t>
            </w:r>
          </w:p>
        </w:tc>
        <w:tc>
          <w:tcPr>
            <w:tcW w:w="504" w:type="pct"/>
            <w:vMerge w:val="continue"/>
            <w:noWrap w:val="0"/>
            <w:vAlign w:val="center"/>
          </w:tcPr>
          <w:p w14:paraId="60D65D7E">
            <w:pPr>
              <w:pStyle w:val="55"/>
              <w:bidi w:val="0"/>
              <w:rPr>
                <w:rFonts w:hint="default"/>
                <w:sz w:val="24"/>
                <w:szCs w:val="24"/>
                <w:lang w:eastAsia="zh-CN"/>
              </w:rPr>
            </w:pPr>
          </w:p>
        </w:tc>
        <w:tc>
          <w:tcPr>
            <w:tcW w:w="773" w:type="pct"/>
            <w:noWrap w:val="0"/>
            <w:vAlign w:val="center"/>
          </w:tcPr>
          <w:p w14:paraId="54789093">
            <w:pPr>
              <w:pStyle w:val="55"/>
              <w:rPr>
                <w:rFonts w:hint="default"/>
                <w:sz w:val="24"/>
                <w:szCs w:val="24"/>
                <w:lang w:val="en-US" w:eastAsia="en-US"/>
              </w:rPr>
            </w:pPr>
            <w:r>
              <w:rPr>
                <w:rFonts w:hint="eastAsia" w:ascii="Times New Roman" w:hAnsi="Times New Roman" w:eastAsia="宋体" w:cs="Times New Roman"/>
                <w:color w:val="auto"/>
                <w:sz w:val="24"/>
                <w:szCs w:val="24"/>
                <w:highlight w:val="none"/>
                <w:lang w:val="en-US" w:eastAsia="zh-CN"/>
              </w:rPr>
              <w:t>900-999-99</w:t>
            </w:r>
          </w:p>
        </w:tc>
        <w:tc>
          <w:tcPr>
            <w:tcW w:w="794" w:type="pct"/>
            <w:noWrap w:val="0"/>
            <w:vAlign w:val="center"/>
          </w:tcPr>
          <w:p w14:paraId="1621ABF9">
            <w:pPr>
              <w:pStyle w:val="55"/>
              <w:rPr>
                <w:rFonts w:hint="default"/>
                <w:sz w:val="24"/>
                <w:szCs w:val="24"/>
                <w:lang w:val="en-US" w:eastAsia="zh-CN"/>
              </w:rPr>
            </w:pPr>
            <w:r>
              <w:rPr>
                <w:rFonts w:hint="eastAsia"/>
                <w:sz w:val="24"/>
                <w:szCs w:val="24"/>
                <w:lang w:val="en-US" w:eastAsia="zh-CN"/>
              </w:rPr>
              <w:t>2</w:t>
            </w:r>
          </w:p>
        </w:tc>
        <w:tc>
          <w:tcPr>
            <w:tcW w:w="1794" w:type="pct"/>
            <w:noWrap w:val="0"/>
            <w:vAlign w:val="center"/>
          </w:tcPr>
          <w:p w14:paraId="2BAF4891">
            <w:pPr>
              <w:pStyle w:val="55"/>
              <w:rPr>
                <w:rFonts w:hint="default"/>
                <w:sz w:val="24"/>
                <w:szCs w:val="24"/>
                <w:lang w:eastAsia="zh-CN"/>
              </w:rPr>
            </w:pPr>
            <w:r>
              <w:rPr>
                <w:rFonts w:hint="eastAsia"/>
                <w:sz w:val="24"/>
                <w:szCs w:val="24"/>
              </w:rPr>
              <w:t>定期清掏自然干化后作为生活垃圾交由环卫部门处理</w:t>
            </w:r>
          </w:p>
        </w:tc>
      </w:tr>
      <w:tr w14:paraId="096B2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363" w:type="pct"/>
            <w:noWrap w:val="0"/>
            <w:vAlign w:val="center"/>
          </w:tcPr>
          <w:p w14:paraId="18816E74">
            <w:pPr>
              <w:pStyle w:val="55"/>
              <w:bidi w:val="0"/>
              <w:rPr>
                <w:rFonts w:hint="default"/>
                <w:sz w:val="24"/>
                <w:szCs w:val="24"/>
                <w:lang w:val="en-US" w:eastAsia="zh-CN"/>
              </w:rPr>
            </w:pPr>
            <w:r>
              <w:rPr>
                <w:rFonts w:hint="default"/>
                <w:sz w:val="24"/>
                <w:szCs w:val="24"/>
                <w:lang w:val="en-US" w:eastAsia="zh-CN"/>
              </w:rPr>
              <w:t>3</w:t>
            </w:r>
          </w:p>
        </w:tc>
        <w:tc>
          <w:tcPr>
            <w:tcW w:w="769" w:type="pct"/>
            <w:noWrap w:val="0"/>
            <w:vAlign w:val="center"/>
          </w:tcPr>
          <w:p w14:paraId="455EC77C">
            <w:pPr>
              <w:pStyle w:val="55"/>
              <w:rPr>
                <w:rFonts w:hint="default"/>
                <w:sz w:val="24"/>
                <w:szCs w:val="24"/>
                <w:lang w:eastAsia="zh-CN"/>
              </w:rPr>
            </w:pPr>
            <w:r>
              <w:rPr>
                <w:rFonts w:hint="eastAsia"/>
                <w:sz w:val="24"/>
                <w:szCs w:val="24"/>
              </w:rPr>
              <w:t>废滤网</w:t>
            </w:r>
          </w:p>
        </w:tc>
        <w:tc>
          <w:tcPr>
            <w:tcW w:w="504" w:type="pct"/>
            <w:vMerge w:val="continue"/>
            <w:noWrap w:val="0"/>
            <w:vAlign w:val="center"/>
          </w:tcPr>
          <w:p w14:paraId="0BE4D638">
            <w:pPr>
              <w:pStyle w:val="55"/>
              <w:bidi w:val="0"/>
              <w:rPr>
                <w:rFonts w:hint="default"/>
                <w:sz w:val="24"/>
                <w:szCs w:val="24"/>
                <w:lang w:eastAsia="zh-CN"/>
              </w:rPr>
            </w:pPr>
          </w:p>
        </w:tc>
        <w:tc>
          <w:tcPr>
            <w:tcW w:w="773" w:type="pct"/>
            <w:noWrap w:val="0"/>
            <w:vAlign w:val="center"/>
          </w:tcPr>
          <w:p w14:paraId="2CCD07D1">
            <w:pPr>
              <w:pStyle w:val="55"/>
              <w:rPr>
                <w:rFonts w:hint="default"/>
                <w:sz w:val="24"/>
                <w:szCs w:val="24"/>
                <w:lang w:val="en-US" w:eastAsia="zh-CN"/>
              </w:rPr>
            </w:pPr>
            <w:r>
              <w:rPr>
                <w:rFonts w:hint="eastAsia" w:ascii="Times New Roman" w:hAnsi="Times New Roman" w:eastAsia="宋体" w:cs="Times New Roman"/>
                <w:color w:val="auto"/>
                <w:sz w:val="24"/>
                <w:szCs w:val="24"/>
                <w:highlight w:val="none"/>
                <w:lang w:val="en-US" w:eastAsia="zh-CN"/>
              </w:rPr>
              <w:t>900-999-99</w:t>
            </w:r>
          </w:p>
        </w:tc>
        <w:tc>
          <w:tcPr>
            <w:tcW w:w="794" w:type="pct"/>
            <w:noWrap w:val="0"/>
            <w:vAlign w:val="center"/>
          </w:tcPr>
          <w:p w14:paraId="108B4FB3">
            <w:pPr>
              <w:pStyle w:val="55"/>
              <w:rPr>
                <w:rFonts w:hint="default"/>
                <w:sz w:val="24"/>
                <w:szCs w:val="24"/>
                <w:lang w:val="en-US" w:eastAsia="zh-CN"/>
              </w:rPr>
            </w:pPr>
            <w:r>
              <w:rPr>
                <w:rFonts w:hint="eastAsia"/>
                <w:sz w:val="24"/>
                <w:szCs w:val="24"/>
                <w:lang w:val="en-US" w:eastAsia="zh-CN"/>
              </w:rPr>
              <w:t>3</w:t>
            </w:r>
          </w:p>
        </w:tc>
        <w:tc>
          <w:tcPr>
            <w:tcW w:w="1794" w:type="pct"/>
            <w:noWrap w:val="0"/>
            <w:vAlign w:val="center"/>
          </w:tcPr>
          <w:p w14:paraId="2C4D4560">
            <w:pPr>
              <w:pStyle w:val="55"/>
              <w:rPr>
                <w:rFonts w:hint="default"/>
                <w:sz w:val="24"/>
                <w:szCs w:val="24"/>
                <w:lang w:eastAsia="zh-CN"/>
              </w:rPr>
            </w:pPr>
            <w:r>
              <w:rPr>
                <w:rFonts w:hint="default"/>
                <w:sz w:val="24"/>
                <w:szCs w:val="24"/>
                <w:lang w:val="en-US" w:eastAsia="zh-CN"/>
              </w:rPr>
              <w:t>由原厂家回收</w:t>
            </w:r>
          </w:p>
        </w:tc>
      </w:tr>
      <w:tr w14:paraId="2C234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363" w:type="pct"/>
            <w:noWrap w:val="0"/>
            <w:vAlign w:val="center"/>
          </w:tcPr>
          <w:p w14:paraId="50800E16">
            <w:pPr>
              <w:pStyle w:val="55"/>
              <w:bidi w:val="0"/>
              <w:rPr>
                <w:rFonts w:hint="default"/>
                <w:sz w:val="24"/>
                <w:szCs w:val="24"/>
                <w:lang w:val="en-US" w:eastAsia="zh-CN"/>
              </w:rPr>
            </w:pPr>
            <w:r>
              <w:rPr>
                <w:rFonts w:hint="default"/>
                <w:sz w:val="24"/>
                <w:szCs w:val="24"/>
                <w:lang w:val="en-US" w:eastAsia="zh-CN"/>
              </w:rPr>
              <w:t>4</w:t>
            </w:r>
          </w:p>
        </w:tc>
        <w:tc>
          <w:tcPr>
            <w:tcW w:w="769" w:type="pct"/>
            <w:noWrap w:val="0"/>
            <w:vAlign w:val="center"/>
          </w:tcPr>
          <w:p w14:paraId="52CE0BB8">
            <w:pPr>
              <w:pStyle w:val="55"/>
              <w:rPr>
                <w:rFonts w:hint="default"/>
                <w:sz w:val="24"/>
                <w:szCs w:val="24"/>
                <w:lang w:eastAsia="zh-CN"/>
              </w:rPr>
            </w:pPr>
            <w:r>
              <w:rPr>
                <w:rFonts w:hint="eastAsia"/>
                <w:sz w:val="24"/>
                <w:szCs w:val="24"/>
              </w:rPr>
              <w:t>布袋除尘器除尘灰</w:t>
            </w:r>
          </w:p>
        </w:tc>
        <w:tc>
          <w:tcPr>
            <w:tcW w:w="504" w:type="pct"/>
            <w:vMerge w:val="continue"/>
            <w:noWrap w:val="0"/>
            <w:vAlign w:val="center"/>
          </w:tcPr>
          <w:p w14:paraId="74529ACE">
            <w:pPr>
              <w:pStyle w:val="55"/>
              <w:bidi w:val="0"/>
              <w:rPr>
                <w:rFonts w:hint="default"/>
                <w:sz w:val="24"/>
                <w:szCs w:val="24"/>
                <w:lang w:eastAsia="zh-CN"/>
              </w:rPr>
            </w:pPr>
          </w:p>
        </w:tc>
        <w:tc>
          <w:tcPr>
            <w:tcW w:w="773" w:type="pct"/>
            <w:noWrap w:val="0"/>
            <w:vAlign w:val="center"/>
          </w:tcPr>
          <w:p w14:paraId="771EA69C">
            <w:pPr>
              <w:pStyle w:val="55"/>
              <w:rPr>
                <w:rFonts w:hint="default"/>
                <w:sz w:val="24"/>
                <w:szCs w:val="24"/>
                <w:lang w:val="en-US" w:eastAsia="zh-CN"/>
              </w:rPr>
            </w:pPr>
            <w:r>
              <w:rPr>
                <w:rFonts w:hint="default" w:ascii="Times New Roman" w:hAnsi="Times New Roman" w:eastAsia="宋体" w:cs="Times New Roman"/>
                <w:color w:val="auto"/>
                <w:sz w:val="24"/>
                <w:szCs w:val="24"/>
                <w:highlight w:val="none"/>
                <w:lang w:val="en-US" w:eastAsia="en-US"/>
              </w:rPr>
              <w:t>900-999-99</w:t>
            </w:r>
          </w:p>
        </w:tc>
        <w:tc>
          <w:tcPr>
            <w:tcW w:w="794" w:type="pct"/>
            <w:noWrap w:val="0"/>
            <w:vAlign w:val="center"/>
          </w:tcPr>
          <w:p w14:paraId="333546B4">
            <w:pPr>
              <w:pStyle w:val="55"/>
              <w:rPr>
                <w:rFonts w:hint="default"/>
                <w:sz w:val="24"/>
                <w:szCs w:val="24"/>
                <w:lang w:val="en-US" w:eastAsia="zh-CN"/>
              </w:rPr>
            </w:pPr>
            <w:r>
              <w:rPr>
                <w:rFonts w:hint="eastAsia"/>
                <w:sz w:val="24"/>
                <w:szCs w:val="24"/>
                <w:lang w:val="en-US" w:eastAsia="zh-CN"/>
              </w:rPr>
              <w:t>110</w:t>
            </w:r>
          </w:p>
        </w:tc>
        <w:tc>
          <w:tcPr>
            <w:tcW w:w="1794" w:type="pct"/>
            <w:noWrap w:val="0"/>
            <w:vAlign w:val="center"/>
          </w:tcPr>
          <w:p w14:paraId="303910AF">
            <w:pPr>
              <w:pStyle w:val="55"/>
              <w:rPr>
                <w:rFonts w:hint="default"/>
                <w:sz w:val="24"/>
                <w:szCs w:val="24"/>
                <w:lang w:eastAsia="zh-CN"/>
              </w:rPr>
            </w:pPr>
            <w:r>
              <w:rPr>
                <w:rFonts w:hint="eastAsia"/>
                <w:sz w:val="24"/>
                <w:szCs w:val="24"/>
                <w:lang w:val="en-US" w:eastAsia="zh-CN"/>
              </w:rPr>
              <w:t>全部回用于生产</w:t>
            </w:r>
          </w:p>
        </w:tc>
      </w:tr>
      <w:tr w14:paraId="588C3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363" w:type="pct"/>
            <w:noWrap w:val="0"/>
            <w:vAlign w:val="center"/>
          </w:tcPr>
          <w:p w14:paraId="59E65661">
            <w:pPr>
              <w:pStyle w:val="55"/>
              <w:bidi w:val="0"/>
              <w:rPr>
                <w:rFonts w:hint="default"/>
                <w:sz w:val="24"/>
                <w:szCs w:val="24"/>
                <w:lang w:val="en-US" w:eastAsia="zh-CN"/>
              </w:rPr>
            </w:pPr>
            <w:r>
              <w:rPr>
                <w:rFonts w:hint="eastAsia"/>
                <w:sz w:val="24"/>
                <w:szCs w:val="24"/>
                <w:lang w:val="en-US" w:eastAsia="zh-CN"/>
              </w:rPr>
              <w:t>5</w:t>
            </w:r>
          </w:p>
        </w:tc>
        <w:tc>
          <w:tcPr>
            <w:tcW w:w="769" w:type="pct"/>
            <w:noWrap w:val="0"/>
            <w:vAlign w:val="center"/>
          </w:tcPr>
          <w:p w14:paraId="6FA44557">
            <w:pPr>
              <w:pStyle w:val="55"/>
              <w:rPr>
                <w:rFonts w:hint="eastAsia" w:eastAsia="楷体"/>
                <w:sz w:val="24"/>
                <w:szCs w:val="24"/>
                <w:lang w:val="en-US" w:eastAsia="zh-CN"/>
              </w:rPr>
            </w:pPr>
            <w:r>
              <w:rPr>
                <w:rFonts w:hint="eastAsia"/>
                <w:sz w:val="24"/>
                <w:szCs w:val="24"/>
              </w:rPr>
              <w:t>废包装袋</w:t>
            </w:r>
          </w:p>
        </w:tc>
        <w:tc>
          <w:tcPr>
            <w:tcW w:w="504" w:type="pct"/>
            <w:vMerge w:val="continue"/>
            <w:noWrap w:val="0"/>
            <w:vAlign w:val="center"/>
          </w:tcPr>
          <w:p w14:paraId="63AECC00">
            <w:pPr>
              <w:pStyle w:val="55"/>
              <w:bidi w:val="0"/>
              <w:rPr>
                <w:rFonts w:hint="default"/>
                <w:sz w:val="24"/>
                <w:szCs w:val="24"/>
                <w:lang w:eastAsia="zh-CN"/>
              </w:rPr>
            </w:pPr>
          </w:p>
        </w:tc>
        <w:tc>
          <w:tcPr>
            <w:tcW w:w="773" w:type="pct"/>
            <w:noWrap w:val="0"/>
            <w:vAlign w:val="center"/>
          </w:tcPr>
          <w:p w14:paraId="5DDBD972">
            <w:pPr>
              <w:pStyle w:val="55"/>
              <w:rPr>
                <w:rFonts w:hint="default"/>
                <w:sz w:val="24"/>
                <w:szCs w:val="24"/>
                <w:lang w:val="en-US" w:eastAsia="en-US"/>
              </w:rPr>
            </w:pPr>
            <w:r>
              <w:rPr>
                <w:rFonts w:hint="default" w:ascii="Times New Roman" w:hAnsi="Times New Roman" w:eastAsia="宋体" w:cs="Times New Roman"/>
                <w:color w:val="auto"/>
                <w:sz w:val="24"/>
                <w:szCs w:val="24"/>
                <w:highlight w:val="none"/>
                <w:lang w:val="en-US" w:eastAsia="en-US"/>
              </w:rPr>
              <w:t>292-006-07</w:t>
            </w:r>
          </w:p>
        </w:tc>
        <w:tc>
          <w:tcPr>
            <w:tcW w:w="794" w:type="pct"/>
            <w:noWrap w:val="0"/>
            <w:vAlign w:val="center"/>
          </w:tcPr>
          <w:p w14:paraId="7105964D">
            <w:pPr>
              <w:pStyle w:val="55"/>
              <w:rPr>
                <w:rFonts w:hint="default"/>
                <w:sz w:val="24"/>
                <w:szCs w:val="24"/>
                <w:lang w:val="en-US" w:eastAsia="zh-CN"/>
              </w:rPr>
            </w:pPr>
            <w:r>
              <w:rPr>
                <w:rFonts w:hint="eastAsia"/>
                <w:sz w:val="24"/>
                <w:szCs w:val="24"/>
                <w:lang w:val="en-US" w:eastAsia="zh-CN"/>
              </w:rPr>
              <w:t>1</w:t>
            </w:r>
          </w:p>
        </w:tc>
        <w:tc>
          <w:tcPr>
            <w:tcW w:w="1794" w:type="pct"/>
            <w:noWrap w:val="0"/>
            <w:vAlign w:val="center"/>
          </w:tcPr>
          <w:p w14:paraId="35A1B908">
            <w:pPr>
              <w:pStyle w:val="55"/>
              <w:rPr>
                <w:rFonts w:hint="default"/>
                <w:sz w:val="24"/>
                <w:szCs w:val="24"/>
              </w:rPr>
            </w:pPr>
            <w:r>
              <w:rPr>
                <w:rFonts w:hint="eastAsia"/>
                <w:sz w:val="24"/>
                <w:szCs w:val="24"/>
              </w:rPr>
              <w:t>定期外售废品收购站</w:t>
            </w:r>
          </w:p>
        </w:tc>
      </w:tr>
      <w:tr w14:paraId="0CED8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363" w:type="pct"/>
            <w:noWrap w:val="0"/>
            <w:vAlign w:val="center"/>
          </w:tcPr>
          <w:p w14:paraId="19845802">
            <w:pPr>
              <w:pStyle w:val="55"/>
              <w:bidi w:val="0"/>
              <w:rPr>
                <w:rFonts w:hint="default"/>
                <w:sz w:val="24"/>
                <w:szCs w:val="24"/>
                <w:lang w:val="en-US" w:eastAsia="zh-CN"/>
              </w:rPr>
            </w:pPr>
            <w:r>
              <w:rPr>
                <w:rFonts w:hint="default"/>
                <w:sz w:val="24"/>
                <w:szCs w:val="24"/>
                <w:lang w:val="en-US" w:eastAsia="zh-CN"/>
              </w:rPr>
              <w:t>6</w:t>
            </w:r>
          </w:p>
        </w:tc>
        <w:tc>
          <w:tcPr>
            <w:tcW w:w="769" w:type="pct"/>
            <w:noWrap w:val="0"/>
            <w:vAlign w:val="center"/>
          </w:tcPr>
          <w:p w14:paraId="17EB557C">
            <w:pPr>
              <w:pStyle w:val="101"/>
              <w:keepNext w:val="0"/>
              <w:keepLines w:val="0"/>
              <w:pageBreakBefore w:val="0"/>
              <w:widowControl/>
              <w:kinsoku/>
              <w:wordWrap/>
              <w:overflowPunct/>
              <w:topLinePunct w:val="0"/>
              <w:autoSpaceDE/>
              <w:autoSpaceDN/>
              <w:bidi w:val="0"/>
              <w:adjustRightInd w:val="0"/>
              <w:snapToGrid w:val="0"/>
              <w:spacing w:line="300" w:lineRule="atLeast"/>
              <w:ind w:firstLine="0" w:firstLineChars="0"/>
              <w:textAlignment w:val="auto"/>
              <w:rPr>
                <w:rFonts w:hint="default"/>
                <w:sz w:val="24"/>
                <w:szCs w:val="24"/>
                <w:lang w:eastAsia="zh-CN"/>
              </w:rPr>
            </w:pPr>
            <w:r>
              <w:rPr>
                <w:rFonts w:hint="default" w:ascii="Times New Roman" w:hAnsi="Times New Roman" w:eastAsia="楷体" w:cs="Times New Roman"/>
                <w:color w:val="000000" w:themeColor="text1"/>
                <w:sz w:val="24"/>
                <w:szCs w:val="24"/>
                <w:highlight w:val="none"/>
                <w14:textFill>
                  <w14:solidFill>
                    <w14:schemeClr w14:val="tx1"/>
                  </w14:solidFill>
                </w14:textFill>
              </w:rPr>
              <w:t>废活性炭</w:t>
            </w:r>
          </w:p>
        </w:tc>
        <w:tc>
          <w:tcPr>
            <w:tcW w:w="504" w:type="pct"/>
            <w:vMerge w:val="restart"/>
            <w:noWrap w:val="0"/>
            <w:vAlign w:val="center"/>
          </w:tcPr>
          <w:p w14:paraId="626EB76D">
            <w:pPr>
              <w:pStyle w:val="55"/>
              <w:bidi w:val="0"/>
              <w:rPr>
                <w:rFonts w:hint="default"/>
                <w:sz w:val="24"/>
                <w:szCs w:val="24"/>
                <w:lang w:eastAsia="zh-CN"/>
              </w:rPr>
            </w:pPr>
            <w:r>
              <w:rPr>
                <w:rFonts w:hint="default"/>
                <w:sz w:val="24"/>
                <w:szCs w:val="24"/>
                <w:lang w:eastAsia="zh-CN"/>
              </w:rPr>
              <w:t>危险废物</w:t>
            </w:r>
          </w:p>
        </w:tc>
        <w:tc>
          <w:tcPr>
            <w:tcW w:w="773" w:type="pct"/>
            <w:noWrap w:val="0"/>
            <w:vAlign w:val="center"/>
          </w:tcPr>
          <w:p w14:paraId="33C6486F">
            <w:pPr>
              <w:pStyle w:val="101"/>
              <w:keepNext w:val="0"/>
              <w:keepLines w:val="0"/>
              <w:pageBreakBefore w:val="0"/>
              <w:widowControl/>
              <w:kinsoku/>
              <w:wordWrap/>
              <w:overflowPunct/>
              <w:topLinePunct w:val="0"/>
              <w:autoSpaceDE/>
              <w:autoSpaceDN/>
              <w:bidi w:val="0"/>
              <w:adjustRightInd w:val="0"/>
              <w:snapToGrid w:val="0"/>
              <w:spacing w:line="300" w:lineRule="atLeast"/>
              <w:ind w:firstLine="0" w:firstLineChars="0"/>
              <w:textAlignment w:val="auto"/>
              <w:rPr>
                <w:rFonts w:hint="default"/>
                <w:sz w:val="24"/>
                <w:szCs w:val="24"/>
                <w:lang w:val="en-US" w:eastAsia="zh-CN"/>
              </w:rPr>
            </w:pPr>
            <w:r>
              <w:rPr>
                <w:rFonts w:hint="default" w:ascii="Times New Roman" w:hAnsi="Times New Roman" w:eastAsia="楷体" w:cs="Times New Roman"/>
                <w:color w:val="000000" w:themeColor="text1"/>
                <w:sz w:val="24"/>
                <w:szCs w:val="24"/>
                <w:highlight w:val="none"/>
                <w14:textFill>
                  <w14:solidFill>
                    <w14:schemeClr w14:val="tx1"/>
                  </w14:solidFill>
                </w14:textFill>
              </w:rPr>
              <w:t>900-0</w:t>
            </w:r>
            <w:r>
              <w:rPr>
                <w:rFonts w:hint="eastAsia" w:ascii="Times New Roman" w:hAnsi="Times New Roman" w:eastAsia="楷体" w:cs="Times New Roman"/>
                <w:color w:val="000000" w:themeColor="text1"/>
                <w:sz w:val="24"/>
                <w:szCs w:val="24"/>
                <w:highlight w:val="none"/>
                <w14:textFill>
                  <w14:solidFill>
                    <w14:schemeClr w14:val="tx1"/>
                  </w14:solidFill>
                </w14:textFill>
              </w:rPr>
              <w:t>39</w:t>
            </w:r>
            <w:r>
              <w:rPr>
                <w:rFonts w:hint="default" w:ascii="Times New Roman" w:hAnsi="Times New Roman" w:eastAsia="楷体" w:cs="Times New Roman"/>
                <w:color w:val="000000" w:themeColor="text1"/>
                <w:sz w:val="24"/>
                <w:szCs w:val="24"/>
                <w:highlight w:val="none"/>
                <w14:textFill>
                  <w14:solidFill>
                    <w14:schemeClr w14:val="tx1"/>
                  </w14:solidFill>
                </w14:textFill>
              </w:rPr>
              <w:t>-49</w:t>
            </w:r>
          </w:p>
        </w:tc>
        <w:tc>
          <w:tcPr>
            <w:tcW w:w="794" w:type="pct"/>
            <w:noWrap w:val="0"/>
            <w:vAlign w:val="center"/>
          </w:tcPr>
          <w:p w14:paraId="010B08BB">
            <w:pPr>
              <w:pStyle w:val="101"/>
              <w:keepNext w:val="0"/>
              <w:keepLines w:val="0"/>
              <w:pageBreakBefore w:val="0"/>
              <w:widowControl/>
              <w:kinsoku/>
              <w:wordWrap/>
              <w:overflowPunct/>
              <w:topLinePunct w:val="0"/>
              <w:autoSpaceDE/>
              <w:autoSpaceDN/>
              <w:bidi w:val="0"/>
              <w:adjustRightInd w:val="0"/>
              <w:snapToGrid w:val="0"/>
              <w:spacing w:line="300" w:lineRule="atLeast"/>
              <w:ind w:firstLine="0" w:firstLineChars="0"/>
              <w:textAlignment w:val="auto"/>
              <w:rPr>
                <w:rFonts w:hint="default"/>
                <w:sz w:val="24"/>
                <w:szCs w:val="24"/>
                <w:lang w:val="en-US" w:eastAsia="zh-CN"/>
              </w:rPr>
            </w:pPr>
            <w:r>
              <w:rPr>
                <w:rFonts w:hint="eastAsia" w:eastAsia="楷体" w:cs="Times New Roman"/>
                <w:snapToGrid w:val="0"/>
                <w:color w:val="000000" w:themeColor="text1"/>
                <w:sz w:val="24"/>
                <w:szCs w:val="24"/>
                <w:highlight w:val="none"/>
                <w:lang w:val="en-US" w:eastAsia="zh-CN" w:bidi="ar-SA"/>
                <w14:textFill>
                  <w14:solidFill>
                    <w14:schemeClr w14:val="tx1"/>
                  </w14:solidFill>
                </w14:textFill>
              </w:rPr>
              <w:t>8</w:t>
            </w:r>
          </w:p>
        </w:tc>
        <w:tc>
          <w:tcPr>
            <w:tcW w:w="1794" w:type="pct"/>
            <w:vMerge w:val="restart"/>
            <w:noWrap w:val="0"/>
            <w:vAlign w:val="center"/>
          </w:tcPr>
          <w:p w14:paraId="141AE353">
            <w:pPr>
              <w:pStyle w:val="55"/>
              <w:bidi w:val="0"/>
              <w:rPr>
                <w:rFonts w:hint="default"/>
                <w:sz w:val="24"/>
                <w:szCs w:val="24"/>
                <w:lang w:eastAsia="zh-CN"/>
              </w:rPr>
            </w:pPr>
            <w:r>
              <w:rPr>
                <w:rFonts w:hint="default"/>
                <w:sz w:val="24"/>
                <w:szCs w:val="24"/>
                <w:lang w:val="en-US" w:eastAsia="zh-CN"/>
              </w:rPr>
              <w:t>暂存于危废暂存间，定期委托有资质单位处置</w:t>
            </w:r>
          </w:p>
        </w:tc>
      </w:tr>
      <w:tr w14:paraId="1316E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363" w:type="pct"/>
            <w:noWrap w:val="0"/>
            <w:vAlign w:val="center"/>
          </w:tcPr>
          <w:p w14:paraId="16BA314B">
            <w:pPr>
              <w:pStyle w:val="55"/>
              <w:bidi w:val="0"/>
              <w:rPr>
                <w:rFonts w:hint="default"/>
                <w:sz w:val="24"/>
                <w:szCs w:val="24"/>
                <w:lang w:val="en-US" w:eastAsia="zh-CN"/>
              </w:rPr>
            </w:pPr>
            <w:r>
              <w:rPr>
                <w:rFonts w:hint="default"/>
                <w:sz w:val="24"/>
                <w:szCs w:val="24"/>
                <w:lang w:val="en-US" w:eastAsia="zh-CN"/>
              </w:rPr>
              <w:t>7</w:t>
            </w:r>
          </w:p>
        </w:tc>
        <w:tc>
          <w:tcPr>
            <w:tcW w:w="769" w:type="pct"/>
            <w:noWrap w:val="0"/>
            <w:vAlign w:val="center"/>
          </w:tcPr>
          <w:p w14:paraId="66265D8B">
            <w:pPr>
              <w:pStyle w:val="101"/>
              <w:keepNext w:val="0"/>
              <w:keepLines w:val="0"/>
              <w:pageBreakBefore w:val="0"/>
              <w:widowControl/>
              <w:kinsoku/>
              <w:wordWrap/>
              <w:overflowPunct/>
              <w:topLinePunct w:val="0"/>
              <w:autoSpaceDE/>
              <w:autoSpaceDN/>
              <w:bidi w:val="0"/>
              <w:adjustRightInd w:val="0"/>
              <w:snapToGrid w:val="0"/>
              <w:spacing w:line="300" w:lineRule="atLeast"/>
              <w:ind w:firstLine="0" w:firstLineChars="0"/>
              <w:textAlignment w:val="auto"/>
              <w:rPr>
                <w:rFonts w:hint="default"/>
                <w:sz w:val="24"/>
                <w:szCs w:val="24"/>
                <w:lang w:val="en-US" w:eastAsia="zh-CN"/>
              </w:rPr>
            </w:pPr>
            <w:r>
              <w:rPr>
                <w:rFonts w:hint="eastAsia" w:eastAsia="楷体" w:cs="Times New Roman"/>
                <w:color w:val="000000" w:themeColor="text1"/>
                <w:sz w:val="24"/>
                <w:szCs w:val="24"/>
                <w:highlight w:val="none"/>
                <w:lang w:val="en-US" w:eastAsia="zh-CN"/>
                <w14:textFill>
                  <w14:solidFill>
                    <w14:schemeClr w14:val="tx1"/>
                  </w14:solidFill>
                </w14:textFill>
              </w:rPr>
              <w:t>废过滤棉</w:t>
            </w:r>
          </w:p>
        </w:tc>
        <w:tc>
          <w:tcPr>
            <w:tcW w:w="504" w:type="pct"/>
            <w:vMerge w:val="continue"/>
            <w:noWrap w:val="0"/>
            <w:vAlign w:val="center"/>
          </w:tcPr>
          <w:p w14:paraId="1DFC513A">
            <w:pPr>
              <w:pStyle w:val="55"/>
              <w:bidi w:val="0"/>
              <w:rPr>
                <w:rFonts w:hint="default"/>
                <w:sz w:val="24"/>
                <w:szCs w:val="24"/>
                <w:lang w:eastAsia="zh-CN"/>
              </w:rPr>
            </w:pPr>
          </w:p>
        </w:tc>
        <w:tc>
          <w:tcPr>
            <w:tcW w:w="773" w:type="pct"/>
            <w:noWrap w:val="0"/>
            <w:vAlign w:val="center"/>
          </w:tcPr>
          <w:p w14:paraId="4FE34DD6">
            <w:pPr>
              <w:pStyle w:val="101"/>
              <w:keepNext w:val="0"/>
              <w:keepLines w:val="0"/>
              <w:pageBreakBefore w:val="0"/>
              <w:widowControl/>
              <w:kinsoku/>
              <w:wordWrap/>
              <w:overflowPunct/>
              <w:topLinePunct w:val="0"/>
              <w:autoSpaceDE/>
              <w:autoSpaceDN/>
              <w:bidi w:val="0"/>
              <w:adjustRightInd w:val="0"/>
              <w:snapToGrid w:val="0"/>
              <w:spacing w:line="300" w:lineRule="atLeast"/>
              <w:ind w:firstLine="0" w:firstLineChars="0"/>
              <w:textAlignment w:val="auto"/>
              <w:rPr>
                <w:rFonts w:hint="default"/>
                <w:sz w:val="24"/>
                <w:szCs w:val="24"/>
                <w:lang w:val="en-US" w:eastAsia="zh-CN"/>
              </w:rPr>
            </w:pPr>
            <w:r>
              <w:rPr>
                <w:rFonts w:hint="default" w:ascii="Times New Roman" w:hAnsi="Times New Roman" w:eastAsia="楷体" w:cs="Times New Roman"/>
                <w:b w:val="0"/>
                <w:bCs w:val="0"/>
                <w:color w:val="000000" w:themeColor="text1"/>
                <w:kern w:val="0"/>
                <w:sz w:val="24"/>
                <w:szCs w:val="24"/>
                <w:highlight w:val="none"/>
                <w:lang w:val="en-US" w:eastAsia="zh-CN" w:bidi="ar"/>
                <w14:textFill>
                  <w14:solidFill>
                    <w14:schemeClr w14:val="tx1"/>
                  </w14:solidFill>
                </w14:textFill>
              </w:rPr>
              <w:t>900-041-49</w:t>
            </w:r>
          </w:p>
        </w:tc>
        <w:tc>
          <w:tcPr>
            <w:tcW w:w="794" w:type="pct"/>
            <w:noWrap w:val="0"/>
            <w:vAlign w:val="center"/>
          </w:tcPr>
          <w:p w14:paraId="1AD7BFC6">
            <w:pPr>
              <w:pStyle w:val="101"/>
              <w:keepNext w:val="0"/>
              <w:keepLines w:val="0"/>
              <w:pageBreakBefore w:val="0"/>
              <w:widowControl/>
              <w:kinsoku/>
              <w:wordWrap/>
              <w:overflowPunct/>
              <w:topLinePunct w:val="0"/>
              <w:autoSpaceDE/>
              <w:autoSpaceDN/>
              <w:bidi w:val="0"/>
              <w:adjustRightInd w:val="0"/>
              <w:snapToGrid w:val="0"/>
              <w:spacing w:line="300" w:lineRule="atLeast"/>
              <w:ind w:firstLine="0" w:firstLineChars="0"/>
              <w:textAlignment w:val="auto"/>
              <w:rPr>
                <w:rFonts w:hint="default"/>
                <w:sz w:val="24"/>
                <w:szCs w:val="24"/>
                <w:lang w:val="en-US" w:eastAsia="zh-CN"/>
              </w:rPr>
            </w:pPr>
            <w:r>
              <w:rPr>
                <w:rFonts w:hint="eastAsia" w:eastAsia="楷体" w:cs="Times New Roman"/>
                <w:color w:val="000000" w:themeColor="text1"/>
                <w:sz w:val="24"/>
                <w:szCs w:val="24"/>
                <w:highlight w:val="none"/>
                <w:lang w:val="en-US" w:eastAsia="zh-CN"/>
                <w14:textFill>
                  <w14:solidFill>
                    <w14:schemeClr w14:val="tx1"/>
                  </w14:solidFill>
                </w14:textFill>
              </w:rPr>
              <w:t>2</w:t>
            </w:r>
          </w:p>
        </w:tc>
        <w:tc>
          <w:tcPr>
            <w:tcW w:w="1794" w:type="pct"/>
            <w:vMerge w:val="continue"/>
            <w:noWrap w:val="0"/>
            <w:vAlign w:val="center"/>
          </w:tcPr>
          <w:p w14:paraId="49F8A2FD">
            <w:pPr>
              <w:pStyle w:val="55"/>
              <w:bidi w:val="0"/>
              <w:rPr>
                <w:rFonts w:hint="default"/>
                <w:sz w:val="24"/>
                <w:szCs w:val="24"/>
                <w:lang w:eastAsia="zh-CN"/>
              </w:rPr>
            </w:pPr>
          </w:p>
        </w:tc>
      </w:tr>
      <w:tr w14:paraId="10B5F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363" w:type="pct"/>
            <w:noWrap w:val="0"/>
            <w:vAlign w:val="center"/>
          </w:tcPr>
          <w:p w14:paraId="2C65BD94">
            <w:pPr>
              <w:pStyle w:val="55"/>
              <w:bidi w:val="0"/>
              <w:rPr>
                <w:rFonts w:hint="default"/>
                <w:sz w:val="24"/>
                <w:szCs w:val="24"/>
                <w:lang w:val="en-US" w:eastAsia="zh-CN"/>
              </w:rPr>
            </w:pPr>
            <w:r>
              <w:rPr>
                <w:rFonts w:hint="default"/>
                <w:sz w:val="24"/>
                <w:szCs w:val="24"/>
                <w:lang w:val="en-US" w:eastAsia="zh-CN"/>
              </w:rPr>
              <w:t>8</w:t>
            </w:r>
          </w:p>
        </w:tc>
        <w:tc>
          <w:tcPr>
            <w:tcW w:w="769" w:type="pct"/>
            <w:noWrap w:val="0"/>
            <w:vAlign w:val="center"/>
          </w:tcPr>
          <w:p w14:paraId="52F1A74A">
            <w:pPr>
              <w:pStyle w:val="101"/>
              <w:keepNext w:val="0"/>
              <w:keepLines w:val="0"/>
              <w:pageBreakBefore w:val="0"/>
              <w:widowControl/>
              <w:kinsoku/>
              <w:wordWrap/>
              <w:overflowPunct/>
              <w:topLinePunct w:val="0"/>
              <w:autoSpaceDE/>
              <w:autoSpaceDN/>
              <w:bidi w:val="0"/>
              <w:adjustRightInd w:val="0"/>
              <w:snapToGrid w:val="0"/>
              <w:spacing w:line="300" w:lineRule="atLeast"/>
              <w:ind w:firstLine="0" w:firstLineChars="0"/>
              <w:textAlignment w:val="auto"/>
              <w:rPr>
                <w:rFonts w:hint="default"/>
                <w:sz w:val="24"/>
                <w:szCs w:val="24"/>
                <w:lang w:val="en-US" w:eastAsia="zh-CN"/>
              </w:rPr>
            </w:pPr>
            <w:r>
              <w:rPr>
                <w:rFonts w:hint="default" w:ascii="Times New Roman" w:hAnsi="Times New Roman" w:eastAsia="楷体" w:cs="Times New Roman"/>
                <w:color w:val="000000" w:themeColor="text1"/>
                <w:sz w:val="24"/>
                <w:szCs w:val="24"/>
                <w:highlight w:val="none"/>
                <w14:textFill>
                  <w14:solidFill>
                    <w14:schemeClr w14:val="tx1"/>
                  </w14:solidFill>
                </w14:textFill>
              </w:rPr>
              <w:t>废</w:t>
            </w:r>
            <w:r>
              <w:rPr>
                <w:rFonts w:hint="eastAsia" w:ascii="Times New Roman" w:hAnsi="Times New Roman" w:eastAsia="楷体" w:cs="Times New Roman"/>
                <w:color w:val="000000" w:themeColor="text1"/>
                <w:sz w:val="24"/>
                <w:szCs w:val="24"/>
                <w:highlight w:val="none"/>
                <w:lang w:val="en-US" w:eastAsia="zh-CN"/>
                <w14:textFill>
                  <w14:solidFill>
                    <w14:schemeClr w14:val="tx1"/>
                  </w14:solidFill>
                </w14:textFill>
              </w:rPr>
              <w:t>润滑油</w:t>
            </w:r>
          </w:p>
        </w:tc>
        <w:tc>
          <w:tcPr>
            <w:tcW w:w="504" w:type="pct"/>
            <w:vMerge w:val="continue"/>
            <w:noWrap w:val="0"/>
            <w:vAlign w:val="center"/>
          </w:tcPr>
          <w:p w14:paraId="35166C98">
            <w:pPr>
              <w:pStyle w:val="55"/>
              <w:bidi w:val="0"/>
              <w:rPr>
                <w:rFonts w:hint="default"/>
                <w:sz w:val="24"/>
                <w:szCs w:val="24"/>
                <w:lang w:eastAsia="zh-CN"/>
              </w:rPr>
            </w:pPr>
          </w:p>
        </w:tc>
        <w:tc>
          <w:tcPr>
            <w:tcW w:w="773" w:type="pct"/>
            <w:noWrap w:val="0"/>
            <w:vAlign w:val="center"/>
          </w:tcPr>
          <w:p w14:paraId="30AE7566">
            <w:pPr>
              <w:pStyle w:val="101"/>
              <w:keepNext w:val="0"/>
              <w:keepLines w:val="0"/>
              <w:pageBreakBefore w:val="0"/>
              <w:widowControl/>
              <w:kinsoku/>
              <w:wordWrap/>
              <w:overflowPunct/>
              <w:topLinePunct w:val="0"/>
              <w:autoSpaceDE/>
              <w:autoSpaceDN/>
              <w:bidi w:val="0"/>
              <w:adjustRightInd w:val="0"/>
              <w:snapToGrid w:val="0"/>
              <w:spacing w:line="300" w:lineRule="atLeast"/>
              <w:ind w:firstLine="0" w:firstLineChars="0"/>
              <w:textAlignment w:val="auto"/>
              <w:rPr>
                <w:rFonts w:hint="default"/>
                <w:sz w:val="24"/>
                <w:szCs w:val="24"/>
                <w:lang w:val="en-US" w:eastAsia="zh-CN"/>
              </w:rPr>
            </w:pPr>
            <w:r>
              <w:rPr>
                <w:rFonts w:hint="default" w:ascii="Times New Roman" w:hAnsi="Times New Roman" w:eastAsia="楷体" w:cs="Times New Roman"/>
                <w:color w:val="000000" w:themeColor="text1"/>
                <w:sz w:val="24"/>
                <w:szCs w:val="24"/>
                <w:highlight w:val="none"/>
                <w14:textFill>
                  <w14:solidFill>
                    <w14:schemeClr w14:val="tx1"/>
                  </w14:solidFill>
                </w14:textFill>
              </w:rPr>
              <w:t>900-214-08</w:t>
            </w:r>
          </w:p>
        </w:tc>
        <w:tc>
          <w:tcPr>
            <w:tcW w:w="794" w:type="pct"/>
            <w:noWrap w:val="0"/>
            <w:vAlign w:val="center"/>
          </w:tcPr>
          <w:p w14:paraId="423851BD">
            <w:pPr>
              <w:pStyle w:val="101"/>
              <w:keepNext w:val="0"/>
              <w:keepLines w:val="0"/>
              <w:pageBreakBefore w:val="0"/>
              <w:widowControl/>
              <w:kinsoku/>
              <w:wordWrap/>
              <w:overflowPunct/>
              <w:topLinePunct w:val="0"/>
              <w:autoSpaceDE/>
              <w:autoSpaceDN/>
              <w:bidi w:val="0"/>
              <w:adjustRightInd w:val="0"/>
              <w:snapToGrid w:val="0"/>
              <w:spacing w:line="300" w:lineRule="atLeast"/>
              <w:ind w:firstLine="0" w:firstLineChars="0"/>
              <w:textAlignment w:val="auto"/>
              <w:rPr>
                <w:rFonts w:hint="default"/>
                <w:sz w:val="24"/>
                <w:szCs w:val="24"/>
                <w:lang w:val="en-US" w:eastAsia="zh-CN"/>
              </w:rPr>
            </w:pPr>
            <w:r>
              <w:rPr>
                <w:rFonts w:hint="default" w:ascii="Times New Roman" w:hAnsi="Times New Roman" w:eastAsia="楷体" w:cs="Times New Roman"/>
                <w:color w:val="000000" w:themeColor="text1"/>
                <w:sz w:val="24"/>
                <w:szCs w:val="24"/>
                <w:highlight w:val="none"/>
                <w14:textFill>
                  <w14:solidFill>
                    <w14:schemeClr w14:val="tx1"/>
                  </w14:solidFill>
                </w14:textFill>
              </w:rPr>
              <w:t>0.</w:t>
            </w:r>
            <w:r>
              <w:rPr>
                <w:rFonts w:hint="eastAsia" w:ascii="Times New Roman" w:hAnsi="Times New Roman" w:eastAsia="楷体" w:cs="Times New Roman"/>
                <w:color w:val="000000" w:themeColor="text1"/>
                <w:sz w:val="24"/>
                <w:szCs w:val="24"/>
                <w:highlight w:val="none"/>
                <w:lang w:val="en-US" w:eastAsia="zh-CN"/>
                <w14:textFill>
                  <w14:solidFill>
                    <w14:schemeClr w14:val="tx1"/>
                  </w14:solidFill>
                </w14:textFill>
              </w:rPr>
              <w:t>8</w:t>
            </w:r>
          </w:p>
        </w:tc>
        <w:tc>
          <w:tcPr>
            <w:tcW w:w="1794" w:type="pct"/>
            <w:vMerge w:val="continue"/>
            <w:noWrap w:val="0"/>
            <w:vAlign w:val="center"/>
          </w:tcPr>
          <w:p w14:paraId="556B268D">
            <w:pPr>
              <w:pStyle w:val="55"/>
              <w:bidi w:val="0"/>
              <w:rPr>
                <w:rFonts w:hint="default"/>
                <w:sz w:val="24"/>
                <w:szCs w:val="24"/>
                <w:lang w:eastAsia="zh-CN"/>
              </w:rPr>
            </w:pPr>
          </w:p>
        </w:tc>
      </w:tr>
      <w:tr w14:paraId="4CC5A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363" w:type="pct"/>
            <w:noWrap w:val="0"/>
            <w:vAlign w:val="center"/>
          </w:tcPr>
          <w:p w14:paraId="3C9150FF">
            <w:pPr>
              <w:pStyle w:val="55"/>
              <w:bidi w:val="0"/>
              <w:rPr>
                <w:rFonts w:hint="default"/>
                <w:sz w:val="24"/>
                <w:szCs w:val="24"/>
                <w:lang w:val="en-US" w:eastAsia="zh-CN"/>
              </w:rPr>
            </w:pPr>
            <w:r>
              <w:rPr>
                <w:rFonts w:hint="eastAsia"/>
                <w:sz w:val="24"/>
                <w:szCs w:val="24"/>
                <w:lang w:val="en-US" w:eastAsia="zh-CN"/>
              </w:rPr>
              <w:t>9</w:t>
            </w:r>
          </w:p>
        </w:tc>
        <w:tc>
          <w:tcPr>
            <w:tcW w:w="769" w:type="pct"/>
            <w:noWrap w:val="0"/>
            <w:vAlign w:val="center"/>
          </w:tcPr>
          <w:p w14:paraId="7DAC8747">
            <w:pPr>
              <w:pStyle w:val="101"/>
              <w:keepNext w:val="0"/>
              <w:keepLines w:val="0"/>
              <w:pageBreakBefore w:val="0"/>
              <w:widowControl/>
              <w:kinsoku/>
              <w:wordWrap/>
              <w:overflowPunct/>
              <w:topLinePunct w:val="0"/>
              <w:autoSpaceDE/>
              <w:autoSpaceDN/>
              <w:bidi w:val="0"/>
              <w:adjustRightInd w:val="0"/>
              <w:snapToGrid w:val="0"/>
              <w:spacing w:line="300" w:lineRule="atLeast"/>
              <w:ind w:firstLine="0" w:firstLineChars="0"/>
              <w:textAlignment w:val="auto"/>
              <w:rPr>
                <w:rFonts w:hint="default"/>
                <w:sz w:val="24"/>
                <w:szCs w:val="24"/>
                <w:lang w:eastAsia="zh-CN"/>
              </w:rPr>
            </w:pPr>
            <w:r>
              <w:rPr>
                <w:rFonts w:hint="default" w:ascii="Times New Roman" w:hAnsi="Times New Roman" w:eastAsia="楷体" w:cs="Times New Roman"/>
                <w:color w:val="000000" w:themeColor="text1"/>
                <w:sz w:val="24"/>
                <w:szCs w:val="24"/>
                <w:highlight w:val="none"/>
                <w14:textFill>
                  <w14:solidFill>
                    <w14:schemeClr w14:val="tx1"/>
                  </w14:solidFill>
                </w14:textFill>
              </w:rPr>
              <w:t>废</w:t>
            </w:r>
            <w:r>
              <w:rPr>
                <w:rFonts w:hint="eastAsia" w:ascii="Times New Roman" w:hAnsi="Times New Roman" w:eastAsia="楷体" w:cs="Times New Roman"/>
                <w:color w:val="000000" w:themeColor="text1"/>
                <w:sz w:val="24"/>
                <w:szCs w:val="24"/>
                <w:highlight w:val="none"/>
                <w:lang w:val="en-US" w:eastAsia="zh-CN"/>
                <w14:textFill>
                  <w14:solidFill>
                    <w14:schemeClr w14:val="tx1"/>
                  </w14:solidFill>
                </w14:textFill>
              </w:rPr>
              <w:t>润滑油桶</w:t>
            </w:r>
          </w:p>
        </w:tc>
        <w:tc>
          <w:tcPr>
            <w:tcW w:w="504" w:type="pct"/>
            <w:vMerge w:val="continue"/>
            <w:noWrap w:val="0"/>
            <w:vAlign w:val="center"/>
          </w:tcPr>
          <w:p w14:paraId="229D6118">
            <w:pPr>
              <w:pStyle w:val="55"/>
              <w:bidi w:val="0"/>
              <w:rPr>
                <w:rFonts w:hint="default"/>
                <w:sz w:val="24"/>
                <w:szCs w:val="24"/>
                <w:lang w:eastAsia="zh-CN"/>
              </w:rPr>
            </w:pPr>
          </w:p>
        </w:tc>
        <w:tc>
          <w:tcPr>
            <w:tcW w:w="773" w:type="pct"/>
            <w:noWrap w:val="0"/>
            <w:vAlign w:val="center"/>
          </w:tcPr>
          <w:p w14:paraId="1C4C58AD">
            <w:pPr>
              <w:pStyle w:val="101"/>
              <w:keepNext w:val="0"/>
              <w:keepLines w:val="0"/>
              <w:pageBreakBefore w:val="0"/>
              <w:widowControl/>
              <w:kinsoku/>
              <w:wordWrap/>
              <w:overflowPunct/>
              <w:topLinePunct w:val="0"/>
              <w:autoSpaceDE/>
              <w:autoSpaceDN/>
              <w:bidi w:val="0"/>
              <w:adjustRightInd w:val="0"/>
              <w:snapToGrid w:val="0"/>
              <w:spacing w:line="300" w:lineRule="atLeast"/>
              <w:ind w:firstLine="0" w:firstLineChars="0"/>
              <w:textAlignment w:val="auto"/>
              <w:rPr>
                <w:rFonts w:hint="default"/>
                <w:sz w:val="24"/>
                <w:szCs w:val="24"/>
                <w:lang w:val="en-US" w:eastAsia="zh-CN"/>
              </w:rPr>
            </w:pPr>
            <w:r>
              <w:rPr>
                <w:rFonts w:hint="eastAsia" w:ascii="Times New Roman" w:hAnsi="Times New Roman" w:eastAsia="宋体" w:cs="Times New Roman"/>
                <w:b w:val="0"/>
                <w:bCs w:val="0"/>
                <w:color w:val="000000" w:themeColor="text1"/>
                <w:spacing w:val="5"/>
                <w:kern w:val="0"/>
                <w:sz w:val="24"/>
                <w:szCs w:val="24"/>
                <w:highlight w:val="none"/>
                <w:lang w:val="en-US" w:eastAsia="zh-CN" w:bidi="ar-SA"/>
                <w14:textFill>
                  <w14:solidFill>
                    <w14:schemeClr w14:val="tx1"/>
                  </w14:solidFill>
                </w14:textFill>
              </w:rPr>
              <w:t>900-</w:t>
            </w:r>
            <w:r>
              <w:rPr>
                <w:rFonts w:hint="eastAsia" w:cs="Times New Roman"/>
                <w:b w:val="0"/>
                <w:bCs w:val="0"/>
                <w:color w:val="000000" w:themeColor="text1"/>
                <w:spacing w:val="5"/>
                <w:kern w:val="0"/>
                <w:sz w:val="24"/>
                <w:szCs w:val="24"/>
                <w:highlight w:val="none"/>
                <w:lang w:val="en-US" w:eastAsia="zh-CN" w:bidi="ar-SA"/>
                <w14:textFill>
                  <w14:solidFill>
                    <w14:schemeClr w14:val="tx1"/>
                  </w14:solidFill>
                </w14:textFill>
              </w:rPr>
              <w:t>249</w:t>
            </w:r>
            <w:r>
              <w:rPr>
                <w:rFonts w:hint="eastAsia" w:ascii="Times New Roman" w:hAnsi="Times New Roman" w:eastAsia="宋体" w:cs="Times New Roman"/>
                <w:b w:val="0"/>
                <w:bCs w:val="0"/>
                <w:color w:val="000000" w:themeColor="text1"/>
                <w:spacing w:val="5"/>
                <w:kern w:val="0"/>
                <w:sz w:val="24"/>
                <w:szCs w:val="24"/>
                <w:highlight w:val="none"/>
                <w:lang w:val="en-US" w:eastAsia="zh-CN" w:bidi="ar-SA"/>
                <w14:textFill>
                  <w14:solidFill>
                    <w14:schemeClr w14:val="tx1"/>
                  </w14:solidFill>
                </w14:textFill>
              </w:rPr>
              <w:t>-</w:t>
            </w:r>
            <w:r>
              <w:rPr>
                <w:rFonts w:hint="eastAsia" w:cs="Times New Roman"/>
                <w:b w:val="0"/>
                <w:bCs w:val="0"/>
                <w:color w:val="000000" w:themeColor="text1"/>
                <w:spacing w:val="5"/>
                <w:kern w:val="0"/>
                <w:sz w:val="24"/>
                <w:szCs w:val="24"/>
                <w:highlight w:val="none"/>
                <w:lang w:val="en-US" w:eastAsia="zh-CN" w:bidi="ar-SA"/>
                <w14:textFill>
                  <w14:solidFill>
                    <w14:schemeClr w14:val="tx1"/>
                  </w14:solidFill>
                </w14:textFill>
              </w:rPr>
              <w:t>08</w:t>
            </w:r>
          </w:p>
        </w:tc>
        <w:tc>
          <w:tcPr>
            <w:tcW w:w="794" w:type="pct"/>
            <w:noWrap w:val="0"/>
            <w:vAlign w:val="center"/>
          </w:tcPr>
          <w:p w14:paraId="39CD53AB">
            <w:pPr>
              <w:pStyle w:val="101"/>
              <w:keepNext w:val="0"/>
              <w:keepLines w:val="0"/>
              <w:pageBreakBefore w:val="0"/>
              <w:widowControl/>
              <w:kinsoku/>
              <w:wordWrap/>
              <w:overflowPunct/>
              <w:topLinePunct w:val="0"/>
              <w:autoSpaceDE/>
              <w:autoSpaceDN/>
              <w:bidi w:val="0"/>
              <w:adjustRightInd w:val="0"/>
              <w:snapToGrid w:val="0"/>
              <w:spacing w:line="300" w:lineRule="atLeast"/>
              <w:ind w:firstLine="0" w:firstLineChars="0"/>
              <w:textAlignment w:val="auto"/>
              <w:rPr>
                <w:rFonts w:hint="default"/>
                <w:sz w:val="24"/>
                <w:szCs w:val="24"/>
                <w:lang w:val="en-US" w:eastAsia="zh-CN"/>
              </w:rPr>
            </w:pPr>
            <w:r>
              <w:rPr>
                <w:rFonts w:hint="default" w:ascii="Times New Roman" w:hAnsi="Times New Roman" w:eastAsia="楷体" w:cs="Times New Roman"/>
                <w:color w:val="000000" w:themeColor="text1"/>
                <w:sz w:val="24"/>
                <w:szCs w:val="24"/>
                <w:highlight w:val="none"/>
                <w14:textFill>
                  <w14:solidFill>
                    <w14:schemeClr w14:val="tx1"/>
                  </w14:solidFill>
                </w14:textFill>
              </w:rPr>
              <w:t>0.</w:t>
            </w:r>
            <w:r>
              <w:rPr>
                <w:rFonts w:hint="eastAsia" w:ascii="Times New Roman" w:hAnsi="Times New Roman" w:eastAsia="楷体" w:cs="Times New Roman"/>
                <w:color w:val="000000" w:themeColor="text1"/>
                <w:sz w:val="24"/>
                <w:szCs w:val="24"/>
                <w:highlight w:val="none"/>
                <w:lang w:val="en-US" w:eastAsia="zh-CN"/>
                <w14:textFill>
                  <w14:solidFill>
                    <w14:schemeClr w14:val="tx1"/>
                  </w14:solidFill>
                </w14:textFill>
              </w:rPr>
              <w:t>5</w:t>
            </w:r>
          </w:p>
        </w:tc>
        <w:tc>
          <w:tcPr>
            <w:tcW w:w="1794" w:type="pct"/>
            <w:vMerge w:val="continue"/>
            <w:noWrap w:val="0"/>
            <w:vAlign w:val="center"/>
          </w:tcPr>
          <w:p w14:paraId="105D9B33">
            <w:pPr>
              <w:pStyle w:val="55"/>
              <w:bidi w:val="0"/>
              <w:rPr>
                <w:rFonts w:hint="default"/>
                <w:sz w:val="24"/>
                <w:szCs w:val="24"/>
                <w:lang w:eastAsia="zh-CN"/>
              </w:rPr>
            </w:pPr>
          </w:p>
        </w:tc>
      </w:tr>
      <w:tr w14:paraId="0E9D8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363" w:type="pct"/>
            <w:noWrap w:val="0"/>
            <w:vAlign w:val="center"/>
          </w:tcPr>
          <w:p w14:paraId="00F2895C">
            <w:pPr>
              <w:pStyle w:val="55"/>
              <w:bidi w:val="0"/>
              <w:rPr>
                <w:rFonts w:hint="default"/>
                <w:sz w:val="24"/>
                <w:szCs w:val="24"/>
                <w:lang w:val="en-US" w:eastAsia="zh-CN"/>
              </w:rPr>
            </w:pPr>
            <w:r>
              <w:rPr>
                <w:rFonts w:hint="eastAsia"/>
                <w:sz w:val="24"/>
                <w:szCs w:val="24"/>
                <w:lang w:val="en-US" w:eastAsia="zh-CN"/>
              </w:rPr>
              <w:t>10</w:t>
            </w:r>
          </w:p>
        </w:tc>
        <w:tc>
          <w:tcPr>
            <w:tcW w:w="769" w:type="pct"/>
            <w:noWrap w:val="0"/>
            <w:vAlign w:val="center"/>
          </w:tcPr>
          <w:p w14:paraId="5B216428">
            <w:pPr>
              <w:pStyle w:val="55"/>
              <w:bidi w:val="0"/>
              <w:rPr>
                <w:rFonts w:hint="default"/>
                <w:sz w:val="24"/>
                <w:szCs w:val="24"/>
                <w:lang w:eastAsia="zh-CN"/>
              </w:rPr>
            </w:pPr>
            <w:r>
              <w:rPr>
                <w:rFonts w:hint="default"/>
                <w:sz w:val="24"/>
                <w:szCs w:val="24"/>
              </w:rPr>
              <w:t>生活垃圾</w:t>
            </w:r>
          </w:p>
        </w:tc>
        <w:tc>
          <w:tcPr>
            <w:tcW w:w="504" w:type="pct"/>
            <w:noWrap w:val="0"/>
            <w:vAlign w:val="center"/>
          </w:tcPr>
          <w:p w14:paraId="0E4586EE">
            <w:pPr>
              <w:pStyle w:val="55"/>
              <w:bidi w:val="0"/>
              <w:rPr>
                <w:rFonts w:hint="default"/>
                <w:sz w:val="24"/>
                <w:szCs w:val="24"/>
                <w:lang w:eastAsia="zh-CN"/>
              </w:rPr>
            </w:pPr>
          </w:p>
        </w:tc>
        <w:tc>
          <w:tcPr>
            <w:tcW w:w="773" w:type="pct"/>
            <w:noWrap w:val="0"/>
            <w:vAlign w:val="center"/>
          </w:tcPr>
          <w:p w14:paraId="425C030B">
            <w:pPr>
              <w:pStyle w:val="55"/>
              <w:bidi w:val="0"/>
              <w:rPr>
                <w:rFonts w:hint="default"/>
                <w:sz w:val="24"/>
                <w:szCs w:val="24"/>
                <w:lang w:val="en-US" w:eastAsia="zh-CN"/>
              </w:rPr>
            </w:pPr>
            <w:r>
              <w:rPr>
                <w:rFonts w:hint="default"/>
                <w:sz w:val="24"/>
                <w:szCs w:val="24"/>
                <w:lang w:val="en-US" w:eastAsia="en-US"/>
              </w:rPr>
              <w:t>900-999-99</w:t>
            </w:r>
          </w:p>
        </w:tc>
        <w:tc>
          <w:tcPr>
            <w:tcW w:w="794" w:type="pct"/>
            <w:noWrap w:val="0"/>
            <w:vAlign w:val="center"/>
          </w:tcPr>
          <w:p w14:paraId="6D9801AC">
            <w:pPr>
              <w:pStyle w:val="55"/>
              <w:bidi w:val="0"/>
              <w:rPr>
                <w:rFonts w:hint="default"/>
                <w:sz w:val="24"/>
                <w:szCs w:val="24"/>
                <w:lang w:val="en-US" w:eastAsia="zh-CN"/>
              </w:rPr>
            </w:pPr>
            <w:r>
              <w:rPr>
                <w:rFonts w:hint="eastAsia"/>
                <w:sz w:val="24"/>
                <w:szCs w:val="24"/>
              </w:rPr>
              <w:t>7.5</w:t>
            </w:r>
          </w:p>
        </w:tc>
        <w:tc>
          <w:tcPr>
            <w:tcW w:w="1794" w:type="pct"/>
            <w:noWrap w:val="0"/>
            <w:vAlign w:val="center"/>
          </w:tcPr>
          <w:p w14:paraId="282AE1BA">
            <w:pPr>
              <w:pStyle w:val="55"/>
              <w:bidi w:val="0"/>
              <w:rPr>
                <w:rFonts w:hint="default"/>
                <w:sz w:val="24"/>
                <w:szCs w:val="24"/>
                <w:lang w:eastAsia="zh-CN"/>
              </w:rPr>
            </w:pPr>
            <w:r>
              <w:rPr>
                <w:rFonts w:hint="default"/>
                <w:sz w:val="24"/>
                <w:szCs w:val="24"/>
                <w:lang w:val="en-US" w:eastAsia="zh-CN"/>
              </w:rPr>
              <w:t>集中收集后交由环卫部门处理</w:t>
            </w:r>
          </w:p>
        </w:tc>
      </w:tr>
    </w:tbl>
    <w:p w14:paraId="0A7CFFF5">
      <w:pPr>
        <w:pStyle w:val="90"/>
        <w:bidi w:val="0"/>
        <w:ind w:left="0" w:leftChars="0" w:firstLine="0" w:firstLineChars="0"/>
      </w:pPr>
      <w:bookmarkStart w:id="43" w:name="_Toc28853"/>
      <w:r>
        <w:rPr>
          <w:rFonts w:hint="eastAsia"/>
        </w:rPr>
        <w:t>项目建成后全厂污染物排放情况</w:t>
      </w:r>
      <w:bookmarkEnd w:id="43"/>
    </w:p>
    <w:p w14:paraId="6B0BC2BC">
      <w:pPr>
        <w:pStyle w:val="47"/>
        <w:ind w:firstLine="482"/>
        <w:rPr>
          <w:lang w:val="en-US"/>
        </w:rPr>
      </w:pPr>
      <w:r>
        <w:rPr>
          <w:rFonts w:hint="eastAsia"/>
          <w:lang w:val="en-US" w:eastAsia="zh-CN"/>
        </w:rPr>
        <w:t>项目厂区</w:t>
      </w:r>
      <w:r>
        <w:rPr>
          <w:rFonts w:hint="eastAsia"/>
          <w:lang w:val="en-US"/>
        </w:rPr>
        <w:t>污染物排放情况汇总表见下表</w:t>
      </w:r>
      <w:r>
        <w:rPr>
          <w:lang w:val="en-US"/>
        </w:rPr>
        <w:t>。</w:t>
      </w:r>
    </w:p>
    <w:p w14:paraId="7C6FE710">
      <w:pPr>
        <w:pStyle w:val="94"/>
        <w:bidi w:val="0"/>
        <w:ind w:left="0" w:leftChars="0" w:firstLine="0" w:firstLineChars="0"/>
        <w:rPr>
          <w:rFonts w:hint="eastAsia"/>
        </w:rPr>
      </w:pPr>
      <w:r>
        <w:rPr>
          <w:rFonts w:hint="eastAsia"/>
        </w:rPr>
        <w:t>项目建成后</w:t>
      </w:r>
      <w:r>
        <w:t>全厂</w:t>
      </w:r>
      <w:r>
        <w:rPr>
          <w:rFonts w:hint="eastAsia"/>
        </w:rPr>
        <w:t>污染物排放情况一览表</w:t>
      </w:r>
    </w:p>
    <w:tbl>
      <w:tblPr>
        <w:tblStyle w:val="32"/>
        <w:tblW w:w="4996" w:type="pct"/>
        <w:jc w:val="center"/>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Layout w:type="fixed"/>
        <w:tblCellMar>
          <w:top w:w="0" w:type="dxa"/>
          <w:left w:w="108" w:type="dxa"/>
          <w:bottom w:w="0" w:type="dxa"/>
          <w:right w:w="108" w:type="dxa"/>
        </w:tblCellMar>
      </w:tblPr>
      <w:tblGrid>
        <w:gridCol w:w="783"/>
        <w:gridCol w:w="722"/>
        <w:gridCol w:w="1023"/>
        <w:gridCol w:w="1582"/>
        <w:gridCol w:w="1582"/>
        <w:gridCol w:w="2632"/>
        <w:gridCol w:w="957"/>
      </w:tblGrid>
      <w:tr w14:paraId="4FC84EA0">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421" w:type="pct"/>
            <w:tcBorders>
              <w:right w:val="single" w:color="000000" w:sz="4" w:space="0"/>
            </w:tcBorders>
            <w:shd w:val="clear" w:color="auto" w:fill="auto"/>
            <w:vAlign w:val="center"/>
          </w:tcPr>
          <w:p w14:paraId="4837C07B">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sz w:val="24"/>
                <w:szCs w:val="24"/>
              </w:rPr>
              <w:t>污染物</w:t>
            </w:r>
          </w:p>
        </w:tc>
        <w:tc>
          <w:tcPr>
            <w:tcW w:w="940" w:type="pct"/>
            <w:gridSpan w:val="2"/>
            <w:tcBorders>
              <w:left w:val="single" w:color="000000" w:sz="4" w:space="0"/>
              <w:right w:val="single" w:color="000000" w:sz="4" w:space="0"/>
            </w:tcBorders>
            <w:shd w:val="clear" w:color="auto" w:fill="auto"/>
            <w:vAlign w:val="center"/>
          </w:tcPr>
          <w:p w14:paraId="093BEC3A">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污染源</w:t>
            </w:r>
          </w:p>
        </w:tc>
        <w:tc>
          <w:tcPr>
            <w:tcW w:w="852" w:type="pct"/>
            <w:tcBorders>
              <w:left w:val="single" w:color="000000" w:sz="4" w:space="0"/>
            </w:tcBorders>
            <w:shd w:val="clear" w:color="auto" w:fill="auto"/>
            <w:vAlign w:val="center"/>
          </w:tcPr>
          <w:p w14:paraId="3C237530">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sz w:val="24"/>
                <w:szCs w:val="24"/>
              </w:rPr>
              <w:t>主要污染物</w:t>
            </w:r>
          </w:p>
        </w:tc>
        <w:tc>
          <w:tcPr>
            <w:tcW w:w="852" w:type="pct"/>
            <w:shd w:val="clear" w:color="auto" w:fill="auto"/>
            <w:vAlign w:val="center"/>
          </w:tcPr>
          <w:p w14:paraId="50E02353">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产生量（</w:t>
            </w:r>
            <w:r>
              <w:rPr>
                <w:rFonts w:hint="eastAsia"/>
                <w:sz w:val="24"/>
                <w:szCs w:val="24"/>
                <w:lang w:val="en-US" w:eastAsia="zh-CN"/>
              </w:rPr>
              <w:t>t/a</w:t>
            </w:r>
            <w:r>
              <w:rPr>
                <w:rFonts w:hint="eastAsia"/>
                <w:sz w:val="24"/>
                <w:szCs w:val="24"/>
              </w:rPr>
              <w:t>）</w:t>
            </w:r>
          </w:p>
        </w:tc>
        <w:tc>
          <w:tcPr>
            <w:tcW w:w="1417" w:type="pct"/>
            <w:shd w:val="clear" w:color="auto" w:fill="auto"/>
            <w:vAlign w:val="center"/>
          </w:tcPr>
          <w:p w14:paraId="4FCE5CE7">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ascii="Times New Roman" w:hAnsi="Times New Roman" w:cs="Times New Roman"/>
                <w:b w:val="0"/>
                <w:bCs w:val="0"/>
                <w:color w:val="auto"/>
                <w:sz w:val="24"/>
                <w:szCs w:val="24"/>
                <w:highlight w:val="none"/>
              </w:rPr>
              <w:t>处置措施</w:t>
            </w:r>
          </w:p>
        </w:tc>
        <w:tc>
          <w:tcPr>
            <w:tcW w:w="515" w:type="pct"/>
            <w:vAlign w:val="center"/>
          </w:tcPr>
          <w:p w14:paraId="75EA9439">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sz w:val="24"/>
                <w:szCs w:val="24"/>
              </w:rPr>
              <w:t>排放量</w:t>
            </w:r>
            <w:r>
              <w:rPr>
                <w:rFonts w:hint="eastAsia"/>
                <w:sz w:val="24"/>
                <w:szCs w:val="24"/>
              </w:rPr>
              <w:t>（</w:t>
            </w:r>
            <w:r>
              <w:rPr>
                <w:rFonts w:hint="eastAsia"/>
                <w:sz w:val="24"/>
                <w:szCs w:val="24"/>
                <w:lang w:val="en-US" w:eastAsia="zh-CN"/>
              </w:rPr>
              <w:t>t/a</w:t>
            </w:r>
            <w:r>
              <w:rPr>
                <w:rFonts w:hint="eastAsia"/>
                <w:sz w:val="24"/>
                <w:szCs w:val="24"/>
              </w:rPr>
              <w:t>）</w:t>
            </w:r>
          </w:p>
        </w:tc>
      </w:tr>
      <w:tr w14:paraId="5B24047B">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1" w:type="pct"/>
            <w:vMerge w:val="restart"/>
            <w:tcBorders>
              <w:right w:val="single" w:color="000000" w:sz="4" w:space="0"/>
            </w:tcBorders>
            <w:vAlign w:val="center"/>
          </w:tcPr>
          <w:p w14:paraId="6C23DB3C">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sz w:val="24"/>
                <w:szCs w:val="24"/>
              </w:rPr>
              <w:t>废气</w:t>
            </w:r>
          </w:p>
        </w:tc>
        <w:tc>
          <w:tcPr>
            <w:tcW w:w="388" w:type="pct"/>
            <w:vMerge w:val="restart"/>
            <w:tcBorders>
              <w:left w:val="single" w:color="000000" w:sz="4" w:space="0"/>
            </w:tcBorders>
            <w:vAlign w:val="center"/>
          </w:tcPr>
          <w:p w14:paraId="3D510A81">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1</w:t>
            </w:r>
            <w:r>
              <w:rPr>
                <w:rFonts w:hint="eastAsia"/>
                <w:sz w:val="24"/>
                <w:szCs w:val="24"/>
              </w:rPr>
              <w:t>#生产车间</w:t>
            </w:r>
          </w:p>
        </w:tc>
        <w:tc>
          <w:tcPr>
            <w:tcW w:w="551" w:type="pct"/>
            <w:tcBorders>
              <w:right w:val="single" w:color="000000" w:sz="4" w:space="0"/>
            </w:tcBorders>
            <w:vAlign w:val="center"/>
          </w:tcPr>
          <w:p w14:paraId="571F937E">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lang w:val="en-US" w:eastAsia="zh-CN"/>
              </w:rPr>
              <w:t>投料搅拌</w:t>
            </w:r>
            <w:r>
              <w:rPr>
                <w:rFonts w:hint="default" w:ascii="Times New Roman" w:hAnsi="Times New Roman" w:eastAsia="楷体" w:cs="Times New Roman"/>
                <w:sz w:val="24"/>
                <w:szCs w:val="24"/>
                <w:lang w:val="en-US" w:eastAsia="zh-CN"/>
              </w:rPr>
              <w:t>工序</w:t>
            </w:r>
          </w:p>
        </w:tc>
        <w:tc>
          <w:tcPr>
            <w:tcW w:w="852" w:type="pct"/>
            <w:tcBorders>
              <w:left w:val="single" w:color="000000" w:sz="4" w:space="0"/>
            </w:tcBorders>
            <w:vAlign w:val="center"/>
          </w:tcPr>
          <w:p w14:paraId="4C7E6A5C">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颗粒物</w:t>
            </w:r>
          </w:p>
        </w:tc>
        <w:tc>
          <w:tcPr>
            <w:tcW w:w="852" w:type="pct"/>
            <w:tcBorders>
              <w:right w:val="single" w:color="auto" w:sz="4" w:space="0"/>
            </w:tcBorders>
            <w:shd w:val="clear" w:color="auto" w:fill="auto"/>
            <w:vAlign w:val="center"/>
          </w:tcPr>
          <w:p w14:paraId="5927F841">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25</w:t>
            </w:r>
          </w:p>
        </w:tc>
        <w:tc>
          <w:tcPr>
            <w:tcW w:w="1417" w:type="pct"/>
            <w:vMerge w:val="restart"/>
            <w:tcBorders>
              <w:left w:val="single" w:color="auto" w:sz="4" w:space="0"/>
            </w:tcBorders>
            <w:shd w:val="clear" w:color="auto" w:fill="auto"/>
            <w:vAlign w:val="center"/>
          </w:tcPr>
          <w:p w14:paraId="63D3A71D">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经集气罩收集，引入1套“布袋除尘器+两级活性炭吸附装置”处理后，由15m高排气筒（DA001）排放</w:t>
            </w:r>
          </w:p>
        </w:tc>
        <w:tc>
          <w:tcPr>
            <w:tcW w:w="515" w:type="pct"/>
            <w:vMerge w:val="restart"/>
            <w:tcBorders>
              <w:left w:val="single" w:color="auto" w:sz="4" w:space="0"/>
            </w:tcBorders>
            <w:vAlign w:val="center"/>
          </w:tcPr>
          <w:p w14:paraId="1B3CF30C">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1.357</w:t>
            </w:r>
          </w:p>
        </w:tc>
      </w:tr>
      <w:tr w14:paraId="3A4A2727">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1" w:type="pct"/>
            <w:vMerge w:val="continue"/>
            <w:tcBorders>
              <w:right w:val="single" w:color="000000" w:sz="4" w:space="0"/>
            </w:tcBorders>
            <w:vAlign w:val="center"/>
          </w:tcPr>
          <w:p w14:paraId="50488E74">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388" w:type="pct"/>
            <w:vMerge w:val="continue"/>
            <w:tcBorders>
              <w:left w:val="single" w:color="000000" w:sz="4" w:space="0"/>
            </w:tcBorders>
            <w:vAlign w:val="center"/>
          </w:tcPr>
          <w:p w14:paraId="1EBA9211">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51" w:type="pct"/>
            <w:vMerge w:val="restart"/>
            <w:tcBorders>
              <w:right w:val="single" w:color="000000" w:sz="4" w:space="0"/>
            </w:tcBorders>
            <w:vAlign w:val="center"/>
          </w:tcPr>
          <w:p w14:paraId="40D8EB3D">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default" w:ascii="Times New Roman" w:hAnsi="Times New Roman" w:eastAsia="楷体" w:cs="Times New Roman"/>
                <w:sz w:val="24"/>
                <w:szCs w:val="24"/>
                <w:lang w:val="en-US" w:eastAsia="zh-CN"/>
              </w:rPr>
              <w:t>挤出工序</w:t>
            </w:r>
          </w:p>
        </w:tc>
        <w:tc>
          <w:tcPr>
            <w:tcW w:w="852" w:type="pct"/>
            <w:tcBorders>
              <w:left w:val="single" w:color="000000" w:sz="4" w:space="0"/>
            </w:tcBorders>
            <w:vAlign w:val="center"/>
          </w:tcPr>
          <w:p w14:paraId="25E2E018">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default" w:ascii="Times New Roman" w:hAnsi="Times New Roman" w:eastAsia="楷体" w:cs="Times New Roman"/>
                <w:sz w:val="24"/>
                <w:szCs w:val="24"/>
                <w:lang w:val="en-US" w:eastAsia="zh-CN"/>
              </w:rPr>
              <w:t>颗粒物</w:t>
            </w:r>
          </w:p>
        </w:tc>
        <w:tc>
          <w:tcPr>
            <w:tcW w:w="852" w:type="pct"/>
            <w:tcBorders>
              <w:right w:val="single" w:color="auto" w:sz="4" w:space="0"/>
            </w:tcBorders>
            <w:shd w:val="clear" w:color="auto" w:fill="auto"/>
            <w:vAlign w:val="center"/>
          </w:tcPr>
          <w:p w14:paraId="62893456">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20.7</w:t>
            </w:r>
          </w:p>
        </w:tc>
        <w:tc>
          <w:tcPr>
            <w:tcW w:w="1417" w:type="pct"/>
            <w:vMerge w:val="continue"/>
            <w:tcBorders>
              <w:left w:val="single" w:color="auto" w:sz="4" w:space="0"/>
            </w:tcBorders>
            <w:shd w:val="clear" w:color="auto" w:fill="auto"/>
            <w:vAlign w:val="center"/>
          </w:tcPr>
          <w:p w14:paraId="5925FD56">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15" w:type="pct"/>
            <w:vMerge w:val="continue"/>
            <w:tcBorders>
              <w:left w:val="single" w:color="auto" w:sz="4" w:space="0"/>
            </w:tcBorders>
            <w:vAlign w:val="center"/>
          </w:tcPr>
          <w:p w14:paraId="180A57B1">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r>
      <w:tr w14:paraId="5906B48E">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1" w:type="pct"/>
            <w:vMerge w:val="continue"/>
            <w:tcBorders>
              <w:right w:val="single" w:color="000000" w:sz="4" w:space="0"/>
            </w:tcBorders>
            <w:vAlign w:val="center"/>
          </w:tcPr>
          <w:p w14:paraId="35466CDA">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388" w:type="pct"/>
            <w:vMerge w:val="continue"/>
            <w:tcBorders>
              <w:left w:val="single" w:color="000000" w:sz="4" w:space="0"/>
            </w:tcBorders>
            <w:vAlign w:val="center"/>
          </w:tcPr>
          <w:p w14:paraId="756D147E">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51" w:type="pct"/>
            <w:vMerge w:val="continue"/>
            <w:tcBorders>
              <w:right w:val="single" w:color="000000" w:sz="4" w:space="0"/>
            </w:tcBorders>
            <w:vAlign w:val="center"/>
          </w:tcPr>
          <w:p w14:paraId="7B2BAB23">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852" w:type="pct"/>
            <w:tcBorders>
              <w:left w:val="single" w:color="000000" w:sz="4" w:space="0"/>
            </w:tcBorders>
            <w:vAlign w:val="center"/>
          </w:tcPr>
          <w:p w14:paraId="0E86C12C">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lang w:val="en-US" w:eastAsia="zh-CN"/>
              </w:rPr>
              <w:t>非甲烷总烃</w:t>
            </w:r>
          </w:p>
        </w:tc>
        <w:tc>
          <w:tcPr>
            <w:tcW w:w="852" w:type="pct"/>
            <w:tcBorders>
              <w:right w:val="single" w:color="auto" w:sz="4" w:space="0"/>
            </w:tcBorders>
            <w:shd w:val="clear" w:color="auto" w:fill="auto"/>
            <w:vAlign w:val="center"/>
          </w:tcPr>
          <w:p w14:paraId="2B5652A6">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46</w:t>
            </w:r>
          </w:p>
        </w:tc>
        <w:tc>
          <w:tcPr>
            <w:tcW w:w="1417" w:type="pct"/>
            <w:vMerge w:val="continue"/>
            <w:tcBorders>
              <w:left w:val="single" w:color="auto" w:sz="4" w:space="0"/>
            </w:tcBorders>
            <w:shd w:val="clear" w:color="auto" w:fill="auto"/>
            <w:vAlign w:val="center"/>
          </w:tcPr>
          <w:p w14:paraId="566A1046">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15" w:type="pct"/>
            <w:tcBorders>
              <w:left w:val="single" w:color="auto" w:sz="4" w:space="0"/>
            </w:tcBorders>
            <w:vAlign w:val="center"/>
          </w:tcPr>
          <w:p w14:paraId="4E012421">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2.277</w:t>
            </w:r>
          </w:p>
        </w:tc>
      </w:tr>
      <w:tr w14:paraId="51A58A7E">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1" w:type="pct"/>
            <w:vMerge w:val="continue"/>
            <w:tcBorders>
              <w:right w:val="single" w:color="000000" w:sz="4" w:space="0"/>
            </w:tcBorders>
            <w:vAlign w:val="center"/>
          </w:tcPr>
          <w:p w14:paraId="3590045F">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388" w:type="pct"/>
            <w:vMerge w:val="continue"/>
            <w:tcBorders>
              <w:left w:val="single" w:color="000000" w:sz="4" w:space="0"/>
            </w:tcBorders>
            <w:vAlign w:val="center"/>
          </w:tcPr>
          <w:p w14:paraId="30F9241E">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51" w:type="pct"/>
            <w:vMerge w:val="continue"/>
            <w:tcBorders>
              <w:right w:val="single" w:color="000000" w:sz="4" w:space="0"/>
            </w:tcBorders>
            <w:vAlign w:val="center"/>
          </w:tcPr>
          <w:p w14:paraId="1623A265">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852" w:type="pct"/>
            <w:tcBorders>
              <w:left w:val="single" w:color="000000" w:sz="4" w:space="0"/>
            </w:tcBorders>
            <w:vAlign w:val="center"/>
          </w:tcPr>
          <w:p w14:paraId="620EB37E">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default" w:ascii="Times New Roman" w:hAnsi="Times New Roman" w:eastAsia="楷体" w:cs="Times New Roman"/>
                <w:sz w:val="24"/>
                <w:szCs w:val="24"/>
                <w:lang w:val="en-US" w:eastAsia="zh-CN"/>
              </w:rPr>
              <w:t>氯化氢</w:t>
            </w:r>
          </w:p>
        </w:tc>
        <w:tc>
          <w:tcPr>
            <w:tcW w:w="852" w:type="pct"/>
            <w:tcBorders>
              <w:right w:val="single" w:color="auto" w:sz="4" w:space="0"/>
            </w:tcBorders>
            <w:shd w:val="clear" w:color="auto" w:fill="auto"/>
            <w:vAlign w:val="center"/>
          </w:tcPr>
          <w:p w14:paraId="455EED77">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0.030</w:t>
            </w:r>
          </w:p>
        </w:tc>
        <w:tc>
          <w:tcPr>
            <w:tcW w:w="1417" w:type="pct"/>
            <w:vMerge w:val="continue"/>
            <w:tcBorders>
              <w:left w:val="single" w:color="auto" w:sz="4" w:space="0"/>
            </w:tcBorders>
            <w:shd w:val="clear" w:color="auto" w:fill="auto"/>
            <w:vAlign w:val="center"/>
          </w:tcPr>
          <w:p w14:paraId="0C19F14B">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15" w:type="pct"/>
            <w:tcBorders>
              <w:left w:val="single" w:color="auto" w:sz="4" w:space="0"/>
            </w:tcBorders>
            <w:vAlign w:val="center"/>
          </w:tcPr>
          <w:p w14:paraId="66B5448D">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default"/>
                <w:sz w:val="24"/>
                <w:szCs w:val="24"/>
                <w:lang w:val="en-US"/>
              </w:rPr>
            </w:pPr>
            <w:r>
              <w:rPr>
                <w:rFonts w:hint="eastAsia"/>
                <w:sz w:val="24"/>
                <w:szCs w:val="24"/>
                <w:lang w:val="en-US" w:eastAsia="zh-CN"/>
              </w:rPr>
              <w:t>0.0015</w:t>
            </w:r>
          </w:p>
        </w:tc>
      </w:tr>
      <w:tr w14:paraId="76F9E26B">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1" w:type="pct"/>
            <w:vMerge w:val="continue"/>
            <w:tcBorders>
              <w:right w:val="single" w:color="000000" w:sz="4" w:space="0"/>
            </w:tcBorders>
            <w:vAlign w:val="center"/>
          </w:tcPr>
          <w:p w14:paraId="25155A5F">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388" w:type="pct"/>
            <w:vMerge w:val="continue"/>
            <w:tcBorders>
              <w:left w:val="single" w:color="000000" w:sz="4" w:space="0"/>
              <w:bottom w:val="single" w:color="000000" w:sz="4" w:space="0"/>
            </w:tcBorders>
            <w:vAlign w:val="center"/>
          </w:tcPr>
          <w:p w14:paraId="0C5976F8">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51" w:type="pct"/>
            <w:vMerge w:val="continue"/>
            <w:tcBorders>
              <w:right w:val="single" w:color="000000" w:sz="4" w:space="0"/>
            </w:tcBorders>
            <w:vAlign w:val="center"/>
          </w:tcPr>
          <w:p w14:paraId="2DB8A9D6">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852" w:type="pct"/>
            <w:tcBorders>
              <w:left w:val="single" w:color="000000" w:sz="4" w:space="0"/>
            </w:tcBorders>
            <w:vAlign w:val="center"/>
          </w:tcPr>
          <w:p w14:paraId="3D202DBB">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臭气浓度</w:t>
            </w:r>
          </w:p>
        </w:tc>
        <w:tc>
          <w:tcPr>
            <w:tcW w:w="852" w:type="pct"/>
            <w:tcBorders>
              <w:right w:val="single" w:color="auto" w:sz="4" w:space="0"/>
            </w:tcBorders>
            <w:shd w:val="clear" w:color="auto" w:fill="auto"/>
            <w:vAlign w:val="center"/>
          </w:tcPr>
          <w:p w14:paraId="48665AA3">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w:t>
            </w:r>
          </w:p>
        </w:tc>
        <w:tc>
          <w:tcPr>
            <w:tcW w:w="1417" w:type="pct"/>
            <w:vMerge w:val="continue"/>
            <w:tcBorders>
              <w:left w:val="single" w:color="auto" w:sz="4" w:space="0"/>
            </w:tcBorders>
            <w:shd w:val="clear" w:color="auto" w:fill="auto"/>
            <w:vAlign w:val="center"/>
          </w:tcPr>
          <w:p w14:paraId="00E7C4E8">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15" w:type="pct"/>
            <w:tcBorders>
              <w:left w:val="single" w:color="auto" w:sz="4" w:space="0"/>
            </w:tcBorders>
            <w:vAlign w:val="center"/>
          </w:tcPr>
          <w:p w14:paraId="14FF434D">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w:t>
            </w:r>
          </w:p>
        </w:tc>
      </w:tr>
      <w:tr w14:paraId="60E387EB">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1" w:type="pct"/>
            <w:vMerge w:val="continue"/>
            <w:tcBorders>
              <w:right w:val="single" w:color="000000" w:sz="4" w:space="0"/>
            </w:tcBorders>
            <w:vAlign w:val="center"/>
          </w:tcPr>
          <w:p w14:paraId="30B017AE">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388" w:type="pct"/>
            <w:vMerge w:val="restart"/>
            <w:tcBorders>
              <w:top w:val="single" w:color="000000" w:sz="4" w:space="0"/>
              <w:left w:val="single" w:color="000000" w:sz="4" w:space="0"/>
            </w:tcBorders>
            <w:vAlign w:val="center"/>
          </w:tcPr>
          <w:p w14:paraId="68826C95">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2</w:t>
            </w:r>
            <w:r>
              <w:rPr>
                <w:rFonts w:hint="eastAsia"/>
                <w:sz w:val="24"/>
                <w:szCs w:val="24"/>
              </w:rPr>
              <w:t>#生产车间</w:t>
            </w:r>
          </w:p>
        </w:tc>
        <w:tc>
          <w:tcPr>
            <w:tcW w:w="551" w:type="pct"/>
            <w:tcBorders>
              <w:right w:val="single" w:color="000000" w:sz="4" w:space="0"/>
            </w:tcBorders>
            <w:vAlign w:val="center"/>
          </w:tcPr>
          <w:p w14:paraId="0A96037F">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lang w:val="en-US" w:eastAsia="zh-CN"/>
              </w:rPr>
              <w:t>投料搅拌</w:t>
            </w:r>
            <w:r>
              <w:rPr>
                <w:rFonts w:hint="default" w:ascii="Times New Roman" w:hAnsi="Times New Roman" w:eastAsia="楷体" w:cs="Times New Roman"/>
                <w:sz w:val="24"/>
                <w:szCs w:val="24"/>
                <w:lang w:val="en-US" w:eastAsia="zh-CN"/>
              </w:rPr>
              <w:t>工序</w:t>
            </w:r>
          </w:p>
        </w:tc>
        <w:tc>
          <w:tcPr>
            <w:tcW w:w="852" w:type="pct"/>
            <w:tcBorders>
              <w:left w:val="single" w:color="000000" w:sz="4" w:space="0"/>
            </w:tcBorders>
            <w:vAlign w:val="center"/>
          </w:tcPr>
          <w:p w14:paraId="205C74DC">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颗粒物</w:t>
            </w:r>
          </w:p>
        </w:tc>
        <w:tc>
          <w:tcPr>
            <w:tcW w:w="852" w:type="pct"/>
            <w:tcBorders>
              <w:right w:val="single" w:color="auto" w:sz="4" w:space="0"/>
            </w:tcBorders>
            <w:shd w:val="clear" w:color="auto" w:fill="auto"/>
            <w:vAlign w:val="center"/>
          </w:tcPr>
          <w:p w14:paraId="3823FA7F">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25</w:t>
            </w:r>
          </w:p>
        </w:tc>
        <w:tc>
          <w:tcPr>
            <w:tcW w:w="1417" w:type="pct"/>
            <w:vMerge w:val="restart"/>
            <w:tcBorders>
              <w:left w:val="single" w:color="auto" w:sz="4" w:space="0"/>
            </w:tcBorders>
            <w:shd w:val="clear" w:color="auto" w:fill="auto"/>
            <w:vAlign w:val="center"/>
          </w:tcPr>
          <w:p w14:paraId="6497AF8B">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经集气罩收集，引入1套“布袋除尘器+两级活性炭吸附装置”处理后，由15m高排气筒（DA002）排放</w:t>
            </w:r>
          </w:p>
        </w:tc>
        <w:tc>
          <w:tcPr>
            <w:tcW w:w="515" w:type="pct"/>
            <w:vMerge w:val="restart"/>
            <w:tcBorders>
              <w:left w:val="single" w:color="auto" w:sz="4" w:space="0"/>
            </w:tcBorders>
            <w:vAlign w:val="center"/>
          </w:tcPr>
          <w:p w14:paraId="70C7D1DA">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1.357</w:t>
            </w:r>
          </w:p>
        </w:tc>
      </w:tr>
      <w:tr w14:paraId="5E117F09">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1" w:type="pct"/>
            <w:vMerge w:val="continue"/>
            <w:tcBorders>
              <w:right w:val="single" w:color="000000" w:sz="4" w:space="0"/>
            </w:tcBorders>
            <w:vAlign w:val="center"/>
          </w:tcPr>
          <w:p w14:paraId="25CAEA40">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388" w:type="pct"/>
            <w:vMerge w:val="continue"/>
            <w:tcBorders>
              <w:top w:val="single" w:color="000000" w:sz="4" w:space="0"/>
              <w:left w:val="single" w:color="000000" w:sz="4" w:space="0"/>
              <w:bottom w:val="single" w:color="000000" w:sz="4" w:space="0"/>
            </w:tcBorders>
            <w:vAlign w:val="center"/>
          </w:tcPr>
          <w:p w14:paraId="1FC4932E">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51" w:type="pct"/>
            <w:vMerge w:val="restart"/>
            <w:tcBorders>
              <w:right w:val="single" w:color="000000" w:sz="4" w:space="0"/>
            </w:tcBorders>
            <w:vAlign w:val="center"/>
          </w:tcPr>
          <w:p w14:paraId="7BA31E42">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default" w:ascii="Times New Roman" w:hAnsi="Times New Roman" w:eastAsia="楷体" w:cs="Times New Roman"/>
                <w:sz w:val="24"/>
                <w:szCs w:val="24"/>
                <w:lang w:val="en-US" w:eastAsia="zh-CN"/>
              </w:rPr>
              <w:t>挤出工序</w:t>
            </w:r>
          </w:p>
        </w:tc>
        <w:tc>
          <w:tcPr>
            <w:tcW w:w="852" w:type="pct"/>
            <w:tcBorders>
              <w:left w:val="single" w:color="000000" w:sz="4" w:space="0"/>
            </w:tcBorders>
            <w:vAlign w:val="center"/>
          </w:tcPr>
          <w:p w14:paraId="67EB1D14">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default" w:ascii="Times New Roman" w:hAnsi="Times New Roman" w:eastAsia="楷体" w:cs="Times New Roman"/>
                <w:sz w:val="24"/>
                <w:szCs w:val="24"/>
                <w:lang w:val="en-US" w:eastAsia="zh-CN"/>
              </w:rPr>
              <w:t>颗粒物</w:t>
            </w:r>
          </w:p>
        </w:tc>
        <w:tc>
          <w:tcPr>
            <w:tcW w:w="852" w:type="pct"/>
            <w:tcBorders>
              <w:right w:val="single" w:color="auto" w:sz="4" w:space="0"/>
            </w:tcBorders>
            <w:shd w:val="clear" w:color="auto" w:fill="auto"/>
            <w:vAlign w:val="center"/>
          </w:tcPr>
          <w:p w14:paraId="7E792F37">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20.7</w:t>
            </w:r>
          </w:p>
        </w:tc>
        <w:tc>
          <w:tcPr>
            <w:tcW w:w="1417" w:type="pct"/>
            <w:vMerge w:val="continue"/>
            <w:tcBorders>
              <w:left w:val="single" w:color="auto" w:sz="4" w:space="0"/>
            </w:tcBorders>
            <w:shd w:val="clear" w:color="auto" w:fill="auto"/>
            <w:vAlign w:val="center"/>
          </w:tcPr>
          <w:p w14:paraId="1248530A">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15" w:type="pct"/>
            <w:vMerge w:val="continue"/>
            <w:tcBorders>
              <w:left w:val="single" w:color="auto" w:sz="4" w:space="0"/>
            </w:tcBorders>
            <w:vAlign w:val="center"/>
          </w:tcPr>
          <w:p w14:paraId="2A2D8266">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r>
      <w:tr w14:paraId="5411AFD4">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1" w:type="pct"/>
            <w:vMerge w:val="continue"/>
            <w:tcBorders>
              <w:right w:val="single" w:color="000000" w:sz="4" w:space="0"/>
            </w:tcBorders>
            <w:vAlign w:val="center"/>
          </w:tcPr>
          <w:p w14:paraId="4DFA8425">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388" w:type="pct"/>
            <w:vMerge w:val="continue"/>
            <w:tcBorders>
              <w:top w:val="single" w:color="000000" w:sz="4" w:space="0"/>
              <w:left w:val="single" w:color="000000" w:sz="4" w:space="0"/>
              <w:bottom w:val="single" w:color="000000" w:sz="4" w:space="0"/>
            </w:tcBorders>
            <w:vAlign w:val="center"/>
          </w:tcPr>
          <w:p w14:paraId="264B8B22">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51" w:type="pct"/>
            <w:vMerge w:val="continue"/>
            <w:tcBorders>
              <w:right w:val="single" w:color="000000" w:sz="4" w:space="0"/>
            </w:tcBorders>
            <w:vAlign w:val="center"/>
          </w:tcPr>
          <w:p w14:paraId="50472253">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852" w:type="pct"/>
            <w:tcBorders>
              <w:left w:val="single" w:color="000000" w:sz="4" w:space="0"/>
            </w:tcBorders>
            <w:vAlign w:val="center"/>
          </w:tcPr>
          <w:p w14:paraId="1E09660B">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lang w:val="en-US" w:eastAsia="zh-CN"/>
              </w:rPr>
              <w:t>非甲烷总烃</w:t>
            </w:r>
          </w:p>
        </w:tc>
        <w:tc>
          <w:tcPr>
            <w:tcW w:w="852" w:type="pct"/>
            <w:tcBorders>
              <w:right w:val="single" w:color="auto" w:sz="4" w:space="0"/>
            </w:tcBorders>
            <w:shd w:val="clear" w:color="auto" w:fill="auto"/>
            <w:vAlign w:val="center"/>
          </w:tcPr>
          <w:p w14:paraId="3344A9DB">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46</w:t>
            </w:r>
          </w:p>
        </w:tc>
        <w:tc>
          <w:tcPr>
            <w:tcW w:w="1417" w:type="pct"/>
            <w:vMerge w:val="continue"/>
            <w:tcBorders>
              <w:left w:val="single" w:color="auto" w:sz="4" w:space="0"/>
            </w:tcBorders>
            <w:shd w:val="clear" w:color="auto" w:fill="auto"/>
            <w:vAlign w:val="center"/>
          </w:tcPr>
          <w:p w14:paraId="277A84CC">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15" w:type="pct"/>
            <w:tcBorders>
              <w:left w:val="single" w:color="auto" w:sz="4" w:space="0"/>
            </w:tcBorders>
            <w:vAlign w:val="center"/>
          </w:tcPr>
          <w:p w14:paraId="3FEF0E51">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2.277</w:t>
            </w:r>
          </w:p>
        </w:tc>
      </w:tr>
      <w:tr w14:paraId="6F6AEE16">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1" w:type="pct"/>
            <w:vMerge w:val="continue"/>
            <w:tcBorders>
              <w:right w:val="single" w:color="000000" w:sz="4" w:space="0"/>
            </w:tcBorders>
            <w:vAlign w:val="center"/>
          </w:tcPr>
          <w:p w14:paraId="3F0CF436">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388" w:type="pct"/>
            <w:vMerge w:val="continue"/>
            <w:tcBorders>
              <w:top w:val="single" w:color="000000" w:sz="4" w:space="0"/>
              <w:left w:val="single" w:color="000000" w:sz="4" w:space="0"/>
              <w:bottom w:val="single" w:color="000000" w:sz="4" w:space="0"/>
            </w:tcBorders>
            <w:vAlign w:val="center"/>
          </w:tcPr>
          <w:p w14:paraId="0B1BF150">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51" w:type="pct"/>
            <w:vMerge w:val="continue"/>
            <w:tcBorders>
              <w:right w:val="single" w:color="000000" w:sz="4" w:space="0"/>
            </w:tcBorders>
            <w:vAlign w:val="center"/>
          </w:tcPr>
          <w:p w14:paraId="6CBBDE33">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852" w:type="pct"/>
            <w:tcBorders>
              <w:left w:val="single" w:color="000000" w:sz="4" w:space="0"/>
            </w:tcBorders>
            <w:vAlign w:val="center"/>
          </w:tcPr>
          <w:p w14:paraId="13B7BEB3">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default" w:ascii="Times New Roman" w:hAnsi="Times New Roman" w:eastAsia="楷体" w:cs="Times New Roman"/>
                <w:sz w:val="24"/>
                <w:szCs w:val="24"/>
                <w:lang w:val="en-US" w:eastAsia="zh-CN"/>
              </w:rPr>
              <w:t>氯化氢</w:t>
            </w:r>
          </w:p>
        </w:tc>
        <w:tc>
          <w:tcPr>
            <w:tcW w:w="852" w:type="pct"/>
            <w:tcBorders>
              <w:right w:val="single" w:color="auto" w:sz="4" w:space="0"/>
            </w:tcBorders>
            <w:shd w:val="clear" w:color="auto" w:fill="auto"/>
            <w:vAlign w:val="center"/>
          </w:tcPr>
          <w:p w14:paraId="315B5404">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0.030</w:t>
            </w:r>
          </w:p>
        </w:tc>
        <w:tc>
          <w:tcPr>
            <w:tcW w:w="1417" w:type="pct"/>
            <w:vMerge w:val="continue"/>
            <w:tcBorders>
              <w:left w:val="single" w:color="auto" w:sz="4" w:space="0"/>
            </w:tcBorders>
            <w:shd w:val="clear" w:color="auto" w:fill="auto"/>
            <w:vAlign w:val="center"/>
          </w:tcPr>
          <w:p w14:paraId="2CCE097F">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15" w:type="pct"/>
            <w:tcBorders>
              <w:left w:val="single" w:color="auto" w:sz="4" w:space="0"/>
            </w:tcBorders>
            <w:vAlign w:val="center"/>
          </w:tcPr>
          <w:p w14:paraId="7AF00A0F">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default"/>
                <w:sz w:val="24"/>
                <w:szCs w:val="24"/>
                <w:lang w:val="en-US"/>
              </w:rPr>
            </w:pPr>
            <w:r>
              <w:rPr>
                <w:rFonts w:hint="eastAsia"/>
                <w:sz w:val="24"/>
                <w:szCs w:val="24"/>
                <w:lang w:val="en-US" w:eastAsia="zh-CN"/>
              </w:rPr>
              <w:t>0.0015</w:t>
            </w:r>
          </w:p>
        </w:tc>
      </w:tr>
      <w:tr w14:paraId="01715E4B">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1" w:type="pct"/>
            <w:vMerge w:val="continue"/>
            <w:tcBorders>
              <w:right w:val="single" w:color="000000" w:sz="4" w:space="0"/>
            </w:tcBorders>
            <w:vAlign w:val="center"/>
          </w:tcPr>
          <w:p w14:paraId="3E6DD80D">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388" w:type="pct"/>
            <w:vMerge w:val="continue"/>
            <w:tcBorders>
              <w:top w:val="single" w:color="000000" w:sz="4" w:space="0"/>
              <w:left w:val="single" w:color="000000" w:sz="4" w:space="0"/>
              <w:bottom w:val="single" w:color="000000" w:sz="4" w:space="0"/>
            </w:tcBorders>
            <w:vAlign w:val="center"/>
          </w:tcPr>
          <w:p w14:paraId="76D85730">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51" w:type="pct"/>
            <w:vMerge w:val="continue"/>
            <w:tcBorders>
              <w:right w:val="single" w:color="000000" w:sz="4" w:space="0"/>
            </w:tcBorders>
            <w:vAlign w:val="center"/>
          </w:tcPr>
          <w:p w14:paraId="1D593458">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852" w:type="pct"/>
            <w:tcBorders>
              <w:left w:val="single" w:color="000000" w:sz="4" w:space="0"/>
            </w:tcBorders>
            <w:vAlign w:val="center"/>
          </w:tcPr>
          <w:p w14:paraId="620527B4">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臭气浓度</w:t>
            </w:r>
          </w:p>
        </w:tc>
        <w:tc>
          <w:tcPr>
            <w:tcW w:w="852" w:type="pct"/>
            <w:tcBorders>
              <w:right w:val="single" w:color="auto" w:sz="4" w:space="0"/>
            </w:tcBorders>
            <w:shd w:val="clear" w:color="auto" w:fill="auto"/>
            <w:vAlign w:val="center"/>
          </w:tcPr>
          <w:p w14:paraId="7AECECD7">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w:t>
            </w:r>
          </w:p>
        </w:tc>
        <w:tc>
          <w:tcPr>
            <w:tcW w:w="1417" w:type="pct"/>
            <w:vMerge w:val="continue"/>
            <w:tcBorders>
              <w:left w:val="single" w:color="auto" w:sz="4" w:space="0"/>
            </w:tcBorders>
            <w:shd w:val="clear" w:color="auto" w:fill="auto"/>
            <w:vAlign w:val="center"/>
          </w:tcPr>
          <w:p w14:paraId="547040F9">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15" w:type="pct"/>
            <w:tcBorders>
              <w:left w:val="single" w:color="auto" w:sz="4" w:space="0"/>
            </w:tcBorders>
            <w:vAlign w:val="center"/>
          </w:tcPr>
          <w:p w14:paraId="74FC5B32">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w:t>
            </w:r>
          </w:p>
        </w:tc>
      </w:tr>
      <w:tr w14:paraId="08D1F1B1">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1" w:type="pct"/>
            <w:vMerge w:val="continue"/>
            <w:tcBorders>
              <w:right w:val="single" w:color="000000" w:sz="4" w:space="0"/>
            </w:tcBorders>
            <w:vAlign w:val="center"/>
          </w:tcPr>
          <w:p w14:paraId="452AFE54">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388" w:type="pct"/>
            <w:vMerge w:val="restart"/>
            <w:tcBorders>
              <w:top w:val="single" w:color="000000" w:sz="4" w:space="0"/>
              <w:left w:val="single" w:color="000000" w:sz="4" w:space="0"/>
            </w:tcBorders>
            <w:vAlign w:val="center"/>
          </w:tcPr>
          <w:p w14:paraId="5355AAAD">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3</w:t>
            </w:r>
            <w:r>
              <w:rPr>
                <w:rFonts w:hint="eastAsia"/>
                <w:sz w:val="24"/>
                <w:szCs w:val="24"/>
              </w:rPr>
              <w:t>#生产车间</w:t>
            </w:r>
          </w:p>
        </w:tc>
        <w:tc>
          <w:tcPr>
            <w:tcW w:w="551" w:type="pct"/>
            <w:tcBorders>
              <w:right w:val="single" w:color="000000" w:sz="4" w:space="0"/>
            </w:tcBorders>
            <w:vAlign w:val="center"/>
          </w:tcPr>
          <w:p w14:paraId="4F7553BE">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lang w:val="en-US" w:eastAsia="zh-CN"/>
              </w:rPr>
              <w:t>投料搅拌</w:t>
            </w:r>
            <w:r>
              <w:rPr>
                <w:rFonts w:hint="default" w:ascii="Times New Roman" w:hAnsi="Times New Roman" w:eastAsia="楷体" w:cs="Times New Roman"/>
                <w:sz w:val="24"/>
                <w:szCs w:val="24"/>
                <w:lang w:val="en-US" w:eastAsia="zh-CN"/>
              </w:rPr>
              <w:t>工序</w:t>
            </w:r>
          </w:p>
        </w:tc>
        <w:tc>
          <w:tcPr>
            <w:tcW w:w="852" w:type="pct"/>
            <w:tcBorders>
              <w:left w:val="single" w:color="000000" w:sz="4" w:space="0"/>
            </w:tcBorders>
            <w:vAlign w:val="center"/>
          </w:tcPr>
          <w:p w14:paraId="3F01DEAD">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颗粒物</w:t>
            </w:r>
          </w:p>
        </w:tc>
        <w:tc>
          <w:tcPr>
            <w:tcW w:w="852" w:type="pct"/>
            <w:tcBorders>
              <w:right w:val="single" w:color="auto" w:sz="4" w:space="0"/>
            </w:tcBorders>
            <w:shd w:val="clear" w:color="auto" w:fill="auto"/>
            <w:vAlign w:val="center"/>
          </w:tcPr>
          <w:p w14:paraId="6642D3FE">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12.5</w:t>
            </w:r>
          </w:p>
        </w:tc>
        <w:tc>
          <w:tcPr>
            <w:tcW w:w="1417" w:type="pct"/>
            <w:vMerge w:val="restart"/>
            <w:tcBorders>
              <w:left w:val="single" w:color="auto" w:sz="4" w:space="0"/>
            </w:tcBorders>
            <w:shd w:val="clear" w:color="auto" w:fill="auto"/>
            <w:vAlign w:val="center"/>
          </w:tcPr>
          <w:p w14:paraId="0919DF10">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经集气罩收集，引入1套“布袋除尘器+两级活性炭吸附装置”处理后，由15m高排气筒（DA003）排放</w:t>
            </w:r>
          </w:p>
        </w:tc>
        <w:tc>
          <w:tcPr>
            <w:tcW w:w="515" w:type="pct"/>
            <w:vMerge w:val="restart"/>
            <w:tcBorders>
              <w:left w:val="single" w:color="auto" w:sz="4" w:space="0"/>
            </w:tcBorders>
            <w:vAlign w:val="center"/>
          </w:tcPr>
          <w:p w14:paraId="669107E2">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0.679</w:t>
            </w:r>
          </w:p>
        </w:tc>
      </w:tr>
      <w:tr w14:paraId="7AF81F60">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1" w:type="pct"/>
            <w:vMerge w:val="continue"/>
            <w:tcBorders>
              <w:right w:val="single" w:color="000000" w:sz="4" w:space="0"/>
            </w:tcBorders>
            <w:vAlign w:val="center"/>
          </w:tcPr>
          <w:p w14:paraId="00B6A4CB">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388" w:type="pct"/>
            <w:vMerge w:val="continue"/>
            <w:tcBorders>
              <w:left w:val="single" w:color="000000" w:sz="4" w:space="0"/>
            </w:tcBorders>
            <w:vAlign w:val="center"/>
          </w:tcPr>
          <w:p w14:paraId="0EDD959C">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51" w:type="pct"/>
            <w:vMerge w:val="restart"/>
            <w:tcBorders>
              <w:right w:val="single" w:color="000000" w:sz="4" w:space="0"/>
            </w:tcBorders>
            <w:vAlign w:val="center"/>
          </w:tcPr>
          <w:p w14:paraId="372BF1B9">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default" w:ascii="Times New Roman" w:hAnsi="Times New Roman" w:eastAsia="楷体" w:cs="Times New Roman"/>
                <w:sz w:val="24"/>
                <w:szCs w:val="24"/>
                <w:lang w:val="en-US" w:eastAsia="zh-CN"/>
              </w:rPr>
              <w:t>挤出工序</w:t>
            </w:r>
          </w:p>
        </w:tc>
        <w:tc>
          <w:tcPr>
            <w:tcW w:w="852" w:type="pct"/>
            <w:tcBorders>
              <w:left w:val="single" w:color="000000" w:sz="4" w:space="0"/>
            </w:tcBorders>
            <w:vAlign w:val="center"/>
          </w:tcPr>
          <w:p w14:paraId="410BB8E2">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default" w:ascii="Times New Roman" w:hAnsi="Times New Roman" w:eastAsia="楷体" w:cs="Times New Roman"/>
                <w:sz w:val="24"/>
                <w:szCs w:val="24"/>
                <w:lang w:val="en-US" w:eastAsia="zh-CN"/>
              </w:rPr>
              <w:t>颗粒物</w:t>
            </w:r>
          </w:p>
        </w:tc>
        <w:tc>
          <w:tcPr>
            <w:tcW w:w="852" w:type="pct"/>
            <w:tcBorders>
              <w:right w:val="single" w:color="auto" w:sz="4" w:space="0"/>
            </w:tcBorders>
            <w:shd w:val="clear" w:color="auto" w:fill="auto"/>
            <w:vAlign w:val="center"/>
          </w:tcPr>
          <w:p w14:paraId="138697CD">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10.4</w:t>
            </w:r>
          </w:p>
        </w:tc>
        <w:tc>
          <w:tcPr>
            <w:tcW w:w="1417" w:type="pct"/>
            <w:vMerge w:val="continue"/>
            <w:tcBorders>
              <w:left w:val="single" w:color="auto" w:sz="4" w:space="0"/>
            </w:tcBorders>
            <w:shd w:val="clear" w:color="auto" w:fill="auto"/>
            <w:vAlign w:val="center"/>
          </w:tcPr>
          <w:p w14:paraId="69A5D71E">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15" w:type="pct"/>
            <w:vMerge w:val="continue"/>
            <w:tcBorders>
              <w:left w:val="single" w:color="auto" w:sz="4" w:space="0"/>
            </w:tcBorders>
            <w:vAlign w:val="center"/>
          </w:tcPr>
          <w:p w14:paraId="3EB8B936">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r>
      <w:tr w14:paraId="691FCC4D">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1" w:type="pct"/>
            <w:vMerge w:val="continue"/>
            <w:tcBorders>
              <w:right w:val="single" w:color="000000" w:sz="4" w:space="0"/>
            </w:tcBorders>
            <w:vAlign w:val="center"/>
          </w:tcPr>
          <w:p w14:paraId="6FE20DD4">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388" w:type="pct"/>
            <w:vMerge w:val="continue"/>
            <w:tcBorders>
              <w:left w:val="single" w:color="000000" w:sz="4" w:space="0"/>
            </w:tcBorders>
            <w:vAlign w:val="center"/>
          </w:tcPr>
          <w:p w14:paraId="12305DA3">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51" w:type="pct"/>
            <w:vMerge w:val="continue"/>
            <w:tcBorders>
              <w:right w:val="single" w:color="000000" w:sz="4" w:space="0"/>
            </w:tcBorders>
            <w:vAlign w:val="center"/>
          </w:tcPr>
          <w:p w14:paraId="63C23D63">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852" w:type="pct"/>
            <w:tcBorders>
              <w:left w:val="single" w:color="000000" w:sz="4" w:space="0"/>
            </w:tcBorders>
            <w:vAlign w:val="center"/>
          </w:tcPr>
          <w:p w14:paraId="4B93B4D4">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lang w:val="en-US" w:eastAsia="zh-CN"/>
              </w:rPr>
              <w:t>非甲烷总烃</w:t>
            </w:r>
          </w:p>
        </w:tc>
        <w:tc>
          <w:tcPr>
            <w:tcW w:w="852" w:type="pct"/>
            <w:tcBorders>
              <w:right w:val="single" w:color="auto" w:sz="4" w:space="0"/>
            </w:tcBorders>
            <w:shd w:val="clear" w:color="auto" w:fill="auto"/>
            <w:vAlign w:val="center"/>
          </w:tcPr>
          <w:p w14:paraId="610AEAA2">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23</w:t>
            </w:r>
          </w:p>
        </w:tc>
        <w:tc>
          <w:tcPr>
            <w:tcW w:w="1417" w:type="pct"/>
            <w:vMerge w:val="continue"/>
            <w:tcBorders>
              <w:left w:val="single" w:color="auto" w:sz="4" w:space="0"/>
            </w:tcBorders>
            <w:shd w:val="clear" w:color="auto" w:fill="auto"/>
            <w:vAlign w:val="center"/>
          </w:tcPr>
          <w:p w14:paraId="4AC317E4">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15" w:type="pct"/>
            <w:tcBorders>
              <w:left w:val="single" w:color="auto" w:sz="4" w:space="0"/>
            </w:tcBorders>
            <w:vAlign w:val="center"/>
          </w:tcPr>
          <w:p w14:paraId="651E4B46">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1.139</w:t>
            </w:r>
          </w:p>
        </w:tc>
      </w:tr>
      <w:tr w14:paraId="75418350">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1" w:type="pct"/>
            <w:vMerge w:val="continue"/>
            <w:tcBorders>
              <w:right w:val="single" w:color="000000" w:sz="4" w:space="0"/>
            </w:tcBorders>
            <w:vAlign w:val="center"/>
          </w:tcPr>
          <w:p w14:paraId="561C3958">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388" w:type="pct"/>
            <w:vMerge w:val="continue"/>
            <w:tcBorders>
              <w:left w:val="single" w:color="000000" w:sz="4" w:space="0"/>
            </w:tcBorders>
            <w:vAlign w:val="center"/>
          </w:tcPr>
          <w:p w14:paraId="41F75519">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51" w:type="pct"/>
            <w:vMerge w:val="continue"/>
            <w:tcBorders>
              <w:right w:val="single" w:color="000000" w:sz="4" w:space="0"/>
            </w:tcBorders>
            <w:vAlign w:val="center"/>
          </w:tcPr>
          <w:p w14:paraId="55FF3465">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852" w:type="pct"/>
            <w:tcBorders>
              <w:left w:val="single" w:color="000000" w:sz="4" w:space="0"/>
            </w:tcBorders>
            <w:vAlign w:val="center"/>
          </w:tcPr>
          <w:p w14:paraId="1C32A023">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default" w:ascii="Times New Roman" w:hAnsi="Times New Roman" w:eastAsia="楷体" w:cs="Times New Roman"/>
                <w:sz w:val="24"/>
                <w:szCs w:val="24"/>
                <w:lang w:val="en-US" w:eastAsia="zh-CN"/>
              </w:rPr>
              <w:t>氯化氢</w:t>
            </w:r>
          </w:p>
        </w:tc>
        <w:tc>
          <w:tcPr>
            <w:tcW w:w="852" w:type="pct"/>
            <w:tcBorders>
              <w:right w:val="single" w:color="auto" w:sz="4" w:space="0"/>
            </w:tcBorders>
            <w:shd w:val="clear" w:color="auto" w:fill="auto"/>
            <w:vAlign w:val="center"/>
          </w:tcPr>
          <w:p w14:paraId="2A2D5F2B">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0.015</w:t>
            </w:r>
          </w:p>
        </w:tc>
        <w:tc>
          <w:tcPr>
            <w:tcW w:w="1417" w:type="pct"/>
            <w:vMerge w:val="continue"/>
            <w:tcBorders>
              <w:left w:val="single" w:color="auto" w:sz="4" w:space="0"/>
            </w:tcBorders>
            <w:shd w:val="clear" w:color="auto" w:fill="auto"/>
            <w:vAlign w:val="center"/>
          </w:tcPr>
          <w:p w14:paraId="6FEBAF36">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15" w:type="pct"/>
            <w:tcBorders>
              <w:left w:val="single" w:color="auto" w:sz="4" w:space="0"/>
            </w:tcBorders>
            <w:vAlign w:val="center"/>
          </w:tcPr>
          <w:p w14:paraId="1545BD57">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default"/>
                <w:sz w:val="24"/>
                <w:szCs w:val="24"/>
                <w:lang w:val="en-US"/>
              </w:rPr>
            </w:pPr>
            <w:r>
              <w:rPr>
                <w:rFonts w:hint="eastAsia"/>
                <w:sz w:val="24"/>
                <w:szCs w:val="24"/>
                <w:lang w:val="en-US" w:eastAsia="zh-CN"/>
              </w:rPr>
              <w:t>0.0007</w:t>
            </w:r>
          </w:p>
        </w:tc>
      </w:tr>
      <w:tr w14:paraId="66F090F6">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1" w:type="pct"/>
            <w:vMerge w:val="continue"/>
            <w:tcBorders>
              <w:right w:val="single" w:color="000000" w:sz="4" w:space="0"/>
            </w:tcBorders>
            <w:vAlign w:val="center"/>
          </w:tcPr>
          <w:p w14:paraId="406FFECD">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388" w:type="pct"/>
            <w:vMerge w:val="continue"/>
            <w:tcBorders>
              <w:top w:val="single" w:color="000000" w:sz="4" w:space="0"/>
              <w:left w:val="single" w:color="000000" w:sz="4" w:space="0"/>
              <w:bottom w:val="single" w:color="000000" w:sz="4" w:space="0"/>
            </w:tcBorders>
            <w:vAlign w:val="center"/>
          </w:tcPr>
          <w:p w14:paraId="21317EF9">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51" w:type="pct"/>
            <w:vMerge w:val="continue"/>
            <w:tcBorders>
              <w:right w:val="single" w:color="000000" w:sz="4" w:space="0"/>
            </w:tcBorders>
            <w:vAlign w:val="center"/>
          </w:tcPr>
          <w:p w14:paraId="5D154C0D">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852" w:type="pct"/>
            <w:tcBorders>
              <w:left w:val="single" w:color="000000" w:sz="4" w:space="0"/>
            </w:tcBorders>
            <w:vAlign w:val="center"/>
          </w:tcPr>
          <w:p w14:paraId="1B249C1E">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臭气浓度</w:t>
            </w:r>
          </w:p>
        </w:tc>
        <w:tc>
          <w:tcPr>
            <w:tcW w:w="852" w:type="pct"/>
            <w:tcBorders>
              <w:right w:val="single" w:color="auto" w:sz="4" w:space="0"/>
            </w:tcBorders>
            <w:shd w:val="clear" w:color="auto" w:fill="auto"/>
            <w:vAlign w:val="center"/>
          </w:tcPr>
          <w:p w14:paraId="646CD34E">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w:t>
            </w:r>
          </w:p>
        </w:tc>
        <w:tc>
          <w:tcPr>
            <w:tcW w:w="1417" w:type="pct"/>
            <w:vMerge w:val="continue"/>
            <w:tcBorders>
              <w:left w:val="single" w:color="auto" w:sz="4" w:space="0"/>
            </w:tcBorders>
            <w:shd w:val="clear" w:color="auto" w:fill="auto"/>
            <w:vAlign w:val="center"/>
          </w:tcPr>
          <w:p w14:paraId="37CE488C">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15" w:type="pct"/>
            <w:tcBorders>
              <w:left w:val="single" w:color="auto" w:sz="4" w:space="0"/>
            </w:tcBorders>
            <w:vAlign w:val="center"/>
          </w:tcPr>
          <w:p w14:paraId="01AFC37B">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w:t>
            </w:r>
          </w:p>
        </w:tc>
      </w:tr>
      <w:tr w14:paraId="382449C8">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1" w:type="pct"/>
            <w:vMerge w:val="restart"/>
            <w:tcBorders>
              <w:right w:val="single" w:color="000000" w:sz="4" w:space="0"/>
            </w:tcBorders>
            <w:vAlign w:val="center"/>
          </w:tcPr>
          <w:p w14:paraId="09E82C32">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sz w:val="24"/>
                <w:szCs w:val="24"/>
              </w:rPr>
              <w:t>废水</w:t>
            </w:r>
          </w:p>
        </w:tc>
        <w:tc>
          <w:tcPr>
            <w:tcW w:w="940" w:type="pct"/>
            <w:gridSpan w:val="2"/>
            <w:tcBorders>
              <w:top w:val="single" w:color="000000" w:sz="4" w:space="0"/>
              <w:left w:val="single" w:color="000000" w:sz="4" w:space="0"/>
              <w:bottom w:val="single" w:color="000000" w:sz="4" w:space="0"/>
              <w:right w:val="single" w:color="000000" w:sz="4" w:space="0"/>
            </w:tcBorders>
            <w:vAlign w:val="center"/>
          </w:tcPr>
          <w:p w14:paraId="4EB15DBF">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default" w:eastAsia="楷体"/>
                <w:sz w:val="24"/>
                <w:szCs w:val="24"/>
                <w:lang w:val="en-US" w:eastAsia="zh-CN"/>
              </w:rPr>
            </w:pPr>
            <w:r>
              <w:rPr>
                <w:rFonts w:hint="eastAsia"/>
                <w:sz w:val="24"/>
                <w:szCs w:val="24"/>
                <w:lang w:val="en-US" w:eastAsia="zh-CN"/>
              </w:rPr>
              <w:t>生产废水</w:t>
            </w:r>
          </w:p>
        </w:tc>
        <w:tc>
          <w:tcPr>
            <w:tcW w:w="852" w:type="pct"/>
            <w:tcBorders>
              <w:left w:val="single" w:color="000000" w:sz="4" w:space="0"/>
            </w:tcBorders>
            <w:vAlign w:val="center"/>
          </w:tcPr>
          <w:p w14:paraId="1A99E01A">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eastAsia="楷体"/>
                <w:sz w:val="24"/>
                <w:szCs w:val="24"/>
                <w:lang w:val="en-US" w:eastAsia="zh-CN"/>
              </w:rPr>
            </w:pPr>
            <w:r>
              <w:rPr>
                <w:rFonts w:hint="eastAsia"/>
                <w:sz w:val="24"/>
                <w:szCs w:val="24"/>
                <w:lang w:val="en-US" w:eastAsia="zh-CN"/>
              </w:rPr>
              <w:t>SS</w:t>
            </w:r>
          </w:p>
        </w:tc>
        <w:tc>
          <w:tcPr>
            <w:tcW w:w="2785" w:type="pct"/>
            <w:gridSpan w:val="3"/>
            <w:shd w:val="clear" w:color="auto" w:fill="auto"/>
            <w:vAlign w:val="center"/>
          </w:tcPr>
          <w:p w14:paraId="04374CCF">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ascii="Times New Roman" w:hAnsi="Times New Roman" w:cs="Times New Roman"/>
                <w:color w:val="auto"/>
                <w:sz w:val="24"/>
                <w:szCs w:val="24"/>
                <w:highlight w:val="none"/>
                <w:lang w:eastAsia="zh-CN"/>
              </w:rPr>
              <w:t>生产废水</w:t>
            </w:r>
            <w:r>
              <w:rPr>
                <w:rFonts w:hint="default" w:ascii="Times New Roman" w:hAnsi="Times New Roman" w:cs="Times New Roman"/>
                <w:color w:val="auto"/>
                <w:sz w:val="24"/>
                <w:szCs w:val="24"/>
                <w:highlight w:val="none"/>
              </w:rPr>
              <w:t>经沉淀池</w:t>
            </w:r>
            <w:r>
              <w:rPr>
                <w:rFonts w:hint="eastAsia" w:cs="Times New Roman"/>
                <w:color w:val="auto"/>
                <w:sz w:val="24"/>
                <w:szCs w:val="24"/>
                <w:highlight w:val="none"/>
                <w:lang w:eastAsia="zh-CN"/>
              </w:rPr>
              <w:t>、冷却池</w:t>
            </w:r>
            <w:r>
              <w:rPr>
                <w:rFonts w:hint="default" w:ascii="Times New Roman" w:hAnsi="Times New Roman" w:cs="Times New Roman"/>
                <w:color w:val="auto"/>
                <w:sz w:val="24"/>
                <w:szCs w:val="24"/>
                <w:highlight w:val="none"/>
              </w:rPr>
              <w:t>沉淀后循环使用，不外排</w:t>
            </w:r>
          </w:p>
        </w:tc>
      </w:tr>
      <w:tr w14:paraId="279F8E1C">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1" w:type="pct"/>
            <w:vMerge w:val="continue"/>
            <w:tcBorders>
              <w:right w:val="single" w:color="000000" w:sz="4" w:space="0"/>
            </w:tcBorders>
            <w:vAlign w:val="center"/>
          </w:tcPr>
          <w:p w14:paraId="66E363E2">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940" w:type="pct"/>
            <w:gridSpan w:val="2"/>
            <w:tcBorders>
              <w:top w:val="single" w:color="000000" w:sz="4" w:space="0"/>
              <w:left w:val="single" w:color="000000" w:sz="4" w:space="0"/>
              <w:bottom w:val="single" w:color="000000" w:sz="4" w:space="0"/>
              <w:right w:val="single" w:color="000000" w:sz="4" w:space="0"/>
            </w:tcBorders>
            <w:vAlign w:val="center"/>
          </w:tcPr>
          <w:p w14:paraId="781BDFBE">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eastAsia="楷体"/>
                <w:sz w:val="24"/>
                <w:szCs w:val="24"/>
                <w:lang w:val="en-US" w:eastAsia="zh-CN"/>
              </w:rPr>
            </w:pPr>
            <w:r>
              <w:rPr>
                <w:rFonts w:hint="eastAsia"/>
                <w:sz w:val="24"/>
                <w:szCs w:val="24"/>
                <w:lang w:val="en-US" w:eastAsia="zh-CN"/>
              </w:rPr>
              <w:t>生活污水</w:t>
            </w:r>
          </w:p>
        </w:tc>
        <w:tc>
          <w:tcPr>
            <w:tcW w:w="852" w:type="pct"/>
            <w:tcBorders>
              <w:left w:val="single" w:color="000000" w:sz="4" w:space="0"/>
            </w:tcBorders>
            <w:vAlign w:val="center"/>
          </w:tcPr>
          <w:p w14:paraId="76F9B80D">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default" w:eastAsia="楷体"/>
                <w:sz w:val="24"/>
                <w:szCs w:val="24"/>
                <w:lang w:val="en-US" w:eastAsia="zh-CN"/>
              </w:rPr>
            </w:pPr>
            <w:r>
              <w:rPr>
                <w:rFonts w:hint="eastAsia"/>
                <w:sz w:val="24"/>
                <w:szCs w:val="24"/>
                <w:lang w:val="en-US" w:eastAsia="zh-CN"/>
              </w:rPr>
              <w:t>COD、氨氮</w:t>
            </w:r>
          </w:p>
        </w:tc>
        <w:tc>
          <w:tcPr>
            <w:tcW w:w="2785" w:type="pct"/>
            <w:gridSpan w:val="3"/>
            <w:shd w:val="clear" w:color="auto" w:fill="auto"/>
            <w:vAlign w:val="center"/>
          </w:tcPr>
          <w:p w14:paraId="6331D28B">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泼洒厂区地面抑尘，厂区设防渗旱厕，定期清掏</w:t>
            </w:r>
          </w:p>
        </w:tc>
      </w:tr>
      <w:tr w14:paraId="550C90FF">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1" w:type="pct"/>
            <w:vMerge w:val="restart"/>
            <w:tcBorders>
              <w:right w:val="single" w:color="000000" w:sz="4" w:space="0"/>
            </w:tcBorders>
            <w:vAlign w:val="center"/>
          </w:tcPr>
          <w:p w14:paraId="2C7DC9E9">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sz w:val="24"/>
                <w:szCs w:val="24"/>
              </w:rPr>
              <w:t>固体废物</w:t>
            </w:r>
          </w:p>
        </w:tc>
        <w:tc>
          <w:tcPr>
            <w:tcW w:w="940" w:type="pct"/>
            <w:gridSpan w:val="2"/>
            <w:tcBorders>
              <w:top w:val="single" w:color="000000" w:sz="4" w:space="0"/>
              <w:left w:val="single" w:color="000000" w:sz="4" w:space="0"/>
              <w:bottom w:val="single" w:color="000000" w:sz="4" w:space="0"/>
              <w:right w:val="single" w:color="000000" w:sz="4" w:space="0"/>
            </w:tcBorders>
            <w:vAlign w:val="center"/>
          </w:tcPr>
          <w:p w14:paraId="0F3EBEA3">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分拣工序</w:t>
            </w:r>
          </w:p>
        </w:tc>
        <w:tc>
          <w:tcPr>
            <w:tcW w:w="852" w:type="pct"/>
            <w:tcBorders>
              <w:left w:val="single" w:color="000000" w:sz="4" w:space="0"/>
            </w:tcBorders>
            <w:vAlign w:val="center"/>
          </w:tcPr>
          <w:p w14:paraId="2FD1C6CB">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eastAsia="楷体"/>
                <w:sz w:val="24"/>
                <w:szCs w:val="24"/>
                <w:lang w:val="en-US" w:eastAsia="zh-CN"/>
              </w:rPr>
            </w:pPr>
            <w:r>
              <w:rPr>
                <w:rFonts w:hint="eastAsia"/>
                <w:sz w:val="24"/>
                <w:szCs w:val="24"/>
              </w:rPr>
              <w:t>分拣废物</w:t>
            </w:r>
          </w:p>
        </w:tc>
        <w:tc>
          <w:tcPr>
            <w:tcW w:w="852" w:type="pct"/>
            <w:tcBorders>
              <w:right w:val="single" w:color="auto" w:sz="4" w:space="0"/>
            </w:tcBorders>
            <w:shd w:val="clear" w:color="auto" w:fill="auto"/>
            <w:vAlign w:val="center"/>
          </w:tcPr>
          <w:p w14:paraId="310E0B39">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lang w:val="en-US" w:eastAsia="zh-CN"/>
              </w:rPr>
              <w:t>1.83</w:t>
            </w:r>
          </w:p>
        </w:tc>
        <w:tc>
          <w:tcPr>
            <w:tcW w:w="1417" w:type="pct"/>
            <w:tcBorders>
              <w:left w:val="single" w:color="auto" w:sz="4" w:space="0"/>
            </w:tcBorders>
            <w:shd w:val="clear" w:color="auto" w:fill="auto"/>
            <w:vAlign w:val="center"/>
          </w:tcPr>
          <w:p w14:paraId="49FC77F0">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定期送往环卫部门指定地点处置</w:t>
            </w:r>
          </w:p>
        </w:tc>
        <w:tc>
          <w:tcPr>
            <w:tcW w:w="515" w:type="pct"/>
            <w:tcBorders>
              <w:left w:val="single" w:color="auto" w:sz="4" w:space="0"/>
            </w:tcBorders>
            <w:vAlign w:val="center"/>
          </w:tcPr>
          <w:p w14:paraId="2E8AD7ED">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rFonts w:hint="eastAsia" w:eastAsia="楷体"/>
                <w:sz w:val="24"/>
                <w:szCs w:val="24"/>
                <w:lang w:val="en-US" w:eastAsia="zh-CN"/>
              </w:rPr>
            </w:pPr>
            <w:r>
              <w:rPr>
                <w:rFonts w:hint="eastAsia"/>
                <w:sz w:val="24"/>
                <w:szCs w:val="24"/>
                <w:lang w:val="en-US" w:eastAsia="zh-CN"/>
              </w:rPr>
              <w:t>0</w:t>
            </w:r>
          </w:p>
        </w:tc>
      </w:tr>
      <w:tr w14:paraId="56E8021A">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1" w:type="pct"/>
            <w:vMerge w:val="continue"/>
            <w:tcBorders>
              <w:right w:val="single" w:color="000000" w:sz="4" w:space="0"/>
            </w:tcBorders>
            <w:vAlign w:val="center"/>
          </w:tcPr>
          <w:p w14:paraId="204E35A6">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940" w:type="pct"/>
            <w:gridSpan w:val="2"/>
            <w:tcBorders>
              <w:top w:val="single" w:color="000000" w:sz="4" w:space="0"/>
              <w:left w:val="single" w:color="000000" w:sz="4" w:space="0"/>
              <w:bottom w:val="single" w:color="000000" w:sz="4" w:space="0"/>
              <w:right w:val="single" w:color="000000" w:sz="4" w:space="0"/>
            </w:tcBorders>
            <w:vAlign w:val="center"/>
          </w:tcPr>
          <w:p w14:paraId="1DEA5A53">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沉淀池</w:t>
            </w:r>
          </w:p>
        </w:tc>
        <w:tc>
          <w:tcPr>
            <w:tcW w:w="852" w:type="pct"/>
            <w:tcBorders>
              <w:left w:val="single" w:color="000000" w:sz="4" w:space="0"/>
            </w:tcBorders>
            <w:vAlign w:val="center"/>
          </w:tcPr>
          <w:p w14:paraId="2D2205C9">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沉淀池污泥</w:t>
            </w:r>
          </w:p>
        </w:tc>
        <w:tc>
          <w:tcPr>
            <w:tcW w:w="852" w:type="pct"/>
            <w:tcBorders>
              <w:right w:val="single" w:color="auto" w:sz="4" w:space="0"/>
            </w:tcBorders>
            <w:shd w:val="clear" w:color="auto" w:fill="auto"/>
            <w:vAlign w:val="center"/>
          </w:tcPr>
          <w:p w14:paraId="350A4067">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2</w:t>
            </w:r>
          </w:p>
        </w:tc>
        <w:tc>
          <w:tcPr>
            <w:tcW w:w="1417" w:type="pct"/>
            <w:tcBorders>
              <w:left w:val="single" w:color="auto" w:sz="4" w:space="0"/>
            </w:tcBorders>
            <w:shd w:val="clear" w:color="auto" w:fill="auto"/>
            <w:vAlign w:val="center"/>
          </w:tcPr>
          <w:p w14:paraId="1994F4ED">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定期清掏自然干化后作为生活垃圾交由环卫部门处理</w:t>
            </w:r>
          </w:p>
        </w:tc>
        <w:tc>
          <w:tcPr>
            <w:tcW w:w="515" w:type="pct"/>
            <w:tcBorders>
              <w:left w:val="single" w:color="auto" w:sz="4" w:space="0"/>
            </w:tcBorders>
            <w:vAlign w:val="center"/>
          </w:tcPr>
          <w:p w14:paraId="7EC0F037">
            <w:pPr>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sz w:val="24"/>
                <w:szCs w:val="24"/>
              </w:rPr>
            </w:pPr>
            <w:r>
              <w:rPr>
                <w:rFonts w:hint="eastAsia"/>
                <w:sz w:val="24"/>
                <w:szCs w:val="24"/>
                <w:lang w:val="en-US" w:eastAsia="zh-CN"/>
              </w:rPr>
              <w:t>0</w:t>
            </w:r>
          </w:p>
        </w:tc>
      </w:tr>
      <w:tr w14:paraId="2D1CEEC6">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1" w:type="pct"/>
            <w:vMerge w:val="continue"/>
            <w:tcBorders>
              <w:right w:val="single" w:color="000000" w:sz="4" w:space="0"/>
            </w:tcBorders>
            <w:vAlign w:val="center"/>
          </w:tcPr>
          <w:p w14:paraId="20325AF5">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940" w:type="pct"/>
            <w:gridSpan w:val="2"/>
            <w:tcBorders>
              <w:top w:val="single" w:color="000000" w:sz="4" w:space="0"/>
              <w:left w:val="single" w:color="000000" w:sz="4" w:space="0"/>
              <w:bottom w:val="single" w:color="000000" w:sz="4" w:space="0"/>
              <w:right w:val="single" w:color="000000" w:sz="4" w:space="0"/>
            </w:tcBorders>
            <w:vAlign w:val="center"/>
          </w:tcPr>
          <w:p w14:paraId="6F8B66A2">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挤出工序</w:t>
            </w:r>
          </w:p>
        </w:tc>
        <w:tc>
          <w:tcPr>
            <w:tcW w:w="852" w:type="pct"/>
            <w:tcBorders>
              <w:left w:val="single" w:color="000000" w:sz="4" w:space="0"/>
            </w:tcBorders>
            <w:vAlign w:val="center"/>
          </w:tcPr>
          <w:p w14:paraId="301A3351">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废滤网</w:t>
            </w:r>
          </w:p>
        </w:tc>
        <w:tc>
          <w:tcPr>
            <w:tcW w:w="852" w:type="pct"/>
            <w:tcBorders>
              <w:right w:val="single" w:color="auto" w:sz="4" w:space="0"/>
            </w:tcBorders>
            <w:shd w:val="clear" w:color="auto" w:fill="auto"/>
            <w:vAlign w:val="center"/>
          </w:tcPr>
          <w:p w14:paraId="26A1F962">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default"/>
                <w:sz w:val="24"/>
                <w:szCs w:val="24"/>
                <w:lang w:val="en-US"/>
              </w:rPr>
            </w:pPr>
            <w:r>
              <w:rPr>
                <w:rFonts w:hint="eastAsia"/>
                <w:sz w:val="24"/>
                <w:szCs w:val="24"/>
                <w:lang w:val="en-US" w:eastAsia="zh-CN"/>
              </w:rPr>
              <w:t>3</w:t>
            </w:r>
          </w:p>
        </w:tc>
        <w:tc>
          <w:tcPr>
            <w:tcW w:w="1417" w:type="pct"/>
            <w:tcBorders>
              <w:left w:val="single" w:color="auto" w:sz="4" w:space="0"/>
            </w:tcBorders>
            <w:shd w:val="clear" w:color="auto" w:fill="auto"/>
            <w:vAlign w:val="center"/>
          </w:tcPr>
          <w:p w14:paraId="1D90788F">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sz w:val="24"/>
                <w:szCs w:val="24"/>
                <w:lang w:val="en-US" w:eastAsia="zh-CN"/>
              </w:rPr>
              <w:t>由厂家回收</w:t>
            </w:r>
          </w:p>
        </w:tc>
        <w:tc>
          <w:tcPr>
            <w:tcW w:w="515" w:type="pct"/>
            <w:tcBorders>
              <w:left w:val="single" w:color="auto" w:sz="4" w:space="0"/>
            </w:tcBorders>
            <w:vAlign w:val="center"/>
          </w:tcPr>
          <w:p w14:paraId="4DCBEDA6">
            <w:pPr>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sz w:val="24"/>
                <w:szCs w:val="24"/>
              </w:rPr>
            </w:pPr>
            <w:r>
              <w:rPr>
                <w:rFonts w:hint="eastAsia"/>
                <w:sz w:val="24"/>
                <w:szCs w:val="24"/>
                <w:lang w:val="en-US" w:eastAsia="zh-CN"/>
              </w:rPr>
              <w:t>0</w:t>
            </w:r>
          </w:p>
        </w:tc>
      </w:tr>
      <w:tr w14:paraId="462682BA">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1" w:type="pct"/>
            <w:vMerge w:val="continue"/>
            <w:tcBorders>
              <w:right w:val="single" w:color="000000" w:sz="4" w:space="0"/>
            </w:tcBorders>
            <w:vAlign w:val="center"/>
          </w:tcPr>
          <w:p w14:paraId="48E32950">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940" w:type="pct"/>
            <w:gridSpan w:val="2"/>
            <w:tcBorders>
              <w:top w:val="single" w:color="000000" w:sz="4" w:space="0"/>
              <w:left w:val="single" w:color="000000" w:sz="4" w:space="0"/>
              <w:bottom w:val="single" w:color="000000" w:sz="4" w:space="0"/>
              <w:right w:val="single" w:color="000000" w:sz="4" w:space="0"/>
            </w:tcBorders>
            <w:vAlign w:val="center"/>
          </w:tcPr>
          <w:p w14:paraId="3EAF1F5A">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布袋除尘器</w:t>
            </w:r>
          </w:p>
        </w:tc>
        <w:tc>
          <w:tcPr>
            <w:tcW w:w="852" w:type="pct"/>
            <w:tcBorders>
              <w:left w:val="single" w:color="000000" w:sz="4" w:space="0"/>
            </w:tcBorders>
            <w:vAlign w:val="center"/>
          </w:tcPr>
          <w:p w14:paraId="6E265BC5">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除尘灰</w:t>
            </w:r>
          </w:p>
        </w:tc>
        <w:tc>
          <w:tcPr>
            <w:tcW w:w="852" w:type="pct"/>
            <w:tcBorders>
              <w:right w:val="single" w:color="auto" w:sz="4" w:space="0"/>
            </w:tcBorders>
            <w:shd w:val="clear" w:color="auto" w:fill="auto"/>
            <w:vAlign w:val="center"/>
          </w:tcPr>
          <w:p w14:paraId="75BB8CEA">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default"/>
                <w:sz w:val="24"/>
                <w:szCs w:val="24"/>
                <w:lang w:val="en-US"/>
              </w:rPr>
            </w:pPr>
            <w:r>
              <w:rPr>
                <w:rFonts w:hint="eastAsia"/>
                <w:sz w:val="24"/>
                <w:szCs w:val="24"/>
                <w:lang w:val="en-US" w:eastAsia="zh-CN"/>
              </w:rPr>
              <w:t>110</w:t>
            </w:r>
          </w:p>
        </w:tc>
        <w:tc>
          <w:tcPr>
            <w:tcW w:w="1417" w:type="pct"/>
            <w:tcBorders>
              <w:left w:val="single" w:color="auto" w:sz="4" w:space="0"/>
            </w:tcBorders>
            <w:shd w:val="clear" w:color="auto" w:fill="auto"/>
            <w:vAlign w:val="center"/>
          </w:tcPr>
          <w:p w14:paraId="555272DC">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全部回用于生产</w:t>
            </w:r>
          </w:p>
        </w:tc>
        <w:tc>
          <w:tcPr>
            <w:tcW w:w="515" w:type="pct"/>
            <w:tcBorders>
              <w:left w:val="single" w:color="auto" w:sz="4" w:space="0"/>
            </w:tcBorders>
            <w:vAlign w:val="center"/>
          </w:tcPr>
          <w:p w14:paraId="52AC5DAC">
            <w:pPr>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sz w:val="24"/>
                <w:szCs w:val="24"/>
              </w:rPr>
            </w:pPr>
            <w:r>
              <w:rPr>
                <w:rFonts w:hint="eastAsia"/>
                <w:sz w:val="24"/>
                <w:szCs w:val="24"/>
                <w:lang w:val="en-US" w:eastAsia="zh-CN"/>
              </w:rPr>
              <w:t>0</w:t>
            </w:r>
          </w:p>
        </w:tc>
      </w:tr>
      <w:tr w14:paraId="5654CB7B">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1" w:type="pct"/>
            <w:vMerge w:val="continue"/>
            <w:tcBorders>
              <w:right w:val="single" w:color="000000" w:sz="4" w:space="0"/>
            </w:tcBorders>
            <w:vAlign w:val="center"/>
          </w:tcPr>
          <w:p w14:paraId="1292C495">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940" w:type="pct"/>
            <w:gridSpan w:val="2"/>
            <w:tcBorders>
              <w:top w:val="single" w:color="000000" w:sz="4" w:space="0"/>
              <w:left w:val="single" w:color="000000" w:sz="4" w:space="0"/>
              <w:bottom w:val="single" w:color="000000" w:sz="4" w:space="0"/>
              <w:right w:val="single" w:color="000000" w:sz="4" w:space="0"/>
            </w:tcBorders>
            <w:vAlign w:val="center"/>
          </w:tcPr>
          <w:p w14:paraId="311E23AB">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default" w:eastAsia="楷体"/>
                <w:sz w:val="24"/>
                <w:szCs w:val="24"/>
                <w:lang w:val="en-US" w:eastAsia="zh-CN"/>
              </w:rPr>
            </w:pPr>
            <w:r>
              <w:rPr>
                <w:rFonts w:hint="eastAsia"/>
                <w:sz w:val="24"/>
                <w:szCs w:val="24"/>
                <w:lang w:val="en-US" w:eastAsia="zh-CN"/>
              </w:rPr>
              <w:t>原料包装</w:t>
            </w:r>
          </w:p>
        </w:tc>
        <w:tc>
          <w:tcPr>
            <w:tcW w:w="852" w:type="pct"/>
            <w:tcBorders>
              <w:left w:val="single" w:color="000000" w:sz="4" w:space="0"/>
            </w:tcBorders>
            <w:vAlign w:val="center"/>
          </w:tcPr>
          <w:p w14:paraId="6F806302">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废包装袋</w:t>
            </w:r>
          </w:p>
        </w:tc>
        <w:tc>
          <w:tcPr>
            <w:tcW w:w="852" w:type="pct"/>
            <w:tcBorders>
              <w:right w:val="single" w:color="auto" w:sz="4" w:space="0"/>
            </w:tcBorders>
            <w:shd w:val="clear" w:color="auto" w:fill="auto"/>
            <w:vAlign w:val="center"/>
          </w:tcPr>
          <w:p w14:paraId="4C3E3B4B">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1</w:t>
            </w:r>
          </w:p>
        </w:tc>
        <w:tc>
          <w:tcPr>
            <w:tcW w:w="1417" w:type="pct"/>
            <w:tcBorders>
              <w:left w:val="single" w:color="auto" w:sz="4" w:space="0"/>
            </w:tcBorders>
            <w:shd w:val="clear" w:color="auto" w:fill="auto"/>
            <w:vAlign w:val="center"/>
          </w:tcPr>
          <w:p w14:paraId="53552E5E">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定期外售废品收购站</w:t>
            </w:r>
          </w:p>
        </w:tc>
        <w:tc>
          <w:tcPr>
            <w:tcW w:w="515" w:type="pct"/>
            <w:tcBorders>
              <w:left w:val="single" w:color="auto" w:sz="4" w:space="0"/>
            </w:tcBorders>
            <w:vAlign w:val="center"/>
          </w:tcPr>
          <w:p w14:paraId="3773493F">
            <w:pPr>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sz w:val="24"/>
                <w:szCs w:val="24"/>
              </w:rPr>
            </w:pPr>
            <w:r>
              <w:rPr>
                <w:rFonts w:hint="eastAsia"/>
                <w:sz w:val="24"/>
                <w:szCs w:val="24"/>
                <w:lang w:val="en-US" w:eastAsia="zh-CN"/>
              </w:rPr>
              <w:t>0</w:t>
            </w:r>
          </w:p>
        </w:tc>
      </w:tr>
      <w:tr w14:paraId="02A5FD4C">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1" w:type="pct"/>
            <w:vMerge w:val="continue"/>
            <w:tcBorders>
              <w:right w:val="single" w:color="000000" w:sz="4" w:space="0"/>
            </w:tcBorders>
            <w:vAlign w:val="center"/>
          </w:tcPr>
          <w:p w14:paraId="5395621B">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940" w:type="pct"/>
            <w:gridSpan w:val="2"/>
            <w:vMerge w:val="restart"/>
            <w:tcBorders>
              <w:top w:val="single" w:color="000000" w:sz="4" w:space="0"/>
              <w:left w:val="single" w:color="000000" w:sz="4" w:space="0"/>
              <w:right w:val="single" w:color="000000" w:sz="4" w:space="0"/>
            </w:tcBorders>
            <w:vAlign w:val="center"/>
          </w:tcPr>
          <w:p w14:paraId="3C0B9F2C">
            <w:pPr>
              <w:pStyle w:val="101"/>
              <w:keepNext w:val="0"/>
              <w:keepLines w:val="0"/>
              <w:pageBreakBefore w:val="0"/>
              <w:widowControl/>
              <w:kinsoku/>
              <w:wordWrap/>
              <w:overflowPunct/>
              <w:topLinePunct w:val="0"/>
              <w:autoSpaceDE/>
              <w:autoSpaceDN/>
              <w:bidi w:val="0"/>
              <w:adjustRightInd w:val="0"/>
              <w:snapToGrid w:val="0"/>
              <w:spacing w:line="300" w:lineRule="exact"/>
              <w:ind w:firstLine="0" w:firstLineChars="0"/>
              <w:textAlignment w:val="auto"/>
              <w:rPr>
                <w:rFonts w:hint="default" w:eastAsia="楷体" w:cs="Times New Roman"/>
                <w:color w:val="000000" w:themeColor="text1"/>
                <w:sz w:val="24"/>
                <w:szCs w:val="24"/>
                <w:highlight w:val="none"/>
                <w:lang w:val="en-US" w:eastAsia="zh-CN"/>
                <w14:textFill>
                  <w14:solidFill>
                    <w14:schemeClr w14:val="tx1"/>
                  </w14:solidFill>
                </w14:textFill>
              </w:rPr>
            </w:pPr>
            <w:r>
              <w:rPr>
                <w:rFonts w:hint="eastAsia" w:eastAsia="楷体" w:cs="Times New Roman"/>
                <w:color w:val="000000" w:themeColor="text1"/>
                <w:sz w:val="24"/>
                <w:szCs w:val="24"/>
                <w:highlight w:val="none"/>
                <w:lang w:val="en-US" w:eastAsia="zh-CN"/>
                <w14:textFill>
                  <w14:solidFill>
                    <w14:schemeClr w14:val="tx1"/>
                  </w14:solidFill>
                </w14:textFill>
              </w:rPr>
              <w:t>环保装置</w:t>
            </w:r>
          </w:p>
        </w:tc>
        <w:tc>
          <w:tcPr>
            <w:tcW w:w="852" w:type="pct"/>
            <w:tcBorders>
              <w:left w:val="single" w:color="000000" w:sz="4" w:space="0"/>
            </w:tcBorders>
            <w:vAlign w:val="center"/>
          </w:tcPr>
          <w:p w14:paraId="0AC7E819">
            <w:pPr>
              <w:pStyle w:val="101"/>
              <w:keepNext w:val="0"/>
              <w:keepLines w:val="0"/>
              <w:pageBreakBefore w:val="0"/>
              <w:widowControl/>
              <w:kinsoku/>
              <w:wordWrap/>
              <w:overflowPunct/>
              <w:topLinePunct w:val="0"/>
              <w:autoSpaceDE/>
              <w:autoSpaceDN/>
              <w:bidi w:val="0"/>
              <w:adjustRightInd w:val="0"/>
              <w:snapToGrid w:val="0"/>
              <w:spacing w:line="300" w:lineRule="exact"/>
              <w:ind w:firstLine="0" w:firstLineChars="0"/>
              <w:textAlignment w:val="auto"/>
              <w:rPr>
                <w:rFonts w:hint="eastAsia" w:eastAsia="楷体" w:cs="Times New Roman"/>
                <w:color w:val="000000" w:themeColor="text1"/>
                <w:sz w:val="24"/>
                <w:szCs w:val="24"/>
                <w:highlight w:val="none"/>
                <w:lang w:val="en-US" w:eastAsia="zh-CN"/>
                <w14:textFill>
                  <w14:solidFill>
                    <w14:schemeClr w14:val="tx1"/>
                  </w14:solidFill>
                </w14:textFill>
              </w:rPr>
            </w:pPr>
            <w:r>
              <w:rPr>
                <w:rFonts w:hint="default" w:eastAsia="楷体" w:cs="Times New Roman"/>
                <w:color w:val="000000" w:themeColor="text1"/>
                <w:sz w:val="24"/>
                <w:szCs w:val="24"/>
                <w:highlight w:val="none"/>
                <w:lang w:val="en-US" w:eastAsia="zh-CN"/>
                <w14:textFill>
                  <w14:solidFill>
                    <w14:schemeClr w14:val="tx1"/>
                  </w14:solidFill>
                </w14:textFill>
              </w:rPr>
              <w:t>废活性炭</w:t>
            </w:r>
          </w:p>
        </w:tc>
        <w:tc>
          <w:tcPr>
            <w:tcW w:w="852" w:type="pct"/>
            <w:tcBorders>
              <w:right w:val="single" w:color="auto" w:sz="4" w:space="0"/>
            </w:tcBorders>
            <w:shd w:val="clear" w:color="auto" w:fill="auto"/>
            <w:vAlign w:val="center"/>
          </w:tcPr>
          <w:p w14:paraId="5CA80BBE">
            <w:pPr>
              <w:pStyle w:val="101"/>
              <w:keepNext w:val="0"/>
              <w:keepLines w:val="0"/>
              <w:pageBreakBefore w:val="0"/>
              <w:widowControl/>
              <w:kinsoku/>
              <w:wordWrap/>
              <w:overflowPunct/>
              <w:topLinePunct w:val="0"/>
              <w:autoSpaceDE/>
              <w:autoSpaceDN/>
              <w:bidi w:val="0"/>
              <w:adjustRightInd w:val="0"/>
              <w:snapToGrid w:val="0"/>
              <w:spacing w:line="300" w:lineRule="exact"/>
              <w:ind w:firstLine="0" w:firstLineChars="0"/>
              <w:textAlignment w:val="auto"/>
              <w:rPr>
                <w:rFonts w:hint="default"/>
                <w:sz w:val="24"/>
                <w:szCs w:val="24"/>
                <w:lang w:val="en-US"/>
              </w:rPr>
            </w:pPr>
            <w:r>
              <w:rPr>
                <w:rFonts w:hint="eastAsia" w:eastAsia="楷体" w:cs="Times New Roman"/>
                <w:snapToGrid w:val="0"/>
                <w:color w:val="000000" w:themeColor="text1"/>
                <w:sz w:val="24"/>
                <w:szCs w:val="24"/>
                <w:highlight w:val="none"/>
                <w:lang w:val="en-US" w:eastAsia="zh-CN" w:bidi="ar-SA"/>
                <w14:textFill>
                  <w14:solidFill>
                    <w14:schemeClr w14:val="tx1"/>
                  </w14:solidFill>
                </w14:textFill>
              </w:rPr>
              <w:t>8</w:t>
            </w:r>
          </w:p>
        </w:tc>
        <w:tc>
          <w:tcPr>
            <w:tcW w:w="1417" w:type="pct"/>
            <w:vMerge w:val="restart"/>
            <w:tcBorders>
              <w:left w:val="single" w:color="auto" w:sz="4" w:space="0"/>
            </w:tcBorders>
            <w:shd w:val="clear" w:color="auto" w:fill="auto"/>
            <w:vAlign w:val="center"/>
          </w:tcPr>
          <w:p w14:paraId="43C21380">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sz w:val="24"/>
                <w:szCs w:val="24"/>
                <w:lang w:val="en-US" w:eastAsia="zh-CN"/>
              </w:rPr>
              <w:t>暂存于危废暂存间，定期委托有资质单位处置</w:t>
            </w:r>
          </w:p>
        </w:tc>
        <w:tc>
          <w:tcPr>
            <w:tcW w:w="515" w:type="pct"/>
            <w:tcBorders>
              <w:left w:val="single" w:color="auto" w:sz="4" w:space="0"/>
            </w:tcBorders>
            <w:vAlign w:val="center"/>
          </w:tcPr>
          <w:p w14:paraId="01BB9AC4">
            <w:pPr>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sz w:val="24"/>
                <w:szCs w:val="24"/>
              </w:rPr>
            </w:pPr>
            <w:r>
              <w:rPr>
                <w:rFonts w:hint="eastAsia"/>
                <w:sz w:val="24"/>
                <w:szCs w:val="24"/>
                <w:lang w:val="en-US" w:eastAsia="zh-CN"/>
              </w:rPr>
              <w:t>0</w:t>
            </w:r>
          </w:p>
        </w:tc>
      </w:tr>
      <w:tr w14:paraId="11F15486">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1" w:type="pct"/>
            <w:vMerge w:val="continue"/>
            <w:tcBorders>
              <w:right w:val="single" w:color="000000" w:sz="4" w:space="0"/>
            </w:tcBorders>
            <w:vAlign w:val="center"/>
          </w:tcPr>
          <w:p w14:paraId="0E72C8FD">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940" w:type="pct"/>
            <w:gridSpan w:val="2"/>
            <w:vMerge w:val="continue"/>
            <w:tcBorders>
              <w:left w:val="single" w:color="000000" w:sz="4" w:space="0"/>
              <w:bottom w:val="single" w:color="000000" w:sz="4" w:space="0"/>
              <w:right w:val="single" w:color="000000" w:sz="4" w:space="0"/>
            </w:tcBorders>
            <w:vAlign w:val="center"/>
          </w:tcPr>
          <w:p w14:paraId="050ECB63">
            <w:pPr>
              <w:pStyle w:val="101"/>
              <w:keepNext w:val="0"/>
              <w:keepLines w:val="0"/>
              <w:pageBreakBefore w:val="0"/>
              <w:widowControl/>
              <w:kinsoku/>
              <w:wordWrap/>
              <w:overflowPunct/>
              <w:topLinePunct w:val="0"/>
              <w:autoSpaceDE/>
              <w:autoSpaceDN/>
              <w:bidi w:val="0"/>
              <w:adjustRightInd w:val="0"/>
              <w:snapToGrid w:val="0"/>
              <w:spacing w:line="300" w:lineRule="exact"/>
              <w:ind w:firstLine="0" w:firstLineChars="0"/>
              <w:textAlignment w:val="auto"/>
              <w:rPr>
                <w:sz w:val="24"/>
                <w:szCs w:val="24"/>
              </w:rPr>
            </w:pPr>
          </w:p>
        </w:tc>
        <w:tc>
          <w:tcPr>
            <w:tcW w:w="852" w:type="pct"/>
            <w:tcBorders>
              <w:left w:val="single" w:color="000000" w:sz="4" w:space="0"/>
            </w:tcBorders>
            <w:vAlign w:val="center"/>
          </w:tcPr>
          <w:p w14:paraId="49C60D82">
            <w:pPr>
              <w:pStyle w:val="101"/>
              <w:keepNext w:val="0"/>
              <w:keepLines w:val="0"/>
              <w:pageBreakBefore w:val="0"/>
              <w:widowControl/>
              <w:kinsoku/>
              <w:wordWrap/>
              <w:overflowPunct/>
              <w:topLinePunct w:val="0"/>
              <w:autoSpaceDE/>
              <w:autoSpaceDN/>
              <w:bidi w:val="0"/>
              <w:adjustRightInd w:val="0"/>
              <w:snapToGrid w:val="0"/>
              <w:spacing w:line="300" w:lineRule="exact"/>
              <w:ind w:firstLine="0" w:firstLineChars="0"/>
              <w:textAlignment w:val="auto"/>
              <w:rPr>
                <w:sz w:val="24"/>
                <w:szCs w:val="24"/>
              </w:rPr>
            </w:pPr>
            <w:r>
              <w:rPr>
                <w:rFonts w:hint="eastAsia" w:eastAsia="楷体" w:cs="Times New Roman"/>
                <w:color w:val="000000" w:themeColor="text1"/>
                <w:sz w:val="24"/>
                <w:szCs w:val="24"/>
                <w:highlight w:val="none"/>
                <w:lang w:val="en-US" w:eastAsia="zh-CN"/>
                <w14:textFill>
                  <w14:solidFill>
                    <w14:schemeClr w14:val="tx1"/>
                  </w14:solidFill>
                </w14:textFill>
              </w:rPr>
              <w:t>废过滤棉</w:t>
            </w:r>
          </w:p>
        </w:tc>
        <w:tc>
          <w:tcPr>
            <w:tcW w:w="852" w:type="pct"/>
            <w:tcBorders>
              <w:right w:val="single" w:color="auto" w:sz="4" w:space="0"/>
            </w:tcBorders>
            <w:shd w:val="clear" w:color="auto" w:fill="auto"/>
            <w:vAlign w:val="center"/>
          </w:tcPr>
          <w:p w14:paraId="31CA68B8">
            <w:pPr>
              <w:pStyle w:val="101"/>
              <w:keepNext w:val="0"/>
              <w:keepLines w:val="0"/>
              <w:pageBreakBefore w:val="0"/>
              <w:widowControl/>
              <w:kinsoku/>
              <w:wordWrap/>
              <w:overflowPunct/>
              <w:topLinePunct w:val="0"/>
              <w:autoSpaceDE/>
              <w:autoSpaceDN/>
              <w:bidi w:val="0"/>
              <w:adjustRightInd w:val="0"/>
              <w:snapToGrid w:val="0"/>
              <w:spacing w:line="300" w:lineRule="exact"/>
              <w:ind w:firstLine="0" w:firstLineChars="0"/>
              <w:textAlignment w:val="auto"/>
              <w:rPr>
                <w:sz w:val="24"/>
                <w:szCs w:val="24"/>
              </w:rPr>
            </w:pPr>
            <w:r>
              <w:rPr>
                <w:rFonts w:hint="eastAsia" w:eastAsia="楷体" w:cs="Times New Roman"/>
                <w:color w:val="000000" w:themeColor="text1"/>
                <w:sz w:val="24"/>
                <w:szCs w:val="24"/>
                <w:highlight w:val="none"/>
                <w:lang w:val="en-US" w:eastAsia="zh-CN"/>
                <w14:textFill>
                  <w14:solidFill>
                    <w14:schemeClr w14:val="tx1"/>
                  </w14:solidFill>
                </w14:textFill>
              </w:rPr>
              <w:t>2</w:t>
            </w:r>
          </w:p>
        </w:tc>
        <w:tc>
          <w:tcPr>
            <w:tcW w:w="1417" w:type="pct"/>
            <w:vMerge w:val="continue"/>
            <w:tcBorders>
              <w:left w:val="single" w:color="auto" w:sz="4" w:space="0"/>
            </w:tcBorders>
            <w:shd w:val="clear" w:color="auto" w:fill="auto"/>
            <w:vAlign w:val="center"/>
          </w:tcPr>
          <w:p w14:paraId="7C18E631">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15" w:type="pct"/>
            <w:tcBorders>
              <w:left w:val="single" w:color="auto" w:sz="4" w:space="0"/>
            </w:tcBorders>
            <w:vAlign w:val="center"/>
          </w:tcPr>
          <w:p w14:paraId="13DD4965">
            <w:pPr>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sz w:val="24"/>
                <w:szCs w:val="24"/>
              </w:rPr>
            </w:pPr>
            <w:r>
              <w:rPr>
                <w:rFonts w:hint="eastAsia"/>
                <w:sz w:val="24"/>
                <w:szCs w:val="24"/>
                <w:lang w:val="en-US" w:eastAsia="zh-CN"/>
              </w:rPr>
              <w:t>0</w:t>
            </w:r>
          </w:p>
        </w:tc>
      </w:tr>
      <w:tr w14:paraId="4F3B407B">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1" w:type="pct"/>
            <w:vMerge w:val="continue"/>
            <w:tcBorders>
              <w:right w:val="single" w:color="000000" w:sz="4" w:space="0"/>
            </w:tcBorders>
            <w:vAlign w:val="center"/>
          </w:tcPr>
          <w:p w14:paraId="7D4E8606">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940" w:type="pct"/>
            <w:gridSpan w:val="2"/>
            <w:vMerge w:val="restart"/>
            <w:tcBorders>
              <w:top w:val="single" w:color="000000" w:sz="4" w:space="0"/>
              <w:left w:val="single" w:color="000000" w:sz="4" w:space="0"/>
              <w:right w:val="single" w:color="000000" w:sz="4" w:space="0"/>
            </w:tcBorders>
            <w:vAlign w:val="center"/>
          </w:tcPr>
          <w:p w14:paraId="30E704C5">
            <w:pPr>
              <w:pStyle w:val="101"/>
              <w:keepNext w:val="0"/>
              <w:keepLines w:val="0"/>
              <w:pageBreakBefore w:val="0"/>
              <w:widowControl/>
              <w:kinsoku/>
              <w:wordWrap/>
              <w:overflowPunct/>
              <w:topLinePunct w:val="0"/>
              <w:autoSpaceDE/>
              <w:autoSpaceDN/>
              <w:bidi w:val="0"/>
              <w:adjustRightInd w:val="0"/>
              <w:snapToGrid w:val="0"/>
              <w:spacing w:line="300" w:lineRule="exact"/>
              <w:ind w:firstLine="0" w:firstLineChars="0"/>
              <w:textAlignment w:val="auto"/>
              <w:rPr>
                <w:rFonts w:hint="eastAsia" w:eastAsia="宋体"/>
                <w:sz w:val="24"/>
                <w:szCs w:val="24"/>
                <w:lang w:eastAsia="zh-CN"/>
              </w:rPr>
            </w:pPr>
            <w:r>
              <w:rPr>
                <w:rFonts w:hint="eastAsia" w:eastAsia="楷体" w:cs="Times New Roman"/>
                <w:color w:val="000000" w:themeColor="text1"/>
                <w:sz w:val="24"/>
                <w:szCs w:val="24"/>
                <w:highlight w:val="none"/>
                <w:lang w:val="en-US" w:eastAsia="zh-CN"/>
                <w14:textFill>
                  <w14:solidFill>
                    <w14:schemeClr w14:val="tx1"/>
                  </w14:solidFill>
                </w14:textFill>
              </w:rPr>
              <w:t>设备维修</w:t>
            </w:r>
          </w:p>
        </w:tc>
        <w:tc>
          <w:tcPr>
            <w:tcW w:w="852" w:type="pct"/>
            <w:tcBorders>
              <w:left w:val="single" w:color="000000" w:sz="4" w:space="0"/>
            </w:tcBorders>
            <w:vAlign w:val="center"/>
          </w:tcPr>
          <w:p w14:paraId="0BF77791">
            <w:pPr>
              <w:pStyle w:val="101"/>
              <w:keepNext w:val="0"/>
              <w:keepLines w:val="0"/>
              <w:pageBreakBefore w:val="0"/>
              <w:widowControl/>
              <w:kinsoku/>
              <w:wordWrap/>
              <w:overflowPunct/>
              <w:topLinePunct w:val="0"/>
              <w:autoSpaceDE/>
              <w:autoSpaceDN/>
              <w:bidi w:val="0"/>
              <w:adjustRightInd w:val="0"/>
              <w:snapToGrid w:val="0"/>
              <w:spacing w:line="300" w:lineRule="exact"/>
              <w:ind w:firstLine="0" w:firstLineChars="0"/>
              <w:textAlignment w:val="auto"/>
              <w:rPr>
                <w:sz w:val="24"/>
                <w:szCs w:val="24"/>
              </w:rPr>
            </w:pPr>
            <w:r>
              <w:rPr>
                <w:rFonts w:hint="default" w:ascii="Times New Roman" w:hAnsi="Times New Roman" w:eastAsia="楷体" w:cs="Times New Roman"/>
                <w:color w:val="000000" w:themeColor="text1"/>
                <w:sz w:val="24"/>
                <w:szCs w:val="24"/>
                <w:highlight w:val="none"/>
                <w14:textFill>
                  <w14:solidFill>
                    <w14:schemeClr w14:val="tx1"/>
                  </w14:solidFill>
                </w14:textFill>
              </w:rPr>
              <w:t>废</w:t>
            </w:r>
            <w:r>
              <w:rPr>
                <w:rFonts w:hint="eastAsia" w:ascii="Times New Roman" w:hAnsi="Times New Roman" w:eastAsia="楷体" w:cs="Times New Roman"/>
                <w:color w:val="000000" w:themeColor="text1"/>
                <w:sz w:val="24"/>
                <w:szCs w:val="24"/>
                <w:highlight w:val="none"/>
                <w:lang w:val="en-US" w:eastAsia="zh-CN"/>
                <w14:textFill>
                  <w14:solidFill>
                    <w14:schemeClr w14:val="tx1"/>
                  </w14:solidFill>
                </w14:textFill>
              </w:rPr>
              <w:t>润滑油</w:t>
            </w:r>
          </w:p>
        </w:tc>
        <w:tc>
          <w:tcPr>
            <w:tcW w:w="852" w:type="pct"/>
            <w:tcBorders>
              <w:right w:val="single" w:color="auto" w:sz="4" w:space="0"/>
            </w:tcBorders>
            <w:shd w:val="clear" w:color="auto" w:fill="auto"/>
            <w:vAlign w:val="center"/>
          </w:tcPr>
          <w:p w14:paraId="3DBCC402">
            <w:pPr>
              <w:pStyle w:val="101"/>
              <w:keepNext w:val="0"/>
              <w:keepLines w:val="0"/>
              <w:pageBreakBefore w:val="0"/>
              <w:widowControl/>
              <w:kinsoku/>
              <w:wordWrap/>
              <w:overflowPunct/>
              <w:topLinePunct w:val="0"/>
              <w:autoSpaceDE/>
              <w:autoSpaceDN/>
              <w:bidi w:val="0"/>
              <w:adjustRightInd w:val="0"/>
              <w:snapToGrid w:val="0"/>
              <w:spacing w:line="300" w:lineRule="exact"/>
              <w:ind w:firstLine="0" w:firstLineChars="0"/>
              <w:textAlignment w:val="auto"/>
              <w:rPr>
                <w:sz w:val="24"/>
                <w:szCs w:val="24"/>
              </w:rPr>
            </w:pPr>
            <w:r>
              <w:rPr>
                <w:rFonts w:hint="default" w:ascii="Times New Roman" w:hAnsi="Times New Roman" w:eastAsia="楷体" w:cs="Times New Roman"/>
                <w:color w:val="000000" w:themeColor="text1"/>
                <w:sz w:val="24"/>
                <w:szCs w:val="24"/>
                <w:highlight w:val="none"/>
                <w14:textFill>
                  <w14:solidFill>
                    <w14:schemeClr w14:val="tx1"/>
                  </w14:solidFill>
                </w14:textFill>
              </w:rPr>
              <w:t>0.</w:t>
            </w:r>
            <w:r>
              <w:rPr>
                <w:rFonts w:hint="eastAsia" w:ascii="Times New Roman" w:hAnsi="Times New Roman" w:eastAsia="楷体" w:cs="Times New Roman"/>
                <w:color w:val="000000" w:themeColor="text1"/>
                <w:sz w:val="24"/>
                <w:szCs w:val="24"/>
                <w:highlight w:val="none"/>
                <w:lang w:val="en-US" w:eastAsia="zh-CN"/>
                <w14:textFill>
                  <w14:solidFill>
                    <w14:schemeClr w14:val="tx1"/>
                  </w14:solidFill>
                </w14:textFill>
              </w:rPr>
              <w:t>8</w:t>
            </w:r>
          </w:p>
        </w:tc>
        <w:tc>
          <w:tcPr>
            <w:tcW w:w="1417" w:type="pct"/>
            <w:vMerge w:val="continue"/>
            <w:tcBorders>
              <w:left w:val="single" w:color="auto" w:sz="4" w:space="0"/>
            </w:tcBorders>
            <w:shd w:val="clear" w:color="auto" w:fill="auto"/>
            <w:vAlign w:val="center"/>
          </w:tcPr>
          <w:p w14:paraId="03F24921">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15" w:type="pct"/>
            <w:tcBorders>
              <w:left w:val="single" w:color="auto" w:sz="4" w:space="0"/>
            </w:tcBorders>
            <w:vAlign w:val="center"/>
          </w:tcPr>
          <w:p w14:paraId="54288492">
            <w:pPr>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sz w:val="24"/>
                <w:szCs w:val="24"/>
              </w:rPr>
            </w:pPr>
            <w:r>
              <w:rPr>
                <w:rFonts w:hint="eastAsia"/>
                <w:sz w:val="24"/>
                <w:szCs w:val="24"/>
                <w:lang w:val="en-US" w:eastAsia="zh-CN"/>
              </w:rPr>
              <w:t>0</w:t>
            </w:r>
          </w:p>
        </w:tc>
      </w:tr>
      <w:tr w14:paraId="5E65FC6C">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1" w:type="pct"/>
            <w:vMerge w:val="continue"/>
            <w:tcBorders>
              <w:right w:val="single" w:color="000000" w:sz="4" w:space="0"/>
            </w:tcBorders>
            <w:vAlign w:val="center"/>
          </w:tcPr>
          <w:p w14:paraId="13042963">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940" w:type="pct"/>
            <w:gridSpan w:val="2"/>
            <w:vMerge w:val="continue"/>
            <w:tcBorders>
              <w:left w:val="single" w:color="000000" w:sz="4" w:space="0"/>
              <w:bottom w:val="single" w:color="000000" w:sz="4" w:space="0"/>
              <w:right w:val="single" w:color="000000" w:sz="4" w:space="0"/>
            </w:tcBorders>
            <w:vAlign w:val="center"/>
          </w:tcPr>
          <w:p w14:paraId="5C140F75">
            <w:pPr>
              <w:pStyle w:val="101"/>
              <w:keepNext w:val="0"/>
              <w:keepLines w:val="0"/>
              <w:pageBreakBefore w:val="0"/>
              <w:widowControl/>
              <w:kinsoku/>
              <w:wordWrap/>
              <w:overflowPunct/>
              <w:topLinePunct w:val="0"/>
              <w:autoSpaceDE/>
              <w:autoSpaceDN/>
              <w:bidi w:val="0"/>
              <w:adjustRightInd w:val="0"/>
              <w:snapToGrid w:val="0"/>
              <w:spacing w:line="300" w:lineRule="exact"/>
              <w:ind w:firstLine="0" w:firstLineChars="0"/>
              <w:textAlignment w:val="auto"/>
              <w:rPr>
                <w:sz w:val="24"/>
                <w:szCs w:val="24"/>
              </w:rPr>
            </w:pPr>
          </w:p>
        </w:tc>
        <w:tc>
          <w:tcPr>
            <w:tcW w:w="852" w:type="pct"/>
            <w:tcBorders>
              <w:left w:val="single" w:color="000000" w:sz="4" w:space="0"/>
            </w:tcBorders>
            <w:vAlign w:val="center"/>
          </w:tcPr>
          <w:p w14:paraId="24E41140">
            <w:pPr>
              <w:pStyle w:val="101"/>
              <w:keepNext w:val="0"/>
              <w:keepLines w:val="0"/>
              <w:pageBreakBefore w:val="0"/>
              <w:widowControl/>
              <w:kinsoku/>
              <w:wordWrap/>
              <w:overflowPunct/>
              <w:topLinePunct w:val="0"/>
              <w:autoSpaceDE/>
              <w:autoSpaceDN/>
              <w:bidi w:val="0"/>
              <w:adjustRightInd w:val="0"/>
              <w:snapToGrid w:val="0"/>
              <w:spacing w:line="300" w:lineRule="exact"/>
              <w:ind w:firstLine="0" w:firstLineChars="0"/>
              <w:textAlignment w:val="auto"/>
              <w:rPr>
                <w:sz w:val="24"/>
                <w:szCs w:val="24"/>
              </w:rPr>
            </w:pPr>
            <w:r>
              <w:rPr>
                <w:rFonts w:hint="default" w:ascii="Times New Roman" w:hAnsi="Times New Roman" w:eastAsia="楷体" w:cs="Times New Roman"/>
                <w:color w:val="000000" w:themeColor="text1"/>
                <w:sz w:val="24"/>
                <w:szCs w:val="24"/>
                <w:highlight w:val="none"/>
                <w14:textFill>
                  <w14:solidFill>
                    <w14:schemeClr w14:val="tx1"/>
                  </w14:solidFill>
                </w14:textFill>
              </w:rPr>
              <w:t>废</w:t>
            </w:r>
            <w:r>
              <w:rPr>
                <w:rFonts w:hint="eastAsia" w:ascii="Times New Roman" w:hAnsi="Times New Roman" w:eastAsia="楷体" w:cs="Times New Roman"/>
                <w:color w:val="000000" w:themeColor="text1"/>
                <w:sz w:val="24"/>
                <w:szCs w:val="24"/>
                <w:highlight w:val="none"/>
                <w:lang w:val="en-US" w:eastAsia="zh-CN"/>
                <w14:textFill>
                  <w14:solidFill>
                    <w14:schemeClr w14:val="tx1"/>
                  </w14:solidFill>
                </w14:textFill>
              </w:rPr>
              <w:t>润滑油桶</w:t>
            </w:r>
          </w:p>
        </w:tc>
        <w:tc>
          <w:tcPr>
            <w:tcW w:w="852" w:type="pct"/>
            <w:tcBorders>
              <w:right w:val="single" w:color="auto" w:sz="4" w:space="0"/>
            </w:tcBorders>
            <w:shd w:val="clear" w:color="auto" w:fill="auto"/>
            <w:vAlign w:val="center"/>
          </w:tcPr>
          <w:p w14:paraId="5D430233">
            <w:pPr>
              <w:pStyle w:val="101"/>
              <w:keepNext w:val="0"/>
              <w:keepLines w:val="0"/>
              <w:pageBreakBefore w:val="0"/>
              <w:widowControl/>
              <w:kinsoku/>
              <w:wordWrap/>
              <w:overflowPunct/>
              <w:topLinePunct w:val="0"/>
              <w:autoSpaceDE/>
              <w:autoSpaceDN/>
              <w:bidi w:val="0"/>
              <w:adjustRightInd w:val="0"/>
              <w:snapToGrid w:val="0"/>
              <w:spacing w:line="300" w:lineRule="exact"/>
              <w:ind w:firstLine="0" w:firstLineChars="0"/>
              <w:textAlignment w:val="auto"/>
              <w:rPr>
                <w:sz w:val="24"/>
                <w:szCs w:val="24"/>
              </w:rPr>
            </w:pPr>
            <w:r>
              <w:rPr>
                <w:rFonts w:hint="default" w:ascii="Times New Roman" w:hAnsi="Times New Roman" w:eastAsia="楷体" w:cs="Times New Roman"/>
                <w:color w:val="000000" w:themeColor="text1"/>
                <w:sz w:val="24"/>
                <w:szCs w:val="24"/>
                <w:highlight w:val="none"/>
                <w14:textFill>
                  <w14:solidFill>
                    <w14:schemeClr w14:val="tx1"/>
                  </w14:solidFill>
                </w14:textFill>
              </w:rPr>
              <w:t>0.</w:t>
            </w:r>
            <w:r>
              <w:rPr>
                <w:rFonts w:hint="eastAsia" w:ascii="Times New Roman" w:hAnsi="Times New Roman" w:eastAsia="楷体" w:cs="Times New Roman"/>
                <w:color w:val="000000" w:themeColor="text1"/>
                <w:sz w:val="24"/>
                <w:szCs w:val="24"/>
                <w:highlight w:val="none"/>
                <w:lang w:val="en-US" w:eastAsia="zh-CN"/>
                <w14:textFill>
                  <w14:solidFill>
                    <w14:schemeClr w14:val="tx1"/>
                  </w14:solidFill>
                </w14:textFill>
              </w:rPr>
              <w:t>5</w:t>
            </w:r>
          </w:p>
        </w:tc>
        <w:tc>
          <w:tcPr>
            <w:tcW w:w="1417" w:type="pct"/>
            <w:vMerge w:val="continue"/>
            <w:tcBorders>
              <w:left w:val="single" w:color="auto" w:sz="4" w:space="0"/>
            </w:tcBorders>
            <w:shd w:val="clear" w:color="auto" w:fill="auto"/>
            <w:vAlign w:val="center"/>
          </w:tcPr>
          <w:p w14:paraId="4B2870EB">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15" w:type="pct"/>
            <w:tcBorders>
              <w:left w:val="single" w:color="auto" w:sz="4" w:space="0"/>
            </w:tcBorders>
            <w:vAlign w:val="center"/>
          </w:tcPr>
          <w:p w14:paraId="429774E7">
            <w:pPr>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sz w:val="24"/>
                <w:szCs w:val="24"/>
              </w:rPr>
            </w:pPr>
            <w:r>
              <w:rPr>
                <w:rFonts w:hint="eastAsia"/>
                <w:sz w:val="24"/>
                <w:szCs w:val="24"/>
                <w:lang w:val="en-US" w:eastAsia="zh-CN"/>
              </w:rPr>
              <w:t>0</w:t>
            </w:r>
          </w:p>
        </w:tc>
      </w:tr>
      <w:tr w14:paraId="0CA2BD1F">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1" w:type="pct"/>
            <w:vMerge w:val="continue"/>
            <w:tcBorders>
              <w:right w:val="single" w:color="000000" w:sz="4" w:space="0"/>
            </w:tcBorders>
            <w:vAlign w:val="center"/>
          </w:tcPr>
          <w:p w14:paraId="6D20B76C">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940" w:type="pct"/>
            <w:gridSpan w:val="2"/>
            <w:tcBorders>
              <w:top w:val="single" w:color="000000" w:sz="4" w:space="0"/>
              <w:left w:val="single" w:color="000000" w:sz="4" w:space="0"/>
              <w:bottom w:val="single" w:color="000000" w:sz="4" w:space="0"/>
              <w:right w:val="single" w:color="000000" w:sz="4" w:space="0"/>
            </w:tcBorders>
            <w:vAlign w:val="center"/>
          </w:tcPr>
          <w:p w14:paraId="33E6A16E">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eastAsia="楷体"/>
                <w:sz w:val="24"/>
                <w:szCs w:val="24"/>
                <w:lang w:eastAsia="zh-CN"/>
              </w:rPr>
            </w:pPr>
            <w:r>
              <w:rPr>
                <w:rFonts w:hint="eastAsia"/>
                <w:sz w:val="24"/>
                <w:szCs w:val="24"/>
                <w:lang w:val="en-US" w:eastAsia="zh-CN"/>
              </w:rPr>
              <w:t>职工生活</w:t>
            </w:r>
          </w:p>
        </w:tc>
        <w:tc>
          <w:tcPr>
            <w:tcW w:w="852" w:type="pct"/>
            <w:tcBorders>
              <w:left w:val="single" w:color="000000" w:sz="4" w:space="0"/>
            </w:tcBorders>
            <w:vAlign w:val="center"/>
          </w:tcPr>
          <w:p w14:paraId="12DD2C02">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sz w:val="24"/>
                <w:szCs w:val="24"/>
              </w:rPr>
              <w:t>生活垃圾</w:t>
            </w:r>
          </w:p>
        </w:tc>
        <w:tc>
          <w:tcPr>
            <w:tcW w:w="852" w:type="pct"/>
            <w:tcBorders>
              <w:right w:val="single" w:color="auto" w:sz="4" w:space="0"/>
            </w:tcBorders>
            <w:shd w:val="clear" w:color="auto" w:fill="auto"/>
            <w:vAlign w:val="center"/>
          </w:tcPr>
          <w:p w14:paraId="2312E1F7">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7.5</w:t>
            </w:r>
          </w:p>
        </w:tc>
        <w:tc>
          <w:tcPr>
            <w:tcW w:w="1417" w:type="pct"/>
            <w:tcBorders>
              <w:left w:val="single" w:color="auto" w:sz="4" w:space="0"/>
            </w:tcBorders>
            <w:shd w:val="clear" w:color="auto" w:fill="auto"/>
            <w:vAlign w:val="center"/>
          </w:tcPr>
          <w:p w14:paraId="36D8A23C">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sz w:val="24"/>
                <w:szCs w:val="24"/>
                <w:lang w:val="en-US" w:eastAsia="zh-CN"/>
              </w:rPr>
              <w:t>集中收集后交由环卫部门处理</w:t>
            </w:r>
          </w:p>
        </w:tc>
        <w:tc>
          <w:tcPr>
            <w:tcW w:w="515" w:type="pct"/>
            <w:tcBorders>
              <w:left w:val="single" w:color="auto" w:sz="4" w:space="0"/>
            </w:tcBorders>
            <w:vAlign w:val="center"/>
          </w:tcPr>
          <w:p w14:paraId="1162AB60">
            <w:pPr>
              <w:keepNext w:val="0"/>
              <w:keepLines w:val="0"/>
              <w:pageBreakBefore w:val="0"/>
              <w:kinsoku/>
              <w:wordWrap/>
              <w:overflowPunct/>
              <w:topLinePunct w:val="0"/>
              <w:autoSpaceDE/>
              <w:autoSpaceDN/>
              <w:bidi w:val="0"/>
              <w:adjustRightInd w:val="0"/>
              <w:snapToGrid w:val="0"/>
              <w:spacing w:line="300" w:lineRule="exact"/>
              <w:ind w:firstLine="0" w:firstLineChars="0"/>
              <w:jc w:val="center"/>
              <w:textAlignment w:val="auto"/>
              <w:rPr>
                <w:sz w:val="24"/>
                <w:szCs w:val="24"/>
              </w:rPr>
            </w:pPr>
            <w:r>
              <w:rPr>
                <w:rFonts w:hint="eastAsia"/>
                <w:sz w:val="24"/>
                <w:szCs w:val="24"/>
                <w:lang w:val="en-US" w:eastAsia="zh-CN"/>
              </w:rPr>
              <w:t>0</w:t>
            </w:r>
          </w:p>
        </w:tc>
      </w:tr>
      <w:tr w14:paraId="7AF6DFAF">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1" w:type="pct"/>
            <w:tcBorders>
              <w:right w:val="single" w:color="000000" w:sz="4" w:space="0"/>
            </w:tcBorders>
            <w:vAlign w:val="center"/>
          </w:tcPr>
          <w:p w14:paraId="2A6027A4">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eastAsia="楷体"/>
                <w:sz w:val="24"/>
                <w:szCs w:val="24"/>
                <w:lang w:val="en-US" w:eastAsia="zh-CN"/>
              </w:rPr>
            </w:pPr>
            <w:r>
              <w:rPr>
                <w:rFonts w:hint="eastAsia"/>
                <w:sz w:val="24"/>
                <w:szCs w:val="24"/>
                <w:lang w:val="en-US" w:eastAsia="zh-CN"/>
              </w:rPr>
              <w:t>噪声</w:t>
            </w:r>
          </w:p>
        </w:tc>
        <w:tc>
          <w:tcPr>
            <w:tcW w:w="1792" w:type="pct"/>
            <w:gridSpan w:val="3"/>
            <w:tcBorders>
              <w:top w:val="single" w:color="000000" w:sz="4" w:space="0"/>
              <w:left w:val="single" w:color="000000" w:sz="4" w:space="0"/>
            </w:tcBorders>
            <w:vAlign w:val="center"/>
          </w:tcPr>
          <w:p w14:paraId="5265EA9D">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ascii="Times New Roman" w:hAnsi="Times New Roman" w:cs="Times New Roman"/>
                <w:color w:val="auto"/>
                <w:sz w:val="24"/>
                <w:szCs w:val="24"/>
                <w:highlight w:val="none"/>
              </w:rPr>
              <w:t>设备运行噪声，声级在</w:t>
            </w:r>
            <w:r>
              <w:rPr>
                <w:rFonts w:hint="eastAsia" w:ascii="Times New Roman" w:hAnsi="Times New Roman" w:cs="Times New Roman"/>
                <w:color w:val="auto"/>
                <w:sz w:val="24"/>
                <w:szCs w:val="24"/>
                <w:highlight w:val="none"/>
                <w:lang w:val="en-US" w:eastAsia="zh-CN"/>
              </w:rPr>
              <w:t>80</w:t>
            </w:r>
            <w:r>
              <w:rPr>
                <w:rFonts w:hint="default" w:ascii="Times New Roman" w:hAnsi="Times New Roman"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94</w:t>
            </w:r>
            <w:r>
              <w:rPr>
                <w:rFonts w:hint="default" w:ascii="Times New Roman" w:hAnsi="Times New Roman" w:cs="Times New Roman"/>
                <w:color w:val="auto"/>
                <w:sz w:val="24"/>
                <w:szCs w:val="24"/>
                <w:highlight w:val="none"/>
              </w:rPr>
              <w:t>dB（A）之间</w:t>
            </w:r>
          </w:p>
        </w:tc>
        <w:tc>
          <w:tcPr>
            <w:tcW w:w="2785" w:type="pct"/>
            <w:gridSpan w:val="3"/>
            <w:shd w:val="clear" w:color="auto" w:fill="auto"/>
            <w:vAlign w:val="center"/>
          </w:tcPr>
          <w:p w14:paraId="55F89F31">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采取低噪声设备，采用减振、降噪等措施</w:t>
            </w:r>
          </w:p>
        </w:tc>
      </w:tr>
    </w:tbl>
    <w:p w14:paraId="725006C9">
      <w:pPr>
        <w:pStyle w:val="90"/>
        <w:bidi w:val="0"/>
        <w:ind w:left="0" w:leftChars="0" w:firstLine="0" w:firstLineChars="0"/>
      </w:pPr>
      <w:bookmarkStart w:id="44" w:name="_Toc16447"/>
      <w:r>
        <w:rPr>
          <w:rFonts w:hint="eastAsia"/>
        </w:rPr>
        <w:t>污染物总量控制分析</w:t>
      </w:r>
      <w:bookmarkEnd w:id="44"/>
    </w:p>
    <w:p w14:paraId="19854708">
      <w:pPr>
        <w:pStyle w:val="47"/>
        <w:ind w:firstLine="482"/>
        <w:rPr>
          <w:rFonts w:hint="eastAsia"/>
        </w:rPr>
      </w:pPr>
      <w:r>
        <w:rPr>
          <w:rFonts w:hint="eastAsia"/>
        </w:rPr>
        <w:t>根据国家、地方环境质量改善目标及相关行业污染控制要求，结合现状环境污染特征和突出环境问题，确定纳入排放总量管控的主要污染物。</w:t>
      </w:r>
      <w:r>
        <w:rPr>
          <w:rFonts w:hint="eastAsia"/>
          <w:lang w:val="en-US" w:eastAsia="zh-CN"/>
        </w:rPr>
        <w:t>项目无废水排放，</w:t>
      </w:r>
      <w:r>
        <w:rPr>
          <w:rFonts w:hint="eastAsia"/>
        </w:rPr>
        <w:t>废气污染物为</w:t>
      </w:r>
      <w:r>
        <w:rPr>
          <w:rFonts w:hint="eastAsia"/>
          <w:lang w:val="en-US" w:eastAsia="zh-CN"/>
        </w:rPr>
        <w:t>颗粒物、</w:t>
      </w:r>
      <w:r>
        <w:rPr>
          <w:rFonts w:hint="eastAsia"/>
        </w:rPr>
        <w:t>挥发性有机物，</w:t>
      </w:r>
      <w:r>
        <w:rPr>
          <w:rFonts w:hint="eastAsia"/>
          <w:lang w:val="en-US" w:eastAsia="zh-CN"/>
        </w:rPr>
        <w:t>颗粒物</w:t>
      </w:r>
      <w:r>
        <w:rPr>
          <w:rFonts w:hint="eastAsia"/>
        </w:rPr>
        <w:t>排放量为</w:t>
      </w:r>
      <w:r>
        <w:rPr>
          <w:rFonts w:hint="eastAsia"/>
          <w:lang w:val="en-US" w:eastAsia="zh-CN"/>
        </w:rPr>
        <w:t>3.393</w:t>
      </w:r>
      <w:r>
        <w:rPr>
          <w:rFonts w:hint="eastAsia"/>
        </w:rPr>
        <w:t>t/a</w:t>
      </w:r>
      <w:r>
        <w:rPr>
          <w:rFonts w:hint="eastAsia"/>
          <w:lang w:eastAsia="zh-CN"/>
        </w:rPr>
        <w:t>，</w:t>
      </w:r>
      <w:r>
        <w:rPr>
          <w:rFonts w:hint="eastAsia"/>
        </w:rPr>
        <w:t>挥发性有机物（以非甲烷总烃计）排放量为</w:t>
      </w:r>
      <w:r>
        <w:rPr>
          <w:rFonts w:hint="eastAsia"/>
          <w:lang w:val="en-US" w:eastAsia="zh-CN"/>
        </w:rPr>
        <w:t>5.693</w:t>
      </w:r>
      <w:r>
        <w:rPr>
          <w:rFonts w:hint="eastAsia"/>
        </w:rPr>
        <w:t>t/a，因此环评建议设定项目的总量控制指标为</w:t>
      </w:r>
      <w:r>
        <w:rPr>
          <w:rFonts w:hint="eastAsia"/>
          <w:lang w:val="en-US" w:eastAsia="zh-CN"/>
        </w:rPr>
        <w:t>颗粒物3.393</w:t>
      </w:r>
      <w:r>
        <w:rPr>
          <w:rFonts w:hint="eastAsia"/>
        </w:rPr>
        <w:t>t/a</w:t>
      </w:r>
      <w:r>
        <w:rPr>
          <w:rFonts w:hint="eastAsia"/>
          <w:lang w:eastAsia="zh-CN"/>
        </w:rPr>
        <w:t>、</w:t>
      </w:r>
      <w:r>
        <w:rPr>
          <w:rFonts w:hint="eastAsia"/>
        </w:rPr>
        <w:t>非甲烷总烃：</w:t>
      </w:r>
      <w:r>
        <w:rPr>
          <w:rFonts w:hint="eastAsia"/>
          <w:lang w:val="en-US" w:eastAsia="zh-CN"/>
        </w:rPr>
        <w:t>5.693</w:t>
      </w:r>
      <w:r>
        <w:rPr>
          <w:rFonts w:hint="eastAsia"/>
        </w:rPr>
        <w:t>t/a。</w:t>
      </w:r>
    </w:p>
    <w:p w14:paraId="0D4A3119">
      <w:pPr>
        <w:pStyle w:val="47"/>
        <w:ind w:firstLine="482"/>
        <w:rPr>
          <w:rFonts w:hint="eastAsia"/>
        </w:rPr>
      </w:pPr>
      <w:r>
        <w:rPr>
          <w:rFonts w:hint="eastAsia"/>
        </w:rPr>
        <w:t>项目完成后全厂总量控制指标为COD：0t/a、氨氮：0t/a、总磷：0t/a、总氮：0t/a、SO</w:t>
      </w:r>
      <w:r>
        <w:rPr>
          <w:rFonts w:hint="eastAsia"/>
          <w:vertAlign w:val="subscript"/>
        </w:rPr>
        <w:t>2</w:t>
      </w:r>
      <w:r>
        <w:rPr>
          <w:rFonts w:hint="eastAsia"/>
        </w:rPr>
        <w:t>：0t/a、NO</w:t>
      </w:r>
      <w:r>
        <w:rPr>
          <w:rFonts w:hint="eastAsia"/>
          <w:vertAlign w:val="subscript"/>
        </w:rPr>
        <w:t>X</w:t>
      </w:r>
      <w:r>
        <w:rPr>
          <w:rFonts w:hint="eastAsia"/>
        </w:rPr>
        <w:t>：0t/a、颗粒物：</w:t>
      </w:r>
      <w:r>
        <w:rPr>
          <w:rFonts w:hint="eastAsia"/>
          <w:lang w:val="en-US" w:eastAsia="zh-CN"/>
        </w:rPr>
        <w:t>3.393</w:t>
      </w:r>
      <w:r>
        <w:rPr>
          <w:rFonts w:hint="eastAsia"/>
        </w:rPr>
        <w:t>t/a、非甲烷总烃：</w:t>
      </w:r>
      <w:r>
        <w:rPr>
          <w:rFonts w:hint="eastAsia"/>
          <w:lang w:val="en-US" w:eastAsia="zh-CN"/>
        </w:rPr>
        <w:t>5.693</w:t>
      </w:r>
      <w:r>
        <w:rPr>
          <w:rFonts w:hint="eastAsia"/>
        </w:rPr>
        <w:t>t/a。</w:t>
      </w:r>
    </w:p>
    <w:p w14:paraId="63943E33">
      <w:pPr>
        <w:pStyle w:val="90"/>
        <w:bidi w:val="0"/>
        <w:ind w:left="0" w:leftChars="0" w:firstLine="0" w:firstLineChars="0"/>
      </w:pPr>
      <w:bookmarkStart w:id="45" w:name="_Toc7875"/>
      <w:r>
        <w:rPr>
          <w:rFonts w:hint="eastAsia"/>
        </w:rPr>
        <w:t>清洁生产分析</w:t>
      </w:r>
      <w:bookmarkEnd w:id="45"/>
    </w:p>
    <w:p w14:paraId="0D8A4CD0">
      <w:pPr>
        <w:pStyle w:val="47"/>
        <w:bidi w:val="0"/>
        <w:rPr>
          <w:rFonts w:hint="eastAsia"/>
        </w:rPr>
      </w:pPr>
      <w:r>
        <w:rPr>
          <w:rFonts w:hint="eastAsia"/>
        </w:rPr>
        <w:t>清洁生产是指将整体预防的环境战略持续应用于生产过程、产品和服务中，以增加生态效率并减少对人类和环境的风险。清洁生产的目的就是通过采用先进的生产技术、工艺设备以及清洁原料，在生产过程中实现节省能源，降低原材料消耗，从源头控制污染物产生量并降低末端污染控制投资和运行费用，实现污染物排放的全过程控制，有效地减少污染物排放量。</w:t>
      </w:r>
    </w:p>
    <w:p w14:paraId="639A09BE">
      <w:pPr>
        <w:pStyle w:val="47"/>
        <w:bidi w:val="0"/>
        <w:rPr>
          <w:rFonts w:hint="eastAsia"/>
        </w:rPr>
      </w:pPr>
      <w:r>
        <w:rPr>
          <w:rFonts w:hint="eastAsia"/>
        </w:rPr>
        <w:t>根据项目的生产特点，清洁生产分析从原料和能源，工艺技术，设备，过程控制、生产管理、废物控制措施几方面，分析污染产生的原因，寻找节能降耗，减污增效的清洁生产机会，并提出清洁生产的替代方案。</w:t>
      </w:r>
    </w:p>
    <w:p w14:paraId="7563B8FA">
      <w:pPr>
        <w:pStyle w:val="47"/>
        <w:numPr>
          <w:ilvl w:val="0"/>
          <w:numId w:val="10"/>
        </w:numPr>
        <w:bidi w:val="0"/>
        <w:rPr>
          <w:rFonts w:hint="eastAsia"/>
        </w:rPr>
      </w:pPr>
      <w:r>
        <w:rPr>
          <w:rFonts w:hint="eastAsia"/>
        </w:rPr>
        <w:t>生产工艺与设备先进性分析</w:t>
      </w:r>
    </w:p>
    <w:p w14:paraId="390970A7">
      <w:pPr>
        <w:pStyle w:val="47"/>
        <w:widowControl w:val="0"/>
        <w:numPr>
          <w:ilvl w:val="0"/>
          <w:numId w:val="0"/>
        </w:numPr>
        <w:bidi w:val="0"/>
        <w:adjustRightInd w:val="0"/>
        <w:snapToGrid w:val="0"/>
        <w:spacing w:line="500" w:lineRule="exact"/>
        <w:ind w:firstLine="560" w:firstLineChars="200"/>
        <w:jc w:val="both"/>
        <w:rPr>
          <w:rFonts w:hint="eastAsia"/>
        </w:rPr>
      </w:pPr>
      <w:r>
        <w:rPr>
          <w:rFonts w:hint="eastAsia"/>
        </w:rPr>
        <w:t>项目在工艺和设备选择时充分考虑了以下因素：</w:t>
      </w:r>
    </w:p>
    <w:p w14:paraId="38FB8493">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ascii="楷体" w:hAnsi="楷体" w:eastAsia="楷体" w:cs="楷体"/>
        </w:rPr>
        <w:t>①</w:t>
      </w:r>
      <w:r>
        <w:rPr>
          <w:rFonts w:hint="eastAsia"/>
        </w:rPr>
        <w:t>生产设备依据设计的生产规模和工艺要求进行选择，采购上尽可能选用国内外先进的生产设备。在设备的选取上以密闭装置为主，尽可能的减少异味挥发及损耗。</w:t>
      </w:r>
    </w:p>
    <w:p w14:paraId="54B76857">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ascii="楷体" w:hAnsi="楷体" w:eastAsia="楷体" w:cs="楷体"/>
        </w:rPr>
        <w:t>②</w:t>
      </w:r>
      <w:r>
        <w:rPr>
          <w:rFonts w:hint="eastAsia"/>
        </w:rPr>
        <w:t>在过程控制上减少人工操作中间环节，基本为自动化操作，生产连续性好，性能可靠，操作方便。</w:t>
      </w:r>
    </w:p>
    <w:p w14:paraId="7CDD4896">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ascii="楷体" w:hAnsi="楷体" w:eastAsia="楷体" w:cs="楷体"/>
        </w:rPr>
        <w:t>③</w:t>
      </w:r>
      <w:r>
        <w:rPr>
          <w:rFonts w:hint="eastAsia"/>
        </w:rPr>
        <w:t>工艺路线严格按照规范要求设计。本项目利用再生塑料颗粒为原料，采用熔融、挤出成型工艺生产</w:t>
      </w:r>
      <w:r>
        <w:rPr>
          <w:rFonts w:hint="eastAsia"/>
          <w:lang w:val="en-US" w:eastAsia="zh-CN"/>
        </w:rPr>
        <w:t>电缆颗粒</w:t>
      </w:r>
      <w:r>
        <w:rPr>
          <w:rFonts w:hint="eastAsia"/>
        </w:rPr>
        <w:t>，工艺路线设计规范，同时对冷却水循环使用，减少了生产过程中的污染物排放。</w:t>
      </w:r>
    </w:p>
    <w:p w14:paraId="36CBDB74">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ascii="楷体" w:hAnsi="楷体" w:eastAsia="楷体" w:cs="楷体"/>
        </w:rPr>
        <w:t>④</w:t>
      </w:r>
      <w:r>
        <w:rPr>
          <w:rFonts w:hint="eastAsia"/>
        </w:rPr>
        <w:t>各通用设备及其驱动电机的控制方案选用合理。各生产环节、工序、设备之间做到生产能力的平衡，减少了设备的无负荷或低负荷运行，杜绝“大马拉小车”现象，节约能耗。合理安排生产各工段的作业班次。项目采用高效率的泵类设备，节能型通用风机产品，采用高效节能型电动机、电力变压器，尽可能采用变频调控技术和高效节能电动机。</w:t>
      </w:r>
    </w:p>
    <w:p w14:paraId="2A226333">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ascii="楷体" w:hAnsi="楷体" w:eastAsia="楷体" w:cs="楷体"/>
        </w:rPr>
        <w:t>⑤</w:t>
      </w:r>
      <w:r>
        <w:rPr>
          <w:rFonts w:hint="eastAsia"/>
        </w:rPr>
        <w:t>设备的各种计量、检测控制仪表其适用范围和精度应符合生产要求，达到国家规定的计量标准。</w:t>
      </w:r>
    </w:p>
    <w:p w14:paraId="59CA6EFE">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rPr>
      </w:pPr>
      <w:r>
        <w:rPr>
          <w:rFonts w:hint="eastAsia"/>
        </w:rPr>
        <w:t>因此，项目整个生产工艺与装备水平符合清洁生产要求。</w:t>
      </w:r>
    </w:p>
    <w:p w14:paraId="28A158E7">
      <w:pPr>
        <w:pStyle w:val="47"/>
        <w:keepNext w:val="0"/>
        <w:keepLines w:val="0"/>
        <w:pageBreakBefore w:val="0"/>
        <w:widowControl w:val="0"/>
        <w:numPr>
          <w:ilvl w:val="0"/>
          <w:numId w:val="10"/>
        </w:numPr>
        <w:kinsoku/>
        <w:wordWrap/>
        <w:overflowPunct/>
        <w:topLinePunct w:val="0"/>
        <w:autoSpaceDE/>
        <w:autoSpaceDN/>
        <w:bidi w:val="0"/>
        <w:adjustRightInd w:val="0"/>
        <w:snapToGrid w:val="0"/>
        <w:spacing w:line="500" w:lineRule="exact"/>
        <w:ind w:left="0" w:leftChars="0" w:firstLine="560" w:firstLineChars="200"/>
        <w:jc w:val="both"/>
        <w:textAlignment w:val="auto"/>
        <w:rPr>
          <w:rFonts w:hint="eastAsia"/>
          <w:lang w:eastAsia="zh-CN"/>
        </w:rPr>
      </w:pPr>
      <w:r>
        <w:rPr>
          <w:rFonts w:hint="eastAsia"/>
          <w:lang w:eastAsia="zh-CN"/>
        </w:rPr>
        <w:t>资源能源利用指标</w:t>
      </w:r>
    </w:p>
    <w:p w14:paraId="05AF45AF">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lang w:eastAsia="zh-CN"/>
        </w:rPr>
      </w:pPr>
      <w:r>
        <w:rPr>
          <w:rFonts w:hint="eastAsia" w:ascii="楷体" w:hAnsi="楷体" w:eastAsia="楷体" w:cs="楷体"/>
          <w:lang w:eastAsia="zh-CN"/>
        </w:rPr>
        <w:t>②</w:t>
      </w:r>
      <w:r>
        <w:rPr>
          <w:rFonts w:hint="eastAsia"/>
          <w:lang w:eastAsia="zh-CN"/>
        </w:rPr>
        <w:t>项目使用的原料—再生塑料颗粒属于废旧资源回收再利用，制造</w:t>
      </w:r>
      <w:r>
        <w:rPr>
          <w:rFonts w:hint="eastAsia"/>
          <w:lang w:val="en-US" w:eastAsia="zh-CN"/>
        </w:rPr>
        <w:t>电缆颗粒</w:t>
      </w:r>
      <w:r>
        <w:rPr>
          <w:rFonts w:hint="eastAsia"/>
          <w:lang w:eastAsia="zh-CN"/>
        </w:rPr>
        <w:t>，既可缓解塑料原料供需矛盾，提高了资源利用率，推动了循环经济的发展。另外，塑料回用可缓解污染问题，减轻了白色污染，减轻了对环境的影响。</w:t>
      </w:r>
    </w:p>
    <w:p w14:paraId="59A7CC65">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lang w:eastAsia="zh-CN"/>
        </w:rPr>
      </w:pPr>
      <w:r>
        <w:rPr>
          <w:rFonts w:hint="eastAsia" w:ascii="楷体" w:hAnsi="楷体" w:eastAsia="楷体" w:cs="楷体"/>
          <w:lang w:eastAsia="zh-CN"/>
        </w:rPr>
        <w:t>②</w:t>
      </w:r>
      <w:r>
        <w:rPr>
          <w:rFonts w:hint="eastAsia"/>
          <w:lang w:eastAsia="zh-CN"/>
        </w:rPr>
        <w:t>项目在总图布置上各建筑按物料流向布置，减少了管网长度，缩短了供物及供能距离。</w:t>
      </w:r>
    </w:p>
    <w:p w14:paraId="373F3207">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lang w:eastAsia="zh-CN"/>
        </w:rPr>
      </w:pPr>
      <w:r>
        <w:rPr>
          <w:rFonts w:hint="eastAsia" w:ascii="楷体" w:hAnsi="楷体" w:eastAsia="楷体" w:cs="楷体"/>
          <w:lang w:eastAsia="zh-CN"/>
        </w:rPr>
        <w:t>③</w:t>
      </w:r>
      <w:r>
        <w:rPr>
          <w:rFonts w:hint="eastAsia"/>
          <w:lang w:eastAsia="zh-CN"/>
        </w:rPr>
        <w:t>项目对管线、法兰、阀门做好了防腐措施，加强储存品的储存、装卸、运输等全过程的管理工作，减少“跑、冒、滴、漏”，从而减少了物料的浪费。</w:t>
      </w:r>
    </w:p>
    <w:p w14:paraId="4FA20722">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lang w:eastAsia="zh-CN"/>
        </w:rPr>
      </w:pPr>
      <w:r>
        <w:rPr>
          <w:rFonts w:hint="eastAsia" w:ascii="楷体" w:hAnsi="楷体" w:eastAsia="楷体" w:cs="楷体"/>
          <w:lang w:eastAsia="zh-CN"/>
        </w:rPr>
        <w:t>④</w:t>
      </w:r>
      <w:r>
        <w:rPr>
          <w:rFonts w:hint="eastAsia"/>
          <w:lang w:eastAsia="zh-CN"/>
        </w:rPr>
        <w:t>项目使用的能源主要为电，在照明上选用节能型灯具，装置内尽量采用高效节能机泵，空冷风机在考虑节能与效益的情况小尽量采用变频。</w:t>
      </w:r>
    </w:p>
    <w:p w14:paraId="573939DA">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lang w:eastAsia="zh-CN"/>
        </w:rPr>
      </w:pPr>
      <w:r>
        <w:rPr>
          <w:rFonts w:hint="eastAsia"/>
          <w:lang w:eastAsia="zh-CN"/>
        </w:rPr>
        <w:t>因此，项目符合清洁生产要求。</w:t>
      </w:r>
    </w:p>
    <w:p w14:paraId="790D0F1C">
      <w:pPr>
        <w:pStyle w:val="47"/>
        <w:keepNext w:val="0"/>
        <w:keepLines w:val="0"/>
        <w:pageBreakBefore w:val="0"/>
        <w:widowControl w:val="0"/>
        <w:numPr>
          <w:ilvl w:val="0"/>
          <w:numId w:val="10"/>
        </w:numPr>
        <w:kinsoku/>
        <w:wordWrap/>
        <w:overflowPunct/>
        <w:topLinePunct w:val="0"/>
        <w:autoSpaceDE/>
        <w:autoSpaceDN/>
        <w:bidi w:val="0"/>
        <w:adjustRightInd w:val="0"/>
        <w:snapToGrid w:val="0"/>
        <w:spacing w:line="500" w:lineRule="exact"/>
        <w:ind w:left="0" w:leftChars="0" w:firstLine="560" w:firstLineChars="200"/>
        <w:jc w:val="both"/>
        <w:textAlignment w:val="auto"/>
        <w:rPr>
          <w:rFonts w:hint="eastAsia"/>
          <w:lang w:eastAsia="zh-CN"/>
        </w:rPr>
      </w:pPr>
      <w:r>
        <w:rPr>
          <w:rFonts w:hint="eastAsia"/>
          <w:lang w:eastAsia="zh-CN"/>
        </w:rPr>
        <w:t>污染物产生指标分析</w:t>
      </w:r>
    </w:p>
    <w:p w14:paraId="0F4D6D41">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lang w:eastAsia="zh-CN"/>
        </w:rPr>
      </w:pPr>
      <w:r>
        <w:rPr>
          <w:rFonts w:hint="eastAsia"/>
          <w:lang w:eastAsia="zh-CN"/>
        </w:rPr>
        <w:t>项目生产废水全部回用于生产</w:t>
      </w:r>
      <w:r>
        <w:rPr>
          <w:rFonts w:hint="eastAsia"/>
          <w:lang w:val="en-US" w:eastAsia="zh-CN"/>
        </w:rPr>
        <w:t>工序</w:t>
      </w:r>
      <w:r>
        <w:rPr>
          <w:rFonts w:hint="eastAsia"/>
          <w:lang w:eastAsia="zh-CN"/>
        </w:rPr>
        <w:t>，大大减少了废水的产生，生活</w:t>
      </w:r>
      <w:r>
        <w:rPr>
          <w:rFonts w:hint="eastAsia"/>
          <w:lang w:val="en-US" w:eastAsia="zh-CN"/>
        </w:rPr>
        <w:t>污水全部泼洒厂区抑尘</w:t>
      </w:r>
      <w:r>
        <w:rPr>
          <w:rFonts w:hint="eastAsia"/>
          <w:lang w:eastAsia="zh-CN"/>
        </w:rPr>
        <w:t>；废气经过处理后全部达标排放；</w:t>
      </w:r>
      <w:r>
        <w:rPr>
          <w:rFonts w:hint="eastAsia"/>
          <w:lang w:val="en-GB" w:eastAsia="zh-CN"/>
        </w:rPr>
        <w:t>固体废物全部合理处置</w:t>
      </w:r>
      <w:r>
        <w:rPr>
          <w:rFonts w:hint="eastAsia"/>
          <w:lang w:eastAsia="zh-CN"/>
        </w:rPr>
        <w:t>，生活垃圾收集后由环卫部门定期清运处理，危险废物集中收集后暂存</w:t>
      </w:r>
      <w:r>
        <w:rPr>
          <w:rFonts w:hint="eastAsia"/>
          <w:lang w:val="en-US" w:eastAsia="zh-CN"/>
        </w:rPr>
        <w:t>危废间</w:t>
      </w:r>
      <w:r>
        <w:rPr>
          <w:rFonts w:hint="eastAsia"/>
          <w:lang w:eastAsia="zh-CN"/>
        </w:rPr>
        <w:t>，定期委托有资质单位处置，固废得到有效处置。</w:t>
      </w:r>
    </w:p>
    <w:p w14:paraId="45F830B2">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lang w:eastAsia="zh-CN"/>
        </w:rPr>
      </w:pPr>
      <w:r>
        <w:rPr>
          <w:rFonts w:hint="eastAsia"/>
          <w:lang w:eastAsia="zh-CN"/>
        </w:rPr>
        <w:t>因此，项目污染物控制水平满足清洁生产要求。</w:t>
      </w:r>
    </w:p>
    <w:p w14:paraId="2AF1C514">
      <w:pPr>
        <w:pStyle w:val="47"/>
        <w:keepNext w:val="0"/>
        <w:keepLines w:val="0"/>
        <w:pageBreakBefore w:val="0"/>
        <w:widowControl w:val="0"/>
        <w:numPr>
          <w:ilvl w:val="0"/>
          <w:numId w:val="10"/>
        </w:numPr>
        <w:kinsoku/>
        <w:wordWrap/>
        <w:overflowPunct/>
        <w:topLinePunct w:val="0"/>
        <w:autoSpaceDE/>
        <w:autoSpaceDN/>
        <w:bidi w:val="0"/>
        <w:adjustRightInd w:val="0"/>
        <w:snapToGrid w:val="0"/>
        <w:spacing w:line="500" w:lineRule="exact"/>
        <w:ind w:left="0" w:leftChars="0" w:firstLine="560" w:firstLineChars="200"/>
        <w:jc w:val="both"/>
        <w:textAlignment w:val="auto"/>
        <w:rPr>
          <w:rFonts w:hint="eastAsia"/>
          <w:lang w:eastAsia="zh-CN"/>
        </w:rPr>
      </w:pPr>
      <w:r>
        <w:rPr>
          <w:rFonts w:hint="eastAsia"/>
          <w:lang w:eastAsia="zh-CN"/>
        </w:rPr>
        <w:t>废物回收利用指标分析</w:t>
      </w:r>
    </w:p>
    <w:p w14:paraId="76126895">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lang w:eastAsia="zh-CN"/>
        </w:rPr>
      </w:pPr>
      <w:r>
        <w:rPr>
          <w:rFonts w:hint="eastAsia"/>
          <w:lang w:eastAsia="zh-CN"/>
        </w:rPr>
        <w:t>项目对再生塑料加以利用，生产</w:t>
      </w:r>
      <w:r>
        <w:rPr>
          <w:rFonts w:hint="eastAsia"/>
          <w:lang w:val="en-US" w:eastAsia="zh-CN"/>
        </w:rPr>
        <w:t>电缆颗粒</w:t>
      </w:r>
      <w:r>
        <w:rPr>
          <w:rFonts w:hint="eastAsia"/>
          <w:lang w:eastAsia="zh-CN"/>
        </w:rPr>
        <w:t>，既减少了资源浪费，又制造了塑料产品，使资源循环利用的同时减轻了对环境的影响。同时本项目在生产过程中，生产</w:t>
      </w:r>
      <w:r>
        <w:rPr>
          <w:rFonts w:hint="eastAsia"/>
          <w:lang w:val="en-US" w:eastAsia="zh-CN"/>
        </w:rPr>
        <w:t>废水</w:t>
      </w:r>
      <w:r>
        <w:rPr>
          <w:rFonts w:hint="eastAsia"/>
          <w:lang w:eastAsia="zh-CN"/>
        </w:rPr>
        <w:t>全部回收利用，有效节约水资源。总之，项目利用再生塑料颗粒生产</w:t>
      </w:r>
      <w:r>
        <w:rPr>
          <w:rFonts w:hint="eastAsia"/>
          <w:lang w:val="en-US" w:eastAsia="zh-CN"/>
        </w:rPr>
        <w:t>电缆颗粒</w:t>
      </w:r>
      <w:r>
        <w:rPr>
          <w:rFonts w:hint="eastAsia"/>
          <w:lang w:eastAsia="zh-CN"/>
        </w:rPr>
        <w:t>，符合废物回收利用的相关要求。</w:t>
      </w:r>
    </w:p>
    <w:p w14:paraId="3F13A867">
      <w:pPr>
        <w:pStyle w:val="47"/>
        <w:keepNext w:val="0"/>
        <w:keepLines w:val="0"/>
        <w:pageBreakBefore w:val="0"/>
        <w:widowControl w:val="0"/>
        <w:numPr>
          <w:ilvl w:val="0"/>
          <w:numId w:val="10"/>
        </w:numPr>
        <w:kinsoku/>
        <w:wordWrap/>
        <w:overflowPunct/>
        <w:topLinePunct w:val="0"/>
        <w:autoSpaceDE/>
        <w:autoSpaceDN/>
        <w:bidi w:val="0"/>
        <w:adjustRightInd w:val="0"/>
        <w:snapToGrid w:val="0"/>
        <w:spacing w:line="500" w:lineRule="exact"/>
        <w:ind w:left="0" w:leftChars="0" w:firstLine="560" w:firstLineChars="200"/>
        <w:jc w:val="both"/>
        <w:textAlignment w:val="auto"/>
        <w:rPr>
          <w:rFonts w:hint="eastAsia"/>
          <w:lang w:eastAsia="zh-CN"/>
        </w:rPr>
      </w:pPr>
      <w:r>
        <w:rPr>
          <w:rFonts w:hint="eastAsia"/>
          <w:lang w:eastAsia="zh-CN"/>
        </w:rPr>
        <w:t>环境管理相关要求</w:t>
      </w:r>
    </w:p>
    <w:p w14:paraId="3C722179">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lang w:eastAsia="zh-CN"/>
        </w:rPr>
      </w:pPr>
      <w:r>
        <w:rPr>
          <w:rFonts w:hint="eastAsia"/>
          <w:lang w:eastAsia="zh-CN"/>
        </w:rPr>
        <w:t>项目建设在环境管理方面提出以下定性要求：</w:t>
      </w:r>
    </w:p>
    <w:p w14:paraId="7DDBA50F">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lang w:eastAsia="zh-CN"/>
        </w:rPr>
      </w:pPr>
      <w:r>
        <w:rPr>
          <w:rFonts w:hint="eastAsia" w:ascii="楷体" w:hAnsi="楷体" w:eastAsia="楷体" w:cs="楷体"/>
          <w:lang w:eastAsia="zh-CN"/>
        </w:rPr>
        <w:t>①</w:t>
      </w:r>
      <w:r>
        <w:rPr>
          <w:rFonts w:hint="eastAsia"/>
          <w:lang w:eastAsia="zh-CN"/>
        </w:rPr>
        <w:t>有环保规章、管理机构和有效的环境检测手段；</w:t>
      </w:r>
    </w:p>
    <w:p w14:paraId="27D5C180">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lang w:eastAsia="zh-CN"/>
        </w:rPr>
      </w:pPr>
      <w:r>
        <w:rPr>
          <w:rFonts w:hint="eastAsia" w:ascii="楷体" w:hAnsi="楷体" w:eastAsia="楷体" w:cs="楷体"/>
          <w:lang w:eastAsia="zh-CN"/>
        </w:rPr>
        <w:t>②</w:t>
      </w:r>
      <w:r>
        <w:rPr>
          <w:rFonts w:hint="eastAsia"/>
          <w:lang w:eastAsia="zh-CN"/>
        </w:rPr>
        <w:t>对污染物排放实行定期监测和污染物排放口规范管理；</w:t>
      </w:r>
    </w:p>
    <w:p w14:paraId="1AF81F00">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lang w:eastAsia="zh-CN"/>
        </w:rPr>
      </w:pPr>
      <w:r>
        <w:rPr>
          <w:rFonts w:hint="eastAsia" w:ascii="楷体" w:hAnsi="楷体" w:eastAsia="楷体" w:cs="楷体"/>
          <w:lang w:eastAsia="zh-CN"/>
        </w:rPr>
        <w:t>③</w:t>
      </w:r>
      <w:r>
        <w:rPr>
          <w:rFonts w:hint="eastAsia"/>
          <w:lang w:eastAsia="zh-CN"/>
        </w:rPr>
        <w:t>对各生产单位的环保状况实行月份、年度考核；</w:t>
      </w:r>
    </w:p>
    <w:p w14:paraId="1AD21833">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lang w:eastAsia="zh-CN"/>
        </w:rPr>
      </w:pPr>
      <w:r>
        <w:rPr>
          <w:rFonts w:hint="eastAsia" w:ascii="楷体" w:hAnsi="楷体" w:eastAsia="楷体" w:cs="楷体"/>
          <w:lang w:eastAsia="zh-CN"/>
        </w:rPr>
        <w:t>④</w:t>
      </w:r>
      <w:r>
        <w:rPr>
          <w:rFonts w:hint="eastAsia"/>
          <w:lang w:eastAsia="zh-CN"/>
        </w:rPr>
        <w:t>对污染物排放实行总量限制控制和年度考核；</w:t>
      </w:r>
    </w:p>
    <w:p w14:paraId="314A0B8B">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lang w:eastAsia="zh-CN"/>
        </w:rPr>
      </w:pPr>
      <w:r>
        <w:rPr>
          <w:rFonts w:hint="eastAsia" w:ascii="楷体" w:hAnsi="楷体" w:eastAsia="楷体" w:cs="楷体"/>
          <w:lang w:eastAsia="zh-CN"/>
        </w:rPr>
        <w:t>⑤</w:t>
      </w:r>
      <w:r>
        <w:rPr>
          <w:rFonts w:hint="eastAsia"/>
          <w:lang w:eastAsia="zh-CN"/>
        </w:rPr>
        <w:t>有日常管理措施和中长期、远期环境管理目标。</w:t>
      </w:r>
    </w:p>
    <w:p w14:paraId="5269FD1E">
      <w:pPr>
        <w:pStyle w:val="47"/>
        <w:keepNext w:val="0"/>
        <w:keepLines w:val="0"/>
        <w:pageBreakBefore w:val="0"/>
        <w:widowControl w:val="0"/>
        <w:numPr>
          <w:ilvl w:val="0"/>
          <w:numId w:val="10"/>
        </w:numPr>
        <w:kinsoku/>
        <w:wordWrap/>
        <w:overflowPunct/>
        <w:topLinePunct w:val="0"/>
        <w:autoSpaceDE/>
        <w:autoSpaceDN/>
        <w:bidi w:val="0"/>
        <w:adjustRightInd w:val="0"/>
        <w:snapToGrid w:val="0"/>
        <w:spacing w:line="500" w:lineRule="exact"/>
        <w:ind w:left="0" w:leftChars="0" w:firstLine="560" w:firstLineChars="200"/>
        <w:jc w:val="both"/>
        <w:textAlignment w:val="auto"/>
        <w:rPr>
          <w:rFonts w:hint="eastAsia"/>
          <w:lang w:eastAsia="zh-CN"/>
        </w:rPr>
      </w:pPr>
      <w:r>
        <w:rPr>
          <w:rFonts w:hint="eastAsia"/>
          <w:lang w:eastAsia="zh-CN"/>
        </w:rPr>
        <w:t>清洁生产水平判定</w:t>
      </w:r>
    </w:p>
    <w:p w14:paraId="63E03A8E">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lang w:eastAsia="zh-CN"/>
        </w:rPr>
      </w:pPr>
      <w:r>
        <w:rPr>
          <w:rFonts w:hint="eastAsia"/>
          <w:lang w:eastAsia="zh-CN"/>
        </w:rPr>
        <w:t>项目充分考虑生产工艺过程中的废水、固废等资源能源的回收利用，使生产过程中的节能、减排成为可能，能最大程度地把生产过程中产生的污染和残留降到最低水平。</w:t>
      </w:r>
    </w:p>
    <w:p w14:paraId="186DBF47">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lang w:eastAsia="zh-CN"/>
        </w:rPr>
      </w:pPr>
      <w:r>
        <w:rPr>
          <w:rFonts w:hint="eastAsia"/>
          <w:lang w:eastAsia="zh-CN"/>
        </w:rPr>
        <w:t>项目在生产工艺和设备，资源能源利用指标，污染物产生指标，废物回收利用指标，产品指标等方面达到了国内同行业先进水平。另外，从环境管理及劳动安全卫生等方面看，该项目仍有潜力可挖掘。建设方应注意体现持续改进，不断提高和完善清洁生产工艺水平，实现经济效益与环境保护的双赢。</w:t>
      </w:r>
    </w:p>
    <w:p w14:paraId="07FD36E7">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lang w:eastAsia="zh-CN"/>
        </w:rPr>
      </w:pPr>
      <w:r>
        <w:rPr>
          <w:rFonts w:hint="eastAsia"/>
          <w:lang w:eastAsia="zh-CN"/>
        </w:rPr>
        <w:t>（</w:t>
      </w:r>
      <w:r>
        <w:rPr>
          <w:rFonts w:hint="eastAsia"/>
          <w:lang w:val="en-US" w:eastAsia="zh-CN"/>
        </w:rPr>
        <w:t>7</w:t>
      </w:r>
      <w:r>
        <w:rPr>
          <w:rFonts w:hint="eastAsia"/>
          <w:lang w:eastAsia="zh-CN"/>
        </w:rPr>
        <w:t>）清洁生产小结</w:t>
      </w:r>
    </w:p>
    <w:p w14:paraId="216E3324">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eastAsia"/>
          <w:lang w:eastAsia="zh-CN"/>
        </w:rPr>
        <w:sectPr>
          <w:pgSz w:w="11906" w:h="16838"/>
          <w:pgMar w:top="1417" w:right="1417" w:bottom="1417" w:left="1417" w:header="851" w:footer="992" w:gutter="0"/>
          <w:pgBorders>
            <w:top w:val="none" w:sz="0" w:space="0"/>
            <w:left w:val="none" w:sz="0" w:space="0"/>
            <w:bottom w:val="none" w:sz="0" w:space="0"/>
            <w:right w:val="none" w:sz="0" w:space="0"/>
          </w:pgBorders>
          <w:pgNumType w:fmt="decimal"/>
          <w:cols w:space="425" w:num="1"/>
          <w:docGrid w:type="linesAndChars" w:linePitch="326" w:charSpace="190"/>
        </w:sectPr>
      </w:pPr>
      <w:r>
        <w:rPr>
          <w:rFonts w:hint="eastAsia"/>
          <w:lang w:eastAsia="zh-CN"/>
        </w:rPr>
        <w:t>项目在采取了相应的污染治理措施及风险防范措施后，可保证生产安全和环境安全；项目所用能源清洁，符合我国能源政策要求；在运营过程中，各污染物均合理处置，不会产生二次污染物；所选用的生产工艺具有国内先进水平，所选用设备具有国内先进水平，污染物排放浓度和排放量，满足相应的标准要求，因此项目满足清洁生产要求。</w:t>
      </w:r>
    </w:p>
    <w:p w14:paraId="6F2C9362">
      <w:pPr>
        <w:pStyle w:val="88"/>
        <w:bidi w:val="0"/>
        <w:ind w:left="0" w:leftChars="0" w:hanging="102" w:firstLineChars="0"/>
      </w:pPr>
      <w:bookmarkStart w:id="46" w:name="_Toc26560"/>
      <w:r>
        <w:rPr>
          <w:rFonts w:hint="eastAsia"/>
        </w:rPr>
        <w:t>环境现状</w:t>
      </w:r>
      <w:r>
        <w:t>调查与评价</w:t>
      </w:r>
      <w:bookmarkEnd w:id="46"/>
    </w:p>
    <w:p w14:paraId="2755D5F0">
      <w:pPr>
        <w:pStyle w:val="90"/>
        <w:bidi w:val="0"/>
        <w:ind w:left="0" w:leftChars="0" w:firstLine="0" w:firstLineChars="0"/>
      </w:pPr>
      <w:bookmarkStart w:id="47" w:name="_Toc15197"/>
      <w:r>
        <w:rPr>
          <w:rFonts w:hint="eastAsia"/>
        </w:rPr>
        <w:t>地理位置</w:t>
      </w:r>
      <w:bookmarkEnd w:id="47"/>
    </w:p>
    <w:p w14:paraId="0E128943">
      <w:pPr>
        <w:pStyle w:val="47"/>
        <w:ind w:firstLine="482"/>
        <w:rPr>
          <w:rFonts w:hint="eastAsia"/>
        </w:rPr>
      </w:pPr>
      <w:r>
        <w:rPr>
          <w:rFonts w:hint="eastAsia"/>
        </w:rPr>
        <w:t>顺平县位于河北省中部，地处太行山东麓，华北平原西部。地理坐标为北纬38°45′～39°09′，东经114°50′～115°20′。东邻满城，西接唐县，南毗望都，北连易县，东南与清苑相接，西北与涞源搭界。县城东距保定市32公里，距天津180公里，南距省会石家庄120公里，西距太原300公里，北距北京162公里。顺平县南邻京珠高速，京昆高速、保阜高速、107国道和京广铁路穿境而过，交通十分便利。</w:t>
      </w:r>
    </w:p>
    <w:p w14:paraId="2CD5ED14">
      <w:pPr>
        <w:pStyle w:val="47"/>
        <w:ind w:firstLine="482"/>
        <w:rPr>
          <w:rFonts w:hint="eastAsia"/>
        </w:rPr>
      </w:pPr>
      <w:r>
        <w:rPr>
          <w:rFonts w:hint="eastAsia"/>
          <w:lang w:val="en-US" w:eastAsia="zh-CN"/>
        </w:rPr>
        <w:t>项目位于保定市顺平县塑料产业循环经济园区北园，</w:t>
      </w:r>
      <w:r>
        <w:rPr>
          <w:rFonts w:hint="eastAsia"/>
        </w:rPr>
        <w:t>中心坐标东经115</w:t>
      </w:r>
      <w:r>
        <w:rPr>
          <w:rFonts w:hint="eastAsia" w:ascii="宋体" w:hAnsi="宋体" w:eastAsia="宋体" w:cs="宋体"/>
        </w:rPr>
        <w:t>°</w:t>
      </w:r>
      <w:r>
        <w:rPr>
          <w:rFonts w:hint="eastAsia"/>
        </w:rPr>
        <w:t>11</w:t>
      </w:r>
      <w:r>
        <w:rPr>
          <w:rFonts w:hint="default" w:ascii="Calibri" w:hAnsi="Calibri" w:cs="Calibri"/>
        </w:rPr>
        <w:t>'</w:t>
      </w:r>
      <w:r>
        <w:rPr>
          <w:rFonts w:hint="eastAsia"/>
        </w:rPr>
        <w:t>11</w:t>
      </w:r>
      <w:r>
        <w:rPr>
          <w:rFonts w:hint="eastAsia"/>
          <w:highlight w:val="none"/>
        </w:rPr>
        <w:t>.361</w:t>
      </w:r>
      <w:r>
        <w:rPr>
          <w:rFonts w:hint="default" w:ascii="Calibri" w:hAnsi="Calibri" w:cs="Calibri"/>
          <w:highlight w:val="none"/>
        </w:rPr>
        <w:t>"</w:t>
      </w:r>
      <w:r>
        <w:rPr>
          <w:rFonts w:hint="eastAsia"/>
          <w:highlight w:val="none"/>
        </w:rPr>
        <w:t>，北纬38°47</w:t>
      </w:r>
      <w:r>
        <w:rPr>
          <w:rFonts w:hint="default" w:ascii="Calibri" w:hAnsi="Calibri" w:cs="Calibri"/>
          <w:highlight w:val="none"/>
        </w:rPr>
        <w:t>'</w:t>
      </w:r>
      <w:r>
        <w:rPr>
          <w:rFonts w:hint="eastAsia"/>
          <w:highlight w:val="none"/>
        </w:rPr>
        <w:t>39.758</w:t>
      </w:r>
      <w:r>
        <w:rPr>
          <w:rFonts w:hint="default" w:ascii="Calibri" w:hAnsi="Calibri" w:cs="Calibri"/>
          <w:highlight w:val="none"/>
        </w:rPr>
        <w:t>"</w:t>
      </w:r>
      <w:r>
        <w:rPr>
          <w:rFonts w:hint="eastAsia" w:ascii="Calibri" w:hAnsi="Calibri" w:cs="Calibri"/>
          <w:highlight w:val="none"/>
          <w:lang w:eastAsia="zh-CN"/>
        </w:rPr>
        <w:t>，</w:t>
      </w:r>
      <w:r>
        <w:rPr>
          <w:rFonts w:hint="eastAsia"/>
          <w:highlight w:val="none"/>
        </w:rPr>
        <w:t>项目东侧为顺平县职业技术教育中心（现已闲置），南侧隔顺高线为塑料机械厂，西侧为农田，北侧为闲置厂房，距离项目最近的环境敏感点为南侧210m处的王各庄。地理位置图见图1，周边环境位置图见图2。</w:t>
      </w:r>
    </w:p>
    <w:p w14:paraId="0649626C">
      <w:pPr>
        <w:pStyle w:val="90"/>
        <w:bidi w:val="0"/>
        <w:ind w:left="0" w:leftChars="0" w:firstLine="0" w:firstLineChars="0"/>
      </w:pPr>
      <w:bookmarkStart w:id="48" w:name="_Toc24633"/>
      <w:r>
        <w:rPr>
          <w:rFonts w:hint="eastAsia"/>
        </w:rPr>
        <w:t>自然</w:t>
      </w:r>
      <w:r>
        <w:t>环境简况</w:t>
      </w:r>
      <w:bookmarkEnd w:id="48"/>
    </w:p>
    <w:p w14:paraId="34AF6775">
      <w:pPr>
        <w:pStyle w:val="92"/>
        <w:bidi w:val="0"/>
        <w:ind w:left="0" w:leftChars="0" w:firstLine="0" w:firstLineChars="0"/>
      </w:pPr>
      <w:r>
        <w:rPr>
          <w:rFonts w:hint="eastAsia"/>
        </w:rPr>
        <w:t>地形地貌</w:t>
      </w:r>
    </w:p>
    <w:p w14:paraId="677441E2">
      <w:pPr>
        <w:pStyle w:val="47"/>
      </w:pPr>
      <w:r>
        <w:rPr>
          <w:rFonts w:hint="eastAsia"/>
        </w:rPr>
        <w:t>顺平县总面积708k</w:t>
      </w:r>
      <w:r>
        <w:rPr>
          <w:rFonts w:hint="eastAsia"/>
          <w:lang w:val="en-US" w:eastAsia="zh-CN"/>
        </w:rPr>
        <w:t>m</w:t>
      </w:r>
      <w:r>
        <w:rPr>
          <w:rFonts w:hint="eastAsia"/>
          <w:vertAlign w:val="superscript"/>
          <w:lang w:val="en-US" w:eastAsia="zh-CN"/>
        </w:rPr>
        <w:t>2</w:t>
      </w:r>
      <w:r>
        <w:rPr>
          <w:rFonts w:hint="eastAsia"/>
        </w:rPr>
        <w:t>，其中中低山面积263k</w:t>
      </w:r>
      <w:r>
        <w:rPr>
          <w:rFonts w:hint="eastAsia"/>
          <w:lang w:val="en-US" w:eastAsia="zh-CN"/>
        </w:rPr>
        <w:t>m</w:t>
      </w:r>
      <w:r>
        <w:rPr>
          <w:rFonts w:hint="eastAsia"/>
          <w:vertAlign w:val="superscript"/>
          <w:lang w:val="en-US" w:eastAsia="zh-CN"/>
        </w:rPr>
        <w:t>2</w:t>
      </w:r>
      <w:r>
        <w:rPr>
          <w:rFonts w:hint="eastAsia"/>
        </w:rPr>
        <w:t>，占全县总面积的37.1％；平原面积236k</w:t>
      </w:r>
      <w:r>
        <w:rPr>
          <w:rFonts w:hint="eastAsia"/>
          <w:lang w:val="en-US" w:eastAsia="zh-CN"/>
        </w:rPr>
        <w:t>m</w:t>
      </w:r>
      <w:r>
        <w:rPr>
          <w:rFonts w:hint="eastAsia"/>
          <w:vertAlign w:val="superscript"/>
          <w:lang w:val="en-US" w:eastAsia="zh-CN"/>
        </w:rPr>
        <w:t>2</w:t>
      </w:r>
      <w:r>
        <w:rPr>
          <w:rFonts w:hint="eastAsia"/>
        </w:rPr>
        <w:t>，占全县总面积的33.3％；丘陵面积209k</w:t>
      </w:r>
      <w:r>
        <w:rPr>
          <w:rFonts w:hint="eastAsia"/>
          <w:lang w:val="en-US" w:eastAsia="zh-CN"/>
        </w:rPr>
        <w:t>m</w:t>
      </w:r>
      <w:r>
        <w:rPr>
          <w:rFonts w:hint="eastAsia"/>
          <w:vertAlign w:val="superscript"/>
          <w:lang w:val="en-US" w:eastAsia="zh-CN"/>
        </w:rPr>
        <w:t>2</w:t>
      </w:r>
      <w:r>
        <w:rPr>
          <w:rFonts w:hint="eastAsia"/>
        </w:rPr>
        <w:t>，占全县总面积的26.9％。顺平县地形为西北高，东南低的斜坡状。由于地质内外应力的作用，地貌分异非常明显，地貌类型从西北到东南可分为中低山地貌、丘陵地貌和平原地貌三种地貌类型，界限清晰。</w:t>
      </w:r>
      <w:r>
        <w:rPr>
          <w:rFonts w:hint="eastAsia"/>
          <w:lang w:val="en-US" w:eastAsia="zh-CN"/>
        </w:rPr>
        <w:t>项目</w:t>
      </w:r>
      <w:r>
        <w:rPr>
          <w:rFonts w:hint="eastAsia"/>
        </w:rPr>
        <w:t>所在位置地形为平原。</w:t>
      </w:r>
    </w:p>
    <w:p w14:paraId="74B5D791">
      <w:pPr>
        <w:pStyle w:val="92"/>
        <w:bidi w:val="0"/>
        <w:ind w:left="0" w:leftChars="0" w:firstLine="0" w:firstLineChars="0"/>
      </w:pPr>
      <w:r>
        <w:rPr>
          <w:rFonts w:hint="eastAsia"/>
        </w:rPr>
        <w:t>气候与</w:t>
      </w:r>
      <w:r>
        <w:t>气象</w:t>
      </w:r>
    </w:p>
    <w:p w14:paraId="2E8D487B">
      <w:pPr>
        <w:pStyle w:val="47"/>
        <w:ind w:firstLine="482"/>
        <w:rPr>
          <w:rFonts w:hint="eastAsia"/>
        </w:rPr>
      </w:pPr>
      <w:r>
        <w:rPr>
          <w:rFonts w:hint="eastAsia"/>
        </w:rPr>
        <w:t>顺平县属暖温带半干旱大陆性季风气候，四季分明。春季干旱少雨，多大风；夏季炎热，多东南风，雨水集中；秋季温度适宜，凉爽干燥；冬季寒冷少雪，多偏北风。多年平均气温12.7℃，1月平均气温-3.7℃，极端最低气温-20.6℃；7月平均气温26.7℃，极端最高气温41.4℃。最高月均气温31.5℃（7月），最低月均气温-9.1℃（1月）。平均气温年较差30.3℃。无霜期年平均198天，最长达242天，最短为175天。年平均日照时数2532小时。</w:t>
      </w:r>
    </w:p>
    <w:p w14:paraId="4C5F8903">
      <w:pPr>
        <w:pStyle w:val="47"/>
        <w:ind w:firstLine="482"/>
        <w:rPr>
          <w:rFonts w:hint="eastAsia"/>
        </w:rPr>
      </w:pPr>
      <w:r>
        <w:rPr>
          <w:rFonts w:hint="eastAsia"/>
        </w:rPr>
        <w:t>年平均降水量521.9毫米，年平均降水日数为99.7天，最多达147天，最少为80天。极端年最大降水量880.4毫米），极端年最少降水量288毫米。降水集中在每年5月至10月，7月最多。</w:t>
      </w:r>
    </w:p>
    <w:p w14:paraId="2E2441DF">
      <w:pPr>
        <w:pStyle w:val="92"/>
        <w:bidi w:val="0"/>
        <w:ind w:left="0" w:leftChars="0" w:firstLine="0" w:firstLineChars="0"/>
        <w:rPr>
          <w:rFonts w:hint="eastAsia" w:eastAsia="楷体"/>
          <w:lang w:eastAsia="zh-CN"/>
        </w:rPr>
      </w:pPr>
      <w:r>
        <w:rPr>
          <w:rFonts w:hint="eastAsia"/>
          <w:lang w:val="en-US" w:eastAsia="zh-CN"/>
        </w:rPr>
        <w:t>地质构造</w:t>
      </w:r>
    </w:p>
    <w:p w14:paraId="3749F4D3">
      <w:pPr>
        <w:pStyle w:val="47"/>
        <w:ind w:firstLine="482"/>
        <w:rPr>
          <w:rFonts w:hint="eastAsia"/>
        </w:rPr>
      </w:pPr>
      <w:r>
        <w:rPr>
          <w:rFonts w:hint="eastAsia"/>
        </w:rPr>
        <w:t>顺平县大地构造部位处于燕山隆褶带的涞易隆褶区南段，是华北断块中太行山隆断与冀中凹陷的过度地段。新构造分区属于太行山——燕山断块隆起区的狼牙山——玉皇坨断凸中部。西部为小五台山——太白维山掀斜式断凸，东部为冀鲁断凹区的固安——保定断凹，地史上是长期隆起与凹陷差异运动最强烈地区。本区在构造体系上属于祁吕贺兰山字型东翼弧之东侧和新华夏系复合部位。区域地质构造图见下图。</w:t>
      </w:r>
    </w:p>
    <w:p w14:paraId="29F47EFC">
      <w:pPr>
        <w:pStyle w:val="47"/>
        <w:ind w:firstLine="482"/>
        <w:rPr>
          <w:rFonts w:hint="eastAsia"/>
        </w:rPr>
      </w:pPr>
      <w:r>
        <w:rPr>
          <w:sz w:val="28"/>
        </w:rPr>
        <mc:AlternateContent>
          <mc:Choice Requires="wpg">
            <w:drawing>
              <wp:anchor distT="0" distB="0" distL="114300" distR="114300" simplePos="0" relativeHeight="251665408" behindDoc="0" locked="0" layoutInCell="1" allowOverlap="1">
                <wp:simplePos x="0" y="0"/>
                <wp:positionH relativeFrom="column">
                  <wp:posOffset>652145</wp:posOffset>
                </wp:positionH>
                <wp:positionV relativeFrom="paragraph">
                  <wp:posOffset>55245</wp:posOffset>
                </wp:positionV>
                <wp:extent cx="4154170" cy="2694940"/>
                <wp:effectExtent l="0" t="0" r="17780" b="10160"/>
                <wp:wrapNone/>
                <wp:docPr id="33" name="组合 33"/>
                <wp:cNvGraphicFramePr/>
                <a:graphic xmlns:a="http://schemas.openxmlformats.org/drawingml/2006/main">
                  <a:graphicData uri="http://schemas.microsoft.com/office/word/2010/wordprocessingGroup">
                    <wpg:wgp>
                      <wpg:cNvGrpSpPr/>
                      <wpg:grpSpPr>
                        <a:xfrm>
                          <a:off x="0" y="0"/>
                          <a:ext cx="4154170" cy="2694940"/>
                          <a:chOff x="2817" y="1462662"/>
                          <a:chExt cx="6542" cy="4244"/>
                        </a:xfrm>
                      </wpg:grpSpPr>
                      <pic:pic xmlns:pic="http://schemas.openxmlformats.org/drawingml/2006/picture">
                        <pic:nvPicPr>
                          <pic:cNvPr id="490" name="图片 3" descr="满城热电联产项目"/>
                          <pic:cNvPicPr>
                            <a:picLocks noChangeAspect="1"/>
                          </pic:cNvPicPr>
                        </pic:nvPicPr>
                        <pic:blipFill>
                          <a:blip r:embed="rId23"/>
                          <a:stretch>
                            <a:fillRect/>
                          </a:stretch>
                        </pic:blipFill>
                        <pic:spPr>
                          <a:xfrm>
                            <a:off x="2817" y="1462662"/>
                            <a:ext cx="6542" cy="4244"/>
                          </a:xfrm>
                          <a:prstGeom prst="rect">
                            <a:avLst/>
                          </a:prstGeom>
                          <a:noFill/>
                          <a:ln>
                            <a:noFill/>
                          </a:ln>
                        </pic:spPr>
                      </pic:pic>
                      <wps:wsp>
                        <wps:cNvPr id="554" name="矩形 508"/>
                        <wps:cNvSpPr/>
                        <wps:spPr>
                          <a:xfrm>
                            <a:off x="5808" y="1466275"/>
                            <a:ext cx="109" cy="77"/>
                          </a:xfrm>
                          <a:prstGeom prst="rect">
                            <a:avLst/>
                          </a:prstGeom>
                          <a:solidFill>
                            <a:srgbClr val="7030A0"/>
                          </a:solidFill>
                          <a:ln w="12700" cap="flat" cmpd="sng">
                            <a:solidFill>
                              <a:srgbClr val="7030A0"/>
                            </a:solidFill>
                            <a:prstDash val="solid"/>
                            <a:miter/>
                            <a:headEnd type="none" w="med" len="med"/>
                            <a:tailEnd type="none" w="med" len="med"/>
                          </a:ln>
                        </wps:spPr>
                        <wps:bodyPr upright="1"/>
                      </wps:wsp>
                      <wps:wsp>
                        <wps:cNvPr id="555" name="矩形标注 509"/>
                        <wps:cNvSpPr/>
                        <wps:spPr>
                          <a:xfrm>
                            <a:off x="5917" y="1465394"/>
                            <a:ext cx="1116" cy="419"/>
                          </a:xfrm>
                          <a:prstGeom prst="wedgeRectCallout">
                            <a:avLst>
                              <a:gd name="adj1" fmla="val -51926"/>
                              <a:gd name="adj2" fmla="val 157060"/>
                            </a:avLst>
                          </a:prstGeom>
                          <a:gradFill rotWithShape="0">
                            <a:gsLst>
                              <a:gs pos="0">
                                <a:srgbClr val="FFFFFF">
                                  <a:alpha val="0"/>
                                </a:srgbClr>
                              </a:gs>
                              <a:gs pos="100000">
                                <a:srgbClr val="FFFFFF">
                                  <a:alpha val="0"/>
                                </a:srgbClr>
                              </a:gs>
                            </a:gsLst>
                            <a:lin ang="5400000" scaled="1"/>
                            <a:tileRect/>
                          </a:gradFill>
                          <a:ln w="12700" cap="flat" cmpd="sng">
                            <a:solidFill>
                              <a:srgbClr val="7030A0"/>
                            </a:solidFill>
                            <a:prstDash val="solid"/>
                            <a:miter/>
                            <a:headEnd type="none" w="med" len="med"/>
                            <a:tailEnd type="none" w="med" len="med"/>
                          </a:ln>
                        </wps:spPr>
                        <wps:txbx>
                          <w:txbxContent>
                            <w:p w14:paraId="3EDD84ED">
                              <w:pPr>
                                <w:keepNext w:val="0"/>
                                <w:keepLines w:val="0"/>
                                <w:pageBreakBefore w:val="0"/>
                                <w:widowControl w:val="0"/>
                                <w:kinsoku/>
                                <w:wordWrap/>
                                <w:overflowPunct/>
                                <w:topLinePunct w:val="0"/>
                                <w:bidi w:val="0"/>
                                <w:adjustRightInd w:val="0"/>
                                <w:snapToGrid w:val="0"/>
                                <w:spacing w:line="240" w:lineRule="auto"/>
                                <w:ind w:firstLine="0" w:firstLineChars="0"/>
                                <w:textAlignment w:val="auto"/>
                                <w:rPr>
                                  <w:b/>
                                  <w:sz w:val="18"/>
                                  <w:szCs w:val="18"/>
                                </w:rPr>
                              </w:pPr>
                              <w:r>
                                <w:rPr>
                                  <w:rFonts w:hint="eastAsia"/>
                                  <w:b/>
                                  <w:color w:val="7030A0"/>
                                  <w:sz w:val="18"/>
                                  <w:szCs w:val="18"/>
                                  <w:lang w:val="en-US" w:eastAsia="zh-CN"/>
                                </w:rPr>
                                <w:t>建设项目</w:t>
                              </w:r>
                              <w:r>
                                <w:rPr>
                                  <w:rFonts w:hint="eastAsia"/>
                                  <w:b/>
                                  <w:sz w:val="18"/>
                                  <w:szCs w:val="18"/>
                                </w:rPr>
                                <w:t>置</w:t>
                              </w:r>
                            </w:p>
                          </w:txbxContent>
                        </wps:txbx>
                        <wps:bodyPr upright="1"/>
                      </wps:wsp>
                    </wpg:wgp>
                  </a:graphicData>
                </a:graphic>
              </wp:anchor>
            </w:drawing>
          </mc:Choice>
          <mc:Fallback>
            <w:pict>
              <v:group id="_x0000_s1026" o:spid="_x0000_s1026" o:spt="203" style="position:absolute;left:0pt;margin-left:51.35pt;margin-top:4.35pt;height:212.2pt;width:327.1pt;z-index:251665408;mso-width-relative:page;mso-height-relative:page;" coordorigin="2817,1462662" coordsize="6542,4244" o:gfxdata="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">
                <o:lock v:ext="edit" aspectratio="f"/>
                <v:shape id="图片 3" o:spid="_x0000_s1026" o:spt="75" alt="满城热电联产项目" type="#_x0000_t75" style="position:absolute;left:2817;top:1462662;height:4244;width:6542;" filled="f" o:preferrelative="t" stroked="f" coordsize="21600,21600" o:gfxdata="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KvrMEugAAANwA&#10;AAAPAAAAAAAAAAEAIAAAACIAAABkcnMvZG93bnJldi54bWxQSwECFAAUAAAACACHTuJAMy8FnjsA&#10;AAA5AAAAEAAAAAAAAAABACAAAAAJAQAAZHJzL3NoYXBleG1sLnhtbFBLBQYAAAAABgAGAFsBAACz&#10;AwAAAAA=&#10;">
                  <v:fill on="f" focussize="0,0"/>
                  <v:stroke on="f"/>
                  <v:imagedata r:id="rId23" o:title=""/>
                  <o:lock v:ext="edit" aspectratio="t"/>
                </v:shape>
                <v:rect id="矩形 508" o:spid="_x0000_s1026" o:spt="1" style="position:absolute;left:5808;top:1466275;height:77;width:109;" fillcolor="#7030A0" filled="t" stroked="t" coordsize="21600,21600" o:gfxdata="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bbEm74A&#10;AADcAAAADwAAAAAAAAABACAAAAAiAAAAZHJzL2Rvd25yZXYueG1sUEsBAhQAFAAAAAgAh07iQDMv&#10;BZ47AAAAOQAAABAAAAAAAAAAAQAgAAAADQEAAGRycy9zaGFwZXhtbC54bWxQSwUGAAAAAAYABgBb&#10;AQAAtwMAAAAA&#10;">
                  <v:fill on="t" focussize="0,0"/>
                  <v:stroke weight="1pt" color="#7030A0" joinstyle="miter"/>
                  <v:imagedata o:title=""/>
                  <o:lock v:ext="edit" aspectratio="f"/>
                </v:rect>
                <v:shape id="矩形标注 509" o:spid="_x0000_s1026" o:spt="61" type="#_x0000_t61" style="position:absolute;left:5917;top:1465394;height:419;width:1116;" fillcolor="#FFFFFF" filled="t" stroked="t" coordsize="21600,21600" o:gfxdata="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EOkU74A&#10;AADcAAAADwAAAAAAAAABACAAAAAiAAAAZHJzL2Rvd25yZXYueG1sUEsBAhQAFAAAAAgAh07iQDMv&#10;BZ47AAAAOQAAABAAAAAAAAAAAQAgAAAADQEAAGRycy9zaGFwZXhtbC54bWxQSwUGAAAAAAYABgBb&#10;AQAAtwMAAAAA&#10;" adj="-416,44725">
                  <v:fill type="gradient" on="t" color2="#FFFFFF" opacity="0f" o:opacity2="0f" focus="100%" focussize="0,0"/>
                  <v:stroke weight="1pt" color="#7030A0" joinstyle="miter"/>
                  <v:imagedata o:title=""/>
                  <o:lock v:ext="edit" aspectratio="f"/>
                  <v:textbox>
                    <w:txbxContent>
                      <w:p w14:paraId="3EDD84ED">
                        <w:pPr>
                          <w:keepNext w:val="0"/>
                          <w:keepLines w:val="0"/>
                          <w:pageBreakBefore w:val="0"/>
                          <w:widowControl w:val="0"/>
                          <w:kinsoku/>
                          <w:wordWrap/>
                          <w:overflowPunct/>
                          <w:topLinePunct w:val="0"/>
                          <w:bidi w:val="0"/>
                          <w:adjustRightInd w:val="0"/>
                          <w:snapToGrid w:val="0"/>
                          <w:spacing w:line="240" w:lineRule="auto"/>
                          <w:ind w:firstLine="0" w:firstLineChars="0"/>
                          <w:textAlignment w:val="auto"/>
                          <w:rPr>
                            <w:b/>
                            <w:sz w:val="18"/>
                            <w:szCs w:val="18"/>
                          </w:rPr>
                        </w:pPr>
                        <w:r>
                          <w:rPr>
                            <w:rFonts w:hint="eastAsia"/>
                            <w:b/>
                            <w:color w:val="7030A0"/>
                            <w:sz w:val="18"/>
                            <w:szCs w:val="18"/>
                            <w:lang w:val="en-US" w:eastAsia="zh-CN"/>
                          </w:rPr>
                          <w:t>建设项目</w:t>
                        </w:r>
                        <w:r>
                          <w:rPr>
                            <w:rFonts w:hint="eastAsia"/>
                            <w:b/>
                            <w:sz w:val="18"/>
                            <w:szCs w:val="18"/>
                          </w:rPr>
                          <w:t>置</w:t>
                        </w:r>
                      </w:p>
                    </w:txbxContent>
                  </v:textbox>
                </v:shape>
              </v:group>
            </w:pict>
          </mc:Fallback>
        </mc:AlternateContent>
      </w:r>
    </w:p>
    <w:p w14:paraId="4092102D">
      <w:pPr>
        <w:pStyle w:val="47"/>
        <w:ind w:firstLine="482"/>
        <w:rPr>
          <w:rFonts w:hint="eastAsia"/>
        </w:rPr>
      </w:pPr>
    </w:p>
    <w:p w14:paraId="7984FB43">
      <w:pPr>
        <w:pStyle w:val="47"/>
        <w:ind w:firstLine="482"/>
        <w:rPr>
          <w:rFonts w:hint="eastAsia"/>
        </w:rPr>
      </w:pPr>
    </w:p>
    <w:p w14:paraId="694F9A5B">
      <w:pPr>
        <w:pStyle w:val="47"/>
        <w:ind w:firstLine="482"/>
        <w:rPr>
          <w:rFonts w:hint="eastAsia"/>
        </w:rPr>
      </w:pPr>
    </w:p>
    <w:p w14:paraId="6ECFE47B">
      <w:pPr>
        <w:pStyle w:val="47"/>
        <w:ind w:firstLine="482"/>
        <w:rPr>
          <w:rFonts w:hint="eastAsia"/>
        </w:rPr>
      </w:pPr>
    </w:p>
    <w:p w14:paraId="2FCA22D6">
      <w:pPr>
        <w:pStyle w:val="47"/>
        <w:ind w:firstLine="482"/>
        <w:rPr>
          <w:rFonts w:hint="eastAsia"/>
        </w:rPr>
      </w:pPr>
    </w:p>
    <w:p w14:paraId="2EDE32E9">
      <w:pPr>
        <w:pStyle w:val="47"/>
        <w:ind w:firstLine="482"/>
        <w:rPr>
          <w:rFonts w:hint="eastAsia"/>
        </w:rPr>
      </w:pPr>
    </w:p>
    <w:p w14:paraId="0B4A5EF4">
      <w:pPr>
        <w:pStyle w:val="47"/>
        <w:ind w:firstLine="482"/>
        <w:rPr>
          <w:rFonts w:hint="eastAsia"/>
        </w:rPr>
      </w:pPr>
    </w:p>
    <w:p w14:paraId="6E37FE46">
      <w:pPr>
        <w:pStyle w:val="47"/>
        <w:ind w:firstLine="482"/>
        <w:rPr>
          <w:rFonts w:hint="eastAsia"/>
        </w:rPr>
      </w:pPr>
    </w:p>
    <w:p w14:paraId="60FB3455">
      <w:pPr>
        <w:pStyle w:val="98"/>
        <w:bidi w:val="0"/>
        <w:rPr>
          <w:rFonts w:hint="eastAsia"/>
        </w:rPr>
      </w:pPr>
      <w:r>
        <w:rPr>
          <w:rFonts w:hint="eastAsia"/>
        </w:rPr>
        <w:t>区域地质构造图</w:t>
      </w:r>
    </w:p>
    <w:p w14:paraId="1CFA8541">
      <w:pPr>
        <w:pStyle w:val="47"/>
        <w:ind w:firstLine="482"/>
        <w:rPr>
          <w:rFonts w:hint="eastAsia"/>
        </w:rPr>
      </w:pPr>
      <w:r>
        <w:rPr>
          <w:rFonts w:hint="eastAsia"/>
        </w:rPr>
        <w:t>顺平县成土母质类型主要有残坡积母质、洪积冲积母质和黄土状母质三种。残坡积母质上发育的土壤总面积有54.4766万亩，占全县总面积的51.35%，按基岩种类可细分为：花岗片麻岩残坡积母质、沙岩类残坡积母质、石灰岩类残坡积母质、页岩类残坡积母质。其中以石灰岩类残坡积母质分布最广，有43.2698万亩，占全县总面积的40.78%；沙岩类残坡积母质、页岩类残坡积母质呈条状分布；花岗片麻岩残坡积母质只在县境内有少数分布，面积仅占全县总面积的15.71%；黄土状母质31.3031万亩，占全县总面积的29.50%；其它成土母质占全县总面积的3.44%。全县土壤共分2个土类，7个亚类，21个土属，50个土种。包括褐土类和潮土类，以褐土类为主。</w:t>
      </w:r>
    </w:p>
    <w:p w14:paraId="6CB0D761">
      <w:pPr>
        <w:pStyle w:val="92"/>
        <w:bidi w:val="0"/>
        <w:ind w:left="0" w:leftChars="0" w:firstLine="0" w:firstLineChars="0"/>
        <w:rPr>
          <w:rFonts w:hint="eastAsia" w:eastAsia="楷体"/>
          <w:lang w:eastAsia="zh-CN"/>
        </w:rPr>
      </w:pPr>
      <w:r>
        <w:rPr>
          <w:rFonts w:hint="eastAsia"/>
          <w:lang w:val="en-US" w:eastAsia="zh-CN"/>
        </w:rPr>
        <w:t>水文地质</w:t>
      </w:r>
    </w:p>
    <w:p w14:paraId="71507D9F">
      <w:pPr>
        <w:pStyle w:val="47"/>
        <w:rPr>
          <w:rFonts w:hint="default" w:ascii="Times New Roman" w:hAnsi="Times New Roman" w:eastAsia="楷体" w:cs="Times New Roman"/>
          <w:lang w:eastAsia="zh-CN"/>
        </w:rPr>
      </w:pPr>
      <w:r>
        <w:rPr>
          <w:rFonts w:hint="default" w:ascii="Times New Roman" w:hAnsi="Times New Roman" w:eastAsia="楷体" w:cs="Times New Roman"/>
          <w:lang w:eastAsia="zh-CN"/>
        </w:rPr>
        <w:t>区域附近地下水类型主要为松散岩类孔隙水，为唐河冲洪积扇富水区。依据地层岩性和含水层、隔水层分布特征、地下水开采状况，将第四系孔隙水划分为Ⅰ、Ⅱ、Ⅲ、Ⅳ四个含水组。本区地下水主要开采Ⅰ、Ⅱ含水岩组及第Ⅲ含水组，第Ⅳ含水岩组开采量较小。</w:t>
      </w:r>
    </w:p>
    <w:p w14:paraId="444F6D28">
      <w:pPr>
        <w:pStyle w:val="47"/>
        <w:rPr>
          <w:rFonts w:hint="default" w:ascii="Times New Roman" w:hAnsi="Times New Roman" w:eastAsia="楷体" w:cs="Times New Roman"/>
          <w:lang w:eastAsia="zh-CN"/>
        </w:rPr>
      </w:pPr>
      <w:r>
        <w:rPr>
          <w:rFonts w:hint="default" w:ascii="Times New Roman" w:hAnsi="Times New Roman" w:eastAsia="楷体" w:cs="Times New Roman"/>
          <w:lang w:eastAsia="zh-CN"/>
        </w:rPr>
        <w:t>第Ⅰ含水岩组厚度较小，含水层层数较少，底界埋深约12m，目前本层地下水已被疏干；第Ⅱ含水组底界埋深约70-80m。Ⅰ、Ⅱ含水组水力联系密切，且为混合开采，一般视为浅层地下水系统（俗称浅层地下水）。该浅层含水组岩性以卵砾石含中粗砂为主，厚度约20m左右。地下水补给充沛，径流通畅，富水性极好，水化学类型为HCO</w:t>
      </w:r>
      <w:r>
        <w:rPr>
          <w:rFonts w:hint="default" w:ascii="Times New Roman" w:hAnsi="Times New Roman" w:eastAsia="楷体" w:cs="Times New Roman"/>
          <w:vertAlign w:val="subscript"/>
          <w:lang w:eastAsia="zh-CN"/>
        </w:rPr>
        <w:t>3</w:t>
      </w:r>
      <w:r>
        <w:rPr>
          <w:rFonts w:hint="default" w:ascii="Times New Roman" w:hAnsi="Times New Roman" w:eastAsia="楷体" w:cs="Times New Roman"/>
          <w:lang w:eastAsia="zh-CN"/>
        </w:rPr>
        <w:t>—Ca•Mg型水，矿化度小于0.5g/L，为低矿化淡水。</w:t>
      </w:r>
    </w:p>
    <w:p w14:paraId="39E4C909">
      <w:pPr>
        <w:pStyle w:val="47"/>
        <w:rPr>
          <w:rFonts w:hint="default" w:ascii="Times New Roman" w:hAnsi="Times New Roman" w:eastAsia="楷体" w:cs="Times New Roman"/>
          <w:lang w:eastAsia="zh-CN"/>
        </w:rPr>
      </w:pPr>
      <w:r>
        <w:rPr>
          <w:rFonts w:hint="default" w:ascii="Times New Roman" w:hAnsi="Times New Roman" w:eastAsia="楷体" w:cs="Times New Roman"/>
          <w:lang w:eastAsia="zh-CN"/>
        </w:rPr>
        <w:t>第Ⅲ含水岩组岩性以粗砂为主，含水岩组底板埋深约130m，含水层厚度约40m，水化学类型为HCO</w:t>
      </w:r>
      <w:r>
        <w:rPr>
          <w:rFonts w:hint="default" w:ascii="Times New Roman" w:hAnsi="Times New Roman" w:eastAsia="楷体" w:cs="Times New Roman"/>
          <w:vertAlign w:val="subscript"/>
          <w:lang w:eastAsia="zh-CN"/>
        </w:rPr>
        <w:t>3</w:t>
      </w:r>
      <w:r>
        <w:rPr>
          <w:rFonts w:hint="default" w:ascii="Times New Roman" w:hAnsi="Times New Roman" w:eastAsia="楷体" w:cs="Times New Roman"/>
          <w:lang w:eastAsia="zh-CN"/>
        </w:rPr>
        <w:t>—Ca型水，矿化度小于0.5g/L，为低矿化淡水。从地层岩性上看，本区第Ⅲ含水层与第Ⅰ、Ⅱ含水层之间不存在稳定隔水层，二者共同构成潜水含水系统。地下水补给充沛且迳流条件良好，富水性极好。</w:t>
      </w:r>
    </w:p>
    <w:p w14:paraId="381BAC6A">
      <w:pPr>
        <w:pStyle w:val="47"/>
        <w:rPr>
          <w:rFonts w:hint="default" w:ascii="Times New Roman" w:hAnsi="Times New Roman" w:eastAsia="楷体" w:cs="Times New Roman"/>
          <w:lang w:eastAsia="zh-CN"/>
        </w:rPr>
      </w:pPr>
      <w:r>
        <w:rPr>
          <w:rFonts w:hint="default" w:ascii="Times New Roman" w:hAnsi="Times New Roman" w:eastAsia="楷体" w:cs="Times New Roman"/>
          <w:lang w:eastAsia="zh-CN"/>
        </w:rPr>
        <w:t>第Ⅳ含水岩组：含水岩组底板埋深约200m，含水层岩性多为砾卵石、砂砾石等，厚度约30m以细砂为主，水文地质条件良好。水化学类型为HCO</w:t>
      </w:r>
      <w:r>
        <w:rPr>
          <w:rFonts w:hint="default" w:ascii="Times New Roman" w:hAnsi="Times New Roman" w:eastAsia="楷体" w:cs="Times New Roman"/>
          <w:vertAlign w:val="subscript"/>
          <w:lang w:eastAsia="zh-CN"/>
        </w:rPr>
        <w:t>3</w:t>
      </w:r>
      <w:r>
        <w:rPr>
          <w:rFonts w:hint="default" w:ascii="Times New Roman" w:hAnsi="Times New Roman" w:eastAsia="楷体" w:cs="Times New Roman"/>
          <w:lang w:eastAsia="zh-CN"/>
        </w:rPr>
        <w:t>—Na型水，矿化度小于0.4g/L左右。</w:t>
      </w:r>
    </w:p>
    <w:p w14:paraId="08227361">
      <w:pPr>
        <w:pStyle w:val="92"/>
        <w:bidi w:val="0"/>
        <w:ind w:left="0" w:leftChars="0" w:firstLine="0" w:firstLineChars="0"/>
      </w:pPr>
      <w:r>
        <w:rPr>
          <w:rFonts w:hint="eastAsia"/>
          <w:lang w:val="en-US" w:eastAsia="zh-CN"/>
        </w:rPr>
        <w:t>地表水</w:t>
      </w:r>
    </w:p>
    <w:p w14:paraId="51DD972F">
      <w:pPr>
        <w:pStyle w:val="47"/>
        <w:rPr>
          <w:rFonts w:hint="eastAsia"/>
        </w:rPr>
      </w:pPr>
      <w:r>
        <w:rPr>
          <w:rFonts w:hint="eastAsia"/>
        </w:rPr>
        <w:t>顺平县境内共有6条河流，分别为曲逆河、蒲阳河、金线河、七节河、界河和唐河。其中唐河为过境河流，常年有径流；曲逆河、蒲阳河、金线河、七节河为界河支流，在20世纪60年代之前，一年四季均有常流水，60年代之后，均成为季节性河流，汛期有洪水通过，汛后有短期基流，大部分时间干涸无水。</w:t>
      </w:r>
    </w:p>
    <w:p w14:paraId="7ED7481A">
      <w:pPr>
        <w:pStyle w:val="47"/>
        <w:rPr>
          <w:rFonts w:hint="eastAsia"/>
        </w:rPr>
      </w:pPr>
      <w:r>
        <w:rPr>
          <w:rFonts w:hint="eastAsia"/>
        </w:rPr>
        <w:t>曲逆河发源于源头村西北山脚，另有热河及其它山沟水流汇合，经下叔、亭乡、王各庄，至屯头村北汇入界河，境内流长17km，流域面积约158k</w:t>
      </w:r>
      <w:r>
        <w:rPr>
          <w:rFonts w:hint="eastAsia"/>
          <w:lang w:val="en-US" w:eastAsia="zh-CN"/>
        </w:rPr>
        <w:t>m</w:t>
      </w:r>
      <w:r>
        <w:rPr>
          <w:rFonts w:hint="eastAsia"/>
          <w:vertAlign w:val="superscript"/>
          <w:lang w:val="en-US" w:eastAsia="zh-CN"/>
        </w:rPr>
        <w:t>2</w:t>
      </w:r>
      <w:r>
        <w:rPr>
          <w:rFonts w:hint="eastAsia"/>
        </w:rPr>
        <w:t>。</w:t>
      </w:r>
    </w:p>
    <w:p w14:paraId="7FACFE11">
      <w:pPr>
        <w:pStyle w:val="47"/>
        <w:rPr>
          <w:rFonts w:hint="eastAsia"/>
        </w:rPr>
      </w:pPr>
      <w:r>
        <w:rPr>
          <w:rFonts w:hint="eastAsia"/>
        </w:rPr>
        <w:t>金线河古称运粮河，发源于唐县淑闾、南昌一带，经望都县果树、小下叔，至尧城入顺平境内，经董家庄、苏辛庄，至屯头村南汇入界河（龙泉河），境内长12.6km，流域面积76k</w:t>
      </w:r>
      <w:r>
        <w:rPr>
          <w:rFonts w:hint="eastAsia"/>
          <w:lang w:val="en-US" w:eastAsia="zh-CN"/>
        </w:rPr>
        <w:t>m</w:t>
      </w:r>
      <w:r>
        <w:rPr>
          <w:rFonts w:hint="eastAsia"/>
          <w:vertAlign w:val="superscript"/>
          <w:lang w:val="en-US" w:eastAsia="zh-CN"/>
        </w:rPr>
        <w:t>2</w:t>
      </w:r>
      <w:r>
        <w:rPr>
          <w:rFonts w:hint="eastAsia"/>
        </w:rPr>
        <w:t>。</w:t>
      </w:r>
    </w:p>
    <w:p w14:paraId="39ED5089">
      <w:pPr>
        <w:pStyle w:val="47"/>
        <w:rPr>
          <w:rFonts w:hint="eastAsia"/>
        </w:rPr>
      </w:pPr>
      <w:r>
        <w:rPr>
          <w:rFonts w:hint="eastAsia"/>
        </w:rPr>
        <w:t>七节河是一条排沥河，发源于蒲阳镇永录村北，白云乡南店村南，中游经过县城东、西、南、北护城河，下游在子城村北汇入界河，全长10.4km，流域面积56k</w:t>
      </w:r>
      <w:r>
        <w:rPr>
          <w:rFonts w:hint="eastAsia"/>
          <w:lang w:val="en-US" w:eastAsia="zh-CN"/>
        </w:rPr>
        <w:t>m</w:t>
      </w:r>
      <w:r>
        <w:rPr>
          <w:rFonts w:hint="eastAsia"/>
          <w:vertAlign w:val="superscript"/>
          <w:lang w:val="en-US" w:eastAsia="zh-CN"/>
        </w:rPr>
        <w:t>2</w:t>
      </w:r>
      <w:r>
        <w:rPr>
          <w:rFonts w:hint="eastAsia"/>
        </w:rPr>
        <w:t>。</w:t>
      </w:r>
    </w:p>
    <w:p w14:paraId="77BB4216">
      <w:pPr>
        <w:pStyle w:val="47"/>
        <w:rPr>
          <w:rFonts w:hint="eastAsia"/>
        </w:rPr>
      </w:pPr>
      <w:r>
        <w:rPr>
          <w:rFonts w:hint="eastAsia"/>
        </w:rPr>
        <w:t>蒲阳河古名蒲水，发源于境内北部山区，有四股山沟水流汇入主河道，经李思庄折向东流，经淋涧、阳各庄、蒲上、大恩村、小魏家庄，至西韩童村南汇入界河，干流长19km，总流域面积162k</w:t>
      </w:r>
      <w:r>
        <w:rPr>
          <w:rFonts w:hint="eastAsia"/>
          <w:lang w:val="en-US" w:eastAsia="zh-CN"/>
        </w:rPr>
        <w:t>m</w:t>
      </w:r>
      <w:r>
        <w:rPr>
          <w:rFonts w:hint="eastAsia"/>
          <w:vertAlign w:val="superscript"/>
          <w:lang w:val="en-US" w:eastAsia="zh-CN"/>
        </w:rPr>
        <w:t>2</w:t>
      </w:r>
      <w:r>
        <w:rPr>
          <w:rFonts w:hint="eastAsia"/>
        </w:rPr>
        <w:t>。</w:t>
      </w:r>
    </w:p>
    <w:p w14:paraId="440CA799">
      <w:pPr>
        <w:pStyle w:val="47"/>
        <w:rPr>
          <w:rFonts w:hint="eastAsia"/>
        </w:rPr>
      </w:pPr>
      <w:r>
        <w:rPr>
          <w:rFonts w:hint="eastAsia"/>
        </w:rPr>
        <w:t>界河上游有2条支流，其东支源于易县，西支源于涞源县白银洼，界河主河道经满城县岭西、坨南、石井、永安庄等村出山，进入平原地带复入顺平县境，经玉山店、腰山、北堡等村庄，至屯头村北与曲逆河汇合后出顺平县境，最终汇入清水河，境内长15.7km，流域面积583.4k</w:t>
      </w:r>
      <w:r>
        <w:rPr>
          <w:rFonts w:hint="eastAsia"/>
          <w:lang w:val="en-US" w:eastAsia="zh-CN"/>
        </w:rPr>
        <w:t>m</w:t>
      </w:r>
      <w:r>
        <w:rPr>
          <w:rFonts w:hint="eastAsia"/>
          <w:vertAlign w:val="superscript"/>
          <w:lang w:val="en-US" w:eastAsia="zh-CN"/>
        </w:rPr>
        <w:t>2</w:t>
      </w:r>
      <w:r>
        <w:rPr>
          <w:rFonts w:hint="eastAsia"/>
        </w:rPr>
        <w:t>。</w:t>
      </w:r>
    </w:p>
    <w:p w14:paraId="6707FC90">
      <w:pPr>
        <w:pStyle w:val="47"/>
        <w:rPr>
          <w:lang w:val="en-US"/>
        </w:rPr>
      </w:pPr>
      <w:r>
        <w:rPr>
          <w:rFonts w:hint="eastAsia"/>
        </w:rPr>
        <w:t>全县中型水库1个，为龙潭水库，小型水库3个，分别是大悲水库、李各庄水库、荆尖水库。</w:t>
      </w:r>
    </w:p>
    <w:p w14:paraId="004A3F9E">
      <w:pPr>
        <w:pStyle w:val="92"/>
        <w:bidi w:val="0"/>
        <w:ind w:left="0" w:leftChars="0" w:firstLine="0" w:firstLineChars="0"/>
      </w:pPr>
      <w:r>
        <w:rPr>
          <w:rFonts w:hint="eastAsia"/>
        </w:rPr>
        <w:t>动植物</w:t>
      </w:r>
    </w:p>
    <w:p w14:paraId="452E47DB">
      <w:pPr>
        <w:pStyle w:val="47"/>
        <w:ind w:firstLine="482"/>
        <w:rPr>
          <w:rFonts w:hint="eastAsia"/>
        </w:rPr>
      </w:pPr>
      <w:r>
        <w:rPr>
          <w:rFonts w:hint="eastAsia"/>
        </w:rPr>
        <w:t>顺平县境内主要的野生植物包括杂草、菌类和苔藓，野生动物主要哺乳类如鼠、野兔、蝙蝠等，爬行类主要为蛇、蜥蜴、壁虎等，鸟类主要为麻雀、喜鹊、乌鸦、啄木鸟、杜鹃、猫头鹰等。两栖类主要为青蛙、蟾蜍、水蛇等。其他为昆虫、甲壳类等。人工植被主要由农作物玉米、小麦、大豆、山药组成。</w:t>
      </w:r>
    </w:p>
    <w:p w14:paraId="05AF605A">
      <w:pPr>
        <w:pStyle w:val="92"/>
        <w:bidi w:val="0"/>
        <w:ind w:left="0" w:leftChars="0" w:firstLine="0" w:firstLineChars="0"/>
      </w:pPr>
      <w:r>
        <w:rPr>
          <w:rFonts w:hint="eastAsia"/>
          <w:lang w:val="en-US" w:eastAsia="zh-CN"/>
        </w:rPr>
        <w:t>土壤</w:t>
      </w:r>
    </w:p>
    <w:p w14:paraId="778DA92F">
      <w:pPr>
        <w:pStyle w:val="47"/>
        <w:ind w:firstLine="482"/>
        <w:rPr>
          <w:rFonts w:hint="eastAsia"/>
        </w:rPr>
      </w:pPr>
      <w:r>
        <w:rPr>
          <w:rFonts w:hint="eastAsia"/>
        </w:rPr>
        <w:t>顺平县成土母质类型主要有残坡积母质、洪积冲积母质和黄土状母质三种。</w:t>
      </w:r>
    </w:p>
    <w:p w14:paraId="413A9E08">
      <w:pPr>
        <w:pStyle w:val="47"/>
        <w:ind w:firstLine="482"/>
        <w:rPr>
          <w:rFonts w:hint="eastAsia"/>
        </w:rPr>
      </w:pPr>
      <w:r>
        <w:rPr>
          <w:rFonts w:hint="eastAsia"/>
        </w:rPr>
        <w:t>残坡积母质上发育的土壤总面积有54.4766万亩，占全县总面积的51.35%，按基岩种类可细分为：花岗片麻岩残坡积母质、沙岩类残坡积母质、石灰岩类残坡积母质、页岩类残坡积母质。其中以石灰岩类残坡积母质分布最广，有43.2698万亩，占全县总面积的40.78%；沙岩类残坡积母质、页岩类残坡积母质呈条状分布；花岗片麻岩残坡积母质只在县境内有少数分布，面积仅占全县总面积的15.71%；黄土状母质31.3031万亩，占全县总面积的29.50%；其它成土母质占全县总面积的3.44%。全县土壤共分2个土类，7个亚类，21个土属，50个土种。包括褐土类和潮土类，以褐土类为主。</w:t>
      </w:r>
    </w:p>
    <w:p w14:paraId="76A93F1B">
      <w:pPr>
        <w:pStyle w:val="90"/>
        <w:bidi w:val="0"/>
        <w:ind w:left="0" w:leftChars="0" w:firstLine="0" w:firstLineChars="0"/>
      </w:pPr>
      <w:bookmarkStart w:id="49" w:name="_Toc20537"/>
      <w:r>
        <w:rPr>
          <w:rFonts w:hint="eastAsia"/>
        </w:rPr>
        <w:t>环境现状</w:t>
      </w:r>
      <w:r>
        <w:t>调查与评价</w:t>
      </w:r>
      <w:bookmarkEnd w:id="49"/>
    </w:p>
    <w:p w14:paraId="2575D014">
      <w:pPr>
        <w:pStyle w:val="92"/>
        <w:bidi w:val="0"/>
        <w:ind w:left="0" w:leftChars="0" w:firstLine="0" w:firstLineChars="0"/>
      </w:pPr>
      <w:r>
        <w:rPr>
          <w:rFonts w:hint="eastAsia"/>
        </w:rPr>
        <w:t>环境空气质量现状</w:t>
      </w:r>
    </w:p>
    <w:p w14:paraId="13D13C31">
      <w:pPr>
        <w:keepLines w:val="0"/>
        <w:kinsoku/>
        <w:wordWrap/>
        <w:overflowPunct/>
        <w:topLinePunct w:val="0"/>
        <w:autoSpaceDE/>
        <w:autoSpaceDN/>
        <w:bidi w:val="0"/>
        <w:adjustRightInd w:val="0"/>
        <w:snapToGrid w:val="0"/>
        <w:spacing w:line="500" w:lineRule="exact"/>
        <w:ind w:firstLine="560" w:firstLineChars="200"/>
        <w:jc w:val="both"/>
        <w:textAlignment w:val="auto"/>
        <w:rPr>
          <w:rFonts w:hint="default" w:eastAsia="楷体" w:cs="Times New Roman"/>
          <w:color w:val="000000" w:themeColor="text1"/>
          <w:sz w:val="28"/>
          <w:szCs w:val="28"/>
          <w:highlight w:val="none"/>
          <w:lang w:val="en-US" w:eastAsia="zh-CN"/>
          <w14:textFill>
            <w14:solidFill>
              <w14:schemeClr w14:val="tx1"/>
            </w14:solidFill>
          </w14:textFill>
        </w:rPr>
      </w:pPr>
      <w:r>
        <w:rPr>
          <w:rFonts w:hint="eastAsia" w:eastAsia="楷体" w:cs="Times New Roman"/>
          <w:color w:val="000000" w:themeColor="text1"/>
          <w:sz w:val="28"/>
          <w:szCs w:val="28"/>
          <w:highlight w:val="none"/>
          <w:lang w:val="en-US" w:eastAsia="zh-CN"/>
          <w14:textFill>
            <w14:solidFill>
              <w14:schemeClr w14:val="tx1"/>
            </w14:solidFill>
          </w14:textFill>
        </w:rPr>
        <w:t>（1）区域空气质量达标判定</w:t>
      </w:r>
    </w:p>
    <w:p w14:paraId="1ABB96CA">
      <w:pPr>
        <w:keepLines w:val="0"/>
        <w:kinsoku/>
        <w:wordWrap/>
        <w:overflowPunct/>
        <w:topLinePunct w:val="0"/>
        <w:autoSpaceDE/>
        <w:autoSpaceDN/>
        <w:bidi w:val="0"/>
        <w:adjustRightInd w:val="0"/>
        <w:snapToGrid w:val="0"/>
        <w:spacing w:line="500" w:lineRule="exact"/>
        <w:ind w:firstLine="560" w:firstLineChars="200"/>
        <w:jc w:val="both"/>
        <w:textAlignment w:val="auto"/>
        <w:rPr>
          <w:rFonts w:hint="default" w:ascii="Times New Roman" w:hAnsi="Times New Roman" w:eastAsia="楷体" w:cs="Times New Roman"/>
          <w:color w:val="000000" w:themeColor="text1"/>
          <w:sz w:val="28"/>
          <w:szCs w:val="28"/>
          <w:highlight w:val="none"/>
          <w14:textFill>
            <w14:solidFill>
              <w14:schemeClr w14:val="tx1"/>
            </w14:solidFill>
          </w14:textFill>
        </w:rPr>
      </w:pPr>
      <w:r>
        <w:rPr>
          <w:rFonts w:hint="eastAsia" w:eastAsia="楷体" w:cs="Times New Roman"/>
          <w:color w:val="000000" w:themeColor="text1"/>
          <w:sz w:val="28"/>
          <w:szCs w:val="28"/>
          <w:highlight w:val="none"/>
          <w:lang w:val="en-US" w:eastAsia="zh-CN"/>
          <w14:textFill>
            <w14:solidFill>
              <w14:schemeClr w14:val="tx1"/>
            </w14:solidFill>
          </w14:textFill>
        </w:rPr>
        <w:t>根据2024年6月由保定市生态环境局白洋淀流域生态环境监测中心编制的</w:t>
      </w:r>
      <w:r>
        <w:rPr>
          <w:rFonts w:hint="default" w:ascii="Times New Roman" w:hAnsi="Times New Roman" w:eastAsia="楷体" w:cs="Times New Roman"/>
          <w:color w:val="000000" w:themeColor="text1"/>
          <w:sz w:val="28"/>
          <w:szCs w:val="28"/>
          <w:highlight w:val="none"/>
          <w14:textFill>
            <w14:solidFill>
              <w14:schemeClr w14:val="tx1"/>
            </w14:solidFill>
          </w14:textFill>
        </w:rPr>
        <w:t>《</w:t>
      </w:r>
      <w:r>
        <w:rPr>
          <w:rFonts w:hint="eastAsia" w:eastAsia="楷体" w:cs="Times New Roman"/>
          <w:color w:val="000000" w:themeColor="text1"/>
          <w:sz w:val="28"/>
          <w:szCs w:val="28"/>
          <w:highlight w:val="none"/>
          <w:lang w:val="en-US" w:eastAsia="zh-CN"/>
          <w14:textFill>
            <w14:solidFill>
              <w14:schemeClr w14:val="tx1"/>
            </w14:solidFill>
          </w14:textFill>
        </w:rPr>
        <w:t>保定市生态环境质量报告书（2023年度）</w:t>
      </w:r>
      <w:r>
        <w:rPr>
          <w:rFonts w:hint="default" w:ascii="Times New Roman" w:hAnsi="Times New Roman" w:eastAsia="楷体" w:cs="Times New Roman"/>
          <w:color w:val="000000" w:themeColor="text1"/>
          <w:sz w:val="28"/>
          <w:szCs w:val="28"/>
          <w:highlight w:val="none"/>
          <w14:textFill>
            <w14:solidFill>
              <w14:schemeClr w14:val="tx1"/>
            </w14:solidFill>
          </w14:textFill>
        </w:rPr>
        <w:t>》</w:t>
      </w:r>
      <w:r>
        <w:rPr>
          <w:rFonts w:hint="eastAsia" w:eastAsia="楷体" w:cs="Times New Roman"/>
          <w:color w:val="000000" w:themeColor="text1"/>
          <w:sz w:val="28"/>
          <w:szCs w:val="28"/>
          <w:highlight w:val="none"/>
          <w:lang w:val="en-US" w:eastAsia="zh-CN"/>
          <w14:textFill>
            <w14:solidFill>
              <w14:schemeClr w14:val="tx1"/>
            </w14:solidFill>
          </w14:textFill>
        </w:rPr>
        <w:t>中，</w:t>
      </w:r>
      <w:r>
        <w:rPr>
          <w:rFonts w:hint="eastAsia" w:ascii="Times New Roman" w:hAnsi="Times New Roman" w:eastAsia="楷体" w:cs="Times New Roman"/>
          <w:color w:val="000000" w:themeColor="text1"/>
          <w:sz w:val="28"/>
          <w:szCs w:val="28"/>
          <w:highlight w:val="none"/>
          <w:lang w:val="en-US" w:eastAsia="zh-CN"/>
          <w14:textFill>
            <w14:solidFill>
              <w14:schemeClr w14:val="tx1"/>
            </w14:solidFill>
          </w14:textFill>
        </w:rPr>
        <w:t>保定市</w:t>
      </w:r>
      <w:r>
        <w:rPr>
          <w:rFonts w:hint="default" w:ascii="Times New Roman" w:hAnsi="Times New Roman" w:eastAsia="楷体" w:cs="Times New Roman"/>
          <w:color w:val="000000" w:themeColor="text1"/>
          <w:sz w:val="28"/>
          <w:szCs w:val="28"/>
          <w:highlight w:val="none"/>
          <w14:textFill>
            <w14:solidFill>
              <w14:schemeClr w14:val="tx1"/>
            </w14:solidFill>
          </w14:textFill>
        </w:rPr>
        <w:t>环境空气质量监测结果</w:t>
      </w:r>
      <w:r>
        <w:rPr>
          <w:rFonts w:hint="eastAsia" w:eastAsia="楷体" w:cs="Times New Roman"/>
          <w:color w:val="000000" w:themeColor="text1"/>
          <w:sz w:val="28"/>
          <w:szCs w:val="28"/>
          <w:highlight w:val="none"/>
          <w:lang w:val="en-US" w:eastAsia="zh-CN"/>
          <w14:textFill>
            <w14:solidFill>
              <w14:schemeClr w14:val="tx1"/>
            </w14:solidFill>
          </w14:textFill>
        </w:rPr>
        <w:t>可知，</w:t>
      </w:r>
      <w:r>
        <w:rPr>
          <w:rFonts w:hint="default" w:ascii="Times New Roman" w:hAnsi="Times New Roman" w:eastAsia="楷体" w:cs="Times New Roman"/>
          <w:color w:val="000000" w:themeColor="text1"/>
          <w:sz w:val="28"/>
          <w:szCs w:val="28"/>
          <w:highlight w:val="none"/>
          <w14:textFill>
            <w14:solidFill>
              <w14:schemeClr w14:val="tx1"/>
            </w14:solidFill>
          </w14:textFill>
        </w:rPr>
        <w:t>PM</w:t>
      </w:r>
      <w:r>
        <w:rPr>
          <w:rFonts w:hint="default" w:ascii="Times New Roman" w:hAnsi="Times New Roman" w:eastAsia="楷体" w:cs="Times New Roman"/>
          <w:color w:val="000000" w:themeColor="text1"/>
          <w:sz w:val="28"/>
          <w:szCs w:val="28"/>
          <w:highlight w:val="none"/>
          <w:vertAlign w:val="subscript"/>
          <w14:textFill>
            <w14:solidFill>
              <w14:schemeClr w14:val="tx1"/>
            </w14:solidFill>
          </w14:textFill>
        </w:rPr>
        <w:t>2.5</w:t>
      </w:r>
      <w:r>
        <w:rPr>
          <w:rFonts w:hint="default" w:ascii="Times New Roman" w:hAnsi="Times New Roman" w:eastAsia="楷体" w:cs="Times New Roman"/>
          <w:color w:val="000000" w:themeColor="text1"/>
          <w:sz w:val="28"/>
          <w:szCs w:val="28"/>
          <w:highlight w:val="none"/>
          <w14:textFill>
            <w14:solidFill>
              <w14:schemeClr w14:val="tx1"/>
            </w14:solidFill>
          </w14:textFill>
        </w:rPr>
        <w:t>、PM</w:t>
      </w:r>
      <w:r>
        <w:rPr>
          <w:rFonts w:hint="default" w:ascii="Times New Roman" w:hAnsi="Times New Roman" w:eastAsia="楷体" w:cs="Times New Roman"/>
          <w:color w:val="000000" w:themeColor="text1"/>
          <w:sz w:val="28"/>
          <w:szCs w:val="28"/>
          <w:highlight w:val="none"/>
          <w:vertAlign w:val="subscript"/>
          <w14:textFill>
            <w14:solidFill>
              <w14:schemeClr w14:val="tx1"/>
            </w14:solidFill>
          </w14:textFill>
        </w:rPr>
        <w:t>10</w:t>
      </w:r>
      <w:r>
        <w:rPr>
          <w:rFonts w:hint="default" w:ascii="Times New Roman" w:hAnsi="Times New Roman" w:eastAsia="楷体" w:cs="Times New Roman"/>
          <w:color w:val="000000" w:themeColor="text1"/>
          <w:sz w:val="28"/>
          <w:szCs w:val="28"/>
          <w:highlight w:val="none"/>
          <w14:textFill>
            <w14:solidFill>
              <w14:schemeClr w14:val="tx1"/>
            </w14:solidFill>
          </w14:textFill>
        </w:rPr>
        <w:t>的年平均浓度及O</w:t>
      </w:r>
      <w:r>
        <w:rPr>
          <w:rFonts w:hint="default" w:ascii="Times New Roman" w:hAnsi="Times New Roman" w:eastAsia="楷体" w:cs="Times New Roman"/>
          <w:color w:val="000000" w:themeColor="text1"/>
          <w:sz w:val="28"/>
          <w:szCs w:val="28"/>
          <w:highlight w:val="none"/>
          <w:vertAlign w:val="subscript"/>
          <w14:textFill>
            <w14:solidFill>
              <w14:schemeClr w14:val="tx1"/>
            </w14:solidFill>
          </w14:textFill>
        </w:rPr>
        <w:t>3</w:t>
      </w:r>
      <w:r>
        <w:rPr>
          <w:rFonts w:hint="default" w:ascii="Times New Roman" w:hAnsi="Times New Roman" w:eastAsia="楷体" w:cs="Times New Roman"/>
          <w:color w:val="000000" w:themeColor="text1"/>
          <w:sz w:val="28"/>
          <w:szCs w:val="28"/>
          <w:highlight w:val="none"/>
          <w14:textFill>
            <w14:solidFill>
              <w14:schemeClr w14:val="tx1"/>
            </w14:solidFill>
          </w14:textFill>
        </w:rPr>
        <w:t>的第90百分位数8小时平均质量浓度均不能满足《环境空气质量标准》（GB3095-2012）中的二级标准，其他因子均能满足《环境空气质量标准》（GB3095-2012）中的二级标准。六项污染物没有全部达标，故属于环境空气质量不达标区，具体数据见表</w:t>
      </w:r>
      <w:r>
        <w:rPr>
          <w:rFonts w:hint="eastAsia" w:eastAsia="楷体" w:cs="Times New Roman"/>
          <w:color w:val="000000" w:themeColor="text1"/>
          <w:sz w:val="28"/>
          <w:szCs w:val="28"/>
          <w:highlight w:val="none"/>
          <w:lang w:val="en-US" w:eastAsia="zh-CN"/>
          <w14:textFill>
            <w14:solidFill>
              <w14:schemeClr w14:val="tx1"/>
            </w14:solidFill>
          </w14:textFill>
        </w:rPr>
        <w:t>4.3-1</w:t>
      </w:r>
      <w:r>
        <w:rPr>
          <w:rFonts w:hint="default" w:ascii="Times New Roman" w:hAnsi="Times New Roman" w:eastAsia="楷体" w:cs="Times New Roman"/>
          <w:color w:val="000000" w:themeColor="text1"/>
          <w:sz w:val="28"/>
          <w:szCs w:val="28"/>
          <w:highlight w:val="none"/>
          <w14:textFill>
            <w14:solidFill>
              <w14:schemeClr w14:val="tx1"/>
            </w14:solidFill>
          </w14:textFill>
        </w:rPr>
        <w:t>。</w:t>
      </w:r>
    </w:p>
    <w:p w14:paraId="146C9743">
      <w:pPr>
        <w:pStyle w:val="94"/>
        <w:bidi w:val="0"/>
        <w:ind w:left="0" w:leftChars="0" w:firstLine="0" w:firstLineChars="0"/>
        <w:rPr>
          <w:rFonts w:hint="default"/>
        </w:rPr>
      </w:pPr>
      <w:r>
        <w:rPr>
          <w:rFonts w:hint="default"/>
        </w:rPr>
        <w:t>区域空气质量现状评价表</w:t>
      </w:r>
    </w:p>
    <w:tbl>
      <w:tblPr>
        <w:tblStyle w:val="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10"/>
        <w:gridCol w:w="2255"/>
        <w:gridCol w:w="1400"/>
        <w:gridCol w:w="1336"/>
        <w:gridCol w:w="1379"/>
        <w:gridCol w:w="1208"/>
      </w:tblGrid>
      <w:tr w14:paraId="3B1C8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0" w:type="pct"/>
            <w:tcBorders>
              <w:tl2br w:val="nil"/>
              <w:tr2bl w:val="nil"/>
            </w:tcBorders>
            <w:noWrap w:val="0"/>
            <w:vAlign w:val="center"/>
          </w:tcPr>
          <w:p w14:paraId="0077596D">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t>污染物</w:t>
            </w:r>
          </w:p>
        </w:tc>
        <w:tc>
          <w:tcPr>
            <w:tcW w:w="1213" w:type="pct"/>
            <w:tcBorders>
              <w:tl2br w:val="nil"/>
              <w:tr2bl w:val="nil"/>
            </w:tcBorders>
            <w:noWrap w:val="0"/>
            <w:vAlign w:val="center"/>
          </w:tcPr>
          <w:p w14:paraId="0720C76B">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t>年评价指标</w:t>
            </w:r>
          </w:p>
        </w:tc>
        <w:tc>
          <w:tcPr>
            <w:tcW w:w="753" w:type="pct"/>
            <w:tcBorders>
              <w:tl2br w:val="nil"/>
              <w:tr2bl w:val="nil"/>
            </w:tcBorders>
            <w:noWrap w:val="0"/>
            <w:vAlign w:val="center"/>
          </w:tcPr>
          <w:p w14:paraId="66F8FADA">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t>现状浓度</w:t>
            </w:r>
          </w:p>
          <w:p w14:paraId="4F869165">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t>（μg/m</w:t>
            </w:r>
            <w:r>
              <w:rPr>
                <w:rFonts w:hint="default" w:ascii="Times New Roman" w:hAnsi="Times New Roman" w:eastAsia="楷体" w:cs="Times New Roman"/>
                <w:b w:val="0"/>
                <w:bCs w:val="0"/>
                <w:color w:val="000000" w:themeColor="text1"/>
                <w:sz w:val="24"/>
                <w:szCs w:val="24"/>
                <w:highlight w:val="none"/>
                <w:vertAlign w:val="superscript"/>
                <w14:textFill>
                  <w14:solidFill>
                    <w14:schemeClr w14:val="tx1"/>
                  </w14:solidFill>
                </w14:textFill>
              </w:rPr>
              <w:t>3</w:t>
            </w:r>
            <w:r>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t>）</w:t>
            </w:r>
          </w:p>
        </w:tc>
        <w:tc>
          <w:tcPr>
            <w:tcW w:w="719" w:type="pct"/>
            <w:tcBorders>
              <w:tl2br w:val="nil"/>
              <w:tr2bl w:val="nil"/>
            </w:tcBorders>
            <w:noWrap w:val="0"/>
            <w:vAlign w:val="center"/>
          </w:tcPr>
          <w:p w14:paraId="409D7715">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t>标准值</w:t>
            </w:r>
          </w:p>
          <w:p w14:paraId="4A04FB99">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t>（μg/m</w:t>
            </w:r>
            <w:r>
              <w:rPr>
                <w:rFonts w:hint="default" w:ascii="Times New Roman" w:hAnsi="Times New Roman" w:eastAsia="楷体" w:cs="Times New Roman"/>
                <w:b w:val="0"/>
                <w:bCs w:val="0"/>
                <w:color w:val="000000" w:themeColor="text1"/>
                <w:sz w:val="24"/>
                <w:szCs w:val="24"/>
                <w:highlight w:val="none"/>
                <w:vertAlign w:val="superscript"/>
                <w14:textFill>
                  <w14:solidFill>
                    <w14:schemeClr w14:val="tx1"/>
                  </w14:solidFill>
                </w14:textFill>
              </w:rPr>
              <w:t>3</w:t>
            </w:r>
            <w:r>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t>）</w:t>
            </w:r>
          </w:p>
        </w:tc>
        <w:tc>
          <w:tcPr>
            <w:tcW w:w="742" w:type="pct"/>
            <w:tcBorders>
              <w:tl2br w:val="nil"/>
              <w:tr2bl w:val="nil"/>
            </w:tcBorders>
            <w:noWrap w:val="0"/>
            <w:vAlign w:val="center"/>
          </w:tcPr>
          <w:p w14:paraId="296A8AD7">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t>占标率</w:t>
            </w:r>
          </w:p>
          <w:p w14:paraId="04149B75">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t>（%）</w:t>
            </w:r>
          </w:p>
        </w:tc>
        <w:tc>
          <w:tcPr>
            <w:tcW w:w="650" w:type="pct"/>
            <w:tcBorders>
              <w:tl2br w:val="nil"/>
              <w:tr2bl w:val="nil"/>
            </w:tcBorders>
            <w:noWrap w:val="0"/>
            <w:vAlign w:val="center"/>
          </w:tcPr>
          <w:p w14:paraId="2E3D9CBB">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t>达标情况</w:t>
            </w:r>
          </w:p>
        </w:tc>
      </w:tr>
      <w:tr w14:paraId="0F32D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0" w:type="pct"/>
            <w:tcBorders>
              <w:tl2br w:val="nil"/>
              <w:tr2bl w:val="nil"/>
            </w:tcBorders>
            <w:noWrap w:val="0"/>
            <w:vAlign w:val="center"/>
          </w:tcPr>
          <w:p w14:paraId="1835645D">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t>SO</w:t>
            </w:r>
            <w:r>
              <w:rPr>
                <w:rFonts w:hint="default" w:ascii="Times New Roman" w:hAnsi="Times New Roman" w:eastAsia="楷体" w:cs="Times New Roman"/>
                <w:b w:val="0"/>
                <w:bCs w:val="0"/>
                <w:color w:val="000000" w:themeColor="text1"/>
                <w:sz w:val="24"/>
                <w:szCs w:val="24"/>
                <w:highlight w:val="none"/>
                <w:vertAlign w:val="subscript"/>
                <w14:textFill>
                  <w14:solidFill>
                    <w14:schemeClr w14:val="tx1"/>
                  </w14:solidFill>
                </w14:textFill>
              </w:rPr>
              <w:t>2</w:t>
            </w:r>
          </w:p>
        </w:tc>
        <w:tc>
          <w:tcPr>
            <w:tcW w:w="1213" w:type="pct"/>
            <w:tcBorders>
              <w:tl2br w:val="nil"/>
              <w:tr2bl w:val="nil"/>
            </w:tcBorders>
            <w:noWrap w:val="0"/>
            <w:vAlign w:val="center"/>
          </w:tcPr>
          <w:p w14:paraId="553767A7">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t>年平均质量浓度</w:t>
            </w:r>
          </w:p>
        </w:tc>
        <w:tc>
          <w:tcPr>
            <w:tcW w:w="753" w:type="pct"/>
            <w:tcBorders>
              <w:tl2br w:val="nil"/>
              <w:tr2bl w:val="nil"/>
            </w:tcBorders>
            <w:noWrap w:val="0"/>
            <w:vAlign w:val="center"/>
          </w:tcPr>
          <w:p w14:paraId="570F5B04">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pPr>
            <w:r>
              <w:rPr>
                <w:rFonts w:hint="eastAsia" w:eastAsia="楷体" w:cs="Times New Roman"/>
                <w:b w:val="0"/>
                <w:bCs w:val="0"/>
                <w:color w:val="000000" w:themeColor="text1"/>
                <w:sz w:val="24"/>
                <w:szCs w:val="24"/>
                <w:highlight w:val="none"/>
                <w:lang w:val="en-US" w:eastAsia="zh-CN"/>
                <w14:textFill>
                  <w14:solidFill>
                    <w14:schemeClr w14:val="tx1"/>
                  </w14:solidFill>
                </w14:textFill>
              </w:rPr>
              <w:t>8</w:t>
            </w:r>
          </w:p>
        </w:tc>
        <w:tc>
          <w:tcPr>
            <w:tcW w:w="719" w:type="pct"/>
            <w:tcBorders>
              <w:tl2br w:val="nil"/>
              <w:tr2bl w:val="nil"/>
            </w:tcBorders>
            <w:noWrap w:val="0"/>
            <w:vAlign w:val="center"/>
          </w:tcPr>
          <w:p w14:paraId="06A0C59A">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t>60</w:t>
            </w:r>
          </w:p>
        </w:tc>
        <w:tc>
          <w:tcPr>
            <w:tcW w:w="742" w:type="pct"/>
            <w:tcBorders>
              <w:tl2br w:val="nil"/>
              <w:tr2bl w:val="nil"/>
            </w:tcBorders>
            <w:noWrap w:val="0"/>
            <w:vAlign w:val="center"/>
          </w:tcPr>
          <w:p w14:paraId="7D242BCE">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pPr>
            <w:r>
              <w:rPr>
                <w:rFonts w:hint="eastAsia" w:eastAsia="楷体" w:cs="Times New Roman"/>
                <w:b w:val="0"/>
                <w:bCs w:val="0"/>
                <w:color w:val="000000" w:themeColor="text1"/>
                <w:sz w:val="24"/>
                <w:szCs w:val="24"/>
                <w:highlight w:val="none"/>
                <w:lang w:val="en-US" w:eastAsia="zh-CN"/>
                <w14:textFill>
                  <w14:solidFill>
                    <w14:schemeClr w14:val="tx1"/>
                  </w14:solidFill>
                </w14:textFill>
              </w:rPr>
              <w:t>13.3</w:t>
            </w:r>
          </w:p>
        </w:tc>
        <w:tc>
          <w:tcPr>
            <w:tcW w:w="650" w:type="pct"/>
            <w:tcBorders>
              <w:tl2br w:val="nil"/>
              <w:tr2bl w:val="nil"/>
            </w:tcBorders>
            <w:noWrap w:val="0"/>
            <w:vAlign w:val="center"/>
          </w:tcPr>
          <w:p w14:paraId="4A6B9890">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t>达</w:t>
            </w:r>
            <w:r>
              <w:rPr>
                <w:rFonts w:hint="eastAsia" w:eastAsia="楷体" w:cs="Times New Roman"/>
                <w:b w:val="0"/>
                <w:bCs w:val="0"/>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t>标</w:t>
            </w:r>
          </w:p>
        </w:tc>
      </w:tr>
      <w:tr w14:paraId="089AF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0" w:type="pct"/>
            <w:tcBorders>
              <w:tl2br w:val="nil"/>
              <w:tr2bl w:val="nil"/>
            </w:tcBorders>
            <w:noWrap w:val="0"/>
            <w:vAlign w:val="center"/>
          </w:tcPr>
          <w:p w14:paraId="707527F0">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t>NO</w:t>
            </w:r>
            <w:r>
              <w:rPr>
                <w:rFonts w:hint="default" w:ascii="Times New Roman" w:hAnsi="Times New Roman" w:eastAsia="楷体" w:cs="Times New Roman"/>
                <w:b w:val="0"/>
                <w:bCs w:val="0"/>
                <w:color w:val="000000" w:themeColor="text1"/>
                <w:sz w:val="24"/>
                <w:szCs w:val="24"/>
                <w:highlight w:val="none"/>
                <w:vertAlign w:val="subscript"/>
                <w14:textFill>
                  <w14:solidFill>
                    <w14:schemeClr w14:val="tx1"/>
                  </w14:solidFill>
                </w14:textFill>
              </w:rPr>
              <w:t>2</w:t>
            </w:r>
          </w:p>
        </w:tc>
        <w:tc>
          <w:tcPr>
            <w:tcW w:w="1213" w:type="pct"/>
            <w:tcBorders>
              <w:tl2br w:val="nil"/>
              <w:tr2bl w:val="nil"/>
            </w:tcBorders>
            <w:noWrap w:val="0"/>
            <w:vAlign w:val="center"/>
          </w:tcPr>
          <w:p w14:paraId="47734D44">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t>年平均质量浓度</w:t>
            </w:r>
          </w:p>
        </w:tc>
        <w:tc>
          <w:tcPr>
            <w:tcW w:w="753" w:type="pct"/>
            <w:tcBorders>
              <w:tl2br w:val="nil"/>
              <w:tr2bl w:val="nil"/>
            </w:tcBorders>
            <w:noWrap w:val="0"/>
            <w:vAlign w:val="center"/>
          </w:tcPr>
          <w:p w14:paraId="4B89D318">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pPr>
            <w:r>
              <w:rPr>
                <w:rFonts w:hint="eastAsia" w:eastAsia="楷体" w:cs="Times New Roman"/>
                <w:b w:val="0"/>
                <w:bCs w:val="0"/>
                <w:color w:val="000000" w:themeColor="text1"/>
                <w:sz w:val="24"/>
                <w:szCs w:val="24"/>
                <w:highlight w:val="none"/>
                <w:lang w:val="en-US" w:eastAsia="zh-CN"/>
                <w14:textFill>
                  <w14:solidFill>
                    <w14:schemeClr w14:val="tx1"/>
                  </w14:solidFill>
                </w14:textFill>
              </w:rPr>
              <w:t>33</w:t>
            </w:r>
          </w:p>
        </w:tc>
        <w:tc>
          <w:tcPr>
            <w:tcW w:w="719" w:type="pct"/>
            <w:tcBorders>
              <w:tl2br w:val="nil"/>
              <w:tr2bl w:val="nil"/>
            </w:tcBorders>
            <w:noWrap w:val="0"/>
            <w:vAlign w:val="center"/>
          </w:tcPr>
          <w:p w14:paraId="19F1A63A">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t>40</w:t>
            </w:r>
          </w:p>
        </w:tc>
        <w:tc>
          <w:tcPr>
            <w:tcW w:w="742" w:type="pct"/>
            <w:tcBorders>
              <w:tl2br w:val="nil"/>
              <w:tr2bl w:val="nil"/>
            </w:tcBorders>
            <w:noWrap w:val="0"/>
            <w:vAlign w:val="center"/>
          </w:tcPr>
          <w:p w14:paraId="0C244F9B">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pPr>
            <w:r>
              <w:rPr>
                <w:rFonts w:hint="eastAsia" w:eastAsia="楷体" w:cs="Times New Roman"/>
                <w:b w:val="0"/>
                <w:bCs w:val="0"/>
                <w:color w:val="000000" w:themeColor="text1"/>
                <w:sz w:val="24"/>
                <w:szCs w:val="24"/>
                <w:highlight w:val="none"/>
                <w:lang w:val="en-US" w:eastAsia="zh-CN"/>
                <w14:textFill>
                  <w14:solidFill>
                    <w14:schemeClr w14:val="tx1"/>
                  </w14:solidFill>
                </w14:textFill>
              </w:rPr>
              <w:t>82.5</w:t>
            </w:r>
          </w:p>
        </w:tc>
        <w:tc>
          <w:tcPr>
            <w:tcW w:w="650" w:type="pct"/>
            <w:tcBorders>
              <w:tl2br w:val="nil"/>
              <w:tr2bl w:val="nil"/>
            </w:tcBorders>
            <w:noWrap w:val="0"/>
            <w:vAlign w:val="center"/>
          </w:tcPr>
          <w:p w14:paraId="1CDE52C8">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t>达</w:t>
            </w:r>
            <w:r>
              <w:rPr>
                <w:rFonts w:hint="eastAsia" w:eastAsia="楷体" w:cs="Times New Roman"/>
                <w:b w:val="0"/>
                <w:bCs w:val="0"/>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t>标</w:t>
            </w:r>
          </w:p>
        </w:tc>
      </w:tr>
      <w:tr w14:paraId="24EA1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0" w:type="pct"/>
            <w:tcBorders>
              <w:tl2br w:val="nil"/>
              <w:tr2bl w:val="nil"/>
            </w:tcBorders>
            <w:noWrap w:val="0"/>
            <w:vAlign w:val="center"/>
          </w:tcPr>
          <w:p w14:paraId="271044F7">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t>PM</w:t>
            </w:r>
            <w:r>
              <w:rPr>
                <w:rFonts w:hint="default" w:ascii="Times New Roman" w:hAnsi="Times New Roman" w:eastAsia="楷体" w:cs="Times New Roman"/>
                <w:b w:val="0"/>
                <w:bCs w:val="0"/>
                <w:color w:val="000000" w:themeColor="text1"/>
                <w:sz w:val="24"/>
                <w:szCs w:val="24"/>
                <w:highlight w:val="none"/>
                <w:vertAlign w:val="subscript"/>
                <w14:textFill>
                  <w14:solidFill>
                    <w14:schemeClr w14:val="tx1"/>
                  </w14:solidFill>
                </w14:textFill>
              </w:rPr>
              <w:t>10</w:t>
            </w:r>
          </w:p>
        </w:tc>
        <w:tc>
          <w:tcPr>
            <w:tcW w:w="1213" w:type="pct"/>
            <w:tcBorders>
              <w:tl2br w:val="nil"/>
              <w:tr2bl w:val="nil"/>
            </w:tcBorders>
            <w:noWrap w:val="0"/>
            <w:vAlign w:val="center"/>
          </w:tcPr>
          <w:p w14:paraId="03252DC7">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t>年平均质量浓度</w:t>
            </w:r>
          </w:p>
        </w:tc>
        <w:tc>
          <w:tcPr>
            <w:tcW w:w="753" w:type="pct"/>
            <w:tcBorders>
              <w:tl2br w:val="nil"/>
              <w:tr2bl w:val="nil"/>
            </w:tcBorders>
            <w:noWrap w:val="0"/>
            <w:vAlign w:val="center"/>
          </w:tcPr>
          <w:p w14:paraId="4D6740F7">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pPr>
            <w:r>
              <w:rPr>
                <w:rFonts w:hint="eastAsia" w:eastAsia="楷体" w:cs="Times New Roman"/>
                <w:b w:val="0"/>
                <w:bCs w:val="0"/>
                <w:color w:val="000000" w:themeColor="text1"/>
                <w:sz w:val="24"/>
                <w:szCs w:val="24"/>
                <w:highlight w:val="none"/>
                <w:lang w:val="en-US" w:eastAsia="zh-CN"/>
                <w14:textFill>
                  <w14:solidFill>
                    <w14:schemeClr w14:val="tx1"/>
                  </w14:solidFill>
                </w14:textFill>
              </w:rPr>
              <w:t>78</w:t>
            </w:r>
          </w:p>
        </w:tc>
        <w:tc>
          <w:tcPr>
            <w:tcW w:w="719" w:type="pct"/>
            <w:tcBorders>
              <w:tl2br w:val="nil"/>
              <w:tr2bl w:val="nil"/>
            </w:tcBorders>
            <w:noWrap w:val="0"/>
            <w:vAlign w:val="center"/>
          </w:tcPr>
          <w:p w14:paraId="218F8469">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t>70</w:t>
            </w:r>
          </w:p>
        </w:tc>
        <w:tc>
          <w:tcPr>
            <w:tcW w:w="742" w:type="pct"/>
            <w:tcBorders>
              <w:tl2br w:val="nil"/>
              <w:tr2bl w:val="nil"/>
            </w:tcBorders>
            <w:noWrap w:val="0"/>
            <w:vAlign w:val="center"/>
          </w:tcPr>
          <w:p w14:paraId="25CA941E">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pPr>
            <w:r>
              <w:rPr>
                <w:rFonts w:hint="eastAsia" w:eastAsia="楷体" w:cs="Times New Roman"/>
                <w:b w:val="0"/>
                <w:bCs w:val="0"/>
                <w:color w:val="000000" w:themeColor="text1"/>
                <w:sz w:val="24"/>
                <w:szCs w:val="24"/>
                <w:highlight w:val="none"/>
                <w:lang w:val="en-US" w:eastAsia="zh-CN"/>
                <w14:textFill>
                  <w14:solidFill>
                    <w14:schemeClr w14:val="tx1"/>
                  </w14:solidFill>
                </w14:textFill>
              </w:rPr>
              <w:t>111.4</w:t>
            </w:r>
          </w:p>
        </w:tc>
        <w:tc>
          <w:tcPr>
            <w:tcW w:w="650" w:type="pct"/>
            <w:tcBorders>
              <w:tl2br w:val="nil"/>
              <w:tr2bl w:val="nil"/>
            </w:tcBorders>
            <w:noWrap w:val="0"/>
            <w:vAlign w:val="center"/>
          </w:tcPr>
          <w:p w14:paraId="7FF7124F">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t>不达标</w:t>
            </w:r>
          </w:p>
        </w:tc>
      </w:tr>
      <w:tr w14:paraId="1DE77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0" w:type="pct"/>
            <w:tcBorders>
              <w:tl2br w:val="nil"/>
              <w:tr2bl w:val="nil"/>
            </w:tcBorders>
            <w:noWrap w:val="0"/>
            <w:vAlign w:val="center"/>
          </w:tcPr>
          <w:p w14:paraId="5CFADD00">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t>PM</w:t>
            </w:r>
            <w:r>
              <w:rPr>
                <w:rFonts w:hint="default" w:ascii="Times New Roman" w:hAnsi="Times New Roman" w:eastAsia="楷体" w:cs="Times New Roman"/>
                <w:b w:val="0"/>
                <w:bCs w:val="0"/>
                <w:color w:val="000000" w:themeColor="text1"/>
                <w:sz w:val="24"/>
                <w:szCs w:val="24"/>
                <w:highlight w:val="none"/>
                <w:vertAlign w:val="subscript"/>
                <w14:textFill>
                  <w14:solidFill>
                    <w14:schemeClr w14:val="tx1"/>
                  </w14:solidFill>
                </w14:textFill>
              </w:rPr>
              <w:t>2.5</w:t>
            </w:r>
          </w:p>
        </w:tc>
        <w:tc>
          <w:tcPr>
            <w:tcW w:w="1213" w:type="pct"/>
            <w:tcBorders>
              <w:tl2br w:val="nil"/>
              <w:tr2bl w:val="nil"/>
            </w:tcBorders>
            <w:noWrap w:val="0"/>
            <w:vAlign w:val="center"/>
          </w:tcPr>
          <w:p w14:paraId="0E278977">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t>年平均质量浓度</w:t>
            </w:r>
          </w:p>
        </w:tc>
        <w:tc>
          <w:tcPr>
            <w:tcW w:w="753" w:type="pct"/>
            <w:tcBorders>
              <w:tl2br w:val="nil"/>
              <w:tr2bl w:val="nil"/>
            </w:tcBorders>
            <w:noWrap w:val="0"/>
            <w:vAlign w:val="center"/>
          </w:tcPr>
          <w:p w14:paraId="1972FD57">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pPr>
            <w:r>
              <w:rPr>
                <w:rFonts w:hint="eastAsia" w:eastAsia="楷体" w:cs="Times New Roman"/>
                <w:b w:val="0"/>
                <w:bCs w:val="0"/>
                <w:color w:val="000000" w:themeColor="text1"/>
                <w:sz w:val="24"/>
                <w:szCs w:val="24"/>
                <w:highlight w:val="none"/>
                <w:lang w:val="en-US" w:eastAsia="zh-CN"/>
                <w14:textFill>
                  <w14:solidFill>
                    <w14:schemeClr w14:val="tx1"/>
                  </w14:solidFill>
                </w14:textFill>
              </w:rPr>
              <w:t>44</w:t>
            </w:r>
          </w:p>
        </w:tc>
        <w:tc>
          <w:tcPr>
            <w:tcW w:w="719" w:type="pct"/>
            <w:tcBorders>
              <w:tl2br w:val="nil"/>
              <w:tr2bl w:val="nil"/>
            </w:tcBorders>
            <w:noWrap w:val="0"/>
            <w:vAlign w:val="center"/>
          </w:tcPr>
          <w:p w14:paraId="5BAC0D94">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t>35</w:t>
            </w:r>
          </w:p>
        </w:tc>
        <w:tc>
          <w:tcPr>
            <w:tcW w:w="742" w:type="pct"/>
            <w:tcBorders>
              <w:tl2br w:val="nil"/>
              <w:tr2bl w:val="nil"/>
            </w:tcBorders>
            <w:noWrap w:val="0"/>
            <w:vAlign w:val="center"/>
          </w:tcPr>
          <w:p w14:paraId="164D3502">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pPr>
            <w:r>
              <w:rPr>
                <w:rFonts w:hint="eastAsia" w:eastAsia="楷体" w:cs="Times New Roman"/>
                <w:b w:val="0"/>
                <w:bCs w:val="0"/>
                <w:color w:val="000000" w:themeColor="text1"/>
                <w:sz w:val="24"/>
                <w:szCs w:val="24"/>
                <w:highlight w:val="none"/>
                <w:lang w:val="en-US" w:eastAsia="zh-CN"/>
                <w14:textFill>
                  <w14:solidFill>
                    <w14:schemeClr w14:val="tx1"/>
                  </w14:solidFill>
                </w14:textFill>
              </w:rPr>
              <w:t>125.7</w:t>
            </w:r>
          </w:p>
        </w:tc>
        <w:tc>
          <w:tcPr>
            <w:tcW w:w="650" w:type="pct"/>
            <w:tcBorders>
              <w:tl2br w:val="nil"/>
              <w:tr2bl w:val="nil"/>
            </w:tcBorders>
            <w:noWrap w:val="0"/>
            <w:vAlign w:val="center"/>
          </w:tcPr>
          <w:p w14:paraId="68415429">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t>不达标</w:t>
            </w:r>
          </w:p>
        </w:tc>
      </w:tr>
      <w:tr w14:paraId="06E3A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0" w:type="pct"/>
            <w:tcBorders>
              <w:tl2br w:val="nil"/>
              <w:tr2bl w:val="nil"/>
            </w:tcBorders>
            <w:noWrap w:val="0"/>
            <w:vAlign w:val="center"/>
          </w:tcPr>
          <w:p w14:paraId="44453A2F">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t>CO</w:t>
            </w:r>
          </w:p>
        </w:tc>
        <w:tc>
          <w:tcPr>
            <w:tcW w:w="1213" w:type="pct"/>
            <w:tcBorders>
              <w:tl2br w:val="nil"/>
              <w:tr2bl w:val="nil"/>
            </w:tcBorders>
            <w:noWrap w:val="0"/>
            <w:vAlign w:val="center"/>
          </w:tcPr>
          <w:p w14:paraId="3AB68051">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t>24小时平均</w:t>
            </w:r>
            <w:r>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t>浓度</w:t>
            </w:r>
          </w:p>
        </w:tc>
        <w:tc>
          <w:tcPr>
            <w:tcW w:w="753" w:type="pct"/>
            <w:tcBorders>
              <w:tl2br w:val="nil"/>
              <w:tr2bl w:val="nil"/>
            </w:tcBorders>
            <w:noWrap w:val="0"/>
            <w:vAlign w:val="center"/>
          </w:tcPr>
          <w:p w14:paraId="709BD978">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pPr>
            <w:r>
              <w:rPr>
                <w:rFonts w:hint="eastAsia" w:eastAsia="楷体" w:cs="Times New Roman"/>
                <w:b w:val="0"/>
                <w:bCs w:val="0"/>
                <w:color w:val="000000" w:themeColor="text1"/>
                <w:sz w:val="24"/>
                <w:szCs w:val="24"/>
                <w:highlight w:val="none"/>
                <w:lang w:val="en-US" w:eastAsia="zh-CN"/>
                <w14:textFill>
                  <w14:solidFill>
                    <w14:schemeClr w14:val="tx1"/>
                  </w14:solidFill>
                </w14:textFill>
              </w:rPr>
              <w:t>1200</w:t>
            </w:r>
          </w:p>
        </w:tc>
        <w:tc>
          <w:tcPr>
            <w:tcW w:w="719" w:type="pct"/>
            <w:tcBorders>
              <w:tl2br w:val="nil"/>
              <w:tr2bl w:val="nil"/>
            </w:tcBorders>
            <w:noWrap w:val="0"/>
            <w:vAlign w:val="center"/>
          </w:tcPr>
          <w:p w14:paraId="60E3195C">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t>4000</w:t>
            </w:r>
          </w:p>
        </w:tc>
        <w:tc>
          <w:tcPr>
            <w:tcW w:w="742" w:type="pct"/>
            <w:tcBorders>
              <w:tl2br w:val="nil"/>
              <w:tr2bl w:val="nil"/>
            </w:tcBorders>
            <w:noWrap w:val="0"/>
            <w:vAlign w:val="center"/>
          </w:tcPr>
          <w:p w14:paraId="2ABC0E39">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pPr>
            <w:r>
              <w:rPr>
                <w:rFonts w:hint="eastAsia" w:eastAsia="楷体" w:cs="Times New Roman"/>
                <w:b w:val="0"/>
                <w:bCs w:val="0"/>
                <w:color w:val="000000" w:themeColor="text1"/>
                <w:sz w:val="24"/>
                <w:szCs w:val="24"/>
                <w:highlight w:val="none"/>
                <w:lang w:val="en-US" w:eastAsia="zh-CN"/>
                <w14:textFill>
                  <w14:solidFill>
                    <w14:schemeClr w14:val="tx1"/>
                  </w14:solidFill>
                </w14:textFill>
              </w:rPr>
              <w:t>30</w:t>
            </w:r>
          </w:p>
        </w:tc>
        <w:tc>
          <w:tcPr>
            <w:tcW w:w="650" w:type="pct"/>
            <w:tcBorders>
              <w:tl2br w:val="nil"/>
              <w:tr2bl w:val="nil"/>
            </w:tcBorders>
            <w:noWrap w:val="0"/>
            <w:vAlign w:val="center"/>
          </w:tcPr>
          <w:p w14:paraId="4C6FAD58">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t>达</w:t>
            </w:r>
            <w:r>
              <w:rPr>
                <w:rFonts w:hint="eastAsia" w:eastAsia="楷体" w:cs="Times New Roman"/>
                <w:b w:val="0"/>
                <w:bCs w:val="0"/>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t>标</w:t>
            </w:r>
          </w:p>
        </w:tc>
      </w:tr>
      <w:tr w14:paraId="37F61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0" w:type="pct"/>
            <w:tcBorders>
              <w:tl2br w:val="nil"/>
              <w:tr2bl w:val="nil"/>
            </w:tcBorders>
            <w:noWrap w:val="0"/>
            <w:vAlign w:val="center"/>
          </w:tcPr>
          <w:p w14:paraId="7EF67CAC">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vertAlign w:val="baseline"/>
                <w14:textFill>
                  <w14:solidFill>
                    <w14:schemeClr w14:val="tx1"/>
                  </w14:solidFill>
                </w14:textFill>
              </w:rPr>
              <w:t>O</w:t>
            </w:r>
            <w:r>
              <w:rPr>
                <w:rFonts w:hint="default" w:ascii="Times New Roman" w:hAnsi="Times New Roman" w:eastAsia="楷体" w:cs="Times New Roman"/>
                <w:b w:val="0"/>
                <w:bCs w:val="0"/>
                <w:color w:val="000000" w:themeColor="text1"/>
                <w:sz w:val="24"/>
                <w:szCs w:val="24"/>
                <w:highlight w:val="none"/>
                <w:vertAlign w:val="subscript"/>
                <w14:textFill>
                  <w14:solidFill>
                    <w14:schemeClr w14:val="tx1"/>
                  </w14:solidFill>
                </w14:textFill>
              </w:rPr>
              <w:t>3</w:t>
            </w:r>
          </w:p>
        </w:tc>
        <w:tc>
          <w:tcPr>
            <w:tcW w:w="1213" w:type="pct"/>
            <w:tcBorders>
              <w:tl2br w:val="nil"/>
              <w:tr2bl w:val="nil"/>
            </w:tcBorders>
            <w:noWrap w:val="0"/>
            <w:vAlign w:val="center"/>
          </w:tcPr>
          <w:p w14:paraId="6F50673D">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t>日8小时平均浓度</w:t>
            </w:r>
          </w:p>
        </w:tc>
        <w:tc>
          <w:tcPr>
            <w:tcW w:w="753" w:type="pct"/>
            <w:tcBorders>
              <w:tl2br w:val="nil"/>
              <w:tr2bl w:val="nil"/>
            </w:tcBorders>
            <w:noWrap w:val="0"/>
            <w:vAlign w:val="center"/>
          </w:tcPr>
          <w:p w14:paraId="61256FA2">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pPr>
            <w:r>
              <w:rPr>
                <w:rFonts w:hint="eastAsia" w:eastAsia="楷体" w:cs="Times New Roman"/>
                <w:b w:val="0"/>
                <w:bCs w:val="0"/>
                <w:color w:val="000000" w:themeColor="text1"/>
                <w:sz w:val="24"/>
                <w:szCs w:val="24"/>
                <w:highlight w:val="none"/>
                <w:lang w:val="en-US" w:eastAsia="zh-CN"/>
                <w14:textFill>
                  <w14:solidFill>
                    <w14:schemeClr w14:val="tx1"/>
                  </w14:solidFill>
                </w14:textFill>
              </w:rPr>
              <w:t>179</w:t>
            </w:r>
          </w:p>
        </w:tc>
        <w:tc>
          <w:tcPr>
            <w:tcW w:w="719" w:type="pct"/>
            <w:tcBorders>
              <w:tl2br w:val="nil"/>
              <w:tr2bl w:val="nil"/>
            </w:tcBorders>
            <w:noWrap w:val="0"/>
            <w:vAlign w:val="center"/>
          </w:tcPr>
          <w:p w14:paraId="746D054E">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t>160</w:t>
            </w:r>
          </w:p>
        </w:tc>
        <w:tc>
          <w:tcPr>
            <w:tcW w:w="742" w:type="pct"/>
            <w:tcBorders>
              <w:tl2br w:val="nil"/>
              <w:tr2bl w:val="nil"/>
            </w:tcBorders>
            <w:noWrap w:val="0"/>
            <w:vAlign w:val="center"/>
          </w:tcPr>
          <w:p w14:paraId="16339B1A">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pPr>
            <w:r>
              <w:rPr>
                <w:rFonts w:hint="eastAsia" w:eastAsia="楷体" w:cs="Times New Roman"/>
                <w:b w:val="0"/>
                <w:bCs w:val="0"/>
                <w:color w:val="000000" w:themeColor="text1"/>
                <w:sz w:val="24"/>
                <w:szCs w:val="24"/>
                <w:highlight w:val="none"/>
                <w:lang w:val="en-US" w:eastAsia="zh-CN"/>
                <w14:textFill>
                  <w14:solidFill>
                    <w14:schemeClr w14:val="tx1"/>
                  </w14:solidFill>
                </w14:textFill>
              </w:rPr>
              <w:t>111.9</w:t>
            </w:r>
          </w:p>
        </w:tc>
        <w:tc>
          <w:tcPr>
            <w:tcW w:w="650" w:type="pct"/>
            <w:tcBorders>
              <w:tl2br w:val="nil"/>
              <w:tr2bl w:val="nil"/>
            </w:tcBorders>
            <w:noWrap w:val="0"/>
            <w:vAlign w:val="center"/>
          </w:tcPr>
          <w:p w14:paraId="6E4D2855">
            <w:pPr>
              <w:pStyle w:val="120"/>
              <w:keepNext w:val="0"/>
              <w:keepLines w:val="0"/>
              <w:pageBreakBefore w:val="0"/>
              <w:widowControl/>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t>不达标</w:t>
            </w:r>
          </w:p>
        </w:tc>
      </w:tr>
    </w:tbl>
    <w:p w14:paraId="7CB3DFD9">
      <w:pPr>
        <w:pStyle w:val="136"/>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hint="default" w:ascii="Times New Roman" w:hAnsi="Times New Roman" w:eastAsia="楷体" w:cs="Times New Roman"/>
          <w:color w:val="000000" w:themeColor="text1"/>
          <w:sz w:val="28"/>
          <w:szCs w:val="28"/>
          <w:highlight w:val="none"/>
          <w14:textFill>
            <w14:solidFill>
              <w14:schemeClr w14:val="tx1"/>
            </w14:solidFill>
          </w14:textFill>
        </w:rPr>
      </w:pPr>
      <w:r>
        <w:rPr>
          <w:rFonts w:hint="eastAsia" w:eastAsia="楷体" w:cs="Times New Roman"/>
          <w:color w:val="000000" w:themeColor="text1"/>
          <w:sz w:val="28"/>
          <w:szCs w:val="28"/>
          <w:highlight w:val="none"/>
          <w:lang w:val="en-US" w:eastAsia="zh-CN"/>
          <w14:textFill>
            <w14:solidFill>
              <w14:schemeClr w14:val="tx1"/>
            </w14:solidFill>
          </w14:textFill>
        </w:rPr>
        <w:t>目前，保定市正在深入贯彻实施国务院《空气质量持续改善行动计划》及《河北省空气质量持续改善行动计划实施方案》（冀政发〔2024〕4号），大力推进产业结构优化调整，持续做好工业企业达标排放治理监管，全面巩固空气质量“退后十”成果，深化服务绿色转型高质量发展，持续抓好柴油货车污染治理，深入实施城市大气污染深度治理，加快推动重污染天气消除。随着各项工作的推进和落实，区域空气质量将会得到持续改善。</w:t>
      </w:r>
    </w:p>
    <w:p w14:paraId="75E2372A">
      <w:pPr>
        <w:pStyle w:val="47"/>
        <w:ind w:firstLine="482"/>
        <w:rPr>
          <w:rFonts w:hint="eastAsia" w:eastAsia="楷体"/>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2</w:t>
      </w:r>
      <w:r>
        <w:rPr>
          <w:rFonts w:hint="eastAsia"/>
          <w:color w:val="000000" w:themeColor="text1"/>
          <w:lang w:eastAsia="zh-CN"/>
          <w14:textFill>
            <w14:solidFill>
              <w14:schemeClr w14:val="tx1"/>
            </w14:solidFill>
          </w14:textFill>
        </w:rPr>
        <w:t>）其他污染物环境质量现状</w:t>
      </w:r>
    </w:p>
    <w:p w14:paraId="615B0C86">
      <w:pPr>
        <w:pStyle w:val="103"/>
        <w:keepLines w:val="0"/>
        <w:pageBreakBefore w:val="0"/>
        <w:kinsoku/>
        <w:wordWrap/>
        <w:overflowPunct/>
        <w:topLinePunct w:val="0"/>
        <w:autoSpaceDE/>
        <w:autoSpaceDN/>
        <w:bidi w:val="0"/>
        <w:adjustRightInd w:val="0"/>
        <w:snapToGrid w:val="0"/>
        <w:spacing w:line="500" w:lineRule="exact"/>
        <w:textAlignment w:val="auto"/>
        <w:rPr>
          <w:rFonts w:hint="default" w:ascii="Times New Roman" w:hAnsi="Times New Roman" w:eastAsia="楷体" w:cs="Times New Roman"/>
          <w:color w:val="000000" w:themeColor="text1"/>
          <w:sz w:val="28"/>
          <w:szCs w:val="28"/>
          <w:highlight w:val="none"/>
          <w14:textFill>
            <w14:solidFill>
              <w14:schemeClr w14:val="tx1"/>
            </w14:solidFill>
          </w14:textFill>
        </w:rPr>
      </w:pPr>
      <w:r>
        <w:rPr>
          <w:rFonts w:hint="default" w:ascii="Times New Roman" w:hAnsi="Times New Roman" w:eastAsia="楷体" w:cs="Times New Roman"/>
          <w:color w:val="000000" w:themeColor="text1"/>
          <w:sz w:val="28"/>
          <w:szCs w:val="28"/>
          <w:highlight w:val="none"/>
          <w14:textFill>
            <w14:solidFill>
              <w14:schemeClr w14:val="tx1"/>
            </w14:solidFill>
          </w14:textFill>
        </w:rPr>
        <w:t>项目特征污染物为非甲烷总烃、总悬浮颗粒物（TSP）</w:t>
      </w:r>
      <w:r>
        <w:rPr>
          <w:rFonts w:hint="default" w:ascii="Times New Roman" w:hAnsi="Times New Roman" w:eastAsia="楷体" w:cs="Times New Roman"/>
          <w:color w:val="000000" w:themeColor="text1"/>
          <w:sz w:val="28"/>
          <w:szCs w:val="28"/>
          <w:highlight w:val="none"/>
          <w:lang w:eastAsia="zh-CN"/>
          <w14:textFill>
            <w14:solidFill>
              <w14:schemeClr w14:val="tx1"/>
            </w14:solidFill>
          </w14:textFill>
        </w:rPr>
        <w:t>、</w:t>
      </w:r>
      <w:r>
        <w:rPr>
          <w:rFonts w:hint="default" w:ascii="Times New Roman" w:hAnsi="Times New Roman" w:eastAsia="楷体" w:cs="Times New Roman"/>
          <w:color w:val="000000" w:themeColor="text1"/>
          <w:sz w:val="28"/>
          <w:szCs w:val="28"/>
          <w:highlight w:val="none"/>
          <w:lang w:val="en-US" w:eastAsia="zh-CN"/>
          <w14:textFill>
            <w14:solidFill>
              <w14:schemeClr w14:val="tx1"/>
            </w14:solidFill>
          </w14:textFill>
        </w:rPr>
        <w:t>HCl</w:t>
      </w:r>
      <w:r>
        <w:rPr>
          <w:rFonts w:hint="default" w:ascii="Times New Roman" w:hAnsi="Times New Roman" w:eastAsia="楷体" w:cs="Times New Roman"/>
          <w:color w:val="000000" w:themeColor="text1"/>
          <w:sz w:val="28"/>
          <w:szCs w:val="28"/>
          <w:highlight w:val="none"/>
          <w14:textFill>
            <w14:solidFill>
              <w14:schemeClr w14:val="tx1"/>
            </w14:solidFill>
          </w14:textFill>
        </w:rPr>
        <w:t>。本次评价引用《顺平县塑料产业循环经济园区规划（调整）环境质量现状监测</w:t>
      </w:r>
      <w:r>
        <w:rPr>
          <w:rFonts w:hint="default" w:ascii="Times New Roman" w:hAnsi="Times New Roman" w:eastAsia="楷体" w:cs="Times New Roman"/>
          <w:color w:val="000000" w:themeColor="text1"/>
          <w:sz w:val="28"/>
          <w:szCs w:val="28"/>
          <w:highlight w:val="none"/>
          <w:lang w:val="en-US" w:eastAsia="zh-CN"/>
          <w14:textFill>
            <w14:solidFill>
              <w14:schemeClr w14:val="tx1"/>
            </w14:solidFill>
          </w14:textFill>
        </w:rPr>
        <w:t>报告</w:t>
      </w:r>
      <w:r>
        <w:rPr>
          <w:rFonts w:hint="default" w:ascii="Times New Roman" w:hAnsi="Times New Roman" w:eastAsia="楷体" w:cs="Times New Roman"/>
          <w:color w:val="000000" w:themeColor="text1"/>
          <w:sz w:val="28"/>
          <w:szCs w:val="28"/>
          <w:highlight w:val="none"/>
          <w14:textFill>
            <w14:solidFill>
              <w14:schemeClr w14:val="tx1"/>
            </w14:solidFill>
          </w14:textFill>
        </w:rPr>
        <w:t>》</w:t>
      </w:r>
      <w:r>
        <w:rPr>
          <w:rFonts w:hint="default" w:ascii="Times New Roman" w:hAnsi="Times New Roman" w:eastAsia="楷体" w:cs="Times New Roman"/>
          <w:color w:val="000000" w:themeColor="text1"/>
          <w:sz w:val="28"/>
          <w:szCs w:val="28"/>
          <w:highlight w:val="none"/>
          <w:lang w:val="en-US" w:eastAsia="zh-CN"/>
          <w14:textFill>
            <w14:solidFill>
              <w14:schemeClr w14:val="tx1"/>
            </w14:solidFill>
          </w14:textFill>
        </w:rPr>
        <w:t>（HBBN评价监测［2024］08015号）的A1监测点中</w:t>
      </w:r>
      <w:r>
        <w:rPr>
          <w:rFonts w:hint="default" w:ascii="Times New Roman" w:hAnsi="Times New Roman" w:eastAsia="楷体" w:cs="Times New Roman"/>
          <w:color w:val="000000" w:themeColor="text1"/>
          <w:sz w:val="28"/>
          <w:szCs w:val="28"/>
          <w:highlight w:val="none"/>
          <w14:textFill>
            <w14:solidFill>
              <w14:schemeClr w14:val="tx1"/>
            </w14:solidFill>
          </w14:textFill>
        </w:rPr>
        <w:t>非甲烷总烃</w:t>
      </w:r>
      <w:r>
        <w:rPr>
          <w:rFonts w:hint="default" w:ascii="Times New Roman" w:hAnsi="Times New Roman" w:eastAsia="楷体" w:cs="Times New Roman"/>
          <w:color w:val="000000" w:themeColor="text1"/>
          <w:sz w:val="28"/>
          <w:szCs w:val="28"/>
          <w:highlight w:val="none"/>
          <w:lang w:eastAsia="zh-CN"/>
          <w14:textFill>
            <w14:solidFill>
              <w14:schemeClr w14:val="tx1"/>
            </w14:solidFill>
          </w14:textFill>
        </w:rPr>
        <w:t>、</w:t>
      </w:r>
      <w:r>
        <w:rPr>
          <w:rFonts w:hint="default" w:ascii="Times New Roman" w:hAnsi="Times New Roman" w:eastAsia="楷体" w:cs="Times New Roman"/>
          <w:color w:val="000000" w:themeColor="text1"/>
          <w:sz w:val="28"/>
          <w:szCs w:val="28"/>
          <w:highlight w:val="none"/>
          <w:lang w:val="en-US" w:eastAsia="zh-CN"/>
          <w14:textFill>
            <w14:solidFill>
              <w14:schemeClr w14:val="tx1"/>
            </w14:solidFill>
          </w14:textFill>
        </w:rPr>
        <w:t>HCl</w:t>
      </w:r>
      <w:r>
        <w:rPr>
          <w:rFonts w:hint="default" w:ascii="Times New Roman" w:hAnsi="Times New Roman" w:eastAsia="楷体" w:cs="Times New Roman"/>
          <w:color w:val="000000" w:themeColor="text1"/>
          <w:sz w:val="28"/>
          <w:szCs w:val="28"/>
          <w:highlight w:val="none"/>
          <w14:textFill>
            <w14:solidFill>
              <w14:schemeClr w14:val="tx1"/>
            </w14:solidFill>
          </w14:textFill>
        </w:rPr>
        <w:t>的监测数据</w:t>
      </w:r>
      <w:r>
        <w:rPr>
          <w:rFonts w:hint="eastAsia" w:eastAsia="楷体" w:cs="Times New Roman"/>
          <w:color w:val="000000" w:themeColor="text1"/>
          <w:sz w:val="28"/>
          <w:szCs w:val="28"/>
          <w:highlight w:val="none"/>
          <w:lang w:eastAsia="zh-CN"/>
          <w14:textFill>
            <w14:solidFill>
              <w14:schemeClr w14:val="tx1"/>
            </w14:solidFill>
          </w14:textFill>
        </w:rPr>
        <w:t>，以及</w:t>
      </w:r>
      <w:r>
        <w:rPr>
          <w:rFonts w:hint="eastAsia" w:eastAsia="楷体" w:cs="Times New Roman"/>
          <w:color w:val="000000" w:themeColor="text1"/>
          <w:sz w:val="28"/>
          <w:szCs w:val="28"/>
          <w:highlight w:val="none"/>
          <w:lang w:val="en-US" w:eastAsia="zh-CN"/>
          <w14:textFill>
            <w14:solidFill>
              <w14:schemeClr w14:val="tx1"/>
            </w14:solidFill>
          </w14:textFill>
        </w:rPr>
        <w:t>A2监测点中TSP</w:t>
      </w:r>
      <w:r>
        <w:rPr>
          <w:rFonts w:hint="default" w:ascii="Times New Roman" w:hAnsi="Times New Roman" w:eastAsia="楷体" w:cs="Times New Roman"/>
          <w:color w:val="000000" w:themeColor="text1"/>
          <w:sz w:val="28"/>
          <w:szCs w:val="28"/>
          <w:highlight w:val="none"/>
          <w14:textFill>
            <w14:solidFill>
              <w14:schemeClr w14:val="tx1"/>
            </w14:solidFill>
          </w14:textFill>
        </w:rPr>
        <w:t>的监测数据（见附件</w:t>
      </w:r>
      <w:r>
        <w:rPr>
          <w:rFonts w:hint="eastAsia" w:eastAsia="楷体" w:cs="Times New Roman"/>
          <w:color w:val="000000" w:themeColor="text1"/>
          <w:sz w:val="28"/>
          <w:szCs w:val="28"/>
          <w:highlight w:val="none"/>
          <w:lang w:val="en-US" w:eastAsia="zh-CN"/>
          <w14:textFill>
            <w14:solidFill>
              <w14:schemeClr w14:val="tx1"/>
            </w14:solidFill>
          </w14:textFill>
        </w:rPr>
        <w:t>6</w:t>
      </w:r>
      <w:r>
        <w:rPr>
          <w:rFonts w:hint="default" w:ascii="Times New Roman" w:hAnsi="Times New Roman" w:eastAsia="楷体" w:cs="Times New Roman"/>
          <w:color w:val="000000" w:themeColor="text1"/>
          <w:sz w:val="28"/>
          <w:szCs w:val="28"/>
          <w:highlight w:val="none"/>
          <w14:textFill>
            <w14:solidFill>
              <w14:schemeClr w14:val="tx1"/>
            </w14:solidFill>
          </w14:textFill>
        </w:rPr>
        <w:t>），监测时间为202</w:t>
      </w:r>
      <w:r>
        <w:rPr>
          <w:rFonts w:hint="default" w:ascii="Times New Roman" w:hAnsi="Times New Roman" w:eastAsia="楷体" w:cs="Times New Roman"/>
          <w:color w:val="000000" w:themeColor="text1"/>
          <w:sz w:val="28"/>
          <w:szCs w:val="28"/>
          <w:highlight w:val="none"/>
          <w:lang w:val="en-US" w:eastAsia="zh-CN"/>
          <w14:textFill>
            <w14:solidFill>
              <w14:schemeClr w14:val="tx1"/>
            </w14:solidFill>
          </w14:textFill>
        </w:rPr>
        <w:t>4</w:t>
      </w:r>
      <w:r>
        <w:rPr>
          <w:rFonts w:hint="default" w:ascii="Times New Roman" w:hAnsi="Times New Roman" w:eastAsia="楷体" w:cs="Times New Roman"/>
          <w:color w:val="000000" w:themeColor="text1"/>
          <w:sz w:val="28"/>
          <w:szCs w:val="28"/>
          <w:highlight w:val="none"/>
          <w14:textFill>
            <w14:solidFill>
              <w14:schemeClr w14:val="tx1"/>
            </w14:solidFill>
          </w14:textFill>
        </w:rPr>
        <w:t>年</w:t>
      </w:r>
      <w:r>
        <w:rPr>
          <w:rFonts w:hint="default" w:ascii="Times New Roman" w:hAnsi="Times New Roman" w:eastAsia="楷体" w:cs="Times New Roman"/>
          <w:color w:val="000000" w:themeColor="text1"/>
          <w:sz w:val="28"/>
          <w:szCs w:val="28"/>
          <w:highlight w:val="none"/>
          <w:lang w:val="en-US" w:eastAsia="zh-CN"/>
          <w14:textFill>
            <w14:solidFill>
              <w14:schemeClr w14:val="tx1"/>
            </w14:solidFill>
          </w14:textFill>
        </w:rPr>
        <w:t>8</w:t>
      </w:r>
      <w:r>
        <w:rPr>
          <w:rFonts w:hint="default" w:ascii="Times New Roman" w:hAnsi="Times New Roman" w:eastAsia="楷体" w:cs="Times New Roman"/>
          <w:color w:val="000000" w:themeColor="text1"/>
          <w:sz w:val="28"/>
          <w:szCs w:val="28"/>
          <w:highlight w:val="none"/>
          <w14:textFill>
            <w14:solidFill>
              <w14:schemeClr w14:val="tx1"/>
            </w14:solidFill>
          </w14:textFill>
        </w:rPr>
        <w:t>月</w:t>
      </w:r>
      <w:r>
        <w:rPr>
          <w:rFonts w:hint="default" w:ascii="Times New Roman" w:hAnsi="Times New Roman" w:eastAsia="楷体" w:cs="Times New Roman"/>
          <w:color w:val="000000" w:themeColor="text1"/>
          <w:sz w:val="28"/>
          <w:szCs w:val="28"/>
          <w:highlight w:val="none"/>
          <w:lang w:val="en-US" w:eastAsia="zh-CN"/>
          <w14:textFill>
            <w14:solidFill>
              <w14:schemeClr w14:val="tx1"/>
            </w14:solidFill>
          </w14:textFill>
        </w:rPr>
        <w:t>7</w:t>
      </w:r>
      <w:r>
        <w:rPr>
          <w:rFonts w:hint="default" w:ascii="Times New Roman" w:hAnsi="Times New Roman" w:eastAsia="楷体" w:cs="Times New Roman"/>
          <w:color w:val="000000" w:themeColor="text1"/>
          <w:sz w:val="28"/>
          <w:szCs w:val="28"/>
          <w:highlight w:val="none"/>
          <w14:textFill>
            <w14:solidFill>
              <w14:schemeClr w14:val="tx1"/>
            </w14:solidFill>
          </w14:textFill>
        </w:rPr>
        <w:t>日~202</w:t>
      </w:r>
      <w:r>
        <w:rPr>
          <w:rFonts w:hint="default" w:ascii="Times New Roman" w:hAnsi="Times New Roman" w:eastAsia="楷体" w:cs="Times New Roman"/>
          <w:color w:val="000000" w:themeColor="text1"/>
          <w:sz w:val="28"/>
          <w:szCs w:val="28"/>
          <w:highlight w:val="none"/>
          <w:lang w:val="en-US" w:eastAsia="zh-CN"/>
          <w14:textFill>
            <w14:solidFill>
              <w14:schemeClr w14:val="tx1"/>
            </w14:solidFill>
          </w14:textFill>
        </w:rPr>
        <w:t>4</w:t>
      </w:r>
      <w:r>
        <w:rPr>
          <w:rFonts w:hint="default" w:ascii="Times New Roman" w:hAnsi="Times New Roman" w:eastAsia="楷体" w:cs="Times New Roman"/>
          <w:color w:val="000000" w:themeColor="text1"/>
          <w:sz w:val="28"/>
          <w:szCs w:val="28"/>
          <w:highlight w:val="none"/>
          <w14:textFill>
            <w14:solidFill>
              <w14:schemeClr w14:val="tx1"/>
            </w14:solidFill>
          </w14:textFill>
        </w:rPr>
        <w:t>年</w:t>
      </w:r>
      <w:r>
        <w:rPr>
          <w:rFonts w:hint="default" w:ascii="Times New Roman" w:hAnsi="Times New Roman" w:eastAsia="楷体" w:cs="Times New Roman"/>
          <w:color w:val="000000" w:themeColor="text1"/>
          <w:sz w:val="28"/>
          <w:szCs w:val="28"/>
          <w:highlight w:val="none"/>
          <w:lang w:val="en-US" w:eastAsia="zh-CN"/>
          <w14:textFill>
            <w14:solidFill>
              <w14:schemeClr w14:val="tx1"/>
            </w14:solidFill>
          </w14:textFill>
        </w:rPr>
        <w:t>8</w:t>
      </w:r>
      <w:r>
        <w:rPr>
          <w:rFonts w:hint="default" w:ascii="Times New Roman" w:hAnsi="Times New Roman" w:eastAsia="楷体" w:cs="Times New Roman"/>
          <w:color w:val="000000" w:themeColor="text1"/>
          <w:sz w:val="28"/>
          <w:szCs w:val="28"/>
          <w:highlight w:val="none"/>
          <w14:textFill>
            <w14:solidFill>
              <w14:schemeClr w14:val="tx1"/>
            </w14:solidFill>
          </w14:textFill>
        </w:rPr>
        <w:t>月</w:t>
      </w:r>
      <w:r>
        <w:rPr>
          <w:rFonts w:hint="eastAsia" w:eastAsia="楷体" w:cs="Times New Roman"/>
          <w:color w:val="000000" w:themeColor="text1"/>
          <w:sz w:val="28"/>
          <w:szCs w:val="28"/>
          <w:highlight w:val="none"/>
          <w:lang w:val="en-US" w:eastAsia="zh-CN"/>
          <w14:textFill>
            <w14:solidFill>
              <w14:schemeClr w14:val="tx1"/>
            </w14:solidFill>
          </w14:textFill>
        </w:rPr>
        <w:t>20</w:t>
      </w:r>
      <w:r>
        <w:rPr>
          <w:rFonts w:hint="default" w:ascii="Times New Roman" w:hAnsi="Times New Roman" w:eastAsia="楷体" w:cs="Times New Roman"/>
          <w:color w:val="000000" w:themeColor="text1"/>
          <w:sz w:val="28"/>
          <w:szCs w:val="28"/>
          <w:highlight w:val="none"/>
          <w14:textFill>
            <w14:solidFill>
              <w14:schemeClr w14:val="tx1"/>
            </w14:solidFill>
          </w14:textFill>
        </w:rPr>
        <w:t>日，非甲烷总烃</w:t>
      </w:r>
      <w:r>
        <w:rPr>
          <w:rFonts w:hint="default" w:ascii="Times New Roman" w:hAnsi="Times New Roman" w:eastAsia="楷体" w:cs="Times New Roman"/>
          <w:color w:val="000000" w:themeColor="text1"/>
          <w:sz w:val="28"/>
          <w:szCs w:val="28"/>
          <w:highlight w:val="none"/>
          <w:lang w:eastAsia="zh-CN"/>
          <w14:textFill>
            <w14:solidFill>
              <w14:schemeClr w14:val="tx1"/>
            </w14:solidFill>
          </w14:textFill>
        </w:rPr>
        <w:t>、</w:t>
      </w:r>
      <w:r>
        <w:rPr>
          <w:rFonts w:hint="default" w:ascii="Times New Roman" w:hAnsi="Times New Roman" w:eastAsia="楷体" w:cs="Times New Roman"/>
          <w:color w:val="000000" w:themeColor="text1"/>
          <w:sz w:val="28"/>
          <w:szCs w:val="28"/>
          <w:highlight w:val="none"/>
          <w:lang w:val="en-US" w:eastAsia="zh-CN"/>
          <w14:textFill>
            <w14:solidFill>
              <w14:schemeClr w14:val="tx1"/>
            </w14:solidFill>
          </w14:textFill>
        </w:rPr>
        <w:t>HCl</w:t>
      </w:r>
      <w:r>
        <w:rPr>
          <w:rFonts w:hint="default" w:ascii="Times New Roman" w:hAnsi="Times New Roman" w:eastAsia="楷体" w:cs="Times New Roman"/>
          <w:color w:val="000000" w:themeColor="text1"/>
          <w:sz w:val="28"/>
          <w:szCs w:val="28"/>
          <w:highlight w:val="none"/>
          <w14:textFill>
            <w14:solidFill>
              <w14:schemeClr w14:val="tx1"/>
            </w14:solidFill>
          </w14:textFill>
        </w:rPr>
        <w:t>环境空气监测点位于项目</w:t>
      </w:r>
      <w:r>
        <w:rPr>
          <w:rFonts w:hint="default" w:ascii="Times New Roman" w:hAnsi="Times New Roman" w:eastAsia="楷体" w:cs="Times New Roman"/>
          <w:color w:val="000000" w:themeColor="text1"/>
          <w:sz w:val="28"/>
          <w:szCs w:val="28"/>
          <w:highlight w:val="none"/>
          <w:lang w:val="en-US" w:eastAsia="zh-CN"/>
          <w14:textFill>
            <w14:solidFill>
              <w14:schemeClr w14:val="tx1"/>
            </w14:solidFill>
          </w14:textFill>
        </w:rPr>
        <w:t>西南</w:t>
      </w:r>
      <w:r>
        <w:rPr>
          <w:rFonts w:hint="default" w:ascii="Times New Roman" w:hAnsi="Times New Roman" w:eastAsia="楷体" w:cs="Times New Roman"/>
          <w:color w:val="000000" w:themeColor="text1"/>
          <w:sz w:val="28"/>
          <w:szCs w:val="28"/>
          <w:highlight w:val="none"/>
          <w14:textFill>
            <w14:solidFill>
              <w14:schemeClr w14:val="tx1"/>
            </w14:solidFill>
          </w14:textFill>
        </w:rPr>
        <w:t>侧1</w:t>
      </w:r>
      <w:r>
        <w:rPr>
          <w:rFonts w:hint="default" w:ascii="Times New Roman" w:hAnsi="Times New Roman" w:eastAsia="楷体" w:cs="Times New Roman"/>
          <w:color w:val="000000" w:themeColor="text1"/>
          <w:sz w:val="28"/>
          <w:szCs w:val="28"/>
          <w:highlight w:val="none"/>
          <w:lang w:val="en-US" w:eastAsia="zh-CN"/>
          <w14:textFill>
            <w14:solidFill>
              <w14:schemeClr w14:val="tx1"/>
            </w14:solidFill>
          </w14:textFill>
        </w:rPr>
        <w:t>80</w:t>
      </w:r>
      <w:r>
        <w:rPr>
          <w:rFonts w:hint="default" w:ascii="Times New Roman" w:hAnsi="Times New Roman" w:eastAsia="楷体" w:cs="Times New Roman"/>
          <w:color w:val="000000" w:themeColor="text1"/>
          <w:sz w:val="28"/>
          <w:szCs w:val="28"/>
          <w:highlight w:val="none"/>
          <w14:textFill>
            <w14:solidFill>
              <w14:schemeClr w14:val="tx1"/>
            </w14:solidFill>
          </w14:textFill>
        </w:rPr>
        <w:t>0m处的</w:t>
      </w:r>
      <w:r>
        <w:rPr>
          <w:rFonts w:hint="eastAsia" w:ascii="Times New Roman" w:hAnsi="Times New Roman" w:eastAsia="楷体" w:cs="Times New Roman"/>
          <w:color w:val="000000" w:themeColor="text1"/>
          <w:sz w:val="28"/>
          <w:szCs w:val="28"/>
          <w:highlight w:val="none"/>
          <w:lang w:val="en-US" w:eastAsia="zh-CN"/>
          <w14:textFill>
            <w14:solidFill>
              <w14:schemeClr w14:val="tx1"/>
            </w14:solidFill>
          </w14:textFill>
        </w:rPr>
        <w:t>闫家庄村</w:t>
      </w:r>
      <w:r>
        <w:rPr>
          <w:rFonts w:hint="default" w:ascii="Times New Roman" w:hAnsi="Times New Roman" w:eastAsia="楷体" w:cs="Times New Roman"/>
          <w:color w:val="000000" w:themeColor="text1"/>
          <w:sz w:val="28"/>
          <w:szCs w:val="28"/>
          <w:highlight w:val="none"/>
          <w14:textFill>
            <w14:solidFill>
              <w14:schemeClr w14:val="tx1"/>
            </w14:solidFill>
          </w14:textFill>
        </w:rPr>
        <w:t>，</w:t>
      </w:r>
      <w:r>
        <w:rPr>
          <w:rFonts w:hint="eastAsia" w:ascii="Times New Roman" w:hAnsi="Times New Roman" w:eastAsia="楷体" w:cs="Times New Roman"/>
          <w:color w:val="000000" w:themeColor="text1"/>
          <w:sz w:val="28"/>
          <w:szCs w:val="28"/>
          <w:highlight w:val="none"/>
          <w:lang w:val="en-US" w:eastAsia="zh-CN"/>
          <w14:textFill>
            <w14:solidFill>
              <w14:schemeClr w14:val="tx1"/>
            </w14:solidFill>
          </w14:textFill>
        </w:rPr>
        <w:t>TSP</w:t>
      </w:r>
      <w:r>
        <w:rPr>
          <w:rFonts w:hint="default" w:ascii="Times New Roman" w:hAnsi="Times New Roman" w:eastAsia="楷体" w:cs="Times New Roman"/>
          <w:color w:val="000000" w:themeColor="text1"/>
          <w:sz w:val="28"/>
          <w:szCs w:val="28"/>
          <w:highlight w:val="none"/>
          <w14:textFill>
            <w14:solidFill>
              <w14:schemeClr w14:val="tx1"/>
            </w14:solidFill>
          </w14:textFill>
        </w:rPr>
        <w:t>环境空气监测点位于项目</w:t>
      </w:r>
      <w:r>
        <w:rPr>
          <w:rFonts w:hint="default" w:ascii="Times New Roman" w:hAnsi="Times New Roman" w:eastAsia="楷体" w:cs="Times New Roman"/>
          <w:color w:val="000000" w:themeColor="text1"/>
          <w:sz w:val="28"/>
          <w:szCs w:val="28"/>
          <w:highlight w:val="none"/>
          <w:lang w:val="en-US" w:eastAsia="zh-CN"/>
          <w14:textFill>
            <w14:solidFill>
              <w14:schemeClr w14:val="tx1"/>
            </w14:solidFill>
          </w14:textFill>
        </w:rPr>
        <w:t>南</w:t>
      </w:r>
      <w:r>
        <w:rPr>
          <w:rFonts w:hint="default" w:ascii="Times New Roman" w:hAnsi="Times New Roman" w:eastAsia="楷体" w:cs="Times New Roman"/>
          <w:color w:val="000000" w:themeColor="text1"/>
          <w:sz w:val="28"/>
          <w:szCs w:val="28"/>
          <w:highlight w:val="none"/>
          <w14:textFill>
            <w14:solidFill>
              <w14:schemeClr w14:val="tx1"/>
            </w14:solidFill>
          </w14:textFill>
        </w:rPr>
        <w:t>侧</w:t>
      </w:r>
      <w:r>
        <w:rPr>
          <w:rFonts w:hint="eastAsia" w:ascii="Times New Roman" w:hAnsi="Times New Roman" w:eastAsia="楷体" w:cs="Times New Roman"/>
          <w:color w:val="000000" w:themeColor="text1"/>
          <w:sz w:val="28"/>
          <w:szCs w:val="28"/>
          <w:highlight w:val="none"/>
          <w:lang w:val="en-US" w:eastAsia="zh-CN"/>
          <w14:textFill>
            <w14:solidFill>
              <w14:schemeClr w14:val="tx1"/>
            </w14:solidFill>
          </w14:textFill>
        </w:rPr>
        <w:t>45</w:t>
      </w:r>
      <w:r>
        <w:rPr>
          <w:rFonts w:hint="default" w:ascii="Times New Roman" w:hAnsi="Times New Roman" w:eastAsia="楷体" w:cs="Times New Roman"/>
          <w:color w:val="000000" w:themeColor="text1"/>
          <w:sz w:val="28"/>
          <w:szCs w:val="28"/>
          <w:highlight w:val="none"/>
          <w:lang w:val="en-US" w:eastAsia="zh-CN"/>
          <w14:textFill>
            <w14:solidFill>
              <w14:schemeClr w14:val="tx1"/>
            </w14:solidFill>
          </w14:textFill>
        </w:rPr>
        <w:t>0</w:t>
      </w:r>
      <w:r>
        <w:rPr>
          <w:rFonts w:hint="default" w:ascii="Times New Roman" w:hAnsi="Times New Roman" w:eastAsia="楷体" w:cs="Times New Roman"/>
          <w:color w:val="000000" w:themeColor="text1"/>
          <w:sz w:val="28"/>
          <w:szCs w:val="28"/>
          <w:highlight w:val="none"/>
          <w14:textFill>
            <w14:solidFill>
              <w14:schemeClr w14:val="tx1"/>
            </w14:solidFill>
          </w14:textFill>
        </w:rPr>
        <w:t>0m处的</w:t>
      </w:r>
      <w:r>
        <w:rPr>
          <w:rFonts w:hint="eastAsia" w:ascii="Times New Roman" w:hAnsi="Times New Roman" w:eastAsia="楷体" w:cs="Times New Roman"/>
          <w:color w:val="000000" w:themeColor="text1"/>
          <w:sz w:val="28"/>
          <w:szCs w:val="28"/>
          <w:highlight w:val="none"/>
          <w:lang w:val="en-US" w:eastAsia="zh-CN"/>
          <w14:textFill>
            <w14:solidFill>
              <w14:schemeClr w14:val="tx1"/>
            </w14:solidFill>
          </w14:textFill>
        </w:rPr>
        <w:t>北李各庄村</w:t>
      </w:r>
      <w:r>
        <w:rPr>
          <w:rFonts w:hint="eastAsia" w:ascii="Times New Roman" w:hAnsi="Times New Roman" w:eastAsia="楷体" w:cs="Times New Roman"/>
          <w:color w:val="000000" w:themeColor="text1"/>
          <w:sz w:val="28"/>
          <w:szCs w:val="28"/>
          <w:highlight w:val="none"/>
          <w:lang w:eastAsia="zh-CN"/>
          <w14:textFill>
            <w14:solidFill>
              <w14:schemeClr w14:val="tx1"/>
            </w14:solidFill>
          </w14:textFill>
        </w:rPr>
        <w:t>，</w:t>
      </w:r>
      <w:r>
        <w:rPr>
          <w:rFonts w:hint="eastAsia" w:ascii="Times New Roman" w:hAnsi="Times New Roman" w:eastAsia="楷体" w:cs="Times New Roman"/>
          <w:color w:val="000000" w:themeColor="text1"/>
          <w:sz w:val="28"/>
          <w:szCs w:val="28"/>
          <w:highlight w:val="none"/>
          <w:lang w:val="en-US" w:eastAsia="zh-CN"/>
          <w14:textFill>
            <w14:solidFill>
              <w14:schemeClr w14:val="tx1"/>
            </w14:solidFill>
          </w14:textFill>
        </w:rPr>
        <w:t>均</w:t>
      </w:r>
      <w:r>
        <w:rPr>
          <w:rFonts w:hint="default" w:ascii="Times New Roman" w:hAnsi="Times New Roman" w:eastAsia="楷体" w:cs="Times New Roman"/>
          <w:color w:val="000000" w:themeColor="text1"/>
          <w:sz w:val="28"/>
          <w:szCs w:val="28"/>
          <w:highlight w:val="none"/>
          <w14:textFill>
            <w14:solidFill>
              <w14:schemeClr w14:val="tx1"/>
            </w14:solidFill>
          </w14:textFill>
        </w:rPr>
        <w:t>在项目大气评价范围内，且监测数据为三年有效期数据。</w:t>
      </w:r>
    </w:p>
    <w:p w14:paraId="0E338B6E">
      <w:pPr>
        <w:pStyle w:val="103"/>
        <w:keepLines w:val="0"/>
        <w:pageBreakBefore w:val="0"/>
        <w:kinsoku/>
        <w:wordWrap/>
        <w:overflowPunct/>
        <w:topLinePunct w:val="0"/>
        <w:autoSpaceDE/>
        <w:autoSpaceDN/>
        <w:bidi w:val="0"/>
        <w:adjustRightInd w:val="0"/>
        <w:snapToGrid w:val="0"/>
        <w:spacing w:line="500" w:lineRule="exact"/>
        <w:textAlignment w:val="auto"/>
        <w:rPr>
          <w:rFonts w:hint="default" w:ascii="Times New Roman" w:hAnsi="Times New Roman" w:eastAsia="楷体" w:cs="Times New Roman"/>
          <w:color w:val="000000" w:themeColor="text1"/>
          <w:sz w:val="28"/>
          <w:szCs w:val="28"/>
          <w:highlight w:val="none"/>
          <w14:textFill>
            <w14:solidFill>
              <w14:schemeClr w14:val="tx1"/>
            </w14:solidFill>
          </w14:textFill>
        </w:rPr>
      </w:pPr>
    </w:p>
    <w:p w14:paraId="2A812572">
      <w:pPr>
        <w:pStyle w:val="94"/>
        <w:bidi w:val="0"/>
        <w:rPr>
          <w:rFonts w:hint="default"/>
        </w:rPr>
      </w:pPr>
      <w:r>
        <w:rPr>
          <w:rFonts w:hint="default"/>
          <w:lang w:val="en-US" w:eastAsia="zh-CN"/>
        </w:rPr>
        <w:t>大气其他污染物补充监测点位基本信息</w:t>
      </w:r>
    </w:p>
    <w:tbl>
      <w:tblPr>
        <w:tblStyle w:val="3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0"/>
        <w:gridCol w:w="1644"/>
        <w:gridCol w:w="1702"/>
        <w:gridCol w:w="2603"/>
        <w:gridCol w:w="1175"/>
        <w:gridCol w:w="1184"/>
      </w:tblGrid>
      <w:tr w14:paraId="7AC5E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4" w:type="pct"/>
            <w:noWrap w:val="0"/>
            <w:tcMar>
              <w:top w:w="0" w:type="dxa"/>
              <w:left w:w="0" w:type="dxa"/>
              <w:bottom w:w="0" w:type="dxa"/>
              <w:right w:w="0" w:type="dxa"/>
            </w:tcMar>
            <w:vAlign w:val="center"/>
          </w:tcPr>
          <w:p w14:paraId="4DF92806">
            <w:pPr>
              <w:pStyle w:val="55"/>
              <w:bidi w:val="0"/>
              <w:rPr>
                <w:rFonts w:hint="default"/>
                <w:lang w:eastAsia="en-US"/>
              </w:rPr>
            </w:pPr>
            <w:r>
              <w:rPr>
                <w:rFonts w:hint="default"/>
                <w:lang w:eastAsia="en-US"/>
              </w:rPr>
              <w:t>监测点名称</w:t>
            </w:r>
          </w:p>
        </w:tc>
        <w:tc>
          <w:tcPr>
            <w:tcW w:w="905" w:type="pct"/>
            <w:noWrap w:val="0"/>
            <w:tcMar>
              <w:top w:w="0" w:type="dxa"/>
              <w:left w:w="0" w:type="dxa"/>
              <w:bottom w:w="0" w:type="dxa"/>
              <w:right w:w="0" w:type="dxa"/>
            </w:tcMar>
            <w:vAlign w:val="center"/>
          </w:tcPr>
          <w:p w14:paraId="37679582">
            <w:pPr>
              <w:pStyle w:val="55"/>
              <w:bidi w:val="0"/>
              <w:rPr>
                <w:rFonts w:hint="default"/>
                <w:lang w:eastAsia="en-US"/>
              </w:rPr>
            </w:pPr>
            <w:r>
              <w:rPr>
                <w:rFonts w:hint="default"/>
                <w:lang w:eastAsia="en-US"/>
              </w:rPr>
              <w:t>监测点坐标</w:t>
            </w:r>
          </w:p>
        </w:tc>
        <w:tc>
          <w:tcPr>
            <w:tcW w:w="937" w:type="pct"/>
            <w:noWrap w:val="0"/>
            <w:tcMar>
              <w:top w:w="0" w:type="dxa"/>
              <w:left w:w="0" w:type="dxa"/>
              <w:bottom w:w="0" w:type="dxa"/>
              <w:right w:w="0" w:type="dxa"/>
            </w:tcMar>
            <w:vAlign w:val="center"/>
          </w:tcPr>
          <w:p w14:paraId="11C2F611">
            <w:pPr>
              <w:pStyle w:val="55"/>
              <w:bidi w:val="0"/>
              <w:rPr>
                <w:rFonts w:hint="default"/>
                <w:lang w:eastAsia="en-US"/>
              </w:rPr>
            </w:pPr>
            <w:r>
              <w:rPr>
                <w:rFonts w:hint="default"/>
                <w:lang w:eastAsia="en-US"/>
              </w:rPr>
              <w:t>监测因子</w:t>
            </w:r>
          </w:p>
        </w:tc>
        <w:tc>
          <w:tcPr>
            <w:tcW w:w="1433" w:type="pct"/>
            <w:noWrap w:val="0"/>
            <w:tcMar>
              <w:top w:w="0" w:type="dxa"/>
              <w:left w:w="0" w:type="dxa"/>
              <w:bottom w:w="0" w:type="dxa"/>
              <w:right w:w="0" w:type="dxa"/>
            </w:tcMar>
            <w:vAlign w:val="center"/>
          </w:tcPr>
          <w:p w14:paraId="3A17ECE7">
            <w:pPr>
              <w:pStyle w:val="55"/>
              <w:bidi w:val="0"/>
              <w:rPr>
                <w:rFonts w:hint="default"/>
                <w:lang w:eastAsia="en-US"/>
              </w:rPr>
            </w:pPr>
            <w:r>
              <w:rPr>
                <w:rFonts w:hint="default"/>
                <w:lang w:eastAsia="en-US"/>
              </w:rPr>
              <w:t>监测时段</w:t>
            </w:r>
          </w:p>
        </w:tc>
        <w:tc>
          <w:tcPr>
            <w:tcW w:w="647" w:type="pct"/>
            <w:noWrap w:val="0"/>
            <w:tcMar>
              <w:top w:w="0" w:type="dxa"/>
              <w:left w:w="0" w:type="dxa"/>
              <w:bottom w:w="0" w:type="dxa"/>
              <w:right w:w="0" w:type="dxa"/>
            </w:tcMar>
            <w:vAlign w:val="center"/>
          </w:tcPr>
          <w:p w14:paraId="53C279B2">
            <w:pPr>
              <w:pStyle w:val="55"/>
              <w:bidi w:val="0"/>
              <w:rPr>
                <w:rFonts w:hint="default"/>
                <w:lang w:eastAsia="en-US"/>
              </w:rPr>
            </w:pPr>
            <w:r>
              <w:rPr>
                <w:rFonts w:hint="default"/>
                <w:lang w:eastAsia="en-US"/>
              </w:rPr>
              <w:t>相对厂址方位</w:t>
            </w:r>
          </w:p>
        </w:tc>
        <w:tc>
          <w:tcPr>
            <w:tcW w:w="651" w:type="pct"/>
            <w:noWrap w:val="0"/>
            <w:tcMar>
              <w:top w:w="0" w:type="dxa"/>
              <w:left w:w="0" w:type="dxa"/>
              <w:bottom w:w="0" w:type="dxa"/>
              <w:right w:w="0" w:type="dxa"/>
            </w:tcMar>
            <w:vAlign w:val="center"/>
          </w:tcPr>
          <w:p w14:paraId="7A615784">
            <w:pPr>
              <w:pStyle w:val="55"/>
              <w:bidi w:val="0"/>
              <w:rPr>
                <w:rFonts w:hint="default"/>
                <w:lang w:eastAsia="en-US"/>
              </w:rPr>
            </w:pPr>
            <w:r>
              <w:rPr>
                <w:rFonts w:hint="default"/>
                <w:lang w:eastAsia="en-US"/>
              </w:rPr>
              <w:t>相对厂界距离/m</w:t>
            </w:r>
          </w:p>
        </w:tc>
      </w:tr>
      <w:tr w14:paraId="19E7C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4" w:type="pct"/>
            <w:vMerge w:val="restart"/>
            <w:noWrap w:val="0"/>
            <w:tcMar>
              <w:top w:w="0" w:type="dxa"/>
              <w:left w:w="0" w:type="dxa"/>
              <w:bottom w:w="0" w:type="dxa"/>
              <w:right w:w="0" w:type="dxa"/>
            </w:tcMar>
            <w:vAlign w:val="center"/>
          </w:tcPr>
          <w:p w14:paraId="1F1B1EB7">
            <w:pPr>
              <w:pStyle w:val="55"/>
              <w:bidi w:val="0"/>
              <w:rPr>
                <w:rFonts w:hint="default"/>
                <w:lang w:val="en-US" w:eastAsia="zh-CN"/>
              </w:rPr>
            </w:pPr>
            <w:r>
              <w:rPr>
                <w:rFonts w:hint="eastAsia"/>
                <w:lang w:val="en-US" w:eastAsia="zh-CN"/>
              </w:rPr>
              <w:t>A1</w:t>
            </w:r>
          </w:p>
        </w:tc>
        <w:tc>
          <w:tcPr>
            <w:tcW w:w="905" w:type="pct"/>
            <w:vMerge w:val="restart"/>
            <w:noWrap w:val="0"/>
            <w:tcMar>
              <w:top w:w="0" w:type="dxa"/>
              <w:left w:w="0" w:type="dxa"/>
              <w:bottom w:w="0" w:type="dxa"/>
              <w:right w:w="0" w:type="dxa"/>
            </w:tcMar>
            <w:vAlign w:val="center"/>
          </w:tcPr>
          <w:p w14:paraId="44230CD1">
            <w:pPr>
              <w:pStyle w:val="55"/>
              <w:bidi w:val="0"/>
              <w:rPr>
                <w:rFonts w:hint="default"/>
                <w:lang w:val="en-US" w:eastAsia="zh-CN"/>
              </w:rPr>
            </w:pPr>
            <w:r>
              <w:rPr>
                <w:rFonts w:hint="default"/>
                <w:lang w:val="en-US" w:eastAsia="zh-CN"/>
              </w:rPr>
              <w:t>115.167181913</w:t>
            </w:r>
          </w:p>
          <w:p w14:paraId="70D8C4D4">
            <w:pPr>
              <w:pStyle w:val="55"/>
              <w:bidi w:val="0"/>
              <w:rPr>
                <w:rFonts w:hint="default"/>
                <w:lang w:val="en-US" w:eastAsia="zh-CN"/>
              </w:rPr>
            </w:pPr>
            <w:r>
              <w:rPr>
                <w:rFonts w:hint="default"/>
                <w:lang w:val="en-US" w:eastAsia="zh-CN"/>
              </w:rPr>
              <w:t>38.78662665</w:t>
            </w:r>
            <w:r>
              <w:rPr>
                <w:rFonts w:hint="eastAsia"/>
                <w:lang w:val="en-US" w:eastAsia="zh-CN"/>
              </w:rPr>
              <w:t>7</w:t>
            </w:r>
          </w:p>
        </w:tc>
        <w:tc>
          <w:tcPr>
            <w:tcW w:w="937" w:type="pct"/>
            <w:noWrap w:val="0"/>
            <w:tcMar>
              <w:top w:w="0" w:type="dxa"/>
              <w:left w:w="0" w:type="dxa"/>
              <w:bottom w:w="0" w:type="dxa"/>
              <w:right w:w="0" w:type="dxa"/>
            </w:tcMar>
            <w:vAlign w:val="center"/>
          </w:tcPr>
          <w:p w14:paraId="489D3C18">
            <w:pPr>
              <w:pStyle w:val="55"/>
              <w:bidi w:val="0"/>
              <w:rPr>
                <w:rFonts w:hint="default"/>
                <w:lang w:val="en-US" w:eastAsia="zh-CN"/>
              </w:rPr>
            </w:pPr>
            <w:r>
              <w:rPr>
                <w:rFonts w:hint="default"/>
                <w:lang w:val="en-US" w:eastAsia="zh-CN"/>
              </w:rPr>
              <w:t>非甲烷总烃</w:t>
            </w:r>
          </w:p>
        </w:tc>
        <w:tc>
          <w:tcPr>
            <w:tcW w:w="1433" w:type="pct"/>
            <w:vMerge w:val="restart"/>
            <w:noWrap w:val="0"/>
            <w:tcMar>
              <w:top w:w="0" w:type="dxa"/>
              <w:left w:w="0" w:type="dxa"/>
              <w:bottom w:w="0" w:type="dxa"/>
              <w:right w:w="0" w:type="dxa"/>
            </w:tcMar>
            <w:vAlign w:val="center"/>
          </w:tcPr>
          <w:p w14:paraId="01C91819">
            <w:pPr>
              <w:pStyle w:val="55"/>
              <w:bidi w:val="0"/>
              <w:rPr>
                <w:rFonts w:hint="default"/>
                <w:lang w:val="en-US" w:eastAsia="zh-CN"/>
              </w:rPr>
            </w:pPr>
            <w:r>
              <w:rPr>
                <w:rFonts w:hint="default"/>
              </w:rPr>
              <w:t>202</w:t>
            </w:r>
            <w:r>
              <w:rPr>
                <w:rFonts w:hint="eastAsia"/>
                <w:lang w:val="en-US" w:eastAsia="zh-CN"/>
              </w:rPr>
              <w:t>4</w:t>
            </w:r>
            <w:r>
              <w:rPr>
                <w:rFonts w:hint="default"/>
              </w:rPr>
              <w:t>年</w:t>
            </w:r>
            <w:r>
              <w:rPr>
                <w:rFonts w:hint="eastAsia"/>
                <w:lang w:val="en-US" w:eastAsia="zh-CN"/>
              </w:rPr>
              <w:t>8</w:t>
            </w:r>
            <w:r>
              <w:rPr>
                <w:rFonts w:hint="default"/>
              </w:rPr>
              <w:t>月</w:t>
            </w:r>
            <w:r>
              <w:rPr>
                <w:rFonts w:hint="eastAsia"/>
                <w:lang w:val="en-US" w:eastAsia="zh-CN"/>
              </w:rPr>
              <w:t>14</w:t>
            </w:r>
            <w:r>
              <w:rPr>
                <w:rFonts w:hint="default"/>
              </w:rPr>
              <w:t>日~202</w:t>
            </w:r>
            <w:r>
              <w:rPr>
                <w:rFonts w:hint="eastAsia"/>
                <w:lang w:val="en-US" w:eastAsia="zh-CN"/>
              </w:rPr>
              <w:t>4</w:t>
            </w:r>
            <w:r>
              <w:rPr>
                <w:rFonts w:hint="default"/>
              </w:rPr>
              <w:t>年</w:t>
            </w:r>
            <w:r>
              <w:rPr>
                <w:rFonts w:hint="eastAsia"/>
                <w:lang w:val="en-US" w:eastAsia="zh-CN"/>
              </w:rPr>
              <w:t>8</w:t>
            </w:r>
            <w:r>
              <w:rPr>
                <w:rFonts w:hint="default"/>
              </w:rPr>
              <w:t>月</w:t>
            </w:r>
            <w:r>
              <w:rPr>
                <w:rFonts w:hint="eastAsia"/>
                <w:lang w:val="en-US" w:eastAsia="zh-CN"/>
              </w:rPr>
              <w:t>20</w:t>
            </w:r>
            <w:r>
              <w:rPr>
                <w:rFonts w:hint="default"/>
                <w:lang w:eastAsia="en-US"/>
              </w:rPr>
              <w:t>，连续监测</w:t>
            </w:r>
            <w:r>
              <w:rPr>
                <w:rFonts w:hint="eastAsia"/>
                <w:lang w:val="en-US" w:eastAsia="zh-CN"/>
              </w:rPr>
              <w:t>7</w:t>
            </w:r>
            <w:r>
              <w:rPr>
                <w:rFonts w:hint="default"/>
                <w:lang w:eastAsia="en-US"/>
              </w:rPr>
              <w:t>天</w:t>
            </w:r>
          </w:p>
        </w:tc>
        <w:tc>
          <w:tcPr>
            <w:tcW w:w="647" w:type="pct"/>
            <w:vMerge w:val="restart"/>
            <w:noWrap w:val="0"/>
            <w:tcMar>
              <w:top w:w="0" w:type="dxa"/>
              <w:left w:w="0" w:type="dxa"/>
              <w:bottom w:w="0" w:type="dxa"/>
              <w:right w:w="0" w:type="dxa"/>
            </w:tcMar>
            <w:vAlign w:val="center"/>
          </w:tcPr>
          <w:p w14:paraId="54D960FD">
            <w:pPr>
              <w:pStyle w:val="55"/>
              <w:bidi w:val="0"/>
              <w:rPr>
                <w:rFonts w:hint="default"/>
                <w:lang w:val="en-US" w:eastAsia="zh-CN"/>
              </w:rPr>
            </w:pPr>
            <w:r>
              <w:rPr>
                <w:rFonts w:hint="eastAsia"/>
                <w:lang w:val="en-US" w:eastAsia="zh-CN"/>
              </w:rPr>
              <w:t>SW</w:t>
            </w:r>
          </w:p>
        </w:tc>
        <w:tc>
          <w:tcPr>
            <w:tcW w:w="651" w:type="pct"/>
            <w:vMerge w:val="restart"/>
            <w:noWrap w:val="0"/>
            <w:tcMar>
              <w:top w:w="0" w:type="dxa"/>
              <w:left w:w="0" w:type="dxa"/>
              <w:bottom w:w="0" w:type="dxa"/>
              <w:right w:w="0" w:type="dxa"/>
            </w:tcMar>
            <w:vAlign w:val="center"/>
          </w:tcPr>
          <w:p w14:paraId="6EBA801E">
            <w:pPr>
              <w:pStyle w:val="55"/>
              <w:bidi w:val="0"/>
              <w:rPr>
                <w:rFonts w:hint="default"/>
                <w:lang w:val="en-US" w:eastAsia="zh-CN"/>
              </w:rPr>
            </w:pPr>
            <w:r>
              <w:rPr>
                <w:rFonts w:hint="eastAsia"/>
                <w:lang w:val="en-US" w:eastAsia="zh-CN"/>
              </w:rPr>
              <w:t>1800</w:t>
            </w:r>
          </w:p>
        </w:tc>
      </w:tr>
      <w:tr w14:paraId="7154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4" w:type="pct"/>
            <w:vMerge w:val="continue"/>
            <w:noWrap w:val="0"/>
            <w:tcMar>
              <w:top w:w="0" w:type="dxa"/>
              <w:left w:w="0" w:type="dxa"/>
              <w:bottom w:w="0" w:type="dxa"/>
              <w:right w:w="0" w:type="dxa"/>
            </w:tcMar>
            <w:vAlign w:val="center"/>
          </w:tcPr>
          <w:p w14:paraId="6122007A">
            <w:pPr>
              <w:pStyle w:val="55"/>
              <w:bidi w:val="0"/>
              <w:rPr>
                <w:rFonts w:hint="eastAsia"/>
                <w:lang w:val="en-US" w:eastAsia="zh-CN"/>
              </w:rPr>
            </w:pPr>
          </w:p>
        </w:tc>
        <w:tc>
          <w:tcPr>
            <w:tcW w:w="905" w:type="pct"/>
            <w:vMerge w:val="continue"/>
            <w:noWrap w:val="0"/>
            <w:tcMar>
              <w:top w:w="0" w:type="dxa"/>
              <w:left w:w="0" w:type="dxa"/>
              <w:bottom w:w="0" w:type="dxa"/>
              <w:right w:w="0" w:type="dxa"/>
            </w:tcMar>
            <w:vAlign w:val="center"/>
          </w:tcPr>
          <w:p w14:paraId="5805CF5F">
            <w:pPr>
              <w:pStyle w:val="55"/>
              <w:bidi w:val="0"/>
              <w:rPr>
                <w:rFonts w:hint="default"/>
                <w:lang w:val="en-US" w:eastAsia="zh-CN"/>
              </w:rPr>
            </w:pPr>
          </w:p>
        </w:tc>
        <w:tc>
          <w:tcPr>
            <w:tcW w:w="937" w:type="pct"/>
            <w:noWrap w:val="0"/>
            <w:tcMar>
              <w:top w:w="0" w:type="dxa"/>
              <w:left w:w="0" w:type="dxa"/>
              <w:bottom w:w="0" w:type="dxa"/>
              <w:right w:w="0" w:type="dxa"/>
            </w:tcMar>
            <w:vAlign w:val="center"/>
          </w:tcPr>
          <w:p w14:paraId="5B65417B">
            <w:pPr>
              <w:pStyle w:val="55"/>
              <w:bidi w:val="0"/>
              <w:rPr>
                <w:rFonts w:hint="default"/>
                <w:lang w:val="en-US" w:eastAsia="zh-CN"/>
              </w:rPr>
            </w:pPr>
            <w:r>
              <w:rPr>
                <w:rFonts w:hint="eastAsia"/>
                <w:lang w:val="en-US" w:eastAsia="zh-CN"/>
              </w:rPr>
              <w:t>HCl</w:t>
            </w:r>
          </w:p>
        </w:tc>
        <w:tc>
          <w:tcPr>
            <w:tcW w:w="1433" w:type="pct"/>
            <w:vMerge w:val="continue"/>
            <w:tcBorders>
              <w:bottom w:val="single" w:color="000000" w:sz="4" w:space="0"/>
            </w:tcBorders>
            <w:noWrap w:val="0"/>
            <w:tcMar>
              <w:top w:w="0" w:type="dxa"/>
              <w:left w:w="0" w:type="dxa"/>
              <w:bottom w:w="0" w:type="dxa"/>
              <w:right w:w="0" w:type="dxa"/>
            </w:tcMar>
            <w:vAlign w:val="center"/>
          </w:tcPr>
          <w:p w14:paraId="05D5ABA5">
            <w:pPr>
              <w:pStyle w:val="55"/>
              <w:bidi w:val="0"/>
              <w:rPr>
                <w:rFonts w:hint="default"/>
              </w:rPr>
            </w:pPr>
          </w:p>
        </w:tc>
        <w:tc>
          <w:tcPr>
            <w:tcW w:w="647" w:type="pct"/>
            <w:vMerge w:val="continue"/>
            <w:noWrap w:val="0"/>
            <w:tcMar>
              <w:top w:w="0" w:type="dxa"/>
              <w:left w:w="0" w:type="dxa"/>
              <w:bottom w:w="0" w:type="dxa"/>
              <w:right w:w="0" w:type="dxa"/>
            </w:tcMar>
            <w:vAlign w:val="center"/>
          </w:tcPr>
          <w:p w14:paraId="6239AB29">
            <w:pPr>
              <w:pStyle w:val="55"/>
              <w:bidi w:val="0"/>
              <w:rPr>
                <w:rFonts w:hint="default"/>
                <w:lang w:val="en-US" w:eastAsia="zh-CN"/>
              </w:rPr>
            </w:pPr>
          </w:p>
        </w:tc>
        <w:tc>
          <w:tcPr>
            <w:tcW w:w="651" w:type="pct"/>
            <w:vMerge w:val="continue"/>
            <w:noWrap w:val="0"/>
            <w:tcMar>
              <w:top w:w="0" w:type="dxa"/>
              <w:left w:w="0" w:type="dxa"/>
              <w:bottom w:w="0" w:type="dxa"/>
              <w:right w:w="0" w:type="dxa"/>
            </w:tcMar>
            <w:vAlign w:val="center"/>
          </w:tcPr>
          <w:p w14:paraId="45E7C1CF">
            <w:pPr>
              <w:pStyle w:val="55"/>
              <w:bidi w:val="0"/>
              <w:rPr>
                <w:rFonts w:hint="eastAsia"/>
                <w:lang w:val="en-US" w:eastAsia="zh-CN"/>
              </w:rPr>
            </w:pPr>
          </w:p>
        </w:tc>
      </w:tr>
      <w:tr w14:paraId="26169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424" w:type="pct"/>
            <w:tcBorders>
              <w:top w:val="single" w:color="000000" w:sz="4" w:space="0"/>
            </w:tcBorders>
            <w:noWrap w:val="0"/>
            <w:tcMar>
              <w:top w:w="0" w:type="dxa"/>
              <w:left w:w="0" w:type="dxa"/>
              <w:bottom w:w="0" w:type="dxa"/>
              <w:right w:w="0" w:type="dxa"/>
            </w:tcMar>
            <w:vAlign w:val="center"/>
          </w:tcPr>
          <w:p w14:paraId="3EEC222A">
            <w:pPr>
              <w:pStyle w:val="55"/>
              <w:bidi w:val="0"/>
              <w:rPr>
                <w:rFonts w:hint="default"/>
                <w:lang w:val="en-US" w:eastAsia="zh-CN"/>
              </w:rPr>
            </w:pPr>
            <w:r>
              <w:rPr>
                <w:rFonts w:hint="eastAsia"/>
                <w:lang w:val="en-US" w:eastAsia="zh-CN"/>
              </w:rPr>
              <w:t>A2</w:t>
            </w:r>
          </w:p>
        </w:tc>
        <w:tc>
          <w:tcPr>
            <w:tcW w:w="905" w:type="pct"/>
            <w:tcBorders>
              <w:top w:val="single" w:color="000000" w:sz="4" w:space="0"/>
            </w:tcBorders>
            <w:noWrap w:val="0"/>
            <w:tcMar>
              <w:top w:w="0" w:type="dxa"/>
              <w:left w:w="0" w:type="dxa"/>
              <w:bottom w:w="0" w:type="dxa"/>
              <w:right w:w="0" w:type="dxa"/>
            </w:tcMar>
            <w:vAlign w:val="center"/>
          </w:tcPr>
          <w:p w14:paraId="0B28653D">
            <w:pPr>
              <w:pStyle w:val="55"/>
              <w:bidi w:val="0"/>
              <w:rPr>
                <w:rFonts w:hint="default"/>
                <w:lang w:val="en-US" w:eastAsia="zh-CN"/>
              </w:rPr>
            </w:pPr>
            <w:r>
              <w:rPr>
                <w:rFonts w:hint="default"/>
                <w:lang w:val="en-US" w:eastAsia="zh-CN"/>
              </w:rPr>
              <w:t>115.189969961</w:t>
            </w:r>
          </w:p>
          <w:p w14:paraId="1E8025E0">
            <w:pPr>
              <w:pStyle w:val="55"/>
              <w:bidi w:val="0"/>
              <w:rPr>
                <w:rFonts w:hint="default"/>
                <w:lang w:val="en-US" w:eastAsia="zh-CN"/>
              </w:rPr>
            </w:pPr>
            <w:r>
              <w:rPr>
                <w:rFonts w:hint="default"/>
                <w:lang w:val="en-US" w:eastAsia="zh-CN"/>
              </w:rPr>
              <w:t>38.752594789</w:t>
            </w:r>
          </w:p>
        </w:tc>
        <w:tc>
          <w:tcPr>
            <w:tcW w:w="937" w:type="pct"/>
            <w:tcBorders>
              <w:top w:val="single" w:color="000000" w:sz="4" w:space="0"/>
            </w:tcBorders>
            <w:noWrap w:val="0"/>
            <w:tcMar>
              <w:top w:w="0" w:type="dxa"/>
              <w:left w:w="0" w:type="dxa"/>
              <w:bottom w:w="0" w:type="dxa"/>
              <w:right w:w="0" w:type="dxa"/>
            </w:tcMar>
            <w:vAlign w:val="center"/>
          </w:tcPr>
          <w:p w14:paraId="21762A08">
            <w:pPr>
              <w:pStyle w:val="55"/>
              <w:bidi w:val="0"/>
              <w:rPr>
                <w:rFonts w:hint="eastAsia"/>
                <w:lang w:val="en-US" w:eastAsia="zh-CN"/>
              </w:rPr>
            </w:pPr>
            <w:r>
              <w:rPr>
                <w:rFonts w:hint="default"/>
                <w:lang w:val="en-US" w:eastAsia="zh-CN"/>
              </w:rPr>
              <w:t>TSP</w:t>
            </w:r>
          </w:p>
        </w:tc>
        <w:tc>
          <w:tcPr>
            <w:tcW w:w="1433" w:type="pct"/>
            <w:tcBorders>
              <w:top w:val="single" w:color="000000" w:sz="4" w:space="0"/>
            </w:tcBorders>
            <w:noWrap w:val="0"/>
            <w:tcMar>
              <w:top w:w="0" w:type="dxa"/>
              <w:left w:w="0" w:type="dxa"/>
              <w:bottom w:w="0" w:type="dxa"/>
              <w:right w:w="0" w:type="dxa"/>
            </w:tcMar>
            <w:vAlign w:val="center"/>
          </w:tcPr>
          <w:p w14:paraId="76B46CB1">
            <w:pPr>
              <w:pStyle w:val="55"/>
              <w:bidi w:val="0"/>
              <w:rPr>
                <w:rFonts w:hint="default"/>
                <w:lang w:val="en-US" w:eastAsia="zh-CN"/>
              </w:rPr>
            </w:pPr>
            <w:r>
              <w:rPr>
                <w:rFonts w:hint="default"/>
              </w:rPr>
              <w:t>202</w:t>
            </w:r>
            <w:r>
              <w:rPr>
                <w:rFonts w:hint="eastAsia"/>
                <w:lang w:val="en-US" w:eastAsia="zh-CN"/>
              </w:rPr>
              <w:t>4</w:t>
            </w:r>
            <w:r>
              <w:rPr>
                <w:rFonts w:hint="default"/>
              </w:rPr>
              <w:t>年</w:t>
            </w:r>
            <w:r>
              <w:rPr>
                <w:rFonts w:hint="eastAsia"/>
                <w:lang w:val="en-US" w:eastAsia="zh-CN"/>
              </w:rPr>
              <w:t>8</w:t>
            </w:r>
            <w:r>
              <w:rPr>
                <w:rFonts w:hint="default"/>
              </w:rPr>
              <w:t>月</w:t>
            </w:r>
            <w:r>
              <w:rPr>
                <w:rFonts w:hint="eastAsia"/>
                <w:lang w:val="en-US" w:eastAsia="zh-CN"/>
              </w:rPr>
              <w:t>7</w:t>
            </w:r>
            <w:r>
              <w:rPr>
                <w:rFonts w:hint="default"/>
              </w:rPr>
              <w:t>日~202</w:t>
            </w:r>
            <w:r>
              <w:rPr>
                <w:rFonts w:hint="eastAsia"/>
                <w:lang w:val="en-US" w:eastAsia="zh-CN"/>
              </w:rPr>
              <w:t>4</w:t>
            </w:r>
            <w:r>
              <w:rPr>
                <w:rFonts w:hint="default"/>
              </w:rPr>
              <w:t>年</w:t>
            </w:r>
            <w:r>
              <w:rPr>
                <w:rFonts w:hint="eastAsia"/>
                <w:lang w:val="en-US" w:eastAsia="zh-CN"/>
              </w:rPr>
              <w:t>8</w:t>
            </w:r>
            <w:r>
              <w:rPr>
                <w:rFonts w:hint="default"/>
              </w:rPr>
              <w:t>月</w:t>
            </w:r>
            <w:r>
              <w:rPr>
                <w:rFonts w:hint="eastAsia"/>
                <w:lang w:val="en-US" w:eastAsia="zh-CN"/>
              </w:rPr>
              <w:t>13</w:t>
            </w:r>
            <w:r>
              <w:rPr>
                <w:rFonts w:hint="default"/>
                <w:lang w:eastAsia="en-US"/>
              </w:rPr>
              <w:t>，连续监测</w:t>
            </w:r>
            <w:r>
              <w:rPr>
                <w:rFonts w:hint="eastAsia"/>
                <w:lang w:val="en-US" w:eastAsia="zh-CN"/>
              </w:rPr>
              <w:t>7</w:t>
            </w:r>
            <w:r>
              <w:rPr>
                <w:rFonts w:hint="default"/>
                <w:lang w:eastAsia="en-US"/>
              </w:rPr>
              <w:t>天</w:t>
            </w:r>
          </w:p>
        </w:tc>
        <w:tc>
          <w:tcPr>
            <w:tcW w:w="647" w:type="pct"/>
            <w:tcBorders>
              <w:top w:val="single" w:color="000000" w:sz="4" w:space="0"/>
            </w:tcBorders>
            <w:noWrap w:val="0"/>
            <w:tcMar>
              <w:top w:w="0" w:type="dxa"/>
              <w:left w:w="0" w:type="dxa"/>
              <w:bottom w:w="0" w:type="dxa"/>
              <w:right w:w="0" w:type="dxa"/>
            </w:tcMar>
            <w:vAlign w:val="center"/>
          </w:tcPr>
          <w:p w14:paraId="338DC048">
            <w:pPr>
              <w:pStyle w:val="55"/>
              <w:bidi w:val="0"/>
              <w:rPr>
                <w:rFonts w:hint="default"/>
                <w:lang w:val="en-US" w:eastAsia="zh-CN"/>
              </w:rPr>
            </w:pPr>
            <w:r>
              <w:rPr>
                <w:rFonts w:hint="eastAsia"/>
                <w:lang w:val="en-US" w:eastAsia="zh-CN"/>
              </w:rPr>
              <w:t>S</w:t>
            </w:r>
          </w:p>
        </w:tc>
        <w:tc>
          <w:tcPr>
            <w:tcW w:w="651" w:type="pct"/>
            <w:tcBorders>
              <w:top w:val="single" w:color="000000" w:sz="4" w:space="0"/>
            </w:tcBorders>
            <w:noWrap w:val="0"/>
            <w:tcMar>
              <w:top w:w="0" w:type="dxa"/>
              <w:left w:w="0" w:type="dxa"/>
              <w:bottom w:w="0" w:type="dxa"/>
              <w:right w:w="0" w:type="dxa"/>
            </w:tcMar>
            <w:vAlign w:val="center"/>
          </w:tcPr>
          <w:p w14:paraId="08170C51">
            <w:pPr>
              <w:pStyle w:val="55"/>
              <w:bidi w:val="0"/>
              <w:rPr>
                <w:rFonts w:hint="default"/>
                <w:lang w:val="en-US" w:eastAsia="zh-CN"/>
              </w:rPr>
            </w:pPr>
            <w:r>
              <w:rPr>
                <w:rFonts w:hint="eastAsia"/>
                <w:lang w:val="en-US" w:eastAsia="zh-CN"/>
              </w:rPr>
              <w:t>4500</w:t>
            </w:r>
          </w:p>
        </w:tc>
      </w:tr>
    </w:tbl>
    <w:p w14:paraId="65B5301F">
      <w:pPr>
        <w:pStyle w:val="94"/>
        <w:bidi w:val="0"/>
        <w:rPr>
          <w:rFonts w:hint="default"/>
          <w:lang w:val="en-US" w:eastAsia="zh-CN"/>
        </w:rPr>
      </w:pPr>
      <w:r>
        <w:rPr>
          <w:rFonts w:hint="default"/>
          <w:lang w:val="en-US" w:eastAsia="zh-CN"/>
        </w:rPr>
        <w:t>现状监测结果与评价结果</w:t>
      </w:r>
    </w:p>
    <w:tbl>
      <w:tblPr>
        <w:tblStyle w:val="3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676"/>
        <w:gridCol w:w="1677"/>
        <w:gridCol w:w="1551"/>
        <w:gridCol w:w="1028"/>
        <w:gridCol w:w="1557"/>
        <w:gridCol w:w="1589"/>
      </w:tblGrid>
      <w:tr w14:paraId="325E0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7" w:hRule="atLeast"/>
          <w:tblHeader/>
          <w:jc w:val="center"/>
        </w:trPr>
        <w:tc>
          <w:tcPr>
            <w:tcW w:w="923" w:type="pct"/>
            <w:noWrap w:val="0"/>
            <w:vAlign w:val="center"/>
          </w:tcPr>
          <w:p w14:paraId="4DE28ED6">
            <w:pPr>
              <w:pStyle w:val="55"/>
              <w:bidi w:val="0"/>
              <w:rPr>
                <w:rFonts w:hint="default"/>
                <w:lang w:val="en-US" w:eastAsia="zh-CN"/>
              </w:rPr>
            </w:pPr>
            <w:r>
              <w:rPr>
                <w:rFonts w:hint="default"/>
                <w:lang w:val="en-US" w:eastAsia="zh-CN"/>
              </w:rPr>
              <w:t>监测因子</w:t>
            </w:r>
          </w:p>
        </w:tc>
        <w:tc>
          <w:tcPr>
            <w:tcW w:w="923" w:type="pct"/>
            <w:noWrap w:val="0"/>
            <w:vAlign w:val="center"/>
          </w:tcPr>
          <w:p w14:paraId="29F2BD2F">
            <w:pPr>
              <w:pStyle w:val="55"/>
              <w:bidi w:val="0"/>
              <w:rPr>
                <w:rFonts w:hint="default"/>
                <w:lang w:eastAsia="zh-CN"/>
              </w:rPr>
            </w:pPr>
            <w:r>
              <w:rPr>
                <w:rFonts w:hint="default"/>
                <w:lang w:eastAsia="zh-CN"/>
              </w:rPr>
              <w:t>浓度范围</w:t>
            </w:r>
            <w:r>
              <w:rPr>
                <w:rFonts w:hint="default"/>
                <w:lang w:val="en-US" w:eastAsia="zh-CN"/>
              </w:rPr>
              <w:t>mg/m</w:t>
            </w:r>
            <w:r>
              <w:rPr>
                <w:rFonts w:hint="default"/>
                <w:vertAlign w:val="superscript"/>
                <w:lang w:val="en-US" w:eastAsia="zh-CN"/>
              </w:rPr>
              <w:t>3</w:t>
            </w:r>
          </w:p>
        </w:tc>
        <w:tc>
          <w:tcPr>
            <w:tcW w:w="854" w:type="pct"/>
            <w:noWrap w:val="0"/>
            <w:vAlign w:val="center"/>
          </w:tcPr>
          <w:p w14:paraId="64CE53D6">
            <w:pPr>
              <w:pStyle w:val="55"/>
              <w:bidi w:val="0"/>
              <w:rPr>
                <w:rFonts w:hint="default"/>
                <w:lang w:eastAsia="zh-CN"/>
              </w:rPr>
            </w:pPr>
            <w:r>
              <w:rPr>
                <w:rFonts w:hint="default"/>
                <w:lang w:eastAsia="zh-CN"/>
              </w:rPr>
              <w:t>标准值</w:t>
            </w:r>
            <w:r>
              <w:rPr>
                <w:rFonts w:hint="default"/>
                <w:lang w:val="en-US" w:eastAsia="zh-CN"/>
              </w:rPr>
              <w:t>mg/m</w:t>
            </w:r>
            <w:r>
              <w:rPr>
                <w:rFonts w:hint="default"/>
                <w:vertAlign w:val="superscript"/>
                <w:lang w:val="en-US" w:eastAsia="zh-CN"/>
              </w:rPr>
              <w:t>3</w:t>
            </w:r>
          </w:p>
        </w:tc>
        <w:tc>
          <w:tcPr>
            <w:tcW w:w="566" w:type="pct"/>
            <w:noWrap w:val="0"/>
            <w:vAlign w:val="center"/>
          </w:tcPr>
          <w:p w14:paraId="58C2480E">
            <w:pPr>
              <w:pStyle w:val="55"/>
              <w:bidi w:val="0"/>
              <w:rPr>
                <w:rFonts w:hint="default"/>
                <w:lang w:eastAsia="zh-CN"/>
              </w:rPr>
            </w:pPr>
            <w:r>
              <w:rPr>
                <w:rFonts w:hint="default"/>
                <w:lang w:eastAsia="zh-CN"/>
              </w:rPr>
              <w:t>超标率</w:t>
            </w:r>
          </w:p>
        </w:tc>
        <w:tc>
          <w:tcPr>
            <w:tcW w:w="857" w:type="pct"/>
            <w:noWrap w:val="0"/>
            <w:vAlign w:val="center"/>
          </w:tcPr>
          <w:p w14:paraId="33744DE9">
            <w:pPr>
              <w:pStyle w:val="55"/>
              <w:bidi w:val="0"/>
              <w:rPr>
                <w:rFonts w:hint="default"/>
                <w:lang w:eastAsia="zh-CN"/>
              </w:rPr>
            </w:pPr>
            <w:r>
              <w:rPr>
                <w:rFonts w:hint="default"/>
                <w:lang w:eastAsia="zh-CN"/>
              </w:rPr>
              <w:t>最大超标倍数</w:t>
            </w:r>
          </w:p>
        </w:tc>
        <w:tc>
          <w:tcPr>
            <w:tcW w:w="875" w:type="pct"/>
            <w:noWrap w:val="0"/>
            <w:vAlign w:val="center"/>
          </w:tcPr>
          <w:p w14:paraId="7504F69D">
            <w:pPr>
              <w:pStyle w:val="55"/>
              <w:bidi w:val="0"/>
              <w:rPr>
                <w:rFonts w:hint="default"/>
                <w:lang w:eastAsia="zh-CN"/>
              </w:rPr>
            </w:pPr>
            <w:r>
              <w:rPr>
                <w:rFonts w:hint="default"/>
                <w:lang w:eastAsia="zh-CN"/>
              </w:rPr>
              <w:t>标准指数</w:t>
            </w:r>
          </w:p>
        </w:tc>
      </w:tr>
      <w:tr w14:paraId="4A075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7" w:hRule="atLeast"/>
          <w:jc w:val="center"/>
        </w:trPr>
        <w:tc>
          <w:tcPr>
            <w:tcW w:w="923" w:type="pct"/>
            <w:noWrap w:val="0"/>
            <w:vAlign w:val="center"/>
          </w:tcPr>
          <w:p w14:paraId="74CD9414">
            <w:pPr>
              <w:pStyle w:val="55"/>
              <w:bidi w:val="0"/>
              <w:rPr>
                <w:rFonts w:hint="default"/>
                <w:lang w:val="en-US" w:eastAsia="zh-CN"/>
              </w:rPr>
            </w:pPr>
            <w:r>
              <w:rPr>
                <w:rFonts w:hint="default"/>
                <w:lang w:val="en-US" w:eastAsia="zh-CN"/>
              </w:rPr>
              <w:t>非甲烷总烃</w:t>
            </w:r>
          </w:p>
        </w:tc>
        <w:tc>
          <w:tcPr>
            <w:tcW w:w="923" w:type="pct"/>
            <w:noWrap w:val="0"/>
            <w:vAlign w:val="center"/>
          </w:tcPr>
          <w:p w14:paraId="0BFCDD47">
            <w:pPr>
              <w:pStyle w:val="55"/>
              <w:bidi w:val="0"/>
              <w:rPr>
                <w:rFonts w:hint="default"/>
                <w:lang w:val="en-US" w:eastAsia="zh-CN"/>
              </w:rPr>
            </w:pPr>
            <w:r>
              <w:rPr>
                <w:rFonts w:hint="eastAsia"/>
                <w:lang w:val="en-US" w:eastAsia="zh-CN"/>
              </w:rPr>
              <w:t>0.31</w:t>
            </w:r>
            <w:r>
              <w:rPr>
                <w:rFonts w:hint="default"/>
                <w:lang w:val="en-US" w:eastAsia="zh-CN"/>
              </w:rPr>
              <w:t>~</w:t>
            </w:r>
            <w:r>
              <w:rPr>
                <w:rFonts w:hint="eastAsia"/>
                <w:lang w:val="en-US" w:eastAsia="zh-CN"/>
              </w:rPr>
              <w:t>0.94</w:t>
            </w:r>
          </w:p>
        </w:tc>
        <w:tc>
          <w:tcPr>
            <w:tcW w:w="854" w:type="pct"/>
            <w:noWrap w:val="0"/>
            <w:vAlign w:val="center"/>
          </w:tcPr>
          <w:p w14:paraId="32E7E960">
            <w:pPr>
              <w:pStyle w:val="55"/>
              <w:bidi w:val="0"/>
              <w:rPr>
                <w:rFonts w:hint="default"/>
                <w:lang w:val="en-US" w:eastAsia="zh-CN"/>
              </w:rPr>
            </w:pPr>
            <w:r>
              <w:rPr>
                <w:rFonts w:hint="default"/>
                <w:lang w:val="en-US" w:eastAsia="zh-CN"/>
              </w:rPr>
              <w:t>2.0</w:t>
            </w:r>
          </w:p>
        </w:tc>
        <w:tc>
          <w:tcPr>
            <w:tcW w:w="566" w:type="pct"/>
            <w:noWrap w:val="0"/>
            <w:vAlign w:val="center"/>
          </w:tcPr>
          <w:p w14:paraId="24FCFBA1">
            <w:pPr>
              <w:pStyle w:val="55"/>
              <w:bidi w:val="0"/>
              <w:rPr>
                <w:rFonts w:hint="default"/>
                <w:lang w:val="en-US" w:eastAsia="zh-CN"/>
              </w:rPr>
            </w:pPr>
            <w:r>
              <w:rPr>
                <w:rFonts w:hint="default"/>
                <w:lang w:val="en-US" w:eastAsia="zh-CN"/>
              </w:rPr>
              <w:t>0</w:t>
            </w:r>
          </w:p>
        </w:tc>
        <w:tc>
          <w:tcPr>
            <w:tcW w:w="857" w:type="pct"/>
            <w:noWrap w:val="0"/>
            <w:vAlign w:val="center"/>
          </w:tcPr>
          <w:p w14:paraId="10CBC126">
            <w:pPr>
              <w:pStyle w:val="55"/>
              <w:bidi w:val="0"/>
              <w:rPr>
                <w:rFonts w:hint="default"/>
                <w:lang w:val="en-US" w:eastAsia="zh-CN"/>
              </w:rPr>
            </w:pPr>
            <w:r>
              <w:rPr>
                <w:rFonts w:hint="default"/>
                <w:lang w:val="en-US" w:eastAsia="zh-CN"/>
              </w:rPr>
              <w:t>0</w:t>
            </w:r>
          </w:p>
        </w:tc>
        <w:tc>
          <w:tcPr>
            <w:tcW w:w="875" w:type="pct"/>
            <w:noWrap w:val="0"/>
            <w:vAlign w:val="center"/>
          </w:tcPr>
          <w:p w14:paraId="7482919E">
            <w:pPr>
              <w:pStyle w:val="55"/>
              <w:bidi w:val="0"/>
              <w:rPr>
                <w:rFonts w:hint="default"/>
                <w:lang w:val="en-US" w:eastAsia="zh-CN"/>
              </w:rPr>
            </w:pPr>
            <w:r>
              <w:rPr>
                <w:rFonts w:hint="default"/>
                <w:lang w:val="en-US" w:eastAsia="zh-CN"/>
              </w:rPr>
              <w:t>0.</w:t>
            </w:r>
            <w:r>
              <w:rPr>
                <w:rFonts w:hint="eastAsia"/>
                <w:lang w:val="en-US" w:eastAsia="zh-CN"/>
              </w:rPr>
              <w:t>155</w:t>
            </w:r>
            <w:r>
              <w:rPr>
                <w:rFonts w:hint="default"/>
                <w:lang w:val="en-US" w:eastAsia="zh-CN"/>
              </w:rPr>
              <w:t>~0.</w:t>
            </w:r>
            <w:r>
              <w:rPr>
                <w:rFonts w:hint="eastAsia"/>
                <w:lang w:val="en-US" w:eastAsia="zh-CN"/>
              </w:rPr>
              <w:t>47</w:t>
            </w:r>
          </w:p>
        </w:tc>
      </w:tr>
      <w:tr w14:paraId="2A8F1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7" w:hRule="atLeast"/>
          <w:jc w:val="center"/>
        </w:trPr>
        <w:tc>
          <w:tcPr>
            <w:tcW w:w="923" w:type="pct"/>
            <w:noWrap w:val="0"/>
            <w:vAlign w:val="center"/>
          </w:tcPr>
          <w:p w14:paraId="1ECB53ED">
            <w:pPr>
              <w:pStyle w:val="55"/>
              <w:bidi w:val="0"/>
              <w:rPr>
                <w:rFonts w:hint="default"/>
                <w:lang w:val="en-US" w:eastAsia="zh-CN"/>
              </w:rPr>
            </w:pPr>
            <w:r>
              <w:rPr>
                <w:rFonts w:hint="default"/>
                <w:lang w:val="en-US" w:eastAsia="zh-CN"/>
              </w:rPr>
              <w:t>TSP</w:t>
            </w:r>
          </w:p>
        </w:tc>
        <w:tc>
          <w:tcPr>
            <w:tcW w:w="923" w:type="pct"/>
            <w:noWrap w:val="0"/>
            <w:vAlign w:val="center"/>
          </w:tcPr>
          <w:p w14:paraId="4AA15779">
            <w:pPr>
              <w:pStyle w:val="55"/>
              <w:bidi w:val="0"/>
              <w:rPr>
                <w:rFonts w:hint="default"/>
                <w:lang w:val="en-US" w:eastAsia="zh-CN"/>
              </w:rPr>
            </w:pPr>
            <w:r>
              <w:rPr>
                <w:rFonts w:hint="default"/>
                <w:lang w:val="en-US" w:eastAsia="zh-CN"/>
              </w:rPr>
              <w:t>0.</w:t>
            </w:r>
            <w:r>
              <w:rPr>
                <w:rFonts w:hint="eastAsia"/>
                <w:lang w:val="en-US" w:eastAsia="zh-CN"/>
              </w:rPr>
              <w:t>059</w:t>
            </w:r>
            <w:r>
              <w:rPr>
                <w:rFonts w:hint="default"/>
                <w:lang w:val="en-US" w:eastAsia="zh-CN"/>
              </w:rPr>
              <w:t>~0.</w:t>
            </w:r>
            <w:r>
              <w:rPr>
                <w:rFonts w:hint="eastAsia"/>
                <w:lang w:val="en-US" w:eastAsia="zh-CN"/>
              </w:rPr>
              <w:t>098</w:t>
            </w:r>
          </w:p>
        </w:tc>
        <w:tc>
          <w:tcPr>
            <w:tcW w:w="854" w:type="pct"/>
            <w:noWrap w:val="0"/>
            <w:vAlign w:val="center"/>
          </w:tcPr>
          <w:p w14:paraId="7394647A">
            <w:pPr>
              <w:pStyle w:val="55"/>
              <w:bidi w:val="0"/>
              <w:rPr>
                <w:rFonts w:hint="default"/>
                <w:lang w:val="en-US" w:eastAsia="zh-CN"/>
              </w:rPr>
            </w:pPr>
            <w:r>
              <w:rPr>
                <w:rFonts w:hint="default"/>
                <w:lang w:val="en-US" w:eastAsia="zh-CN"/>
              </w:rPr>
              <w:t>0.3</w:t>
            </w:r>
          </w:p>
        </w:tc>
        <w:tc>
          <w:tcPr>
            <w:tcW w:w="566" w:type="pct"/>
            <w:noWrap w:val="0"/>
            <w:vAlign w:val="center"/>
          </w:tcPr>
          <w:p w14:paraId="4F085FFD">
            <w:pPr>
              <w:pStyle w:val="55"/>
              <w:bidi w:val="0"/>
              <w:rPr>
                <w:rFonts w:hint="default"/>
                <w:lang w:val="en-US" w:eastAsia="zh-CN"/>
              </w:rPr>
            </w:pPr>
            <w:r>
              <w:rPr>
                <w:rFonts w:hint="default"/>
                <w:lang w:val="en-US" w:eastAsia="zh-CN"/>
              </w:rPr>
              <w:t>0</w:t>
            </w:r>
          </w:p>
        </w:tc>
        <w:tc>
          <w:tcPr>
            <w:tcW w:w="857" w:type="pct"/>
            <w:noWrap w:val="0"/>
            <w:vAlign w:val="center"/>
          </w:tcPr>
          <w:p w14:paraId="177948AC">
            <w:pPr>
              <w:pStyle w:val="55"/>
              <w:bidi w:val="0"/>
              <w:rPr>
                <w:rFonts w:hint="default"/>
                <w:lang w:val="en-US" w:eastAsia="zh-CN"/>
              </w:rPr>
            </w:pPr>
            <w:r>
              <w:rPr>
                <w:rFonts w:hint="default"/>
                <w:lang w:val="en-US" w:eastAsia="zh-CN"/>
              </w:rPr>
              <w:t>0</w:t>
            </w:r>
          </w:p>
        </w:tc>
        <w:tc>
          <w:tcPr>
            <w:tcW w:w="875" w:type="pct"/>
            <w:noWrap w:val="0"/>
            <w:vAlign w:val="center"/>
          </w:tcPr>
          <w:p w14:paraId="359D5245">
            <w:pPr>
              <w:pStyle w:val="55"/>
              <w:bidi w:val="0"/>
              <w:rPr>
                <w:rFonts w:hint="default"/>
                <w:lang w:val="en-US" w:eastAsia="zh-CN"/>
              </w:rPr>
            </w:pPr>
            <w:r>
              <w:rPr>
                <w:rFonts w:hint="eastAsia"/>
                <w:lang w:val="en-US" w:eastAsia="zh-CN"/>
              </w:rPr>
              <w:t>0.197</w:t>
            </w:r>
            <w:r>
              <w:rPr>
                <w:rFonts w:hint="default"/>
                <w:lang w:val="en-US" w:eastAsia="zh-CN"/>
              </w:rPr>
              <w:t>~0.</w:t>
            </w:r>
            <w:r>
              <w:rPr>
                <w:rFonts w:hint="eastAsia"/>
                <w:lang w:val="en-US" w:eastAsia="zh-CN"/>
              </w:rPr>
              <w:t>327</w:t>
            </w:r>
          </w:p>
        </w:tc>
      </w:tr>
      <w:tr w14:paraId="3BBF8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7" w:hRule="atLeast"/>
          <w:jc w:val="center"/>
        </w:trPr>
        <w:tc>
          <w:tcPr>
            <w:tcW w:w="923" w:type="pct"/>
            <w:noWrap w:val="0"/>
            <w:vAlign w:val="center"/>
          </w:tcPr>
          <w:p w14:paraId="476D1464">
            <w:pPr>
              <w:pStyle w:val="55"/>
              <w:bidi w:val="0"/>
              <w:rPr>
                <w:rFonts w:hint="default"/>
                <w:lang w:val="en-US" w:eastAsia="zh-CN"/>
              </w:rPr>
            </w:pPr>
            <w:r>
              <w:rPr>
                <w:rFonts w:hint="eastAsia"/>
                <w:lang w:val="en-US" w:eastAsia="zh-CN"/>
              </w:rPr>
              <w:t>HCl</w:t>
            </w:r>
          </w:p>
        </w:tc>
        <w:tc>
          <w:tcPr>
            <w:tcW w:w="923" w:type="pct"/>
            <w:noWrap w:val="0"/>
            <w:vAlign w:val="center"/>
          </w:tcPr>
          <w:p w14:paraId="08B49511">
            <w:pPr>
              <w:pStyle w:val="55"/>
              <w:bidi w:val="0"/>
              <w:rPr>
                <w:rFonts w:hint="default"/>
                <w:lang w:val="en-US" w:eastAsia="zh-CN"/>
              </w:rPr>
            </w:pPr>
            <w:r>
              <w:rPr>
                <w:rFonts w:hint="default"/>
                <w:lang w:val="en-US" w:eastAsia="zh-CN"/>
              </w:rPr>
              <w:t>0.</w:t>
            </w:r>
            <w:r>
              <w:rPr>
                <w:rFonts w:hint="eastAsia"/>
                <w:lang w:val="en-US" w:eastAsia="zh-CN"/>
              </w:rPr>
              <w:t>023</w:t>
            </w:r>
            <w:r>
              <w:rPr>
                <w:rFonts w:hint="default"/>
                <w:lang w:val="en-US" w:eastAsia="zh-CN"/>
              </w:rPr>
              <w:t>~0.</w:t>
            </w:r>
            <w:r>
              <w:rPr>
                <w:rFonts w:hint="eastAsia"/>
                <w:lang w:val="en-US" w:eastAsia="zh-CN"/>
              </w:rPr>
              <w:t>026</w:t>
            </w:r>
          </w:p>
        </w:tc>
        <w:tc>
          <w:tcPr>
            <w:tcW w:w="854" w:type="pct"/>
            <w:noWrap w:val="0"/>
            <w:vAlign w:val="center"/>
          </w:tcPr>
          <w:p w14:paraId="6E0AF841">
            <w:pPr>
              <w:pStyle w:val="55"/>
              <w:bidi w:val="0"/>
              <w:rPr>
                <w:rFonts w:hint="default"/>
                <w:lang w:val="en-US" w:eastAsia="zh-CN"/>
              </w:rPr>
            </w:pPr>
            <w:r>
              <w:rPr>
                <w:rFonts w:hint="eastAsia"/>
                <w:lang w:val="en-US" w:eastAsia="zh-CN"/>
              </w:rPr>
              <w:t>0.05</w:t>
            </w:r>
          </w:p>
        </w:tc>
        <w:tc>
          <w:tcPr>
            <w:tcW w:w="566" w:type="pct"/>
            <w:noWrap w:val="0"/>
            <w:vAlign w:val="center"/>
          </w:tcPr>
          <w:p w14:paraId="64F4DC68">
            <w:pPr>
              <w:pStyle w:val="55"/>
              <w:bidi w:val="0"/>
              <w:rPr>
                <w:rFonts w:hint="default"/>
                <w:lang w:val="en-US" w:eastAsia="zh-CN"/>
              </w:rPr>
            </w:pPr>
            <w:r>
              <w:rPr>
                <w:rFonts w:hint="default"/>
                <w:lang w:val="en-US" w:eastAsia="zh-CN"/>
              </w:rPr>
              <w:t>0</w:t>
            </w:r>
          </w:p>
        </w:tc>
        <w:tc>
          <w:tcPr>
            <w:tcW w:w="857" w:type="pct"/>
            <w:noWrap w:val="0"/>
            <w:vAlign w:val="center"/>
          </w:tcPr>
          <w:p w14:paraId="116DB053">
            <w:pPr>
              <w:pStyle w:val="55"/>
              <w:bidi w:val="0"/>
              <w:rPr>
                <w:rFonts w:hint="default"/>
                <w:lang w:val="en-US" w:eastAsia="zh-CN"/>
              </w:rPr>
            </w:pPr>
            <w:r>
              <w:rPr>
                <w:rFonts w:hint="default"/>
                <w:lang w:val="en-US" w:eastAsia="zh-CN"/>
              </w:rPr>
              <w:t>0</w:t>
            </w:r>
          </w:p>
        </w:tc>
        <w:tc>
          <w:tcPr>
            <w:tcW w:w="875" w:type="pct"/>
            <w:noWrap w:val="0"/>
            <w:vAlign w:val="center"/>
          </w:tcPr>
          <w:p w14:paraId="3B8E5007">
            <w:pPr>
              <w:pStyle w:val="55"/>
              <w:bidi w:val="0"/>
              <w:rPr>
                <w:rFonts w:hint="default"/>
                <w:lang w:val="en-US" w:eastAsia="zh-CN"/>
              </w:rPr>
            </w:pPr>
            <w:r>
              <w:rPr>
                <w:rFonts w:hint="eastAsia"/>
                <w:lang w:val="en-US" w:eastAsia="zh-CN"/>
              </w:rPr>
              <w:t>0.46</w:t>
            </w:r>
            <w:r>
              <w:rPr>
                <w:rFonts w:hint="default"/>
                <w:lang w:val="en-US" w:eastAsia="zh-CN"/>
              </w:rPr>
              <w:t>~</w:t>
            </w:r>
            <w:r>
              <w:rPr>
                <w:rFonts w:hint="eastAsia"/>
                <w:lang w:val="en-US" w:eastAsia="zh-CN"/>
              </w:rPr>
              <w:t>0.52</w:t>
            </w:r>
          </w:p>
        </w:tc>
      </w:tr>
    </w:tbl>
    <w:p w14:paraId="05431273">
      <w:pPr>
        <w:pStyle w:val="47"/>
        <w:bidi w:val="0"/>
        <w:rPr>
          <w:rFonts w:hint="eastAsia"/>
          <w:lang w:val="en-US" w:eastAsia="zh-CN"/>
        </w:rPr>
      </w:pPr>
      <w:r>
        <w:rPr>
          <w:rFonts w:hint="default"/>
          <w:lang w:val="en-US" w:eastAsia="zh-CN"/>
        </w:rPr>
        <w:t>由上表可知，项目非甲烷总烃满足《环境空气质量 非甲烷总烃限值》（DB13/1577-2012）标准，TSP满足《环境空气质量标准》（GB 3095-2012）中二级标准要求</w:t>
      </w:r>
      <w:r>
        <w:rPr>
          <w:rFonts w:hint="eastAsia"/>
          <w:lang w:val="en-US" w:eastAsia="zh-CN"/>
        </w:rPr>
        <w:t>，HCl满足《环境影响评价技术导则大气环境》（HJ2.2-2018）附录D相关要求</w:t>
      </w:r>
      <w:r>
        <w:rPr>
          <w:rFonts w:hint="default"/>
          <w:lang w:val="en-US" w:eastAsia="zh-CN"/>
        </w:rPr>
        <w:t>。</w:t>
      </w:r>
    </w:p>
    <w:p w14:paraId="36CD7DC1">
      <w:pPr>
        <w:pStyle w:val="92"/>
        <w:bidi w:val="0"/>
        <w:ind w:left="0" w:leftChars="0" w:firstLine="0" w:firstLineChars="0"/>
        <w:rPr>
          <w:highlight w:val="none"/>
        </w:rPr>
      </w:pPr>
      <w:r>
        <w:rPr>
          <w:rFonts w:hint="eastAsia"/>
          <w:highlight w:val="none"/>
        </w:rPr>
        <w:t>地下水</w:t>
      </w:r>
      <w:r>
        <w:rPr>
          <w:highlight w:val="none"/>
        </w:rPr>
        <w:t>环境质量现状</w:t>
      </w:r>
    </w:p>
    <w:p w14:paraId="41F6E655">
      <w:pPr>
        <w:pStyle w:val="47"/>
        <w:ind w:firstLine="482"/>
        <w:rPr>
          <w:rFonts w:hint="default" w:eastAsia="楷体"/>
          <w:lang w:val="en-US" w:eastAsia="zh-CN"/>
        </w:rPr>
      </w:pPr>
      <w:r>
        <w:rPr>
          <w:rFonts w:hint="eastAsia"/>
        </w:rPr>
        <w:t>项目地下水环境质量现状监测</w:t>
      </w:r>
      <w:r>
        <w:rPr>
          <w:rFonts w:hint="eastAsia"/>
          <w:lang w:val="en-US" w:eastAsia="zh-CN"/>
        </w:rPr>
        <w:t>引用</w:t>
      </w:r>
      <w:r>
        <w:rPr>
          <w:rFonts w:hint="default" w:ascii="Times New Roman" w:hAnsi="Times New Roman" w:eastAsia="楷体" w:cs="Times New Roman"/>
          <w:color w:val="000000" w:themeColor="text1"/>
          <w:highlight w:val="none"/>
          <w14:textFill>
            <w14:solidFill>
              <w14:schemeClr w14:val="tx1"/>
            </w14:solidFill>
          </w14:textFill>
        </w:rPr>
        <w:t>《顺平县塑料产业循环经济园区规划（调整）环境质量现状监测</w:t>
      </w:r>
      <w:r>
        <w:rPr>
          <w:rFonts w:hint="eastAsia" w:eastAsia="楷体" w:cs="Times New Roman"/>
          <w:color w:val="000000" w:themeColor="text1"/>
          <w:highlight w:val="none"/>
          <w:lang w:val="en-US" w:eastAsia="zh-CN"/>
          <w14:textFill>
            <w14:solidFill>
              <w14:schemeClr w14:val="tx1"/>
            </w14:solidFill>
          </w14:textFill>
        </w:rPr>
        <w:t>报告</w:t>
      </w:r>
      <w:r>
        <w:rPr>
          <w:rFonts w:hint="default" w:ascii="Times New Roman" w:hAnsi="Times New Roman" w:eastAsia="楷体" w:cs="Times New Roman"/>
          <w:color w:val="000000" w:themeColor="text1"/>
          <w:highlight w:val="none"/>
          <w14:textFill>
            <w14:solidFill>
              <w14:schemeClr w14:val="tx1"/>
            </w14:solidFill>
          </w14:textFill>
        </w:rPr>
        <w:t>》</w:t>
      </w:r>
      <w:r>
        <w:rPr>
          <w:rFonts w:hint="eastAsia" w:eastAsia="楷体" w:cs="Times New Roman"/>
          <w:color w:val="000000" w:themeColor="text1"/>
          <w:highlight w:val="none"/>
          <w:lang w:val="en-US" w:eastAsia="zh-CN"/>
          <w14:textFill>
            <w14:solidFill>
              <w14:schemeClr w14:val="tx1"/>
            </w14:solidFill>
          </w14:textFill>
        </w:rPr>
        <w:t>（HBBN评价监测</w:t>
      </w:r>
      <w:r>
        <w:rPr>
          <w:rFonts w:hint="eastAsia" w:ascii="楷体" w:hAnsi="楷体" w:eastAsia="楷体" w:cs="楷体"/>
          <w:color w:val="000000" w:themeColor="text1"/>
          <w:highlight w:val="none"/>
          <w:lang w:val="en-US" w:eastAsia="zh-CN"/>
          <w14:textFill>
            <w14:solidFill>
              <w14:schemeClr w14:val="tx1"/>
            </w14:solidFill>
          </w14:textFill>
        </w:rPr>
        <w:t>［2024］08015号</w:t>
      </w:r>
      <w:r>
        <w:rPr>
          <w:rFonts w:hint="eastAsia" w:eastAsia="楷体" w:cs="Times New Roman"/>
          <w:color w:val="000000" w:themeColor="text1"/>
          <w:highlight w:val="none"/>
          <w:lang w:val="en-US" w:eastAsia="zh-CN"/>
          <w14:textFill>
            <w14:solidFill>
              <w14:schemeClr w14:val="tx1"/>
            </w14:solidFill>
          </w14:textFill>
        </w:rPr>
        <w:t>）</w:t>
      </w:r>
      <w:r>
        <w:rPr>
          <w:rFonts w:hint="eastAsia" w:cs="Times New Roman"/>
          <w:color w:val="000000" w:themeColor="text1"/>
          <w:highlight w:val="none"/>
          <w:lang w:val="en-US" w:eastAsia="zh-CN"/>
          <w14:textFill>
            <w14:solidFill>
              <w14:schemeClr w14:val="tx1"/>
            </w14:solidFill>
          </w14:textFill>
        </w:rPr>
        <w:t>，</w:t>
      </w:r>
      <w:r>
        <w:rPr>
          <w:rFonts w:hint="eastAsia" w:eastAsia="楷体" w:cs="Times New Roman"/>
          <w:color w:val="000000" w:themeColor="text1"/>
          <w:highlight w:val="none"/>
          <w:lang w:val="en-US" w:eastAsia="zh-CN"/>
          <w14:textFill>
            <w14:solidFill>
              <w14:schemeClr w14:val="tx1"/>
            </w14:solidFill>
          </w14:textFill>
        </w:rPr>
        <w:t>监测时间为2024年8月7日~2024年8月21日，在项目</w:t>
      </w:r>
      <w:r>
        <w:rPr>
          <w:rFonts w:hint="eastAsia" w:cs="Times New Roman"/>
          <w:color w:val="000000" w:themeColor="text1"/>
          <w:highlight w:val="none"/>
          <w:lang w:val="en-US" w:eastAsia="zh-CN"/>
          <w14:textFill>
            <w14:solidFill>
              <w14:schemeClr w14:val="tx1"/>
            </w14:solidFill>
          </w14:textFill>
        </w:rPr>
        <w:t>地下水</w:t>
      </w:r>
      <w:r>
        <w:rPr>
          <w:rFonts w:hint="eastAsia" w:eastAsia="楷体" w:cs="Times New Roman"/>
          <w:color w:val="000000" w:themeColor="text1"/>
          <w:highlight w:val="none"/>
          <w:lang w:val="en-US" w:eastAsia="zh-CN"/>
          <w14:textFill>
            <w14:solidFill>
              <w14:schemeClr w14:val="tx1"/>
            </w14:solidFill>
          </w14:textFill>
        </w:rPr>
        <w:t>评价范围内，且监测数据为三年有效期数据。</w:t>
      </w:r>
    </w:p>
    <w:p w14:paraId="3A1CD584">
      <w:pPr>
        <w:pStyle w:val="47"/>
        <w:ind w:firstLine="482"/>
      </w:pPr>
      <w:r>
        <w:rPr>
          <w:rFonts w:hint="eastAsia"/>
        </w:rPr>
        <w:t>（1）监测布点</w:t>
      </w:r>
    </w:p>
    <w:p w14:paraId="4A72EB05">
      <w:pPr>
        <w:pStyle w:val="47"/>
        <w:bidi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项目水质监测点位</w:t>
      </w:r>
      <w:r>
        <w:rPr>
          <w:rFonts w:hint="eastAsia"/>
          <w:color w:val="000000" w:themeColor="text1"/>
          <w:lang w:val="en-US" w:eastAsia="zh-CN"/>
          <w14:textFill>
            <w14:solidFill>
              <w14:schemeClr w14:val="tx1"/>
            </w14:solidFill>
          </w14:textFill>
        </w:rPr>
        <w:t>4</w:t>
      </w:r>
      <w:r>
        <w:rPr>
          <w:rFonts w:hint="eastAsia"/>
          <w:color w:val="000000" w:themeColor="text1"/>
          <w14:textFill>
            <w14:solidFill>
              <w14:schemeClr w14:val="tx1"/>
            </w14:solidFill>
          </w14:textFill>
        </w:rPr>
        <w:t>个（其中</w:t>
      </w:r>
      <w:r>
        <w:rPr>
          <w:rFonts w:hint="eastAsia"/>
          <w:color w:val="000000" w:themeColor="text1"/>
          <w:lang w:val="en-US" w:eastAsia="zh-CN"/>
          <w14:textFill>
            <w14:solidFill>
              <w14:schemeClr w14:val="tx1"/>
            </w14:solidFill>
          </w14:textFill>
        </w:rPr>
        <w:t>3</w:t>
      </w:r>
      <w:r>
        <w:rPr>
          <w:rFonts w:hint="eastAsia"/>
          <w:color w:val="000000" w:themeColor="text1"/>
          <w14:textFill>
            <w14:solidFill>
              <w14:schemeClr w14:val="tx1"/>
            </w14:solidFill>
          </w14:textFill>
        </w:rPr>
        <w:t>个</w:t>
      </w:r>
      <w:r>
        <w:rPr>
          <w:rFonts w:hint="eastAsia"/>
          <w:color w:val="000000" w:themeColor="text1"/>
          <w:lang w:val="en-US" w:eastAsia="zh-CN"/>
          <w14:textFill>
            <w14:solidFill>
              <w14:schemeClr w14:val="tx1"/>
            </w14:solidFill>
          </w14:textFill>
        </w:rPr>
        <w:t>潜水</w:t>
      </w:r>
      <w:r>
        <w:rPr>
          <w:rFonts w:hint="eastAsia"/>
          <w:color w:val="000000" w:themeColor="text1"/>
          <w14:textFill>
            <w14:solidFill>
              <w14:schemeClr w14:val="tx1"/>
            </w14:solidFill>
          </w14:textFill>
        </w:rPr>
        <w:t>井、</w:t>
      </w:r>
      <w:r>
        <w:rPr>
          <w:rFonts w:hint="eastAsia"/>
          <w:color w:val="000000" w:themeColor="text1"/>
          <w:lang w:val="en-US" w:eastAsia="zh-CN"/>
          <w14:textFill>
            <w14:solidFill>
              <w14:schemeClr w14:val="tx1"/>
            </w14:solidFill>
          </w14:textFill>
        </w:rPr>
        <w:t>1</w:t>
      </w:r>
      <w:r>
        <w:rPr>
          <w:rFonts w:hint="eastAsia"/>
          <w:color w:val="000000" w:themeColor="text1"/>
          <w14:textFill>
            <w14:solidFill>
              <w14:schemeClr w14:val="tx1"/>
            </w14:solidFill>
          </w14:textFill>
        </w:rPr>
        <w:t>个</w:t>
      </w:r>
      <w:r>
        <w:rPr>
          <w:rFonts w:hint="eastAsia"/>
          <w:color w:val="000000" w:themeColor="text1"/>
          <w:lang w:val="en-US" w:eastAsia="zh-CN"/>
          <w14:textFill>
            <w14:solidFill>
              <w14:schemeClr w14:val="tx1"/>
            </w14:solidFill>
          </w14:textFill>
        </w:rPr>
        <w:t>承压</w:t>
      </w:r>
      <w:r>
        <w:rPr>
          <w:rFonts w:hint="eastAsia"/>
          <w:color w:val="000000" w:themeColor="text1"/>
          <w14:textFill>
            <w14:solidFill>
              <w14:schemeClr w14:val="tx1"/>
            </w14:solidFill>
          </w14:textFill>
        </w:rPr>
        <w:t>井）、水位调查点位</w:t>
      </w:r>
      <w:r>
        <w:rPr>
          <w:rFonts w:hint="eastAsia"/>
          <w:color w:val="000000" w:themeColor="text1"/>
          <w:lang w:val="en-US" w:eastAsia="zh-CN"/>
          <w14:textFill>
            <w14:solidFill>
              <w14:schemeClr w14:val="tx1"/>
            </w14:solidFill>
          </w14:textFill>
        </w:rPr>
        <w:t>4</w:t>
      </w:r>
      <w:r>
        <w:rPr>
          <w:rFonts w:hint="eastAsia"/>
          <w:color w:val="000000" w:themeColor="text1"/>
          <w14:textFill>
            <w14:solidFill>
              <w14:schemeClr w14:val="tx1"/>
            </w14:solidFill>
          </w14:textFill>
        </w:rPr>
        <w:t>个。项目监测点位和监测因子见</w:t>
      </w:r>
      <w:r>
        <w:rPr>
          <w:rFonts w:hint="eastAsia"/>
          <w:color w:val="000000" w:themeColor="text1"/>
          <w:lang w:val="en-US" w:eastAsia="zh-CN"/>
          <w14:textFill>
            <w14:solidFill>
              <w14:schemeClr w14:val="tx1"/>
            </w14:solidFill>
          </w14:textFill>
        </w:rPr>
        <w:t>下</w:t>
      </w:r>
      <w:r>
        <w:rPr>
          <w:rFonts w:hint="eastAsia"/>
          <w:color w:val="000000" w:themeColor="text1"/>
          <w14:textFill>
            <w14:solidFill>
              <w14:schemeClr w14:val="tx1"/>
            </w14:solidFill>
          </w14:textFill>
        </w:rPr>
        <w:t>表。</w:t>
      </w:r>
    </w:p>
    <w:p w14:paraId="5C260888">
      <w:pPr>
        <w:pStyle w:val="94"/>
        <w:bidi w:val="0"/>
        <w:ind w:left="0" w:leftChars="0" w:firstLine="0" w:firstLineChars="0"/>
        <w:rPr>
          <w:rFonts w:hint="eastAsia"/>
        </w:rPr>
      </w:pPr>
      <w:r>
        <w:rPr>
          <w:rFonts w:hint="eastAsia"/>
        </w:rPr>
        <w:t>地下水监测点布设情况一览表</w:t>
      </w:r>
    </w:p>
    <w:tbl>
      <w:tblPr>
        <w:tblStyle w:val="3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891"/>
        <w:gridCol w:w="716"/>
        <w:gridCol w:w="719"/>
        <w:gridCol w:w="2647"/>
        <w:gridCol w:w="922"/>
        <w:gridCol w:w="3229"/>
      </w:tblGrid>
      <w:tr w14:paraId="351D8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488" w:type="pct"/>
            <w:tcBorders>
              <w:tl2br w:val="nil"/>
              <w:tr2bl w:val="nil"/>
            </w:tcBorders>
            <w:noWrap w:val="0"/>
            <w:vAlign w:val="center"/>
          </w:tcPr>
          <w:p w14:paraId="415E2D6F">
            <w:pPr>
              <w:pStyle w:val="55"/>
              <w:bidi w:val="0"/>
              <w:rPr>
                <w:rFonts w:hint="default"/>
                <w:lang w:val="en-US" w:eastAsia="zh-CN"/>
              </w:rPr>
            </w:pPr>
            <w:r>
              <w:rPr>
                <w:rFonts w:hint="eastAsia"/>
                <w:lang w:val="en-US" w:eastAsia="zh-CN"/>
              </w:rPr>
              <w:t>监测</w:t>
            </w:r>
          </w:p>
        </w:tc>
        <w:tc>
          <w:tcPr>
            <w:tcW w:w="786" w:type="pct"/>
            <w:gridSpan w:val="2"/>
            <w:tcBorders>
              <w:tl2br w:val="nil"/>
              <w:tr2bl w:val="nil"/>
            </w:tcBorders>
            <w:noWrap w:val="0"/>
            <w:vAlign w:val="center"/>
          </w:tcPr>
          <w:p w14:paraId="722C51FF">
            <w:pPr>
              <w:pStyle w:val="55"/>
              <w:bidi w:val="0"/>
            </w:pPr>
            <w:r>
              <w:rPr>
                <w:rFonts w:hint="eastAsia"/>
              </w:rPr>
              <w:t>编号</w:t>
            </w:r>
          </w:p>
        </w:tc>
        <w:tc>
          <w:tcPr>
            <w:tcW w:w="1450" w:type="pct"/>
            <w:tcBorders>
              <w:tl2br w:val="nil"/>
              <w:tr2bl w:val="nil"/>
            </w:tcBorders>
            <w:noWrap w:val="0"/>
            <w:vAlign w:val="center"/>
          </w:tcPr>
          <w:p w14:paraId="0031DC91">
            <w:pPr>
              <w:pStyle w:val="55"/>
              <w:bidi w:val="0"/>
            </w:pPr>
            <w:r>
              <w:rPr>
                <w:rFonts w:hint="eastAsia"/>
              </w:rPr>
              <w:t>监测点位</w:t>
            </w:r>
          </w:p>
        </w:tc>
        <w:tc>
          <w:tcPr>
            <w:tcW w:w="505" w:type="pct"/>
            <w:tcBorders>
              <w:tl2br w:val="nil"/>
              <w:tr2bl w:val="nil"/>
            </w:tcBorders>
            <w:noWrap w:val="0"/>
            <w:vAlign w:val="center"/>
          </w:tcPr>
          <w:p w14:paraId="3562FA36">
            <w:pPr>
              <w:pStyle w:val="55"/>
              <w:bidi w:val="0"/>
              <w:rPr>
                <w:rFonts w:hint="eastAsia"/>
                <w:lang w:eastAsia="zh-CN"/>
              </w:rPr>
            </w:pPr>
            <w:r>
              <w:rPr>
                <w:rFonts w:hint="eastAsia"/>
              </w:rPr>
              <w:t>距离</w:t>
            </w:r>
            <w:r>
              <w:rPr>
                <w:rFonts w:hint="eastAsia"/>
                <w:lang w:eastAsia="zh-CN"/>
              </w:rPr>
              <w:t>（</w:t>
            </w:r>
            <w:r>
              <w:rPr>
                <w:rFonts w:hint="eastAsia"/>
                <w:lang w:val="en-US" w:eastAsia="zh-CN"/>
              </w:rPr>
              <w:t>m</w:t>
            </w:r>
            <w:r>
              <w:rPr>
                <w:rFonts w:hint="eastAsia"/>
                <w:lang w:eastAsia="zh-CN"/>
              </w:rPr>
              <w:t>）</w:t>
            </w:r>
          </w:p>
        </w:tc>
        <w:tc>
          <w:tcPr>
            <w:tcW w:w="1769" w:type="pct"/>
            <w:tcBorders>
              <w:tl2br w:val="nil"/>
              <w:tr2bl w:val="nil"/>
            </w:tcBorders>
            <w:noWrap w:val="0"/>
            <w:vAlign w:val="center"/>
          </w:tcPr>
          <w:p w14:paraId="48112F1D">
            <w:pPr>
              <w:pStyle w:val="55"/>
              <w:bidi w:val="0"/>
            </w:pPr>
            <w:r>
              <w:rPr>
                <w:rFonts w:hint="eastAsia"/>
              </w:rPr>
              <w:t>监测因子</w:t>
            </w:r>
          </w:p>
        </w:tc>
      </w:tr>
      <w:tr w14:paraId="3D55E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488" w:type="pct"/>
            <w:vMerge w:val="restart"/>
            <w:tcBorders>
              <w:tl2br w:val="nil"/>
              <w:tr2bl w:val="nil"/>
            </w:tcBorders>
            <w:noWrap w:val="0"/>
            <w:vAlign w:val="center"/>
          </w:tcPr>
          <w:p w14:paraId="0A42712C">
            <w:pPr>
              <w:pStyle w:val="55"/>
              <w:bidi w:val="0"/>
              <w:rPr>
                <w:rFonts w:hint="default"/>
                <w:lang w:val="en-US" w:eastAsia="zh-CN"/>
              </w:rPr>
            </w:pPr>
            <w:r>
              <w:rPr>
                <w:rFonts w:hint="eastAsia"/>
                <w:lang w:val="en-US" w:eastAsia="zh-CN"/>
              </w:rPr>
              <w:t>水质、水位监测</w:t>
            </w:r>
          </w:p>
        </w:tc>
        <w:tc>
          <w:tcPr>
            <w:tcW w:w="392" w:type="pct"/>
            <w:vMerge w:val="restart"/>
            <w:tcBorders>
              <w:tl2br w:val="nil"/>
              <w:tr2bl w:val="nil"/>
            </w:tcBorders>
            <w:noWrap w:val="0"/>
            <w:vAlign w:val="center"/>
          </w:tcPr>
          <w:p w14:paraId="68C054CA">
            <w:pPr>
              <w:pStyle w:val="55"/>
              <w:bidi w:val="0"/>
            </w:pPr>
            <w:r>
              <w:rPr>
                <w:rFonts w:hint="eastAsia"/>
                <w:lang w:val="en-US" w:eastAsia="zh-CN"/>
              </w:rPr>
              <w:t>潜水</w:t>
            </w:r>
          </w:p>
          <w:p w14:paraId="0DF8C9B0">
            <w:pPr>
              <w:pStyle w:val="55"/>
              <w:bidi w:val="0"/>
            </w:pPr>
            <w:r>
              <w:rPr>
                <w:rFonts w:hint="eastAsia"/>
              </w:rPr>
              <w:t>含水层</w:t>
            </w:r>
          </w:p>
        </w:tc>
        <w:tc>
          <w:tcPr>
            <w:tcW w:w="393" w:type="pct"/>
            <w:tcBorders>
              <w:tl2br w:val="nil"/>
              <w:tr2bl w:val="nil"/>
            </w:tcBorders>
            <w:noWrap w:val="0"/>
            <w:vAlign w:val="center"/>
          </w:tcPr>
          <w:p w14:paraId="57157D1E">
            <w:pPr>
              <w:pStyle w:val="55"/>
              <w:bidi w:val="0"/>
            </w:pPr>
            <w:r>
              <w:rPr>
                <w:rFonts w:hint="eastAsia"/>
                <w:lang w:val="en-US" w:eastAsia="zh-CN"/>
              </w:rPr>
              <w:t>G</w:t>
            </w:r>
            <w:r>
              <w:t>1</w:t>
            </w:r>
          </w:p>
        </w:tc>
        <w:tc>
          <w:tcPr>
            <w:tcW w:w="1450" w:type="pct"/>
            <w:tcBorders>
              <w:tl2br w:val="nil"/>
              <w:tr2bl w:val="nil"/>
            </w:tcBorders>
            <w:noWrap w:val="0"/>
            <w:vAlign w:val="center"/>
          </w:tcPr>
          <w:p w14:paraId="6740B5C3">
            <w:pPr>
              <w:pStyle w:val="55"/>
              <w:bidi w:val="0"/>
              <w:rPr>
                <w:rFonts w:hint="default"/>
                <w:lang w:val="en-US" w:eastAsia="zh-CN"/>
              </w:rPr>
            </w:pPr>
            <w:r>
              <w:rPr>
                <w:rFonts w:hint="eastAsia"/>
                <w:lang w:val="en-US" w:eastAsia="zh-CN"/>
              </w:rPr>
              <w:t>项目西侧</w:t>
            </w:r>
          </w:p>
        </w:tc>
        <w:tc>
          <w:tcPr>
            <w:tcW w:w="505" w:type="pct"/>
            <w:tcBorders>
              <w:tl2br w:val="nil"/>
              <w:tr2bl w:val="nil"/>
            </w:tcBorders>
            <w:noWrap w:val="0"/>
            <w:vAlign w:val="center"/>
          </w:tcPr>
          <w:p w14:paraId="1817D681">
            <w:pPr>
              <w:pStyle w:val="55"/>
              <w:bidi w:val="0"/>
              <w:rPr>
                <w:rFonts w:hint="default"/>
                <w:lang w:val="en-US"/>
              </w:rPr>
            </w:pPr>
            <w:r>
              <w:rPr>
                <w:rFonts w:hint="eastAsia"/>
                <w:lang w:val="en-US" w:eastAsia="zh-CN"/>
              </w:rPr>
              <w:t>1815</w:t>
            </w:r>
          </w:p>
        </w:tc>
        <w:tc>
          <w:tcPr>
            <w:tcW w:w="1769" w:type="pct"/>
            <w:vMerge w:val="restart"/>
            <w:tcBorders>
              <w:tl2br w:val="nil"/>
              <w:tr2bl w:val="nil"/>
            </w:tcBorders>
            <w:noWrap w:val="0"/>
            <w:vAlign w:val="center"/>
          </w:tcPr>
          <w:p w14:paraId="4CE986E1">
            <w:pPr>
              <w:pStyle w:val="55"/>
              <w:bidi w:val="0"/>
              <w:rPr>
                <w:rFonts w:hint="default"/>
                <w:lang w:val="en-US" w:eastAsia="zh-CN"/>
              </w:rPr>
            </w:pPr>
            <w:r>
              <w:rPr>
                <w:rFonts w:hint="default"/>
                <w:lang w:val="en-US" w:eastAsia="zh-CN"/>
              </w:rPr>
              <w:t>pH、总硬度、溶解性总固体、高锰酸盐指数、氨氮、硝酸盐氮、氟化物、铁、锰、砷、汞、六价铬、铅、镉、总大肠菌群、细菌总数、色度、</w:t>
            </w:r>
            <w:r>
              <w:rPr>
                <w:rFonts w:hint="default"/>
              </w:rPr>
              <w:t>K</w:t>
            </w:r>
            <w:r>
              <w:rPr>
                <w:rFonts w:hint="default"/>
                <w:vertAlign w:val="superscript"/>
                <w:lang w:val="en-US" w:eastAsia="zh-CN"/>
              </w:rPr>
              <w:t>+</w:t>
            </w:r>
            <w:r>
              <w:rPr>
                <w:rFonts w:hint="default"/>
                <w:lang w:eastAsia="zh-CN"/>
              </w:rPr>
              <w:t>、</w:t>
            </w:r>
            <w:r>
              <w:rPr>
                <w:rFonts w:hint="default"/>
              </w:rPr>
              <w:t>Na</w:t>
            </w:r>
            <w:r>
              <w:rPr>
                <w:rFonts w:hint="default"/>
                <w:vertAlign w:val="superscript"/>
              </w:rPr>
              <w:t>+</w:t>
            </w:r>
            <w:r>
              <w:rPr>
                <w:rFonts w:hint="default"/>
              </w:rPr>
              <w:t>、Ca</w:t>
            </w:r>
            <w:r>
              <w:rPr>
                <w:rFonts w:hint="default"/>
                <w:vertAlign w:val="superscript"/>
              </w:rPr>
              <w:t>2+</w:t>
            </w:r>
            <w:r>
              <w:rPr>
                <w:rFonts w:hint="default"/>
              </w:rPr>
              <w:t>、Mg</w:t>
            </w:r>
            <w:r>
              <w:rPr>
                <w:rFonts w:hint="default"/>
                <w:vertAlign w:val="superscript"/>
              </w:rPr>
              <w:t>2+</w:t>
            </w:r>
            <w:r>
              <w:rPr>
                <w:rFonts w:hint="default"/>
              </w:rPr>
              <w:t>、CO</w:t>
            </w:r>
            <w:r>
              <w:rPr>
                <w:rFonts w:hint="default"/>
                <w:vertAlign w:val="subscript"/>
              </w:rPr>
              <w:t>3</w:t>
            </w:r>
            <w:r>
              <w:rPr>
                <w:rFonts w:hint="default"/>
                <w:vertAlign w:val="superscript"/>
              </w:rPr>
              <w:t>2-</w:t>
            </w:r>
            <w:r>
              <w:rPr>
                <w:rFonts w:hint="default"/>
              </w:rPr>
              <w:t>、HCO</w:t>
            </w:r>
            <w:r>
              <w:rPr>
                <w:rFonts w:hint="default"/>
                <w:vertAlign w:val="subscript"/>
              </w:rPr>
              <w:t>3</w:t>
            </w:r>
            <w:r>
              <w:rPr>
                <w:rFonts w:hint="default"/>
                <w:vertAlign w:val="superscript"/>
              </w:rPr>
              <w:t>-</w:t>
            </w:r>
            <w:r>
              <w:rPr>
                <w:rFonts w:hint="default"/>
              </w:rPr>
              <w:t>、Cl</w:t>
            </w:r>
            <w:r>
              <w:rPr>
                <w:rFonts w:hint="default"/>
                <w:vertAlign w:val="superscript"/>
              </w:rPr>
              <w:t>-</w:t>
            </w:r>
            <w:r>
              <w:rPr>
                <w:rFonts w:hint="default"/>
              </w:rPr>
              <w:t>、SO</w:t>
            </w:r>
            <w:r>
              <w:rPr>
                <w:rFonts w:hint="default"/>
                <w:vertAlign w:val="subscript"/>
              </w:rPr>
              <w:t>4</w:t>
            </w:r>
            <w:r>
              <w:rPr>
                <w:rFonts w:hint="default"/>
                <w:vertAlign w:val="superscript"/>
              </w:rPr>
              <w:t>2-</w:t>
            </w:r>
          </w:p>
        </w:tc>
      </w:tr>
      <w:tr w14:paraId="17E25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488" w:type="pct"/>
            <w:vMerge w:val="continue"/>
            <w:tcBorders>
              <w:tl2br w:val="nil"/>
              <w:tr2bl w:val="nil"/>
            </w:tcBorders>
            <w:noWrap w:val="0"/>
            <w:vAlign w:val="center"/>
          </w:tcPr>
          <w:p w14:paraId="790C6A2B">
            <w:pPr>
              <w:pStyle w:val="55"/>
              <w:bidi w:val="0"/>
            </w:pPr>
          </w:p>
        </w:tc>
        <w:tc>
          <w:tcPr>
            <w:tcW w:w="392" w:type="pct"/>
            <w:vMerge w:val="continue"/>
            <w:tcBorders>
              <w:tl2br w:val="nil"/>
              <w:tr2bl w:val="nil"/>
            </w:tcBorders>
            <w:noWrap w:val="0"/>
            <w:vAlign w:val="center"/>
          </w:tcPr>
          <w:p w14:paraId="04E68534">
            <w:pPr>
              <w:pStyle w:val="55"/>
              <w:bidi w:val="0"/>
            </w:pPr>
          </w:p>
        </w:tc>
        <w:tc>
          <w:tcPr>
            <w:tcW w:w="393" w:type="pct"/>
            <w:tcBorders>
              <w:tl2br w:val="nil"/>
              <w:tr2bl w:val="nil"/>
            </w:tcBorders>
            <w:noWrap w:val="0"/>
            <w:vAlign w:val="center"/>
          </w:tcPr>
          <w:p w14:paraId="41C5F9A6">
            <w:pPr>
              <w:pStyle w:val="55"/>
              <w:bidi w:val="0"/>
            </w:pPr>
            <w:r>
              <w:rPr>
                <w:rFonts w:hint="eastAsia"/>
                <w:lang w:val="en-US" w:eastAsia="zh-CN"/>
              </w:rPr>
              <w:t>G3</w:t>
            </w:r>
          </w:p>
        </w:tc>
        <w:tc>
          <w:tcPr>
            <w:tcW w:w="1450" w:type="pct"/>
            <w:tcBorders>
              <w:tl2br w:val="nil"/>
              <w:tr2bl w:val="nil"/>
            </w:tcBorders>
            <w:noWrap w:val="0"/>
            <w:vAlign w:val="center"/>
          </w:tcPr>
          <w:p w14:paraId="0A6E42CF">
            <w:pPr>
              <w:pStyle w:val="55"/>
              <w:bidi w:val="0"/>
              <w:rPr>
                <w:rFonts w:hint="default"/>
                <w:lang w:val="en-US"/>
              </w:rPr>
            </w:pPr>
            <w:r>
              <w:rPr>
                <w:rFonts w:hint="eastAsia"/>
                <w:lang w:val="en-US" w:eastAsia="zh-CN"/>
              </w:rPr>
              <w:t>项目东北侧</w:t>
            </w:r>
          </w:p>
        </w:tc>
        <w:tc>
          <w:tcPr>
            <w:tcW w:w="505" w:type="pct"/>
            <w:tcBorders>
              <w:tl2br w:val="nil"/>
              <w:tr2bl w:val="nil"/>
            </w:tcBorders>
            <w:noWrap w:val="0"/>
            <w:vAlign w:val="center"/>
          </w:tcPr>
          <w:p w14:paraId="09547389">
            <w:pPr>
              <w:pStyle w:val="55"/>
              <w:bidi w:val="0"/>
              <w:rPr>
                <w:rFonts w:hint="default"/>
                <w:lang w:val="en-US" w:eastAsia="zh-CN"/>
              </w:rPr>
            </w:pPr>
            <w:r>
              <w:rPr>
                <w:rFonts w:hint="eastAsia"/>
                <w:lang w:val="en-US" w:eastAsia="zh-CN"/>
              </w:rPr>
              <w:t>160</w:t>
            </w:r>
          </w:p>
        </w:tc>
        <w:tc>
          <w:tcPr>
            <w:tcW w:w="1769" w:type="pct"/>
            <w:vMerge w:val="continue"/>
            <w:tcBorders>
              <w:tl2br w:val="nil"/>
              <w:tr2bl w:val="nil"/>
            </w:tcBorders>
            <w:noWrap w:val="0"/>
            <w:vAlign w:val="center"/>
          </w:tcPr>
          <w:p w14:paraId="0E524D18">
            <w:pPr>
              <w:pStyle w:val="55"/>
              <w:bidi w:val="0"/>
            </w:pPr>
          </w:p>
        </w:tc>
      </w:tr>
      <w:tr w14:paraId="00E54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488" w:type="pct"/>
            <w:vMerge w:val="continue"/>
            <w:tcBorders>
              <w:tl2br w:val="nil"/>
              <w:tr2bl w:val="nil"/>
            </w:tcBorders>
            <w:noWrap w:val="0"/>
            <w:vAlign w:val="center"/>
          </w:tcPr>
          <w:p w14:paraId="5EA21EEA">
            <w:pPr>
              <w:pStyle w:val="55"/>
              <w:bidi w:val="0"/>
            </w:pPr>
          </w:p>
        </w:tc>
        <w:tc>
          <w:tcPr>
            <w:tcW w:w="392" w:type="pct"/>
            <w:vMerge w:val="continue"/>
            <w:tcBorders>
              <w:tl2br w:val="nil"/>
              <w:tr2bl w:val="nil"/>
            </w:tcBorders>
            <w:noWrap w:val="0"/>
            <w:vAlign w:val="center"/>
          </w:tcPr>
          <w:p w14:paraId="178A9D9F">
            <w:pPr>
              <w:pStyle w:val="55"/>
              <w:bidi w:val="0"/>
            </w:pPr>
          </w:p>
        </w:tc>
        <w:tc>
          <w:tcPr>
            <w:tcW w:w="393" w:type="pct"/>
            <w:tcBorders>
              <w:tl2br w:val="nil"/>
              <w:tr2bl w:val="nil"/>
            </w:tcBorders>
            <w:noWrap w:val="0"/>
            <w:vAlign w:val="center"/>
          </w:tcPr>
          <w:p w14:paraId="57A7A5F3">
            <w:pPr>
              <w:pStyle w:val="55"/>
              <w:bidi w:val="0"/>
            </w:pPr>
            <w:r>
              <w:rPr>
                <w:rFonts w:hint="eastAsia"/>
                <w:lang w:val="en-US" w:eastAsia="zh-CN"/>
              </w:rPr>
              <w:t>G4</w:t>
            </w:r>
          </w:p>
        </w:tc>
        <w:tc>
          <w:tcPr>
            <w:tcW w:w="1450" w:type="pct"/>
            <w:tcBorders>
              <w:tl2br w:val="nil"/>
              <w:tr2bl w:val="nil"/>
            </w:tcBorders>
            <w:noWrap w:val="0"/>
            <w:vAlign w:val="center"/>
          </w:tcPr>
          <w:p w14:paraId="305C8A26">
            <w:pPr>
              <w:pStyle w:val="55"/>
              <w:bidi w:val="0"/>
              <w:rPr>
                <w:rFonts w:hint="default"/>
                <w:lang w:val="en-US" w:eastAsia="zh-CN"/>
              </w:rPr>
            </w:pPr>
            <w:r>
              <w:rPr>
                <w:rFonts w:hint="eastAsia"/>
                <w:lang w:val="en-US" w:eastAsia="zh-CN"/>
              </w:rPr>
              <w:t>项目东南侧</w:t>
            </w:r>
          </w:p>
        </w:tc>
        <w:tc>
          <w:tcPr>
            <w:tcW w:w="505" w:type="pct"/>
            <w:tcBorders>
              <w:tl2br w:val="nil"/>
              <w:tr2bl w:val="nil"/>
            </w:tcBorders>
            <w:noWrap w:val="0"/>
            <w:vAlign w:val="center"/>
          </w:tcPr>
          <w:p w14:paraId="55584552">
            <w:pPr>
              <w:pStyle w:val="55"/>
              <w:bidi w:val="0"/>
              <w:rPr>
                <w:rFonts w:hint="default"/>
                <w:lang w:val="en-US"/>
              </w:rPr>
            </w:pPr>
            <w:r>
              <w:rPr>
                <w:rFonts w:hint="eastAsia"/>
                <w:lang w:val="en-US" w:eastAsia="zh-CN"/>
              </w:rPr>
              <w:t>740</w:t>
            </w:r>
          </w:p>
        </w:tc>
        <w:tc>
          <w:tcPr>
            <w:tcW w:w="1769" w:type="pct"/>
            <w:vMerge w:val="continue"/>
            <w:tcBorders>
              <w:tl2br w:val="nil"/>
              <w:tr2bl w:val="nil"/>
            </w:tcBorders>
            <w:noWrap w:val="0"/>
            <w:vAlign w:val="center"/>
          </w:tcPr>
          <w:p w14:paraId="1843DE3F">
            <w:pPr>
              <w:pStyle w:val="55"/>
              <w:bidi w:val="0"/>
            </w:pPr>
          </w:p>
        </w:tc>
      </w:tr>
      <w:tr w14:paraId="6E503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488" w:type="pct"/>
            <w:vMerge w:val="continue"/>
            <w:tcBorders>
              <w:tl2br w:val="nil"/>
              <w:tr2bl w:val="nil"/>
            </w:tcBorders>
            <w:noWrap w:val="0"/>
            <w:vAlign w:val="center"/>
          </w:tcPr>
          <w:p w14:paraId="54E518ED">
            <w:pPr>
              <w:pStyle w:val="55"/>
              <w:bidi w:val="0"/>
              <w:rPr>
                <w:rFonts w:hint="eastAsia"/>
              </w:rPr>
            </w:pPr>
          </w:p>
        </w:tc>
        <w:tc>
          <w:tcPr>
            <w:tcW w:w="392" w:type="pct"/>
            <w:tcBorders>
              <w:tl2br w:val="nil"/>
              <w:tr2bl w:val="nil"/>
            </w:tcBorders>
            <w:noWrap w:val="0"/>
            <w:vAlign w:val="center"/>
          </w:tcPr>
          <w:p w14:paraId="239E2B4C">
            <w:pPr>
              <w:pStyle w:val="55"/>
              <w:bidi w:val="0"/>
              <w:rPr>
                <w:rFonts w:hint="eastAsia"/>
              </w:rPr>
            </w:pPr>
            <w:r>
              <w:rPr>
                <w:rFonts w:hint="eastAsia"/>
                <w:lang w:val="en-US" w:eastAsia="zh-CN"/>
              </w:rPr>
              <w:t>承压</w:t>
            </w:r>
            <w:r>
              <w:rPr>
                <w:rFonts w:hint="eastAsia"/>
              </w:rPr>
              <w:t>层</w:t>
            </w:r>
          </w:p>
        </w:tc>
        <w:tc>
          <w:tcPr>
            <w:tcW w:w="393" w:type="pct"/>
            <w:tcBorders>
              <w:tl2br w:val="nil"/>
              <w:tr2bl w:val="nil"/>
            </w:tcBorders>
            <w:noWrap w:val="0"/>
            <w:vAlign w:val="center"/>
          </w:tcPr>
          <w:p w14:paraId="62508E08">
            <w:pPr>
              <w:pStyle w:val="55"/>
              <w:bidi w:val="0"/>
            </w:pPr>
            <w:r>
              <w:t>S</w:t>
            </w:r>
            <w:r>
              <w:rPr>
                <w:rFonts w:hint="eastAsia"/>
                <w:lang w:val="en-US" w:eastAsia="zh-CN"/>
              </w:rPr>
              <w:t>2</w:t>
            </w:r>
          </w:p>
        </w:tc>
        <w:tc>
          <w:tcPr>
            <w:tcW w:w="1450" w:type="pct"/>
            <w:tcBorders>
              <w:tl2br w:val="nil"/>
              <w:tr2bl w:val="nil"/>
            </w:tcBorders>
            <w:noWrap w:val="0"/>
            <w:vAlign w:val="center"/>
          </w:tcPr>
          <w:p w14:paraId="3E7E763E">
            <w:pPr>
              <w:pStyle w:val="55"/>
              <w:bidi w:val="0"/>
              <w:rPr>
                <w:rFonts w:hint="eastAsia"/>
                <w:lang w:val="en-US" w:eastAsia="zh-CN"/>
              </w:rPr>
            </w:pPr>
            <w:r>
              <w:rPr>
                <w:rFonts w:hint="eastAsia"/>
                <w:lang w:val="en-US" w:eastAsia="zh-CN"/>
              </w:rPr>
              <w:t>项目东侧</w:t>
            </w:r>
          </w:p>
        </w:tc>
        <w:tc>
          <w:tcPr>
            <w:tcW w:w="505" w:type="pct"/>
            <w:tcBorders>
              <w:tl2br w:val="nil"/>
              <w:tr2bl w:val="nil"/>
            </w:tcBorders>
            <w:noWrap w:val="0"/>
            <w:vAlign w:val="center"/>
          </w:tcPr>
          <w:p w14:paraId="23E84251">
            <w:pPr>
              <w:pStyle w:val="55"/>
              <w:bidi w:val="0"/>
              <w:rPr>
                <w:rFonts w:hint="default"/>
                <w:lang w:val="en-US" w:eastAsia="zh-CN"/>
              </w:rPr>
            </w:pPr>
            <w:r>
              <w:rPr>
                <w:rFonts w:hint="eastAsia"/>
                <w:lang w:val="en-US" w:eastAsia="zh-CN"/>
              </w:rPr>
              <w:t>2651</w:t>
            </w:r>
          </w:p>
        </w:tc>
        <w:tc>
          <w:tcPr>
            <w:tcW w:w="1769" w:type="pct"/>
            <w:vMerge w:val="continue"/>
            <w:tcBorders>
              <w:tl2br w:val="nil"/>
              <w:tr2bl w:val="nil"/>
            </w:tcBorders>
            <w:noWrap w:val="0"/>
            <w:vAlign w:val="center"/>
          </w:tcPr>
          <w:p w14:paraId="1C48E5DA">
            <w:pPr>
              <w:pStyle w:val="55"/>
              <w:bidi w:val="0"/>
            </w:pPr>
          </w:p>
        </w:tc>
      </w:tr>
    </w:tbl>
    <w:p w14:paraId="707B257D">
      <w:pPr>
        <w:pStyle w:val="47"/>
        <w:ind w:firstLine="482"/>
        <w:rPr>
          <w:rFonts w:hint="eastAsia"/>
        </w:rPr>
      </w:pPr>
      <w:r>
        <w:rPr>
          <w:rFonts w:hint="eastAsia"/>
          <w:lang w:eastAsia="zh-CN"/>
        </w:rPr>
        <w:t>（</w:t>
      </w:r>
      <w:r>
        <w:rPr>
          <w:rFonts w:hint="eastAsia"/>
          <w:lang w:val="en-US" w:eastAsia="zh-CN"/>
        </w:rPr>
        <w:t>2</w:t>
      </w:r>
      <w:r>
        <w:rPr>
          <w:rFonts w:hint="eastAsia"/>
          <w:lang w:eastAsia="zh-CN"/>
        </w:rPr>
        <w:t>）</w:t>
      </w:r>
      <w:r>
        <w:rPr>
          <w:rFonts w:hint="eastAsia"/>
        </w:rPr>
        <w:t>评价方法</w:t>
      </w:r>
    </w:p>
    <w:p w14:paraId="64EDECFF">
      <w:pPr>
        <w:pStyle w:val="47"/>
        <w:ind w:firstLine="482"/>
        <w:rPr>
          <w:rFonts w:hint="eastAsia"/>
        </w:rPr>
      </w:pPr>
      <w:r>
        <w:rPr>
          <w:rFonts w:hint="eastAsia"/>
        </w:rPr>
        <w:t>采用标准指数法，其计算公式如下：</w:t>
      </w:r>
    </w:p>
    <w:p w14:paraId="55EDF600">
      <w:pPr>
        <w:pStyle w:val="47"/>
        <w:ind w:firstLine="482"/>
        <w:rPr>
          <w:rFonts w:hint="eastAsia"/>
        </w:rPr>
      </w:pPr>
      <w:r>
        <w:rPr>
          <w:rFonts w:hint="eastAsia"/>
        </w:rPr>
        <w:t>式中：Pi—某污染因子i的标准指数；</w:t>
      </w:r>
    </w:p>
    <w:p w14:paraId="0BDFCA13">
      <w:pPr>
        <w:pStyle w:val="47"/>
        <w:ind w:firstLine="482"/>
        <w:rPr>
          <w:rFonts w:hint="eastAsia"/>
        </w:rPr>
      </w:pPr>
      <w:r>
        <w:rPr>
          <w:rFonts w:hint="eastAsia"/>
        </w:rPr>
        <w:t>Ci—某污染因子i的浓度值，mg/L；</w:t>
      </w:r>
    </w:p>
    <w:p w14:paraId="142ED066">
      <w:pPr>
        <w:pStyle w:val="47"/>
        <w:ind w:firstLine="482"/>
        <w:rPr>
          <w:rFonts w:hint="eastAsia"/>
        </w:rPr>
      </w:pPr>
      <w:r>
        <w:rPr>
          <w:rFonts w:hint="eastAsia"/>
        </w:rPr>
        <w:t>Coi—某污染因子i的环境质量标准值，mg/L。</w:t>
      </w:r>
    </w:p>
    <w:p w14:paraId="31E9FCD7">
      <w:pPr>
        <w:pStyle w:val="47"/>
        <w:ind w:firstLine="482"/>
        <w:rPr>
          <w:rFonts w:hint="eastAsia"/>
        </w:rPr>
      </w:pPr>
      <w:r>
        <w:rPr>
          <w:rFonts w:hint="eastAsia"/>
        </w:rPr>
        <w:t>pH 标准指数计算公式为：</w:t>
      </w:r>
    </w:p>
    <w:p w14:paraId="758AD1F7">
      <w:pPr>
        <w:pStyle w:val="47"/>
        <w:ind w:firstLine="482"/>
        <w:rPr>
          <w:rFonts w:hint="eastAsia"/>
        </w:rPr>
      </w:pPr>
      <w:r>
        <w:rPr>
          <w:rFonts w:hint="eastAsia"/>
        </w:rPr>
        <w:t>SpH =（7.0-pHi）/（7.0-pHsd）   pH≤7.0；</w:t>
      </w:r>
    </w:p>
    <w:p w14:paraId="59F790D7">
      <w:pPr>
        <w:pStyle w:val="47"/>
        <w:ind w:firstLine="482"/>
        <w:rPr>
          <w:rFonts w:hint="eastAsia"/>
        </w:rPr>
      </w:pPr>
      <w:r>
        <w:rPr>
          <w:rFonts w:hint="eastAsia"/>
        </w:rPr>
        <w:t>SpH =（pHi-7.0）/（pHsu-7.0）   pH＞7.0；</w:t>
      </w:r>
    </w:p>
    <w:p w14:paraId="009C79EA">
      <w:pPr>
        <w:pStyle w:val="47"/>
        <w:ind w:firstLine="482"/>
        <w:rPr>
          <w:rFonts w:hint="eastAsia"/>
        </w:rPr>
      </w:pPr>
      <w:r>
        <w:rPr>
          <w:rFonts w:hint="eastAsia"/>
        </w:rPr>
        <w:t>式中：pHi--实测值；pHsd --pH标准的下限值；pHsu--pH标准的上限值。</w:t>
      </w:r>
    </w:p>
    <w:p w14:paraId="350A026E">
      <w:pPr>
        <w:pStyle w:val="47"/>
        <w:ind w:firstLine="482"/>
        <w:rPr>
          <w:rFonts w:hint="eastAsia"/>
        </w:rPr>
      </w:pPr>
      <w:r>
        <w:rPr>
          <w:rFonts w:hint="eastAsia"/>
          <w:lang w:eastAsia="zh-CN"/>
        </w:rPr>
        <w:t>（</w:t>
      </w:r>
      <w:r>
        <w:rPr>
          <w:rFonts w:hint="eastAsia"/>
          <w:lang w:val="en-US" w:eastAsia="zh-CN"/>
        </w:rPr>
        <w:t>3</w:t>
      </w:r>
      <w:r>
        <w:rPr>
          <w:rFonts w:hint="eastAsia"/>
          <w:lang w:eastAsia="zh-CN"/>
        </w:rPr>
        <w:t>）</w:t>
      </w:r>
      <w:r>
        <w:rPr>
          <w:rFonts w:hint="eastAsia"/>
        </w:rPr>
        <w:t>评价标准</w:t>
      </w:r>
    </w:p>
    <w:p w14:paraId="15D84579">
      <w:pPr>
        <w:pStyle w:val="47"/>
        <w:ind w:firstLine="482"/>
        <w:rPr>
          <w:rFonts w:hint="eastAsia"/>
        </w:rPr>
      </w:pPr>
      <w:r>
        <w:rPr>
          <w:rFonts w:hint="eastAsia"/>
        </w:rPr>
        <w:t>采用《地下水质量标准》（GB/T14848-2017）Ⅲ类标准。</w:t>
      </w:r>
    </w:p>
    <w:p w14:paraId="045B59A2">
      <w:pPr>
        <w:pStyle w:val="47"/>
        <w:ind w:firstLine="482"/>
        <w:rPr>
          <w:rFonts w:hint="default" w:eastAsia="楷体"/>
          <w:lang w:val="en-US" w:eastAsia="zh-CN"/>
        </w:rPr>
      </w:pPr>
      <w:r>
        <w:rPr>
          <w:rFonts w:hint="eastAsia"/>
          <w:lang w:eastAsia="zh-CN"/>
        </w:rPr>
        <w:t>（</w:t>
      </w:r>
      <w:r>
        <w:rPr>
          <w:rFonts w:hint="eastAsia"/>
          <w:lang w:val="en-US" w:eastAsia="zh-CN"/>
        </w:rPr>
        <w:t>4</w:t>
      </w:r>
      <w:r>
        <w:rPr>
          <w:rFonts w:hint="eastAsia"/>
          <w:lang w:eastAsia="zh-CN"/>
        </w:rPr>
        <w:t>）</w:t>
      </w:r>
      <w:r>
        <w:rPr>
          <w:rFonts w:hint="eastAsia"/>
          <w:lang w:val="en-US" w:eastAsia="zh-CN"/>
        </w:rPr>
        <w:t>评价结果</w:t>
      </w:r>
    </w:p>
    <w:p w14:paraId="61F51765">
      <w:pPr>
        <w:pStyle w:val="94"/>
        <w:bidi w:val="0"/>
        <w:ind w:left="0" w:leftChars="0" w:firstLine="0" w:firstLineChars="0"/>
      </w:pPr>
      <w:r>
        <w:rPr>
          <w:rFonts w:hint="eastAsia"/>
        </w:rPr>
        <w:t>地下水环境质量现状监测结果</w:t>
      </w:r>
    </w:p>
    <w:tbl>
      <w:tblPr>
        <w:tblStyle w:val="3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1582"/>
        <w:gridCol w:w="1799"/>
        <w:gridCol w:w="1871"/>
        <w:gridCol w:w="1645"/>
      </w:tblGrid>
      <w:tr w14:paraId="3585E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284" w:type="pct"/>
            <w:vMerge w:val="restart"/>
            <w:vAlign w:val="center"/>
          </w:tcPr>
          <w:p w14:paraId="550B4254">
            <w:pPr>
              <w:pStyle w:val="55"/>
              <w:bidi w:val="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eastAsia="zh-CN"/>
                <w14:textFill>
                  <w14:solidFill>
                    <w14:schemeClr w14:val="tx1"/>
                  </w14:solidFill>
                </w14:textFill>
              </w:rPr>
              <mc:AlternateContent>
                <mc:Choice Requires="wps">
                  <w:drawing>
                    <wp:anchor distT="0" distB="0" distL="114300" distR="114300" simplePos="0" relativeHeight="251668480" behindDoc="0" locked="0" layoutInCell="1" allowOverlap="1">
                      <wp:simplePos x="0" y="0"/>
                      <wp:positionH relativeFrom="column">
                        <wp:posOffset>-36830</wp:posOffset>
                      </wp:positionH>
                      <wp:positionV relativeFrom="paragraph">
                        <wp:posOffset>19050</wp:posOffset>
                      </wp:positionV>
                      <wp:extent cx="1475740" cy="551180"/>
                      <wp:effectExtent l="1905" t="4445" r="8255" b="15875"/>
                      <wp:wrapNone/>
                      <wp:docPr id="14" name="直接连接符 14"/>
                      <wp:cNvGraphicFramePr/>
                      <a:graphic xmlns:a="http://schemas.openxmlformats.org/drawingml/2006/main">
                        <a:graphicData uri="http://schemas.microsoft.com/office/word/2010/wordprocessingShape">
                          <wps:wsp>
                            <wps:cNvCnPr/>
                            <wps:spPr>
                              <a:xfrm>
                                <a:off x="873125" y="1243965"/>
                                <a:ext cx="1475740" cy="5511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2.9pt;margin-top:1.5pt;height:43.4pt;width:116.2pt;z-index:251668480;mso-width-relative:page;mso-height-relative:page;" filled="f" stroked="t" coordsize="21600,21600" o:gfxdata="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2P5JO1gAAAAcBAAAPAAAAAAAAAAEAIAAAACIAAABkcnMvZG93bnJldi54bWxQSwEC&#10;FAAUAAAACACHTuJAqvygRfYBAADDAwAADgAAAAAAAAABACAAAAAlAQAAZHJzL2Uyb0RvYy54bWxQ&#10;SwUGAAAAAAYABgBZAQAAjQUAAAAA&#10;">
                      <v:fill on="f" focussize="0,0"/>
                      <v:stroke weight="0.5pt" color="#000000 [3200]" miterlimit="8" joinstyle="miter"/>
                      <v:imagedata o:title=""/>
                      <o:lock v:ext="edit" aspectratio="f"/>
                    </v:line>
                  </w:pict>
                </mc:Fallback>
              </mc:AlternateContent>
            </w:r>
            <w:r>
              <w:rPr>
                <w:rFonts w:hint="default"/>
                <w:color w:val="000000" w:themeColor="text1"/>
                <w:highlight w:val="none"/>
                <w:lang w:val="en-US" w:eastAsia="zh-CN"/>
                <w14:textFill>
                  <w14:solidFill>
                    <w14:schemeClr w14:val="tx1"/>
                  </w14:solidFill>
                </w14:textFill>
              </w:rPr>
              <w:t>点位</w:t>
            </w:r>
          </w:p>
          <w:p w14:paraId="017778F2">
            <w:pPr>
              <w:pStyle w:val="55"/>
              <w:bidi w:val="0"/>
              <w:rPr>
                <w:rFonts w:hint="default"/>
                <w:color w:val="000000" w:themeColor="text1"/>
                <w:highlight w:val="none"/>
                <w:lang w:val="en-US" w:eastAsia="zh-CN"/>
                <w14:textFill>
                  <w14:solidFill>
                    <w14:schemeClr w14:val="tx1"/>
                  </w14:solidFill>
                </w14:textFill>
              </w:rPr>
            </w:pPr>
          </w:p>
          <w:p w14:paraId="5AA2C3B1">
            <w:pPr>
              <w:pStyle w:val="55"/>
              <w:bidi w:val="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项目</w:t>
            </w:r>
          </w:p>
        </w:tc>
        <w:tc>
          <w:tcPr>
            <w:tcW w:w="2829" w:type="pct"/>
            <w:gridSpan w:val="3"/>
            <w:vAlign w:val="center"/>
          </w:tcPr>
          <w:p w14:paraId="7046E573">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潜水层</w:t>
            </w:r>
          </w:p>
        </w:tc>
        <w:tc>
          <w:tcPr>
            <w:tcW w:w="886" w:type="pct"/>
            <w:vAlign w:val="center"/>
          </w:tcPr>
          <w:p w14:paraId="0E33F577">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承压层</w:t>
            </w:r>
          </w:p>
        </w:tc>
      </w:tr>
      <w:tr w14:paraId="282BC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284" w:type="pct"/>
            <w:vMerge w:val="continue"/>
            <w:vAlign w:val="center"/>
          </w:tcPr>
          <w:p w14:paraId="64311F87">
            <w:pPr>
              <w:pStyle w:val="55"/>
              <w:bidi w:val="0"/>
              <w:rPr>
                <w:rFonts w:hint="default"/>
                <w:color w:val="000000" w:themeColor="text1"/>
                <w:highlight w:val="none"/>
                <w:lang w:val="en-US" w:eastAsia="zh-CN"/>
                <w14:textFill>
                  <w14:solidFill>
                    <w14:schemeClr w14:val="tx1"/>
                  </w14:solidFill>
                </w14:textFill>
              </w:rPr>
            </w:pPr>
          </w:p>
        </w:tc>
        <w:tc>
          <w:tcPr>
            <w:tcW w:w="852" w:type="pct"/>
            <w:vAlign w:val="center"/>
          </w:tcPr>
          <w:p w14:paraId="24A33D74">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项目西侧（</w:t>
            </w:r>
            <w:r>
              <w:rPr>
                <w:rFonts w:hint="eastAsia"/>
                <w:lang w:val="en-US" w:eastAsia="zh-CN"/>
              </w:rPr>
              <w:t>G</w:t>
            </w:r>
            <w:r>
              <w:rPr>
                <w:rFonts w:hint="default"/>
                <w:color w:val="000000" w:themeColor="text1"/>
                <w:highlight w:val="none"/>
                <w:lang w:val="en-US" w:eastAsia="zh-CN"/>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w:t>
            </w:r>
          </w:p>
        </w:tc>
        <w:tc>
          <w:tcPr>
            <w:tcW w:w="969" w:type="pct"/>
            <w:vAlign w:val="center"/>
          </w:tcPr>
          <w:p w14:paraId="64343122">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项目东北侧（</w:t>
            </w:r>
            <w:r>
              <w:rPr>
                <w:rFonts w:hint="eastAsia"/>
                <w:lang w:val="en-US" w:eastAsia="zh-CN"/>
              </w:rPr>
              <w:t>G</w:t>
            </w:r>
            <w:r>
              <w:rPr>
                <w:rFonts w:hint="eastAsia"/>
                <w:color w:val="000000" w:themeColor="text1"/>
                <w:highlight w:val="none"/>
                <w:lang w:val="en-US" w:eastAsia="zh-CN"/>
                <w14:textFill>
                  <w14:solidFill>
                    <w14:schemeClr w14:val="tx1"/>
                  </w14:solidFill>
                </w14:textFill>
              </w:rPr>
              <w:t>3）</w:t>
            </w:r>
          </w:p>
        </w:tc>
        <w:tc>
          <w:tcPr>
            <w:tcW w:w="1007" w:type="pct"/>
            <w:vAlign w:val="center"/>
          </w:tcPr>
          <w:p w14:paraId="4B31AD4E">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项目东南侧（</w:t>
            </w:r>
            <w:r>
              <w:rPr>
                <w:rFonts w:hint="eastAsia"/>
                <w:lang w:val="en-US" w:eastAsia="zh-CN"/>
              </w:rPr>
              <w:t>G</w:t>
            </w:r>
            <w:r>
              <w:rPr>
                <w:rFonts w:hint="eastAsia"/>
                <w:color w:val="000000" w:themeColor="text1"/>
                <w:highlight w:val="none"/>
                <w:lang w:val="en-US" w:eastAsia="zh-CN"/>
                <w14:textFill>
                  <w14:solidFill>
                    <w14:schemeClr w14:val="tx1"/>
                  </w14:solidFill>
                </w14:textFill>
              </w:rPr>
              <w:t>4）</w:t>
            </w:r>
          </w:p>
        </w:tc>
        <w:tc>
          <w:tcPr>
            <w:tcW w:w="886" w:type="pct"/>
            <w:vAlign w:val="center"/>
          </w:tcPr>
          <w:p w14:paraId="6A98B19A">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项目东侧（</w:t>
            </w:r>
            <w:r>
              <w:rPr>
                <w:rFonts w:hint="default"/>
                <w:color w:val="000000" w:themeColor="text1"/>
                <w:highlight w:val="none"/>
                <w:lang w:val="en-US" w:eastAsia="zh-CN"/>
                <w14:textFill>
                  <w14:solidFill>
                    <w14:schemeClr w14:val="tx1"/>
                  </w14:solidFill>
                </w14:textFill>
              </w:rPr>
              <w:t>S</w:t>
            </w:r>
            <w:r>
              <w:rPr>
                <w:rFonts w:hint="eastAsia"/>
                <w:color w:val="000000" w:themeColor="text1"/>
                <w:highlight w:val="none"/>
                <w:lang w:val="en-US" w:eastAsia="zh-CN"/>
                <w14:textFill>
                  <w14:solidFill>
                    <w14:schemeClr w14:val="tx1"/>
                  </w14:solidFill>
                </w14:textFill>
              </w:rPr>
              <w:t>2）</w:t>
            </w:r>
          </w:p>
        </w:tc>
      </w:tr>
      <w:tr w14:paraId="5131C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84" w:type="pct"/>
            <w:vAlign w:val="center"/>
          </w:tcPr>
          <w:p w14:paraId="0E800580">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钾</w:t>
            </w:r>
            <w:r>
              <w:rPr>
                <w:rFonts w:hint="eastAsia"/>
                <w:color w:val="000000" w:themeColor="text1"/>
                <w:highlight w:val="none"/>
                <w:lang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mg/L</w:t>
            </w:r>
            <w:r>
              <w:rPr>
                <w:rFonts w:hint="eastAsia"/>
                <w:color w:val="000000" w:themeColor="text1"/>
                <w:highlight w:val="none"/>
                <w:lang w:eastAsia="zh-CN"/>
                <w14:textFill>
                  <w14:solidFill>
                    <w14:schemeClr w14:val="tx1"/>
                  </w14:solidFill>
                </w14:textFill>
              </w:rPr>
              <w:t>）</w:t>
            </w:r>
          </w:p>
        </w:tc>
        <w:tc>
          <w:tcPr>
            <w:tcW w:w="852" w:type="pct"/>
            <w:vAlign w:val="center"/>
          </w:tcPr>
          <w:p w14:paraId="297C4715">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0.46</w:t>
            </w:r>
          </w:p>
        </w:tc>
        <w:tc>
          <w:tcPr>
            <w:tcW w:w="969" w:type="pct"/>
            <w:vAlign w:val="center"/>
          </w:tcPr>
          <w:p w14:paraId="0549D9F1">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0.64</w:t>
            </w:r>
          </w:p>
        </w:tc>
        <w:tc>
          <w:tcPr>
            <w:tcW w:w="1871" w:type="dxa"/>
            <w:vAlign w:val="center"/>
          </w:tcPr>
          <w:p w14:paraId="7EBA42A3">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0.64</w:t>
            </w:r>
          </w:p>
        </w:tc>
        <w:tc>
          <w:tcPr>
            <w:tcW w:w="886" w:type="pct"/>
            <w:vAlign w:val="center"/>
          </w:tcPr>
          <w:p w14:paraId="55E0719E">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0.61</w:t>
            </w:r>
          </w:p>
        </w:tc>
      </w:tr>
      <w:tr w14:paraId="17EE1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84" w:type="pct"/>
            <w:vAlign w:val="center"/>
          </w:tcPr>
          <w:p w14:paraId="3C3985B3">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钠</w:t>
            </w:r>
            <w:r>
              <w:rPr>
                <w:rFonts w:hint="eastAsia"/>
                <w:color w:val="000000" w:themeColor="text1"/>
                <w:highlight w:val="none"/>
                <w:lang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mg/L</w:t>
            </w:r>
            <w:r>
              <w:rPr>
                <w:rFonts w:hint="eastAsia"/>
                <w:color w:val="000000" w:themeColor="text1"/>
                <w:highlight w:val="none"/>
                <w:lang w:eastAsia="zh-CN"/>
                <w14:textFill>
                  <w14:solidFill>
                    <w14:schemeClr w14:val="tx1"/>
                  </w14:solidFill>
                </w14:textFill>
              </w:rPr>
              <w:t>）</w:t>
            </w:r>
          </w:p>
        </w:tc>
        <w:tc>
          <w:tcPr>
            <w:tcW w:w="852" w:type="pct"/>
            <w:vAlign w:val="center"/>
          </w:tcPr>
          <w:p w14:paraId="15E0A880">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34.7</w:t>
            </w:r>
          </w:p>
        </w:tc>
        <w:tc>
          <w:tcPr>
            <w:tcW w:w="969" w:type="pct"/>
            <w:vAlign w:val="center"/>
          </w:tcPr>
          <w:p w14:paraId="0F81D7F4">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19.1</w:t>
            </w:r>
          </w:p>
        </w:tc>
        <w:tc>
          <w:tcPr>
            <w:tcW w:w="1871" w:type="dxa"/>
            <w:vAlign w:val="center"/>
          </w:tcPr>
          <w:p w14:paraId="2F55C00A">
            <w:pPr>
              <w:pStyle w:val="55"/>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23.4</w:t>
            </w:r>
          </w:p>
        </w:tc>
        <w:tc>
          <w:tcPr>
            <w:tcW w:w="886" w:type="pct"/>
            <w:vAlign w:val="center"/>
          </w:tcPr>
          <w:p w14:paraId="691A1AD3">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19.3</w:t>
            </w:r>
          </w:p>
        </w:tc>
      </w:tr>
      <w:tr w14:paraId="2C63A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84" w:type="pct"/>
            <w:vAlign w:val="center"/>
          </w:tcPr>
          <w:p w14:paraId="4432C754">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钙</w:t>
            </w:r>
            <w:r>
              <w:rPr>
                <w:rFonts w:hint="eastAsia"/>
                <w:color w:val="000000" w:themeColor="text1"/>
                <w:highlight w:val="none"/>
                <w:lang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mg/L</w:t>
            </w:r>
            <w:r>
              <w:rPr>
                <w:rFonts w:hint="eastAsia"/>
                <w:color w:val="000000" w:themeColor="text1"/>
                <w:highlight w:val="none"/>
                <w:lang w:eastAsia="zh-CN"/>
                <w14:textFill>
                  <w14:solidFill>
                    <w14:schemeClr w14:val="tx1"/>
                  </w14:solidFill>
                </w14:textFill>
              </w:rPr>
              <w:t>）</w:t>
            </w:r>
          </w:p>
        </w:tc>
        <w:tc>
          <w:tcPr>
            <w:tcW w:w="852" w:type="pct"/>
            <w:vAlign w:val="center"/>
          </w:tcPr>
          <w:p w14:paraId="444F745D">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82.0</w:t>
            </w:r>
          </w:p>
        </w:tc>
        <w:tc>
          <w:tcPr>
            <w:tcW w:w="969" w:type="pct"/>
            <w:vAlign w:val="center"/>
          </w:tcPr>
          <w:p w14:paraId="3C414047">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105</w:t>
            </w:r>
          </w:p>
        </w:tc>
        <w:tc>
          <w:tcPr>
            <w:tcW w:w="1871" w:type="dxa"/>
            <w:vAlign w:val="center"/>
          </w:tcPr>
          <w:p w14:paraId="7AB626FB">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151</w:t>
            </w:r>
          </w:p>
        </w:tc>
        <w:tc>
          <w:tcPr>
            <w:tcW w:w="886" w:type="pct"/>
            <w:vAlign w:val="center"/>
          </w:tcPr>
          <w:p w14:paraId="614C9CE5">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104</w:t>
            </w:r>
          </w:p>
        </w:tc>
      </w:tr>
      <w:tr w14:paraId="360F8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84" w:type="pct"/>
            <w:vAlign w:val="center"/>
          </w:tcPr>
          <w:p w14:paraId="5269E6E0">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镁</w:t>
            </w:r>
            <w:r>
              <w:rPr>
                <w:rFonts w:hint="eastAsia"/>
                <w:color w:val="000000" w:themeColor="text1"/>
                <w:highlight w:val="none"/>
                <w:lang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mg/L</w:t>
            </w:r>
            <w:r>
              <w:rPr>
                <w:rFonts w:hint="eastAsia"/>
                <w:color w:val="000000" w:themeColor="text1"/>
                <w:highlight w:val="none"/>
                <w:lang w:eastAsia="zh-CN"/>
                <w14:textFill>
                  <w14:solidFill>
                    <w14:schemeClr w14:val="tx1"/>
                  </w14:solidFill>
                </w14:textFill>
              </w:rPr>
              <w:t>）</w:t>
            </w:r>
          </w:p>
        </w:tc>
        <w:tc>
          <w:tcPr>
            <w:tcW w:w="852" w:type="pct"/>
            <w:vAlign w:val="center"/>
          </w:tcPr>
          <w:p w14:paraId="69A83911">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14.6</w:t>
            </w:r>
          </w:p>
        </w:tc>
        <w:tc>
          <w:tcPr>
            <w:tcW w:w="969" w:type="pct"/>
            <w:vAlign w:val="center"/>
          </w:tcPr>
          <w:p w14:paraId="199F49CE">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13.3</w:t>
            </w:r>
          </w:p>
        </w:tc>
        <w:tc>
          <w:tcPr>
            <w:tcW w:w="1871" w:type="dxa"/>
            <w:vAlign w:val="center"/>
          </w:tcPr>
          <w:p w14:paraId="303BFCA6">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19.4</w:t>
            </w:r>
          </w:p>
        </w:tc>
        <w:tc>
          <w:tcPr>
            <w:tcW w:w="886" w:type="pct"/>
            <w:vAlign w:val="center"/>
          </w:tcPr>
          <w:p w14:paraId="08F498AA">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15.5</w:t>
            </w:r>
          </w:p>
        </w:tc>
      </w:tr>
      <w:tr w14:paraId="4C6A1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84" w:type="pct"/>
            <w:vAlign w:val="center"/>
          </w:tcPr>
          <w:p w14:paraId="7D006B40">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碳酸盐</w:t>
            </w:r>
            <w:r>
              <w:rPr>
                <w:rFonts w:hint="eastAsia"/>
                <w:color w:val="000000" w:themeColor="text1"/>
                <w:highlight w:val="none"/>
                <w:lang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mg/L</w:t>
            </w:r>
            <w:r>
              <w:rPr>
                <w:rFonts w:hint="eastAsia"/>
                <w:color w:val="000000" w:themeColor="text1"/>
                <w:highlight w:val="none"/>
                <w:lang w:eastAsia="zh-CN"/>
                <w14:textFill>
                  <w14:solidFill>
                    <w14:schemeClr w14:val="tx1"/>
                  </w14:solidFill>
                </w14:textFill>
              </w:rPr>
              <w:t>）</w:t>
            </w:r>
          </w:p>
        </w:tc>
        <w:tc>
          <w:tcPr>
            <w:tcW w:w="852" w:type="pct"/>
            <w:vAlign w:val="center"/>
          </w:tcPr>
          <w:p w14:paraId="418D4AC0">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0</w:t>
            </w:r>
          </w:p>
        </w:tc>
        <w:tc>
          <w:tcPr>
            <w:tcW w:w="969" w:type="pct"/>
            <w:vAlign w:val="center"/>
          </w:tcPr>
          <w:p w14:paraId="45A1BE46">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0</w:t>
            </w:r>
          </w:p>
        </w:tc>
        <w:tc>
          <w:tcPr>
            <w:tcW w:w="1871" w:type="dxa"/>
            <w:vAlign w:val="center"/>
          </w:tcPr>
          <w:p w14:paraId="72CEA96B">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0</w:t>
            </w:r>
          </w:p>
        </w:tc>
        <w:tc>
          <w:tcPr>
            <w:tcW w:w="886" w:type="pct"/>
            <w:vAlign w:val="center"/>
          </w:tcPr>
          <w:p w14:paraId="17B124EB">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0</w:t>
            </w:r>
          </w:p>
        </w:tc>
      </w:tr>
      <w:tr w14:paraId="3EF3D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84" w:type="pct"/>
            <w:vAlign w:val="center"/>
          </w:tcPr>
          <w:p w14:paraId="2503F12B">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重碳酸盐</w:t>
            </w:r>
            <w:r>
              <w:rPr>
                <w:rFonts w:hint="eastAsia"/>
                <w:color w:val="000000" w:themeColor="text1"/>
                <w:highlight w:val="none"/>
                <w:lang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mg/L</w:t>
            </w:r>
            <w:r>
              <w:rPr>
                <w:rFonts w:hint="eastAsia"/>
                <w:color w:val="000000" w:themeColor="text1"/>
                <w:highlight w:val="none"/>
                <w:lang w:eastAsia="zh-CN"/>
                <w14:textFill>
                  <w14:solidFill>
                    <w14:schemeClr w14:val="tx1"/>
                  </w14:solidFill>
                </w14:textFill>
              </w:rPr>
              <w:t>）</w:t>
            </w:r>
          </w:p>
        </w:tc>
        <w:tc>
          <w:tcPr>
            <w:tcW w:w="852" w:type="pct"/>
            <w:vAlign w:val="center"/>
          </w:tcPr>
          <w:p w14:paraId="36BD0354">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366</w:t>
            </w:r>
          </w:p>
        </w:tc>
        <w:tc>
          <w:tcPr>
            <w:tcW w:w="969" w:type="pct"/>
            <w:vAlign w:val="center"/>
          </w:tcPr>
          <w:p w14:paraId="67C043D1">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369</w:t>
            </w:r>
          </w:p>
        </w:tc>
        <w:tc>
          <w:tcPr>
            <w:tcW w:w="1871" w:type="dxa"/>
            <w:vAlign w:val="center"/>
          </w:tcPr>
          <w:p w14:paraId="05F3F22E">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488</w:t>
            </w:r>
          </w:p>
        </w:tc>
        <w:tc>
          <w:tcPr>
            <w:tcW w:w="886" w:type="pct"/>
            <w:vAlign w:val="center"/>
          </w:tcPr>
          <w:p w14:paraId="050B9EEB">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316</w:t>
            </w:r>
          </w:p>
        </w:tc>
      </w:tr>
      <w:tr w14:paraId="081EE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84" w:type="pct"/>
            <w:vAlign w:val="center"/>
          </w:tcPr>
          <w:p w14:paraId="7E419E0D">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pH（无量纲）</w:t>
            </w:r>
          </w:p>
        </w:tc>
        <w:tc>
          <w:tcPr>
            <w:tcW w:w="852" w:type="pct"/>
            <w:vAlign w:val="center"/>
          </w:tcPr>
          <w:p w14:paraId="629D653C">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7.8（18.2℃）</w:t>
            </w:r>
          </w:p>
        </w:tc>
        <w:tc>
          <w:tcPr>
            <w:tcW w:w="969" w:type="pct"/>
            <w:vAlign w:val="center"/>
          </w:tcPr>
          <w:p w14:paraId="06C43C96">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7.7（19.0℃）</w:t>
            </w:r>
          </w:p>
        </w:tc>
        <w:tc>
          <w:tcPr>
            <w:tcW w:w="1871" w:type="dxa"/>
            <w:vAlign w:val="center"/>
          </w:tcPr>
          <w:p w14:paraId="1B4A8A3E">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7.6（18.2℃）</w:t>
            </w:r>
          </w:p>
        </w:tc>
        <w:tc>
          <w:tcPr>
            <w:tcW w:w="886" w:type="pct"/>
            <w:vAlign w:val="center"/>
          </w:tcPr>
          <w:p w14:paraId="63212B88">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7.8（18.4℃）</w:t>
            </w:r>
          </w:p>
        </w:tc>
      </w:tr>
      <w:tr w14:paraId="71FD2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84" w:type="pct"/>
            <w:vAlign w:val="center"/>
          </w:tcPr>
          <w:p w14:paraId="4A85CD9A">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总硬度</w:t>
            </w:r>
            <w:r>
              <w:rPr>
                <w:rFonts w:hint="eastAsia"/>
                <w:color w:val="000000" w:themeColor="text1"/>
                <w:highlight w:val="none"/>
                <w:lang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mg/L</w:t>
            </w:r>
            <w:r>
              <w:rPr>
                <w:rFonts w:hint="eastAsia"/>
                <w:color w:val="000000" w:themeColor="text1"/>
                <w:highlight w:val="none"/>
                <w:lang w:eastAsia="zh-CN"/>
                <w14:textFill>
                  <w14:solidFill>
                    <w14:schemeClr w14:val="tx1"/>
                  </w14:solidFill>
                </w14:textFill>
              </w:rPr>
              <w:t>）</w:t>
            </w:r>
          </w:p>
        </w:tc>
        <w:tc>
          <w:tcPr>
            <w:tcW w:w="852" w:type="pct"/>
            <w:vAlign w:val="center"/>
          </w:tcPr>
          <w:p w14:paraId="130FA76A">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256</w:t>
            </w:r>
          </w:p>
        </w:tc>
        <w:tc>
          <w:tcPr>
            <w:tcW w:w="969" w:type="pct"/>
            <w:vAlign w:val="center"/>
          </w:tcPr>
          <w:p w14:paraId="0B0FBBCD">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334</w:t>
            </w:r>
          </w:p>
        </w:tc>
        <w:tc>
          <w:tcPr>
            <w:tcW w:w="1007" w:type="pct"/>
            <w:vAlign w:val="center"/>
          </w:tcPr>
          <w:p w14:paraId="33EE692C">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433</w:t>
            </w:r>
          </w:p>
        </w:tc>
        <w:tc>
          <w:tcPr>
            <w:tcW w:w="886" w:type="pct"/>
            <w:vAlign w:val="center"/>
          </w:tcPr>
          <w:p w14:paraId="2194B23F">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324</w:t>
            </w:r>
          </w:p>
        </w:tc>
      </w:tr>
      <w:tr w14:paraId="0F992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84" w:type="pct"/>
            <w:vAlign w:val="center"/>
          </w:tcPr>
          <w:p w14:paraId="2FD720D8">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氯化物</w:t>
            </w:r>
            <w:r>
              <w:rPr>
                <w:rFonts w:hint="eastAsia"/>
                <w:color w:val="000000" w:themeColor="text1"/>
                <w:highlight w:val="none"/>
                <w:lang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mg/L</w:t>
            </w:r>
            <w:r>
              <w:rPr>
                <w:rFonts w:hint="eastAsia"/>
                <w:color w:val="000000" w:themeColor="text1"/>
                <w:highlight w:val="none"/>
                <w:lang w:eastAsia="zh-CN"/>
                <w14:textFill>
                  <w14:solidFill>
                    <w14:schemeClr w14:val="tx1"/>
                  </w14:solidFill>
                </w14:textFill>
              </w:rPr>
              <w:t>）</w:t>
            </w:r>
          </w:p>
        </w:tc>
        <w:tc>
          <w:tcPr>
            <w:tcW w:w="852" w:type="pct"/>
            <w:vAlign w:val="center"/>
          </w:tcPr>
          <w:p w14:paraId="1F2C9F9B">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30</w:t>
            </w:r>
          </w:p>
        </w:tc>
        <w:tc>
          <w:tcPr>
            <w:tcW w:w="1799" w:type="dxa"/>
            <w:vAlign w:val="center"/>
          </w:tcPr>
          <w:p w14:paraId="57D0F20D">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34</w:t>
            </w:r>
          </w:p>
        </w:tc>
        <w:tc>
          <w:tcPr>
            <w:tcW w:w="1871" w:type="dxa"/>
            <w:vAlign w:val="center"/>
          </w:tcPr>
          <w:p w14:paraId="0D15ECF9">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51</w:t>
            </w:r>
          </w:p>
        </w:tc>
        <w:tc>
          <w:tcPr>
            <w:tcW w:w="1645" w:type="dxa"/>
            <w:vAlign w:val="center"/>
          </w:tcPr>
          <w:p w14:paraId="4BE2D5A3">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103</w:t>
            </w:r>
          </w:p>
        </w:tc>
      </w:tr>
      <w:tr w14:paraId="58742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84" w:type="pct"/>
            <w:vAlign w:val="center"/>
          </w:tcPr>
          <w:p w14:paraId="225BF8B8">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硫酸盐</w:t>
            </w:r>
            <w:r>
              <w:rPr>
                <w:rFonts w:hint="eastAsia"/>
                <w:color w:val="000000" w:themeColor="text1"/>
                <w:highlight w:val="none"/>
                <w:lang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mg/L</w:t>
            </w:r>
            <w:r>
              <w:rPr>
                <w:rFonts w:hint="eastAsia"/>
                <w:color w:val="000000" w:themeColor="text1"/>
                <w:highlight w:val="none"/>
                <w:lang w:eastAsia="zh-CN"/>
                <w14:textFill>
                  <w14:solidFill>
                    <w14:schemeClr w14:val="tx1"/>
                  </w14:solidFill>
                </w14:textFill>
              </w:rPr>
              <w:t>）</w:t>
            </w:r>
          </w:p>
        </w:tc>
        <w:tc>
          <w:tcPr>
            <w:tcW w:w="852" w:type="pct"/>
            <w:vAlign w:val="center"/>
          </w:tcPr>
          <w:p w14:paraId="11C65E5B">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6</w:t>
            </w:r>
          </w:p>
        </w:tc>
        <w:tc>
          <w:tcPr>
            <w:tcW w:w="1799" w:type="dxa"/>
            <w:vAlign w:val="center"/>
          </w:tcPr>
          <w:p w14:paraId="14384303">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26</w:t>
            </w:r>
          </w:p>
        </w:tc>
        <w:tc>
          <w:tcPr>
            <w:tcW w:w="1871" w:type="dxa"/>
            <w:vAlign w:val="center"/>
          </w:tcPr>
          <w:p w14:paraId="3FD8A24B">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60</w:t>
            </w:r>
          </w:p>
        </w:tc>
        <w:tc>
          <w:tcPr>
            <w:tcW w:w="1645" w:type="dxa"/>
            <w:vAlign w:val="center"/>
          </w:tcPr>
          <w:p w14:paraId="6B77612D">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p>
        </w:tc>
      </w:tr>
      <w:tr w14:paraId="34241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84" w:type="pct"/>
            <w:vAlign w:val="center"/>
          </w:tcPr>
          <w:p w14:paraId="0B24355C">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硝酸盐氮</w:t>
            </w:r>
            <w:r>
              <w:rPr>
                <w:rFonts w:hint="eastAsia"/>
                <w:color w:val="000000" w:themeColor="text1"/>
                <w:highlight w:val="none"/>
                <w:lang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mg/L</w:t>
            </w:r>
            <w:r>
              <w:rPr>
                <w:rFonts w:hint="eastAsia"/>
                <w:color w:val="000000" w:themeColor="text1"/>
                <w:highlight w:val="none"/>
                <w:lang w:eastAsia="zh-CN"/>
                <w14:textFill>
                  <w14:solidFill>
                    <w14:schemeClr w14:val="tx1"/>
                  </w14:solidFill>
                </w14:textFill>
              </w:rPr>
              <w:t>）</w:t>
            </w:r>
          </w:p>
        </w:tc>
        <w:tc>
          <w:tcPr>
            <w:tcW w:w="852" w:type="pct"/>
            <w:vAlign w:val="center"/>
          </w:tcPr>
          <w:p w14:paraId="09A800EC">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1.01</w:t>
            </w:r>
          </w:p>
        </w:tc>
        <w:tc>
          <w:tcPr>
            <w:tcW w:w="1799" w:type="dxa"/>
            <w:vAlign w:val="center"/>
          </w:tcPr>
          <w:p w14:paraId="63607B72">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2.44</w:t>
            </w:r>
          </w:p>
        </w:tc>
        <w:tc>
          <w:tcPr>
            <w:tcW w:w="1871" w:type="dxa"/>
            <w:vAlign w:val="center"/>
          </w:tcPr>
          <w:p w14:paraId="5EBCF36A">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9.75</w:t>
            </w:r>
          </w:p>
        </w:tc>
        <w:tc>
          <w:tcPr>
            <w:tcW w:w="1645" w:type="dxa"/>
            <w:vAlign w:val="center"/>
          </w:tcPr>
          <w:p w14:paraId="292DFF3C">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1.51</w:t>
            </w:r>
          </w:p>
        </w:tc>
      </w:tr>
      <w:tr w14:paraId="06E21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84" w:type="pct"/>
            <w:vAlign w:val="center"/>
          </w:tcPr>
          <w:p w14:paraId="2CABA606">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氟化物</w:t>
            </w:r>
            <w:r>
              <w:rPr>
                <w:rFonts w:hint="eastAsia"/>
                <w:color w:val="000000" w:themeColor="text1"/>
                <w:highlight w:val="none"/>
                <w:lang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mg/L</w:t>
            </w:r>
            <w:r>
              <w:rPr>
                <w:rFonts w:hint="eastAsia"/>
                <w:color w:val="000000" w:themeColor="text1"/>
                <w:highlight w:val="none"/>
                <w:lang w:eastAsia="zh-CN"/>
                <w14:textFill>
                  <w14:solidFill>
                    <w14:schemeClr w14:val="tx1"/>
                  </w14:solidFill>
                </w14:textFill>
              </w:rPr>
              <w:t>）</w:t>
            </w:r>
          </w:p>
        </w:tc>
        <w:tc>
          <w:tcPr>
            <w:tcW w:w="852" w:type="pct"/>
            <w:vAlign w:val="center"/>
          </w:tcPr>
          <w:p w14:paraId="4F7DB16E">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0.41</w:t>
            </w:r>
          </w:p>
        </w:tc>
        <w:tc>
          <w:tcPr>
            <w:tcW w:w="1799" w:type="dxa"/>
            <w:vAlign w:val="center"/>
          </w:tcPr>
          <w:p w14:paraId="46A5B1DF">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0.43</w:t>
            </w:r>
          </w:p>
        </w:tc>
        <w:tc>
          <w:tcPr>
            <w:tcW w:w="1871" w:type="dxa"/>
            <w:vAlign w:val="center"/>
          </w:tcPr>
          <w:p w14:paraId="11DC3BC7">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0.29</w:t>
            </w:r>
          </w:p>
        </w:tc>
        <w:tc>
          <w:tcPr>
            <w:tcW w:w="1645" w:type="dxa"/>
            <w:vAlign w:val="center"/>
          </w:tcPr>
          <w:p w14:paraId="090793E6">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0.33</w:t>
            </w:r>
          </w:p>
        </w:tc>
      </w:tr>
      <w:tr w14:paraId="047F7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84" w:type="pct"/>
            <w:vAlign w:val="center"/>
          </w:tcPr>
          <w:p w14:paraId="321B32DF">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高锰酸盐指数（即耗氧量）</w:t>
            </w:r>
            <w:r>
              <w:rPr>
                <w:rFonts w:hint="eastAsia"/>
                <w:color w:val="000000" w:themeColor="text1"/>
                <w:highlight w:val="none"/>
                <w:lang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mg/L</w:t>
            </w:r>
            <w:r>
              <w:rPr>
                <w:rFonts w:hint="eastAsia"/>
                <w:color w:val="000000" w:themeColor="text1"/>
                <w:highlight w:val="none"/>
                <w:lang w:eastAsia="zh-CN"/>
                <w14:textFill>
                  <w14:solidFill>
                    <w14:schemeClr w14:val="tx1"/>
                  </w14:solidFill>
                </w14:textFill>
              </w:rPr>
              <w:t>）</w:t>
            </w:r>
          </w:p>
        </w:tc>
        <w:tc>
          <w:tcPr>
            <w:tcW w:w="852" w:type="pct"/>
            <w:vAlign w:val="center"/>
          </w:tcPr>
          <w:p w14:paraId="544BAD21">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0.7</w:t>
            </w:r>
          </w:p>
        </w:tc>
        <w:tc>
          <w:tcPr>
            <w:tcW w:w="1799" w:type="dxa"/>
            <w:vAlign w:val="center"/>
          </w:tcPr>
          <w:p w14:paraId="4644E71A">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0.6</w:t>
            </w:r>
          </w:p>
        </w:tc>
        <w:tc>
          <w:tcPr>
            <w:tcW w:w="1871" w:type="dxa"/>
            <w:vAlign w:val="center"/>
          </w:tcPr>
          <w:p w14:paraId="797A21B7">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0.6</w:t>
            </w:r>
          </w:p>
        </w:tc>
        <w:tc>
          <w:tcPr>
            <w:tcW w:w="1645" w:type="dxa"/>
            <w:vAlign w:val="center"/>
          </w:tcPr>
          <w:p w14:paraId="26CC7003">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0.8</w:t>
            </w:r>
          </w:p>
        </w:tc>
      </w:tr>
      <w:tr w14:paraId="054F5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84" w:type="pct"/>
            <w:vAlign w:val="center"/>
          </w:tcPr>
          <w:p w14:paraId="0DE000B1">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溶解性总固体</w:t>
            </w:r>
            <w:r>
              <w:rPr>
                <w:rFonts w:hint="eastAsia"/>
                <w:color w:val="000000" w:themeColor="text1"/>
                <w:highlight w:val="none"/>
                <w:lang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mg/L</w:t>
            </w:r>
            <w:r>
              <w:rPr>
                <w:rFonts w:hint="eastAsia"/>
                <w:color w:val="000000" w:themeColor="text1"/>
                <w:highlight w:val="none"/>
                <w:lang w:eastAsia="zh-CN"/>
                <w14:textFill>
                  <w14:solidFill>
                    <w14:schemeClr w14:val="tx1"/>
                  </w14:solidFill>
                </w14:textFill>
              </w:rPr>
              <w:t>）</w:t>
            </w:r>
          </w:p>
        </w:tc>
        <w:tc>
          <w:tcPr>
            <w:tcW w:w="852" w:type="pct"/>
            <w:vAlign w:val="center"/>
          </w:tcPr>
          <w:p w14:paraId="68331AFC">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377</w:t>
            </w:r>
          </w:p>
        </w:tc>
        <w:tc>
          <w:tcPr>
            <w:tcW w:w="1799" w:type="dxa"/>
            <w:vAlign w:val="center"/>
          </w:tcPr>
          <w:p w14:paraId="29D8CA85">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384</w:t>
            </w:r>
          </w:p>
        </w:tc>
        <w:tc>
          <w:tcPr>
            <w:tcW w:w="1871" w:type="dxa"/>
            <w:vAlign w:val="center"/>
          </w:tcPr>
          <w:p w14:paraId="7BDD4F6A">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622</w:t>
            </w:r>
          </w:p>
        </w:tc>
        <w:tc>
          <w:tcPr>
            <w:tcW w:w="1645" w:type="dxa"/>
            <w:vAlign w:val="center"/>
          </w:tcPr>
          <w:p w14:paraId="52DC4EC9">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415</w:t>
            </w:r>
          </w:p>
        </w:tc>
      </w:tr>
      <w:tr w14:paraId="4C0BF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84" w:type="pct"/>
            <w:vAlign w:val="center"/>
          </w:tcPr>
          <w:p w14:paraId="519DCB1E">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氨氮（以N计）</w:t>
            </w:r>
            <w:r>
              <w:rPr>
                <w:rFonts w:hint="eastAsia"/>
                <w:color w:val="000000" w:themeColor="text1"/>
                <w:highlight w:val="none"/>
                <w:lang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mg/L</w:t>
            </w:r>
            <w:r>
              <w:rPr>
                <w:rFonts w:hint="eastAsia"/>
                <w:color w:val="000000" w:themeColor="text1"/>
                <w:highlight w:val="none"/>
                <w:lang w:eastAsia="zh-CN"/>
                <w14:textFill>
                  <w14:solidFill>
                    <w14:schemeClr w14:val="tx1"/>
                  </w14:solidFill>
                </w14:textFill>
              </w:rPr>
              <w:t>）</w:t>
            </w:r>
          </w:p>
        </w:tc>
        <w:tc>
          <w:tcPr>
            <w:tcW w:w="1582" w:type="dxa"/>
            <w:vAlign w:val="center"/>
          </w:tcPr>
          <w:p w14:paraId="634E960B">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ND</w:t>
            </w:r>
          </w:p>
        </w:tc>
        <w:tc>
          <w:tcPr>
            <w:tcW w:w="1799" w:type="dxa"/>
            <w:vAlign w:val="center"/>
          </w:tcPr>
          <w:p w14:paraId="2E3599B9">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ND</w:t>
            </w:r>
          </w:p>
        </w:tc>
        <w:tc>
          <w:tcPr>
            <w:tcW w:w="1871" w:type="dxa"/>
            <w:vAlign w:val="center"/>
          </w:tcPr>
          <w:p w14:paraId="095B38B5">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ND</w:t>
            </w:r>
          </w:p>
        </w:tc>
        <w:tc>
          <w:tcPr>
            <w:tcW w:w="1645" w:type="dxa"/>
            <w:vAlign w:val="center"/>
          </w:tcPr>
          <w:p w14:paraId="7C324889">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ND</w:t>
            </w:r>
          </w:p>
        </w:tc>
      </w:tr>
      <w:tr w14:paraId="1BFCB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84" w:type="pct"/>
            <w:vAlign w:val="center"/>
          </w:tcPr>
          <w:p w14:paraId="23FA2CE3">
            <w:pPr>
              <w:pStyle w:val="55"/>
              <w:bidi w:val="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总大肠菌群</w:t>
            </w:r>
            <w:r>
              <w:rPr>
                <w:rFonts w:hint="eastAsia"/>
                <w:color w:val="000000" w:themeColor="text1"/>
                <w:highlight w:val="none"/>
                <w:lang w:val="en-US" w:eastAsia="zh-CN"/>
                <w14:textFill>
                  <w14:solidFill>
                    <w14:schemeClr w14:val="tx1"/>
                  </w14:solidFill>
                </w14:textFill>
              </w:rPr>
              <w:t>（MPN</w:t>
            </w:r>
            <w:r>
              <w:rPr>
                <w:rFonts w:hint="default"/>
                <w:color w:val="000000" w:themeColor="text1"/>
                <w:highlight w:val="none"/>
                <w:lang w:val="en-US"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100m</w:t>
            </w:r>
            <w:r>
              <w:rPr>
                <w:rFonts w:hint="default"/>
                <w:color w:val="000000" w:themeColor="text1"/>
                <w:highlight w:val="none"/>
                <w:lang w:val="en-US" w:eastAsia="zh-CN"/>
                <w14:textFill>
                  <w14:solidFill>
                    <w14:schemeClr w14:val="tx1"/>
                  </w14:solidFill>
                </w14:textFill>
              </w:rPr>
              <w:t>L</w:t>
            </w:r>
            <w:r>
              <w:rPr>
                <w:rFonts w:hint="eastAsia"/>
                <w:color w:val="000000" w:themeColor="text1"/>
                <w:highlight w:val="none"/>
                <w:lang w:val="en-US" w:eastAsia="zh-CN"/>
                <w14:textFill>
                  <w14:solidFill>
                    <w14:schemeClr w14:val="tx1"/>
                  </w14:solidFill>
                </w14:textFill>
              </w:rPr>
              <w:t>）</w:t>
            </w:r>
          </w:p>
        </w:tc>
        <w:tc>
          <w:tcPr>
            <w:tcW w:w="852" w:type="pct"/>
            <w:vAlign w:val="center"/>
          </w:tcPr>
          <w:p w14:paraId="708B985F">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未检出</w:t>
            </w:r>
          </w:p>
        </w:tc>
        <w:tc>
          <w:tcPr>
            <w:tcW w:w="969" w:type="pct"/>
            <w:vAlign w:val="center"/>
          </w:tcPr>
          <w:p w14:paraId="5F30622F">
            <w:pPr>
              <w:bidi w:val="0"/>
              <w:ind w:firstLine="420" w:firstLineChars="200"/>
              <w:rPr>
                <w:rFonts w:hint="default" w:ascii="Times New Roman" w:hAnsi="Times New Roman" w:eastAsia="楷体" w:cstheme="minorBidi"/>
                <w:snapToGrid w:val="0"/>
                <w:color w:val="000000" w:themeColor="text1"/>
                <w:kern w:val="0"/>
                <w:sz w:val="21"/>
                <w:szCs w:val="24"/>
                <w:highlight w:val="none"/>
                <w:lang w:val="en-US" w:eastAsia="zh-CN" w:bidi="ar-SA"/>
                <w14:textFill>
                  <w14:solidFill>
                    <w14:schemeClr w14:val="tx1"/>
                  </w14:solidFill>
                </w14:textFill>
              </w:rPr>
            </w:pPr>
            <w:r>
              <w:rPr>
                <w:rFonts w:hint="eastAsia" w:ascii="Times New Roman" w:hAnsi="Times New Roman" w:eastAsia="楷体" w:cstheme="minorBidi"/>
                <w:snapToGrid w:val="0"/>
                <w:color w:val="000000" w:themeColor="text1"/>
                <w:kern w:val="0"/>
                <w:sz w:val="21"/>
                <w:szCs w:val="24"/>
                <w:highlight w:val="none"/>
                <w:lang w:val="en-US" w:eastAsia="zh-CN" w:bidi="ar-SA"/>
                <w14:textFill>
                  <w14:solidFill>
                    <w14:schemeClr w14:val="tx1"/>
                  </w14:solidFill>
                </w14:textFill>
              </w:rPr>
              <w:t>未检出</w:t>
            </w:r>
          </w:p>
        </w:tc>
        <w:tc>
          <w:tcPr>
            <w:tcW w:w="1007" w:type="pct"/>
            <w:vAlign w:val="center"/>
          </w:tcPr>
          <w:p w14:paraId="132BD42A">
            <w:pPr>
              <w:bidi w:val="0"/>
              <w:ind w:firstLine="420" w:firstLineChars="200"/>
              <w:rPr>
                <w:rFonts w:hint="default" w:ascii="Times New Roman" w:hAnsi="Times New Roman" w:eastAsia="楷体" w:cstheme="minorBidi"/>
                <w:snapToGrid w:val="0"/>
                <w:color w:val="000000" w:themeColor="text1"/>
                <w:kern w:val="0"/>
                <w:sz w:val="21"/>
                <w:szCs w:val="24"/>
                <w:highlight w:val="none"/>
                <w:lang w:val="en-US" w:eastAsia="zh-CN" w:bidi="ar-SA"/>
                <w14:textFill>
                  <w14:solidFill>
                    <w14:schemeClr w14:val="tx1"/>
                  </w14:solidFill>
                </w14:textFill>
              </w:rPr>
            </w:pPr>
            <w:r>
              <w:rPr>
                <w:rFonts w:hint="eastAsia" w:ascii="Times New Roman" w:hAnsi="Times New Roman" w:eastAsia="楷体" w:cstheme="minorBidi"/>
                <w:snapToGrid w:val="0"/>
                <w:color w:val="000000" w:themeColor="text1"/>
                <w:kern w:val="0"/>
                <w:sz w:val="21"/>
                <w:szCs w:val="24"/>
                <w:highlight w:val="none"/>
                <w:lang w:val="en-US" w:eastAsia="zh-CN" w:bidi="ar-SA"/>
                <w14:textFill>
                  <w14:solidFill>
                    <w14:schemeClr w14:val="tx1"/>
                  </w14:solidFill>
                </w14:textFill>
              </w:rPr>
              <w:t>未检出</w:t>
            </w:r>
          </w:p>
        </w:tc>
        <w:tc>
          <w:tcPr>
            <w:tcW w:w="886" w:type="pct"/>
            <w:vAlign w:val="center"/>
          </w:tcPr>
          <w:p w14:paraId="1F147C92">
            <w:pPr>
              <w:bidi w:val="0"/>
              <w:ind w:firstLine="420" w:firstLineChars="200"/>
              <w:rPr>
                <w:rFonts w:hint="default" w:ascii="Times New Roman" w:hAnsi="Times New Roman" w:eastAsia="楷体" w:cstheme="minorBidi"/>
                <w:snapToGrid w:val="0"/>
                <w:color w:val="000000" w:themeColor="text1"/>
                <w:kern w:val="0"/>
                <w:sz w:val="21"/>
                <w:szCs w:val="24"/>
                <w:highlight w:val="none"/>
                <w:lang w:val="en-US" w:eastAsia="zh-CN" w:bidi="ar-SA"/>
                <w14:textFill>
                  <w14:solidFill>
                    <w14:schemeClr w14:val="tx1"/>
                  </w14:solidFill>
                </w14:textFill>
              </w:rPr>
            </w:pPr>
            <w:r>
              <w:rPr>
                <w:rFonts w:hint="eastAsia" w:ascii="Times New Roman" w:hAnsi="Times New Roman" w:eastAsia="楷体" w:cstheme="minorBidi"/>
                <w:snapToGrid w:val="0"/>
                <w:color w:val="000000" w:themeColor="text1"/>
                <w:kern w:val="0"/>
                <w:sz w:val="21"/>
                <w:szCs w:val="24"/>
                <w:highlight w:val="none"/>
                <w:lang w:val="en-US" w:eastAsia="zh-CN" w:bidi="ar-SA"/>
                <w14:textFill>
                  <w14:solidFill>
                    <w14:schemeClr w14:val="tx1"/>
                  </w14:solidFill>
                </w14:textFill>
              </w:rPr>
              <w:t>未检出</w:t>
            </w:r>
          </w:p>
        </w:tc>
      </w:tr>
      <w:tr w14:paraId="35243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84" w:type="pct"/>
            <w:vAlign w:val="center"/>
          </w:tcPr>
          <w:p w14:paraId="48E8996C">
            <w:pPr>
              <w:pStyle w:val="55"/>
              <w:bidi w:val="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菌落总数</w:t>
            </w:r>
            <w:r>
              <w:rPr>
                <w:rFonts w:hint="eastAsia"/>
                <w:color w:val="000000" w:themeColor="text1"/>
                <w:highlight w:val="none"/>
                <w:lang w:val="en-US" w:eastAsia="zh-CN"/>
                <w14:textFill>
                  <w14:solidFill>
                    <w14:schemeClr w14:val="tx1"/>
                  </w14:solidFill>
                </w14:textFill>
              </w:rPr>
              <w:t>（CFU</w:t>
            </w:r>
            <w:r>
              <w:rPr>
                <w:rFonts w:hint="default"/>
                <w:color w:val="000000" w:themeColor="text1"/>
                <w:highlight w:val="none"/>
                <w:lang w:val="en-US" w:eastAsia="zh-CN"/>
                <w14:textFill>
                  <w14:solidFill>
                    <w14:schemeClr w14:val="tx1"/>
                  </w14:solidFill>
                </w14:textFill>
              </w:rPr>
              <w:t>/mL</w:t>
            </w:r>
            <w:r>
              <w:rPr>
                <w:rFonts w:hint="eastAsia"/>
                <w:color w:val="000000" w:themeColor="text1"/>
                <w:highlight w:val="none"/>
                <w:lang w:val="en-US" w:eastAsia="zh-CN"/>
                <w14:textFill>
                  <w14:solidFill>
                    <w14:schemeClr w14:val="tx1"/>
                  </w14:solidFill>
                </w14:textFill>
              </w:rPr>
              <w:t>）</w:t>
            </w:r>
          </w:p>
        </w:tc>
        <w:tc>
          <w:tcPr>
            <w:tcW w:w="852" w:type="pct"/>
            <w:vAlign w:val="center"/>
          </w:tcPr>
          <w:p w14:paraId="1AAE7BFF">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16</w:t>
            </w:r>
          </w:p>
        </w:tc>
        <w:tc>
          <w:tcPr>
            <w:tcW w:w="1799" w:type="dxa"/>
            <w:vAlign w:val="center"/>
          </w:tcPr>
          <w:p w14:paraId="4492A65A">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20</w:t>
            </w:r>
          </w:p>
        </w:tc>
        <w:tc>
          <w:tcPr>
            <w:tcW w:w="1871" w:type="dxa"/>
            <w:vAlign w:val="center"/>
          </w:tcPr>
          <w:p w14:paraId="2B02E69B">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24</w:t>
            </w:r>
          </w:p>
        </w:tc>
        <w:tc>
          <w:tcPr>
            <w:tcW w:w="886" w:type="pct"/>
            <w:vAlign w:val="center"/>
          </w:tcPr>
          <w:p w14:paraId="75FF7503">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7</w:t>
            </w:r>
          </w:p>
        </w:tc>
      </w:tr>
      <w:tr w14:paraId="09C00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84" w:type="pct"/>
            <w:vAlign w:val="center"/>
          </w:tcPr>
          <w:p w14:paraId="726D6CCC">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锰</w:t>
            </w:r>
            <w:r>
              <w:rPr>
                <w:rFonts w:hint="eastAsia"/>
                <w:color w:val="000000" w:themeColor="text1"/>
                <w:highlight w:val="none"/>
                <w:lang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mg/L</w:t>
            </w:r>
            <w:r>
              <w:rPr>
                <w:rFonts w:hint="eastAsia"/>
                <w:color w:val="000000" w:themeColor="text1"/>
                <w:highlight w:val="none"/>
                <w:lang w:eastAsia="zh-CN"/>
                <w14:textFill>
                  <w14:solidFill>
                    <w14:schemeClr w14:val="tx1"/>
                  </w14:solidFill>
                </w14:textFill>
              </w:rPr>
              <w:t>）</w:t>
            </w:r>
          </w:p>
        </w:tc>
        <w:tc>
          <w:tcPr>
            <w:tcW w:w="1582" w:type="dxa"/>
            <w:vAlign w:val="center"/>
          </w:tcPr>
          <w:p w14:paraId="01B4CC70">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ND</w:t>
            </w:r>
          </w:p>
        </w:tc>
        <w:tc>
          <w:tcPr>
            <w:tcW w:w="1799" w:type="dxa"/>
            <w:vAlign w:val="center"/>
          </w:tcPr>
          <w:p w14:paraId="67100F98">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ND</w:t>
            </w:r>
          </w:p>
        </w:tc>
        <w:tc>
          <w:tcPr>
            <w:tcW w:w="1871" w:type="dxa"/>
            <w:vAlign w:val="center"/>
          </w:tcPr>
          <w:p w14:paraId="4D84A28F">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ND</w:t>
            </w:r>
          </w:p>
        </w:tc>
        <w:tc>
          <w:tcPr>
            <w:tcW w:w="1645" w:type="dxa"/>
            <w:vAlign w:val="center"/>
          </w:tcPr>
          <w:p w14:paraId="40B93713">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ND</w:t>
            </w:r>
          </w:p>
        </w:tc>
      </w:tr>
      <w:tr w14:paraId="1305A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84" w:type="pct"/>
            <w:vAlign w:val="center"/>
          </w:tcPr>
          <w:p w14:paraId="2164C0EF">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铁</w:t>
            </w:r>
            <w:r>
              <w:rPr>
                <w:rFonts w:hint="eastAsia"/>
                <w:color w:val="000000" w:themeColor="text1"/>
                <w:highlight w:val="none"/>
                <w:lang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mg/L</w:t>
            </w:r>
            <w:r>
              <w:rPr>
                <w:rFonts w:hint="eastAsia"/>
                <w:color w:val="000000" w:themeColor="text1"/>
                <w:highlight w:val="none"/>
                <w:lang w:eastAsia="zh-CN"/>
                <w14:textFill>
                  <w14:solidFill>
                    <w14:schemeClr w14:val="tx1"/>
                  </w14:solidFill>
                </w14:textFill>
              </w:rPr>
              <w:t>）</w:t>
            </w:r>
          </w:p>
        </w:tc>
        <w:tc>
          <w:tcPr>
            <w:tcW w:w="1582" w:type="dxa"/>
            <w:vAlign w:val="center"/>
          </w:tcPr>
          <w:p w14:paraId="5DCC5E13">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ND</w:t>
            </w:r>
          </w:p>
        </w:tc>
        <w:tc>
          <w:tcPr>
            <w:tcW w:w="969" w:type="pct"/>
            <w:shd w:val="clear" w:color="auto" w:fill="auto"/>
            <w:vAlign w:val="center"/>
          </w:tcPr>
          <w:p w14:paraId="497F7C21">
            <w:pPr>
              <w:pStyle w:val="55"/>
              <w:bidi w:val="0"/>
              <w:rPr>
                <w:rFonts w:hint="default" w:ascii="Times New Roman" w:hAnsi="Times New Roman" w:eastAsia="楷体" w:cstheme="minorBidi"/>
                <w:snapToGrid w:val="0"/>
                <w:color w:val="000000" w:themeColor="text1"/>
                <w:kern w:val="0"/>
                <w:sz w:val="21"/>
                <w:szCs w:val="24"/>
                <w:highlight w:val="none"/>
                <w:lang w:val="en-US" w:eastAsia="zh-CN" w:bidi="ar-SA"/>
                <w14:textFill>
                  <w14:solidFill>
                    <w14:schemeClr w14:val="tx1"/>
                  </w14:solidFill>
                </w14:textFill>
              </w:rPr>
            </w:pPr>
            <w:r>
              <w:rPr>
                <w:rFonts w:hint="eastAsia"/>
                <w:color w:val="000000" w:themeColor="text1"/>
                <w:highlight w:val="none"/>
                <w:lang w:val="en-US" w:eastAsia="zh-CN"/>
                <w14:textFill>
                  <w14:solidFill>
                    <w14:schemeClr w14:val="tx1"/>
                  </w14:solidFill>
                </w14:textFill>
              </w:rPr>
              <w:t>ND</w:t>
            </w:r>
          </w:p>
        </w:tc>
        <w:tc>
          <w:tcPr>
            <w:tcW w:w="1007" w:type="pct"/>
            <w:shd w:val="clear" w:color="auto" w:fill="auto"/>
            <w:vAlign w:val="center"/>
          </w:tcPr>
          <w:p w14:paraId="744FEEF7">
            <w:pPr>
              <w:pStyle w:val="55"/>
              <w:bidi w:val="0"/>
              <w:rPr>
                <w:rFonts w:hint="default" w:ascii="Times New Roman" w:hAnsi="Times New Roman" w:eastAsia="楷体" w:cstheme="minorBidi"/>
                <w:snapToGrid w:val="0"/>
                <w:color w:val="000000" w:themeColor="text1"/>
                <w:kern w:val="0"/>
                <w:sz w:val="21"/>
                <w:szCs w:val="24"/>
                <w:highlight w:val="none"/>
                <w:lang w:val="en-US" w:eastAsia="zh-CN" w:bidi="ar-SA"/>
                <w14:textFill>
                  <w14:solidFill>
                    <w14:schemeClr w14:val="tx1"/>
                  </w14:solidFill>
                </w14:textFill>
              </w:rPr>
            </w:pPr>
            <w:r>
              <w:rPr>
                <w:rFonts w:hint="eastAsia"/>
                <w:color w:val="000000" w:themeColor="text1"/>
                <w:highlight w:val="none"/>
                <w:lang w:val="en-US" w:eastAsia="zh-CN"/>
                <w14:textFill>
                  <w14:solidFill>
                    <w14:schemeClr w14:val="tx1"/>
                  </w14:solidFill>
                </w14:textFill>
              </w:rPr>
              <w:t>ND</w:t>
            </w:r>
          </w:p>
        </w:tc>
        <w:tc>
          <w:tcPr>
            <w:tcW w:w="1645" w:type="dxa"/>
            <w:shd w:val="clear" w:color="auto" w:fill="auto"/>
            <w:vAlign w:val="center"/>
          </w:tcPr>
          <w:p w14:paraId="1A21DEB2">
            <w:pPr>
              <w:pStyle w:val="55"/>
              <w:bidi w:val="0"/>
              <w:rPr>
                <w:rFonts w:hint="default" w:ascii="Times New Roman" w:hAnsi="Times New Roman" w:eastAsia="楷体" w:cstheme="minorBidi"/>
                <w:snapToGrid w:val="0"/>
                <w:color w:val="000000" w:themeColor="text1"/>
                <w:kern w:val="0"/>
                <w:sz w:val="21"/>
                <w:szCs w:val="24"/>
                <w:highlight w:val="none"/>
                <w:lang w:val="en-US" w:eastAsia="zh-CN" w:bidi="ar-SA"/>
                <w14:textFill>
                  <w14:solidFill>
                    <w14:schemeClr w14:val="tx1"/>
                  </w14:solidFill>
                </w14:textFill>
              </w:rPr>
            </w:pPr>
            <w:r>
              <w:rPr>
                <w:rFonts w:hint="eastAsia"/>
                <w:color w:val="000000" w:themeColor="text1"/>
                <w:highlight w:val="none"/>
                <w:lang w:val="en-US" w:eastAsia="zh-CN"/>
                <w14:textFill>
                  <w14:solidFill>
                    <w14:schemeClr w14:val="tx1"/>
                  </w14:solidFill>
                </w14:textFill>
              </w:rPr>
              <w:t>0.07</w:t>
            </w:r>
          </w:p>
        </w:tc>
      </w:tr>
      <w:tr w14:paraId="2D32E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84" w:type="pct"/>
            <w:vAlign w:val="center"/>
          </w:tcPr>
          <w:p w14:paraId="0F3DBE25">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铅</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u</w:t>
            </w:r>
            <w:r>
              <w:rPr>
                <w:rFonts w:hint="default"/>
                <w:color w:val="000000" w:themeColor="text1"/>
                <w:highlight w:val="none"/>
                <w:lang w:val="en-US" w:eastAsia="zh-CN"/>
                <w14:textFill>
                  <w14:solidFill>
                    <w14:schemeClr w14:val="tx1"/>
                  </w14:solidFill>
                </w14:textFill>
              </w:rPr>
              <w:t>g/L</w:t>
            </w:r>
            <w:r>
              <w:rPr>
                <w:rFonts w:hint="eastAsia"/>
                <w:color w:val="000000" w:themeColor="text1"/>
                <w:highlight w:val="none"/>
                <w:lang w:eastAsia="zh-CN"/>
                <w14:textFill>
                  <w14:solidFill>
                    <w14:schemeClr w14:val="tx1"/>
                  </w14:solidFill>
                </w14:textFill>
              </w:rPr>
              <w:t>）</w:t>
            </w:r>
          </w:p>
        </w:tc>
        <w:tc>
          <w:tcPr>
            <w:tcW w:w="1582" w:type="dxa"/>
            <w:vAlign w:val="center"/>
          </w:tcPr>
          <w:p w14:paraId="3CADC7A8">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ND</w:t>
            </w:r>
          </w:p>
        </w:tc>
        <w:tc>
          <w:tcPr>
            <w:tcW w:w="969" w:type="pct"/>
            <w:vAlign w:val="center"/>
          </w:tcPr>
          <w:p w14:paraId="7CDBC18F">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ND</w:t>
            </w:r>
          </w:p>
        </w:tc>
        <w:tc>
          <w:tcPr>
            <w:tcW w:w="1007" w:type="pct"/>
            <w:vAlign w:val="center"/>
          </w:tcPr>
          <w:p w14:paraId="70119CAE">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ND</w:t>
            </w:r>
          </w:p>
        </w:tc>
        <w:tc>
          <w:tcPr>
            <w:tcW w:w="1645" w:type="dxa"/>
            <w:vAlign w:val="center"/>
          </w:tcPr>
          <w:p w14:paraId="75C4661F">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3.0</w:t>
            </w:r>
          </w:p>
        </w:tc>
      </w:tr>
      <w:tr w14:paraId="2456F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84" w:type="pct"/>
            <w:vAlign w:val="center"/>
          </w:tcPr>
          <w:p w14:paraId="1B05E6B7">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镉</w:t>
            </w:r>
            <w:r>
              <w:rPr>
                <w:rFonts w:hint="eastAsia"/>
                <w:color w:val="000000" w:themeColor="text1"/>
                <w:highlight w:val="none"/>
                <w:lang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mg/L</w:t>
            </w:r>
            <w:r>
              <w:rPr>
                <w:rFonts w:hint="eastAsia"/>
                <w:color w:val="000000" w:themeColor="text1"/>
                <w:highlight w:val="none"/>
                <w:lang w:eastAsia="zh-CN"/>
                <w14:textFill>
                  <w14:solidFill>
                    <w14:schemeClr w14:val="tx1"/>
                  </w14:solidFill>
                </w14:textFill>
              </w:rPr>
              <w:t>）</w:t>
            </w:r>
          </w:p>
        </w:tc>
        <w:tc>
          <w:tcPr>
            <w:tcW w:w="852" w:type="pct"/>
            <w:vAlign w:val="center"/>
          </w:tcPr>
          <w:p w14:paraId="5504BA26">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ND</w:t>
            </w:r>
          </w:p>
        </w:tc>
        <w:tc>
          <w:tcPr>
            <w:tcW w:w="969" w:type="pct"/>
            <w:vAlign w:val="center"/>
          </w:tcPr>
          <w:p w14:paraId="781E5BFD">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ND</w:t>
            </w:r>
          </w:p>
        </w:tc>
        <w:tc>
          <w:tcPr>
            <w:tcW w:w="1007" w:type="pct"/>
            <w:vAlign w:val="center"/>
          </w:tcPr>
          <w:p w14:paraId="0CFFD92A">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ND</w:t>
            </w:r>
          </w:p>
        </w:tc>
        <w:tc>
          <w:tcPr>
            <w:tcW w:w="886" w:type="pct"/>
            <w:vAlign w:val="center"/>
          </w:tcPr>
          <w:p w14:paraId="3294D38A">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ND</w:t>
            </w:r>
          </w:p>
        </w:tc>
      </w:tr>
      <w:tr w14:paraId="261FE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84" w:type="pct"/>
            <w:vAlign w:val="center"/>
          </w:tcPr>
          <w:p w14:paraId="135DDC10">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汞</w:t>
            </w:r>
            <w:r>
              <w:rPr>
                <w:rFonts w:hint="eastAsia"/>
                <w:color w:val="000000" w:themeColor="text1"/>
                <w:highlight w:val="none"/>
                <w:lang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mg/L</w:t>
            </w:r>
            <w:r>
              <w:rPr>
                <w:rFonts w:hint="eastAsia"/>
                <w:color w:val="000000" w:themeColor="text1"/>
                <w:highlight w:val="none"/>
                <w:lang w:eastAsia="zh-CN"/>
                <w14:textFill>
                  <w14:solidFill>
                    <w14:schemeClr w14:val="tx1"/>
                  </w14:solidFill>
                </w14:textFill>
              </w:rPr>
              <w:t>）</w:t>
            </w:r>
          </w:p>
        </w:tc>
        <w:tc>
          <w:tcPr>
            <w:tcW w:w="852" w:type="pct"/>
            <w:vAlign w:val="center"/>
          </w:tcPr>
          <w:p w14:paraId="0CB5C69D">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ND</w:t>
            </w:r>
          </w:p>
        </w:tc>
        <w:tc>
          <w:tcPr>
            <w:tcW w:w="969" w:type="pct"/>
            <w:vAlign w:val="center"/>
          </w:tcPr>
          <w:p w14:paraId="79609BA4">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ND</w:t>
            </w:r>
          </w:p>
        </w:tc>
        <w:tc>
          <w:tcPr>
            <w:tcW w:w="1007" w:type="pct"/>
            <w:vAlign w:val="center"/>
          </w:tcPr>
          <w:p w14:paraId="2A4AA34C">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ND</w:t>
            </w:r>
          </w:p>
        </w:tc>
        <w:tc>
          <w:tcPr>
            <w:tcW w:w="886" w:type="pct"/>
            <w:vAlign w:val="center"/>
          </w:tcPr>
          <w:p w14:paraId="27FEF0A9">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ND</w:t>
            </w:r>
          </w:p>
        </w:tc>
      </w:tr>
      <w:tr w14:paraId="7CFC9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84" w:type="pct"/>
            <w:vAlign w:val="center"/>
          </w:tcPr>
          <w:p w14:paraId="248E85A6">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砷</w:t>
            </w:r>
            <w:r>
              <w:rPr>
                <w:rFonts w:hint="eastAsia"/>
                <w:color w:val="000000" w:themeColor="text1"/>
                <w:highlight w:val="none"/>
                <w:lang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mg/L</w:t>
            </w:r>
            <w:r>
              <w:rPr>
                <w:rFonts w:hint="eastAsia"/>
                <w:color w:val="000000" w:themeColor="text1"/>
                <w:highlight w:val="none"/>
                <w:lang w:eastAsia="zh-CN"/>
                <w14:textFill>
                  <w14:solidFill>
                    <w14:schemeClr w14:val="tx1"/>
                  </w14:solidFill>
                </w14:textFill>
              </w:rPr>
              <w:t>）</w:t>
            </w:r>
          </w:p>
        </w:tc>
        <w:tc>
          <w:tcPr>
            <w:tcW w:w="852" w:type="pct"/>
            <w:vAlign w:val="center"/>
          </w:tcPr>
          <w:p w14:paraId="3ED794D5">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ND</w:t>
            </w:r>
          </w:p>
        </w:tc>
        <w:tc>
          <w:tcPr>
            <w:tcW w:w="969" w:type="pct"/>
            <w:vAlign w:val="center"/>
          </w:tcPr>
          <w:p w14:paraId="760C0585">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ND</w:t>
            </w:r>
          </w:p>
        </w:tc>
        <w:tc>
          <w:tcPr>
            <w:tcW w:w="1007" w:type="pct"/>
            <w:vAlign w:val="center"/>
          </w:tcPr>
          <w:p w14:paraId="7AC61015">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ND</w:t>
            </w:r>
          </w:p>
        </w:tc>
        <w:tc>
          <w:tcPr>
            <w:tcW w:w="886" w:type="pct"/>
            <w:vAlign w:val="center"/>
          </w:tcPr>
          <w:p w14:paraId="694E75EA">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ND</w:t>
            </w:r>
          </w:p>
        </w:tc>
      </w:tr>
      <w:tr w14:paraId="0E650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84" w:type="pct"/>
            <w:vAlign w:val="center"/>
          </w:tcPr>
          <w:p w14:paraId="65C86BF0">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铬（六价）</w:t>
            </w:r>
          </w:p>
        </w:tc>
        <w:tc>
          <w:tcPr>
            <w:tcW w:w="852" w:type="pct"/>
            <w:vAlign w:val="center"/>
          </w:tcPr>
          <w:p w14:paraId="7F63BF82">
            <w:pPr>
              <w:pStyle w:val="55"/>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ND</w:t>
            </w:r>
          </w:p>
        </w:tc>
        <w:tc>
          <w:tcPr>
            <w:tcW w:w="969" w:type="pct"/>
            <w:vAlign w:val="center"/>
          </w:tcPr>
          <w:p w14:paraId="1ED0AC86">
            <w:pPr>
              <w:pStyle w:val="55"/>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ND</w:t>
            </w:r>
          </w:p>
        </w:tc>
        <w:tc>
          <w:tcPr>
            <w:tcW w:w="1007" w:type="pct"/>
            <w:vAlign w:val="center"/>
          </w:tcPr>
          <w:p w14:paraId="60A3EC73">
            <w:pPr>
              <w:pStyle w:val="55"/>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ND</w:t>
            </w:r>
          </w:p>
        </w:tc>
        <w:tc>
          <w:tcPr>
            <w:tcW w:w="886" w:type="pct"/>
            <w:vAlign w:val="center"/>
          </w:tcPr>
          <w:p w14:paraId="3D34C203">
            <w:pPr>
              <w:pStyle w:val="55"/>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ND</w:t>
            </w:r>
          </w:p>
        </w:tc>
      </w:tr>
      <w:tr w14:paraId="609E1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84" w:type="pct"/>
            <w:vAlign w:val="center"/>
          </w:tcPr>
          <w:p w14:paraId="14963715">
            <w:pPr>
              <w:pStyle w:val="55"/>
              <w:bidi w:val="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色度（度）</w:t>
            </w:r>
          </w:p>
        </w:tc>
        <w:tc>
          <w:tcPr>
            <w:tcW w:w="852" w:type="pct"/>
            <w:vAlign w:val="center"/>
          </w:tcPr>
          <w:p w14:paraId="649B3713">
            <w:pPr>
              <w:pStyle w:val="55"/>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ND</w:t>
            </w:r>
          </w:p>
        </w:tc>
        <w:tc>
          <w:tcPr>
            <w:tcW w:w="969" w:type="pct"/>
            <w:vAlign w:val="center"/>
          </w:tcPr>
          <w:p w14:paraId="1D6F02C6">
            <w:pPr>
              <w:pStyle w:val="55"/>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ND</w:t>
            </w:r>
          </w:p>
        </w:tc>
        <w:tc>
          <w:tcPr>
            <w:tcW w:w="1007" w:type="pct"/>
            <w:vAlign w:val="center"/>
          </w:tcPr>
          <w:p w14:paraId="7E8CA443">
            <w:pPr>
              <w:pStyle w:val="55"/>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ND</w:t>
            </w:r>
          </w:p>
        </w:tc>
        <w:tc>
          <w:tcPr>
            <w:tcW w:w="886" w:type="pct"/>
            <w:vAlign w:val="center"/>
          </w:tcPr>
          <w:p w14:paraId="403BDCC4">
            <w:pPr>
              <w:pStyle w:val="55"/>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ND</w:t>
            </w:r>
          </w:p>
        </w:tc>
      </w:tr>
    </w:tbl>
    <w:p w14:paraId="65EEC850">
      <w:pPr>
        <w:pStyle w:val="94"/>
        <w:bidi w:val="0"/>
        <w:ind w:left="0" w:leftChars="0" w:firstLine="0" w:firstLineChars="0"/>
      </w:pPr>
      <w:r>
        <w:rPr>
          <w:rFonts w:hint="eastAsia"/>
        </w:rPr>
        <w:t>潜层地下水环境质量现状统计分析表</w:t>
      </w:r>
    </w:p>
    <w:tbl>
      <w:tblPr>
        <w:tblStyle w:val="3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6"/>
        <w:gridCol w:w="1229"/>
        <w:gridCol w:w="897"/>
        <w:gridCol w:w="899"/>
        <w:gridCol w:w="915"/>
        <w:gridCol w:w="875"/>
        <w:gridCol w:w="832"/>
        <w:gridCol w:w="844"/>
        <w:gridCol w:w="1034"/>
      </w:tblGrid>
      <w:tr w14:paraId="2BDD9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946" w:type="pct"/>
            <w:vMerge w:val="restart"/>
            <w:vAlign w:val="center"/>
          </w:tcPr>
          <w:p w14:paraId="38B60A5C">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监测项目</w:t>
            </w:r>
          </w:p>
        </w:tc>
        <w:tc>
          <w:tcPr>
            <w:tcW w:w="662" w:type="pct"/>
            <w:vMerge w:val="restart"/>
            <w:vAlign w:val="center"/>
          </w:tcPr>
          <w:p w14:paraId="20D6F9CD">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标准值</w:t>
            </w:r>
          </w:p>
        </w:tc>
        <w:tc>
          <w:tcPr>
            <w:tcW w:w="3391" w:type="pct"/>
            <w:gridSpan w:val="7"/>
            <w:vAlign w:val="center"/>
          </w:tcPr>
          <w:p w14:paraId="6AFC642E">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潜水层</w:t>
            </w:r>
          </w:p>
        </w:tc>
      </w:tr>
      <w:tr w14:paraId="4EE2C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946" w:type="pct"/>
            <w:vMerge w:val="continue"/>
            <w:vAlign w:val="center"/>
          </w:tcPr>
          <w:p w14:paraId="2B5E67F5">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p>
        </w:tc>
        <w:tc>
          <w:tcPr>
            <w:tcW w:w="662" w:type="pct"/>
            <w:vMerge w:val="continue"/>
            <w:vAlign w:val="center"/>
          </w:tcPr>
          <w:p w14:paraId="4D8FB7BA">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p>
        </w:tc>
        <w:tc>
          <w:tcPr>
            <w:tcW w:w="483" w:type="pct"/>
            <w:vAlign w:val="center"/>
          </w:tcPr>
          <w:p w14:paraId="2B3DBD9F">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最大值</w:t>
            </w:r>
          </w:p>
        </w:tc>
        <w:tc>
          <w:tcPr>
            <w:tcW w:w="484" w:type="pct"/>
            <w:vAlign w:val="center"/>
          </w:tcPr>
          <w:p w14:paraId="326B71A1">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最小值</w:t>
            </w:r>
          </w:p>
        </w:tc>
        <w:tc>
          <w:tcPr>
            <w:tcW w:w="492" w:type="pct"/>
            <w:vAlign w:val="center"/>
          </w:tcPr>
          <w:p w14:paraId="21C1FB31">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平均值</w:t>
            </w:r>
          </w:p>
        </w:tc>
        <w:tc>
          <w:tcPr>
            <w:tcW w:w="471" w:type="pct"/>
            <w:vAlign w:val="center"/>
          </w:tcPr>
          <w:p w14:paraId="6462F7DD">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标准差</w:t>
            </w:r>
          </w:p>
        </w:tc>
        <w:tc>
          <w:tcPr>
            <w:tcW w:w="448" w:type="pct"/>
            <w:vAlign w:val="center"/>
          </w:tcPr>
          <w:p w14:paraId="3DBCEEA1">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检出率%</w:t>
            </w:r>
          </w:p>
        </w:tc>
        <w:tc>
          <w:tcPr>
            <w:tcW w:w="454" w:type="pct"/>
            <w:vAlign w:val="center"/>
          </w:tcPr>
          <w:p w14:paraId="63BDC39A">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超标率%</w:t>
            </w:r>
          </w:p>
        </w:tc>
        <w:tc>
          <w:tcPr>
            <w:tcW w:w="557" w:type="pct"/>
            <w:vAlign w:val="center"/>
          </w:tcPr>
          <w:p w14:paraId="0EE96316">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最大标准指数</w:t>
            </w:r>
          </w:p>
        </w:tc>
      </w:tr>
      <w:tr w14:paraId="77B57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 w:type="pct"/>
            <w:vAlign w:val="center"/>
          </w:tcPr>
          <w:p w14:paraId="180AD5EA">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pH（无量纲）</w:t>
            </w:r>
          </w:p>
        </w:tc>
        <w:tc>
          <w:tcPr>
            <w:tcW w:w="662" w:type="pct"/>
            <w:vAlign w:val="center"/>
          </w:tcPr>
          <w:p w14:paraId="59A92ED7">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6.5</w:t>
            </w:r>
            <w:r>
              <w:rPr>
                <w:rFonts w:hint="default" w:ascii="Times New Roman" w:hAnsi="Times New Roman" w:eastAsia="楷体" w:cs="Times New Roman"/>
                <w:sz w:val="24"/>
                <w:szCs w:val="24"/>
              </w:rPr>
              <w:t>≤</w:t>
            </w:r>
            <w:r>
              <w:rPr>
                <w:rFonts w:hint="default" w:ascii="Times New Roman" w:hAnsi="Times New Roman" w:eastAsia="楷体" w:cs="Times New Roman"/>
                <w:color w:val="000000" w:themeColor="text1"/>
                <w:sz w:val="24"/>
                <w:szCs w:val="24"/>
                <w:lang w:val="en-US" w:eastAsia="zh-CN"/>
                <w14:textFill>
                  <w14:solidFill>
                    <w14:schemeClr w14:val="tx1"/>
                  </w14:solidFill>
                </w14:textFill>
              </w:rPr>
              <w:t>pH</w:t>
            </w:r>
            <w:r>
              <w:rPr>
                <w:rFonts w:hint="default" w:ascii="Times New Roman" w:hAnsi="Times New Roman" w:eastAsia="楷体" w:cs="Times New Roman"/>
                <w:sz w:val="24"/>
                <w:szCs w:val="24"/>
              </w:rPr>
              <w:t>≤</w:t>
            </w:r>
            <w:r>
              <w:rPr>
                <w:rFonts w:hint="default" w:ascii="Times New Roman" w:hAnsi="Times New Roman" w:eastAsia="楷体" w:cs="Times New Roman"/>
                <w:color w:val="000000" w:themeColor="text1"/>
                <w:sz w:val="24"/>
                <w:szCs w:val="24"/>
                <w:lang w:val="en-US" w:eastAsia="zh-CN"/>
                <w14:textFill>
                  <w14:solidFill>
                    <w14:schemeClr w14:val="tx1"/>
                  </w14:solidFill>
                </w14:textFill>
              </w:rPr>
              <w:t>8.5</w:t>
            </w:r>
          </w:p>
        </w:tc>
        <w:tc>
          <w:tcPr>
            <w:tcW w:w="483" w:type="pct"/>
            <w:vAlign w:val="center"/>
          </w:tcPr>
          <w:p w14:paraId="64EE6A41">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7.8</w:t>
            </w:r>
          </w:p>
        </w:tc>
        <w:tc>
          <w:tcPr>
            <w:tcW w:w="484" w:type="pct"/>
            <w:vAlign w:val="center"/>
          </w:tcPr>
          <w:p w14:paraId="76E10C19">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7.6</w:t>
            </w:r>
          </w:p>
        </w:tc>
        <w:tc>
          <w:tcPr>
            <w:tcW w:w="492" w:type="pct"/>
            <w:vAlign w:val="center"/>
          </w:tcPr>
          <w:p w14:paraId="3D172FB0">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7.73</w:t>
            </w:r>
          </w:p>
        </w:tc>
        <w:tc>
          <w:tcPr>
            <w:tcW w:w="471" w:type="pct"/>
            <w:vAlign w:val="center"/>
          </w:tcPr>
          <w:p w14:paraId="4AF72F5E">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0.10</w:t>
            </w:r>
          </w:p>
        </w:tc>
        <w:tc>
          <w:tcPr>
            <w:tcW w:w="448" w:type="pct"/>
            <w:vAlign w:val="center"/>
          </w:tcPr>
          <w:p w14:paraId="0B77764B">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100</w:t>
            </w:r>
          </w:p>
        </w:tc>
        <w:tc>
          <w:tcPr>
            <w:tcW w:w="454" w:type="pct"/>
            <w:vAlign w:val="center"/>
          </w:tcPr>
          <w:p w14:paraId="63B34199">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w:t>
            </w:r>
          </w:p>
        </w:tc>
        <w:tc>
          <w:tcPr>
            <w:tcW w:w="557" w:type="pct"/>
            <w:vAlign w:val="center"/>
          </w:tcPr>
          <w:p w14:paraId="5F1C47A1">
            <w:pPr>
              <w:keepNext w:val="0"/>
              <w:keepLines w:val="0"/>
              <w:pageBreakBefore w:val="0"/>
              <w:widowControl/>
              <w:suppressLineNumbers w:val="0"/>
              <w:kinsoku/>
              <w:wordWrap/>
              <w:overflowPunct/>
              <w:topLinePunct w:val="0"/>
              <w:autoSpaceDE/>
              <w:autoSpaceDN/>
              <w:bidi w:val="0"/>
              <w:adjustRightInd w:val="0"/>
              <w:snapToGrid w:val="0"/>
              <w:spacing w:line="300" w:lineRule="exact"/>
              <w:ind w:firstLine="0" w:firstLineChars="0"/>
              <w:jc w:val="center"/>
              <w:textAlignment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i w:val="0"/>
                <w:iCs w:val="0"/>
                <w:snapToGrid w:val="0"/>
                <w:color w:val="000000"/>
                <w:kern w:val="0"/>
                <w:sz w:val="24"/>
                <w:szCs w:val="24"/>
                <w:u w:val="none"/>
                <w:lang w:val="en-US" w:eastAsia="zh-CN" w:bidi="ar"/>
              </w:rPr>
              <w:t>0.533</w:t>
            </w:r>
          </w:p>
        </w:tc>
      </w:tr>
      <w:tr w14:paraId="5133D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 w:type="pct"/>
            <w:vAlign w:val="center"/>
          </w:tcPr>
          <w:p w14:paraId="1C6099B1">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总硬度</w:t>
            </w:r>
            <w:r>
              <w:rPr>
                <w:rFonts w:hint="default" w:ascii="Times New Roman" w:hAnsi="Times New Roman" w:eastAsia="楷体" w:cs="Times New Roman"/>
                <w:color w:val="000000" w:themeColor="text1"/>
                <w:sz w:val="24"/>
                <w:szCs w:val="24"/>
                <w:lang w:eastAsia="zh-CN"/>
                <w14:textFill>
                  <w14:solidFill>
                    <w14:schemeClr w14:val="tx1"/>
                  </w14:solidFill>
                </w14:textFill>
              </w:rPr>
              <w:t>（</w:t>
            </w:r>
            <w:r>
              <w:rPr>
                <w:rFonts w:hint="default" w:ascii="Times New Roman" w:hAnsi="Times New Roman" w:eastAsia="楷体" w:cs="Times New Roman"/>
                <w:color w:val="000000" w:themeColor="text1"/>
                <w:sz w:val="24"/>
                <w:szCs w:val="24"/>
                <w:lang w:val="en-US" w:eastAsia="zh-CN"/>
                <w14:textFill>
                  <w14:solidFill>
                    <w14:schemeClr w14:val="tx1"/>
                  </w14:solidFill>
                </w14:textFill>
              </w:rPr>
              <w:t>mg/L</w:t>
            </w:r>
            <w:r>
              <w:rPr>
                <w:rFonts w:hint="default" w:ascii="Times New Roman" w:hAnsi="Times New Roman" w:eastAsia="楷体" w:cs="Times New Roman"/>
                <w:color w:val="000000" w:themeColor="text1"/>
                <w:sz w:val="24"/>
                <w:szCs w:val="24"/>
                <w:lang w:eastAsia="zh-CN"/>
                <w14:textFill>
                  <w14:solidFill>
                    <w14:schemeClr w14:val="tx1"/>
                  </w14:solidFill>
                </w14:textFill>
              </w:rPr>
              <w:t>）</w:t>
            </w:r>
          </w:p>
        </w:tc>
        <w:tc>
          <w:tcPr>
            <w:tcW w:w="662" w:type="pct"/>
            <w:vAlign w:val="center"/>
          </w:tcPr>
          <w:p w14:paraId="26831DB6">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450</w:t>
            </w:r>
          </w:p>
        </w:tc>
        <w:tc>
          <w:tcPr>
            <w:tcW w:w="483" w:type="pct"/>
            <w:vAlign w:val="center"/>
          </w:tcPr>
          <w:p w14:paraId="24045311">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433</w:t>
            </w:r>
          </w:p>
        </w:tc>
        <w:tc>
          <w:tcPr>
            <w:tcW w:w="484" w:type="pct"/>
            <w:vAlign w:val="center"/>
          </w:tcPr>
          <w:p w14:paraId="68D893A8">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256</w:t>
            </w:r>
          </w:p>
        </w:tc>
        <w:tc>
          <w:tcPr>
            <w:tcW w:w="492" w:type="pct"/>
            <w:vAlign w:val="center"/>
          </w:tcPr>
          <w:p w14:paraId="1351C438">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336.75</w:t>
            </w:r>
          </w:p>
        </w:tc>
        <w:tc>
          <w:tcPr>
            <w:tcW w:w="471" w:type="pct"/>
            <w:vAlign w:val="center"/>
          </w:tcPr>
          <w:p w14:paraId="350C4B52">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72.93</w:t>
            </w:r>
          </w:p>
        </w:tc>
        <w:tc>
          <w:tcPr>
            <w:tcW w:w="448" w:type="pct"/>
            <w:vAlign w:val="center"/>
          </w:tcPr>
          <w:p w14:paraId="2D3B76A6">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100</w:t>
            </w:r>
          </w:p>
        </w:tc>
        <w:tc>
          <w:tcPr>
            <w:tcW w:w="454" w:type="pct"/>
            <w:vAlign w:val="center"/>
          </w:tcPr>
          <w:p w14:paraId="562AF085">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w:t>
            </w:r>
          </w:p>
        </w:tc>
        <w:tc>
          <w:tcPr>
            <w:tcW w:w="557" w:type="pct"/>
            <w:vAlign w:val="center"/>
          </w:tcPr>
          <w:p w14:paraId="7F3F7F8E">
            <w:pPr>
              <w:keepNext w:val="0"/>
              <w:keepLines w:val="0"/>
              <w:pageBreakBefore w:val="0"/>
              <w:widowControl/>
              <w:suppressLineNumbers w:val="0"/>
              <w:kinsoku/>
              <w:wordWrap/>
              <w:overflowPunct/>
              <w:topLinePunct w:val="0"/>
              <w:autoSpaceDE/>
              <w:autoSpaceDN/>
              <w:bidi w:val="0"/>
              <w:adjustRightInd w:val="0"/>
              <w:snapToGrid w:val="0"/>
              <w:spacing w:line="300" w:lineRule="exact"/>
              <w:ind w:firstLine="0" w:firstLineChars="0"/>
              <w:jc w:val="center"/>
              <w:textAlignment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i w:val="0"/>
                <w:iCs w:val="0"/>
                <w:snapToGrid w:val="0"/>
                <w:color w:val="000000"/>
                <w:kern w:val="0"/>
                <w:sz w:val="24"/>
                <w:szCs w:val="24"/>
                <w:u w:val="none"/>
                <w:lang w:val="en-US" w:eastAsia="zh-CN" w:bidi="ar"/>
              </w:rPr>
              <w:t>0.962</w:t>
            </w:r>
          </w:p>
        </w:tc>
      </w:tr>
      <w:tr w14:paraId="0DFCC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 w:type="pct"/>
            <w:vAlign w:val="center"/>
          </w:tcPr>
          <w:p w14:paraId="4796EA72">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氯化物</w:t>
            </w:r>
            <w:r>
              <w:rPr>
                <w:rFonts w:hint="default" w:ascii="Times New Roman" w:hAnsi="Times New Roman" w:eastAsia="楷体" w:cs="Times New Roman"/>
                <w:color w:val="000000" w:themeColor="text1"/>
                <w:sz w:val="24"/>
                <w:szCs w:val="24"/>
                <w:lang w:eastAsia="zh-CN"/>
                <w14:textFill>
                  <w14:solidFill>
                    <w14:schemeClr w14:val="tx1"/>
                  </w14:solidFill>
                </w14:textFill>
              </w:rPr>
              <w:t>（</w:t>
            </w:r>
            <w:r>
              <w:rPr>
                <w:rFonts w:hint="default" w:ascii="Times New Roman" w:hAnsi="Times New Roman" w:eastAsia="楷体" w:cs="Times New Roman"/>
                <w:color w:val="000000" w:themeColor="text1"/>
                <w:sz w:val="24"/>
                <w:szCs w:val="24"/>
                <w:lang w:val="en-US" w:eastAsia="zh-CN"/>
                <w14:textFill>
                  <w14:solidFill>
                    <w14:schemeClr w14:val="tx1"/>
                  </w14:solidFill>
                </w14:textFill>
              </w:rPr>
              <w:t>mg/L</w:t>
            </w:r>
            <w:r>
              <w:rPr>
                <w:rFonts w:hint="default" w:ascii="Times New Roman" w:hAnsi="Times New Roman" w:eastAsia="楷体" w:cs="Times New Roman"/>
                <w:color w:val="000000" w:themeColor="text1"/>
                <w:sz w:val="24"/>
                <w:szCs w:val="24"/>
                <w:lang w:eastAsia="zh-CN"/>
                <w14:textFill>
                  <w14:solidFill>
                    <w14:schemeClr w14:val="tx1"/>
                  </w14:solidFill>
                </w14:textFill>
              </w:rPr>
              <w:t>）</w:t>
            </w:r>
          </w:p>
        </w:tc>
        <w:tc>
          <w:tcPr>
            <w:tcW w:w="662" w:type="pct"/>
            <w:vAlign w:val="center"/>
          </w:tcPr>
          <w:p w14:paraId="7D624622">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250</w:t>
            </w:r>
          </w:p>
        </w:tc>
        <w:tc>
          <w:tcPr>
            <w:tcW w:w="483" w:type="pct"/>
            <w:vAlign w:val="center"/>
          </w:tcPr>
          <w:p w14:paraId="07708CB6">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103</w:t>
            </w:r>
          </w:p>
        </w:tc>
        <w:tc>
          <w:tcPr>
            <w:tcW w:w="484" w:type="pct"/>
            <w:vAlign w:val="center"/>
          </w:tcPr>
          <w:p w14:paraId="7A7CF034">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30</w:t>
            </w:r>
          </w:p>
        </w:tc>
        <w:tc>
          <w:tcPr>
            <w:tcW w:w="492" w:type="pct"/>
            <w:vAlign w:val="center"/>
          </w:tcPr>
          <w:p w14:paraId="2F18AFA0">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54.50</w:t>
            </w:r>
          </w:p>
        </w:tc>
        <w:tc>
          <w:tcPr>
            <w:tcW w:w="471" w:type="pct"/>
            <w:vAlign w:val="center"/>
          </w:tcPr>
          <w:p w14:paraId="23452932">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33.59</w:t>
            </w:r>
          </w:p>
        </w:tc>
        <w:tc>
          <w:tcPr>
            <w:tcW w:w="448" w:type="pct"/>
            <w:vAlign w:val="center"/>
          </w:tcPr>
          <w:p w14:paraId="395A2068">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100</w:t>
            </w:r>
          </w:p>
        </w:tc>
        <w:tc>
          <w:tcPr>
            <w:tcW w:w="454" w:type="pct"/>
            <w:vAlign w:val="center"/>
          </w:tcPr>
          <w:p w14:paraId="1E6876AB">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w:t>
            </w:r>
          </w:p>
        </w:tc>
        <w:tc>
          <w:tcPr>
            <w:tcW w:w="557" w:type="pct"/>
            <w:vAlign w:val="center"/>
          </w:tcPr>
          <w:p w14:paraId="28F219DA">
            <w:pPr>
              <w:keepNext w:val="0"/>
              <w:keepLines w:val="0"/>
              <w:pageBreakBefore w:val="0"/>
              <w:widowControl/>
              <w:suppressLineNumbers w:val="0"/>
              <w:kinsoku/>
              <w:wordWrap/>
              <w:overflowPunct/>
              <w:topLinePunct w:val="0"/>
              <w:autoSpaceDE/>
              <w:autoSpaceDN/>
              <w:bidi w:val="0"/>
              <w:adjustRightInd w:val="0"/>
              <w:snapToGrid w:val="0"/>
              <w:spacing w:line="300" w:lineRule="exact"/>
              <w:ind w:firstLine="0" w:firstLineChars="0"/>
              <w:jc w:val="center"/>
              <w:textAlignment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i w:val="0"/>
                <w:iCs w:val="0"/>
                <w:snapToGrid w:val="0"/>
                <w:color w:val="000000"/>
                <w:kern w:val="0"/>
                <w:sz w:val="24"/>
                <w:szCs w:val="24"/>
                <w:u w:val="none"/>
                <w:lang w:val="en-US" w:eastAsia="zh-CN" w:bidi="ar"/>
              </w:rPr>
              <w:t>0.412</w:t>
            </w:r>
          </w:p>
        </w:tc>
      </w:tr>
      <w:tr w14:paraId="7B90E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 w:type="pct"/>
            <w:vAlign w:val="center"/>
          </w:tcPr>
          <w:p w14:paraId="2A91422A">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硫酸盐</w:t>
            </w:r>
            <w:r>
              <w:rPr>
                <w:rFonts w:hint="default" w:ascii="Times New Roman" w:hAnsi="Times New Roman" w:eastAsia="楷体" w:cs="Times New Roman"/>
                <w:color w:val="000000" w:themeColor="text1"/>
                <w:sz w:val="24"/>
                <w:szCs w:val="24"/>
                <w:lang w:eastAsia="zh-CN"/>
                <w14:textFill>
                  <w14:solidFill>
                    <w14:schemeClr w14:val="tx1"/>
                  </w14:solidFill>
                </w14:textFill>
              </w:rPr>
              <w:t>（</w:t>
            </w:r>
            <w:r>
              <w:rPr>
                <w:rFonts w:hint="default" w:ascii="Times New Roman" w:hAnsi="Times New Roman" w:eastAsia="楷体" w:cs="Times New Roman"/>
                <w:color w:val="000000" w:themeColor="text1"/>
                <w:sz w:val="24"/>
                <w:szCs w:val="24"/>
                <w:lang w:val="en-US" w:eastAsia="zh-CN"/>
                <w14:textFill>
                  <w14:solidFill>
                    <w14:schemeClr w14:val="tx1"/>
                  </w14:solidFill>
                </w14:textFill>
              </w:rPr>
              <w:t>mg/L</w:t>
            </w:r>
            <w:r>
              <w:rPr>
                <w:rFonts w:hint="default" w:ascii="Times New Roman" w:hAnsi="Times New Roman" w:eastAsia="楷体" w:cs="Times New Roman"/>
                <w:color w:val="000000" w:themeColor="text1"/>
                <w:sz w:val="24"/>
                <w:szCs w:val="24"/>
                <w:lang w:eastAsia="zh-CN"/>
                <w14:textFill>
                  <w14:solidFill>
                    <w14:schemeClr w14:val="tx1"/>
                  </w14:solidFill>
                </w14:textFill>
              </w:rPr>
              <w:t>）</w:t>
            </w:r>
          </w:p>
        </w:tc>
        <w:tc>
          <w:tcPr>
            <w:tcW w:w="662" w:type="pct"/>
            <w:vAlign w:val="center"/>
          </w:tcPr>
          <w:p w14:paraId="702806B7">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250</w:t>
            </w:r>
          </w:p>
        </w:tc>
        <w:tc>
          <w:tcPr>
            <w:tcW w:w="483" w:type="pct"/>
            <w:vAlign w:val="center"/>
          </w:tcPr>
          <w:p w14:paraId="71C3FDEF">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60</w:t>
            </w:r>
          </w:p>
        </w:tc>
        <w:tc>
          <w:tcPr>
            <w:tcW w:w="484" w:type="pct"/>
            <w:vAlign w:val="center"/>
          </w:tcPr>
          <w:p w14:paraId="29B47BF9">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3</w:t>
            </w:r>
          </w:p>
        </w:tc>
        <w:tc>
          <w:tcPr>
            <w:tcW w:w="492" w:type="pct"/>
            <w:vAlign w:val="center"/>
          </w:tcPr>
          <w:p w14:paraId="6B71A50D">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23.75</w:t>
            </w:r>
          </w:p>
        </w:tc>
        <w:tc>
          <w:tcPr>
            <w:tcW w:w="471" w:type="pct"/>
            <w:vAlign w:val="center"/>
          </w:tcPr>
          <w:p w14:paraId="5A121125">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26.23</w:t>
            </w:r>
          </w:p>
        </w:tc>
        <w:tc>
          <w:tcPr>
            <w:tcW w:w="448" w:type="pct"/>
            <w:vAlign w:val="center"/>
          </w:tcPr>
          <w:p w14:paraId="64806FD9">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100</w:t>
            </w:r>
          </w:p>
        </w:tc>
        <w:tc>
          <w:tcPr>
            <w:tcW w:w="454" w:type="pct"/>
            <w:vAlign w:val="center"/>
          </w:tcPr>
          <w:p w14:paraId="6284BD34">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w:t>
            </w:r>
          </w:p>
        </w:tc>
        <w:tc>
          <w:tcPr>
            <w:tcW w:w="557" w:type="pct"/>
            <w:vAlign w:val="center"/>
          </w:tcPr>
          <w:p w14:paraId="5A063D92">
            <w:pPr>
              <w:keepNext w:val="0"/>
              <w:keepLines w:val="0"/>
              <w:pageBreakBefore w:val="0"/>
              <w:widowControl/>
              <w:suppressLineNumbers w:val="0"/>
              <w:kinsoku/>
              <w:wordWrap/>
              <w:overflowPunct/>
              <w:topLinePunct w:val="0"/>
              <w:autoSpaceDE/>
              <w:autoSpaceDN/>
              <w:bidi w:val="0"/>
              <w:adjustRightInd w:val="0"/>
              <w:snapToGrid w:val="0"/>
              <w:spacing w:line="300" w:lineRule="exact"/>
              <w:ind w:firstLine="0" w:firstLineChars="0"/>
              <w:jc w:val="center"/>
              <w:textAlignment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i w:val="0"/>
                <w:iCs w:val="0"/>
                <w:snapToGrid w:val="0"/>
                <w:color w:val="000000"/>
                <w:kern w:val="0"/>
                <w:sz w:val="24"/>
                <w:szCs w:val="24"/>
                <w:u w:val="none"/>
                <w:lang w:val="en-US" w:eastAsia="zh-CN" w:bidi="ar"/>
              </w:rPr>
              <w:t>0.24</w:t>
            </w:r>
          </w:p>
        </w:tc>
      </w:tr>
      <w:tr w14:paraId="69897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 w:type="pct"/>
            <w:vAlign w:val="center"/>
          </w:tcPr>
          <w:p w14:paraId="463746A0">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硝酸盐氮</w:t>
            </w:r>
            <w:r>
              <w:rPr>
                <w:rFonts w:hint="default" w:ascii="Times New Roman" w:hAnsi="Times New Roman" w:eastAsia="楷体" w:cs="Times New Roman"/>
                <w:color w:val="000000" w:themeColor="text1"/>
                <w:sz w:val="24"/>
                <w:szCs w:val="24"/>
                <w:lang w:eastAsia="zh-CN"/>
                <w14:textFill>
                  <w14:solidFill>
                    <w14:schemeClr w14:val="tx1"/>
                  </w14:solidFill>
                </w14:textFill>
              </w:rPr>
              <w:t>（</w:t>
            </w:r>
            <w:r>
              <w:rPr>
                <w:rFonts w:hint="default" w:ascii="Times New Roman" w:hAnsi="Times New Roman" w:eastAsia="楷体" w:cs="Times New Roman"/>
                <w:color w:val="000000" w:themeColor="text1"/>
                <w:sz w:val="24"/>
                <w:szCs w:val="24"/>
                <w:lang w:val="en-US" w:eastAsia="zh-CN"/>
                <w14:textFill>
                  <w14:solidFill>
                    <w14:schemeClr w14:val="tx1"/>
                  </w14:solidFill>
                </w14:textFill>
              </w:rPr>
              <w:t>mg/L</w:t>
            </w:r>
            <w:r>
              <w:rPr>
                <w:rFonts w:hint="default" w:ascii="Times New Roman" w:hAnsi="Times New Roman" w:eastAsia="楷体" w:cs="Times New Roman"/>
                <w:color w:val="000000" w:themeColor="text1"/>
                <w:sz w:val="24"/>
                <w:szCs w:val="24"/>
                <w:lang w:eastAsia="zh-CN"/>
                <w14:textFill>
                  <w14:solidFill>
                    <w14:schemeClr w14:val="tx1"/>
                  </w14:solidFill>
                </w14:textFill>
              </w:rPr>
              <w:t>）</w:t>
            </w:r>
          </w:p>
        </w:tc>
        <w:tc>
          <w:tcPr>
            <w:tcW w:w="662" w:type="pct"/>
            <w:vAlign w:val="center"/>
          </w:tcPr>
          <w:p w14:paraId="6FBD5D61">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20</w:t>
            </w:r>
          </w:p>
        </w:tc>
        <w:tc>
          <w:tcPr>
            <w:tcW w:w="483" w:type="pct"/>
            <w:vAlign w:val="center"/>
          </w:tcPr>
          <w:p w14:paraId="10565645">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9.75</w:t>
            </w:r>
          </w:p>
        </w:tc>
        <w:tc>
          <w:tcPr>
            <w:tcW w:w="484" w:type="pct"/>
            <w:vAlign w:val="center"/>
          </w:tcPr>
          <w:p w14:paraId="3A9A17C6">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1.01</w:t>
            </w:r>
          </w:p>
        </w:tc>
        <w:tc>
          <w:tcPr>
            <w:tcW w:w="492" w:type="pct"/>
            <w:vAlign w:val="center"/>
          </w:tcPr>
          <w:p w14:paraId="0C89462D">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3.68</w:t>
            </w:r>
          </w:p>
        </w:tc>
        <w:tc>
          <w:tcPr>
            <w:tcW w:w="471" w:type="pct"/>
            <w:vAlign w:val="center"/>
          </w:tcPr>
          <w:p w14:paraId="3C809012">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4.09</w:t>
            </w:r>
          </w:p>
        </w:tc>
        <w:tc>
          <w:tcPr>
            <w:tcW w:w="448" w:type="pct"/>
            <w:vAlign w:val="center"/>
          </w:tcPr>
          <w:p w14:paraId="3CB5838A">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100</w:t>
            </w:r>
          </w:p>
        </w:tc>
        <w:tc>
          <w:tcPr>
            <w:tcW w:w="454" w:type="pct"/>
            <w:vAlign w:val="center"/>
          </w:tcPr>
          <w:p w14:paraId="54C65A72">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w:t>
            </w:r>
          </w:p>
        </w:tc>
        <w:tc>
          <w:tcPr>
            <w:tcW w:w="557" w:type="pct"/>
            <w:vAlign w:val="center"/>
          </w:tcPr>
          <w:p w14:paraId="4BB33F3C">
            <w:pPr>
              <w:keepNext w:val="0"/>
              <w:keepLines w:val="0"/>
              <w:pageBreakBefore w:val="0"/>
              <w:widowControl/>
              <w:suppressLineNumbers w:val="0"/>
              <w:kinsoku/>
              <w:wordWrap/>
              <w:overflowPunct/>
              <w:topLinePunct w:val="0"/>
              <w:autoSpaceDE/>
              <w:autoSpaceDN/>
              <w:bidi w:val="0"/>
              <w:adjustRightInd w:val="0"/>
              <w:snapToGrid w:val="0"/>
              <w:spacing w:line="300" w:lineRule="exact"/>
              <w:ind w:firstLine="0" w:firstLineChars="0"/>
              <w:jc w:val="center"/>
              <w:textAlignment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i w:val="0"/>
                <w:iCs w:val="0"/>
                <w:snapToGrid w:val="0"/>
                <w:color w:val="000000"/>
                <w:kern w:val="0"/>
                <w:sz w:val="24"/>
                <w:szCs w:val="24"/>
                <w:u w:val="none"/>
                <w:lang w:val="en-US" w:eastAsia="zh-CN" w:bidi="ar"/>
              </w:rPr>
              <w:t>0.4875</w:t>
            </w:r>
          </w:p>
        </w:tc>
      </w:tr>
      <w:tr w14:paraId="57767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 w:type="pct"/>
            <w:vAlign w:val="center"/>
          </w:tcPr>
          <w:p w14:paraId="102428E9">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氟化物</w:t>
            </w:r>
            <w:r>
              <w:rPr>
                <w:rFonts w:hint="default" w:ascii="Times New Roman" w:hAnsi="Times New Roman" w:eastAsia="楷体" w:cs="Times New Roman"/>
                <w:color w:val="000000" w:themeColor="text1"/>
                <w:sz w:val="24"/>
                <w:szCs w:val="24"/>
                <w:lang w:eastAsia="zh-CN"/>
                <w14:textFill>
                  <w14:solidFill>
                    <w14:schemeClr w14:val="tx1"/>
                  </w14:solidFill>
                </w14:textFill>
              </w:rPr>
              <w:t>（</w:t>
            </w:r>
            <w:r>
              <w:rPr>
                <w:rFonts w:hint="default" w:ascii="Times New Roman" w:hAnsi="Times New Roman" w:eastAsia="楷体" w:cs="Times New Roman"/>
                <w:color w:val="000000" w:themeColor="text1"/>
                <w:sz w:val="24"/>
                <w:szCs w:val="24"/>
                <w:lang w:val="en-US" w:eastAsia="zh-CN"/>
                <w14:textFill>
                  <w14:solidFill>
                    <w14:schemeClr w14:val="tx1"/>
                  </w14:solidFill>
                </w14:textFill>
              </w:rPr>
              <w:t>mg/L</w:t>
            </w:r>
            <w:r>
              <w:rPr>
                <w:rFonts w:hint="default" w:ascii="Times New Roman" w:hAnsi="Times New Roman" w:eastAsia="楷体" w:cs="Times New Roman"/>
                <w:color w:val="000000" w:themeColor="text1"/>
                <w:sz w:val="24"/>
                <w:szCs w:val="24"/>
                <w:lang w:eastAsia="zh-CN"/>
                <w14:textFill>
                  <w14:solidFill>
                    <w14:schemeClr w14:val="tx1"/>
                  </w14:solidFill>
                </w14:textFill>
              </w:rPr>
              <w:t>）</w:t>
            </w:r>
          </w:p>
        </w:tc>
        <w:tc>
          <w:tcPr>
            <w:tcW w:w="662" w:type="pct"/>
            <w:vAlign w:val="center"/>
          </w:tcPr>
          <w:p w14:paraId="7D999D0D">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1.0</w:t>
            </w:r>
          </w:p>
        </w:tc>
        <w:tc>
          <w:tcPr>
            <w:tcW w:w="483" w:type="pct"/>
            <w:vAlign w:val="center"/>
          </w:tcPr>
          <w:p w14:paraId="358977C7">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0.43</w:t>
            </w:r>
          </w:p>
        </w:tc>
        <w:tc>
          <w:tcPr>
            <w:tcW w:w="484" w:type="pct"/>
            <w:vAlign w:val="center"/>
          </w:tcPr>
          <w:p w14:paraId="360D0A8E">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0.29</w:t>
            </w:r>
          </w:p>
        </w:tc>
        <w:tc>
          <w:tcPr>
            <w:tcW w:w="492" w:type="pct"/>
            <w:vAlign w:val="center"/>
          </w:tcPr>
          <w:p w14:paraId="6710C798">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0.37</w:t>
            </w:r>
          </w:p>
        </w:tc>
        <w:tc>
          <w:tcPr>
            <w:tcW w:w="471" w:type="pct"/>
            <w:vAlign w:val="center"/>
          </w:tcPr>
          <w:p w14:paraId="24A013D3">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0.07</w:t>
            </w:r>
          </w:p>
        </w:tc>
        <w:tc>
          <w:tcPr>
            <w:tcW w:w="448" w:type="pct"/>
            <w:vAlign w:val="center"/>
          </w:tcPr>
          <w:p w14:paraId="437E55AE">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100</w:t>
            </w:r>
          </w:p>
        </w:tc>
        <w:tc>
          <w:tcPr>
            <w:tcW w:w="454" w:type="pct"/>
            <w:vAlign w:val="center"/>
          </w:tcPr>
          <w:p w14:paraId="17758A8A">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w:t>
            </w:r>
          </w:p>
        </w:tc>
        <w:tc>
          <w:tcPr>
            <w:tcW w:w="557" w:type="pct"/>
            <w:vAlign w:val="center"/>
          </w:tcPr>
          <w:p w14:paraId="5AD302BF">
            <w:pPr>
              <w:keepNext w:val="0"/>
              <w:keepLines w:val="0"/>
              <w:pageBreakBefore w:val="0"/>
              <w:widowControl/>
              <w:suppressLineNumbers w:val="0"/>
              <w:kinsoku/>
              <w:wordWrap/>
              <w:overflowPunct/>
              <w:topLinePunct w:val="0"/>
              <w:autoSpaceDE/>
              <w:autoSpaceDN/>
              <w:bidi w:val="0"/>
              <w:adjustRightInd w:val="0"/>
              <w:snapToGrid w:val="0"/>
              <w:spacing w:line="300" w:lineRule="exact"/>
              <w:ind w:firstLine="0" w:firstLineChars="0"/>
              <w:jc w:val="center"/>
              <w:textAlignment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i w:val="0"/>
                <w:iCs w:val="0"/>
                <w:snapToGrid w:val="0"/>
                <w:color w:val="000000"/>
                <w:kern w:val="0"/>
                <w:sz w:val="24"/>
                <w:szCs w:val="24"/>
                <w:u w:val="none"/>
                <w:lang w:val="en-US" w:eastAsia="zh-CN" w:bidi="ar"/>
              </w:rPr>
              <w:t>0.43</w:t>
            </w:r>
          </w:p>
        </w:tc>
      </w:tr>
      <w:tr w14:paraId="45F74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 w:type="pct"/>
            <w:vAlign w:val="center"/>
          </w:tcPr>
          <w:p w14:paraId="5DF1EE6A">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高锰酸盐指数（即耗氧量）</w:t>
            </w:r>
            <w:r>
              <w:rPr>
                <w:rFonts w:hint="default" w:ascii="Times New Roman" w:hAnsi="Times New Roman" w:eastAsia="楷体" w:cs="Times New Roman"/>
                <w:color w:val="000000" w:themeColor="text1"/>
                <w:sz w:val="24"/>
                <w:szCs w:val="24"/>
                <w:lang w:eastAsia="zh-CN"/>
                <w14:textFill>
                  <w14:solidFill>
                    <w14:schemeClr w14:val="tx1"/>
                  </w14:solidFill>
                </w14:textFill>
              </w:rPr>
              <w:t>（</w:t>
            </w:r>
            <w:r>
              <w:rPr>
                <w:rFonts w:hint="default" w:ascii="Times New Roman" w:hAnsi="Times New Roman" w:eastAsia="楷体" w:cs="Times New Roman"/>
                <w:color w:val="000000" w:themeColor="text1"/>
                <w:sz w:val="24"/>
                <w:szCs w:val="24"/>
                <w:lang w:val="en-US" w:eastAsia="zh-CN"/>
                <w14:textFill>
                  <w14:solidFill>
                    <w14:schemeClr w14:val="tx1"/>
                  </w14:solidFill>
                </w14:textFill>
              </w:rPr>
              <w:t>mg/L</w:t>
            </w:r>
            <w:r>
              <w:rPr>
                <w:rFonts w:hint="default" w:ascii="Times New Roman" w:hAnsi="Times New Roman" w:eastAsia="楷体" w:cs="Times New Roman"/>
                <w:color w:val="000000" w:themeColor="text1"/>
                <w:sz w:val="24"/>
                <w:szCs w:val="24"/>
                <w:lang w:eastAsia="zh-CN"/>
                <w14:textFill>
                  <w14:solidFill>
                    <w14:schemeClr w14:val="tx1"/>
                  </w14:solidFill>
                </w14:textFill>
              </w:rPr>
              <w:t>）</w:t>
            </w:r>
          </w:p>
        </w:tc>
        <w:tc>
          <w:tcPr>
            <w:tcW w:w="662" w:type="pct"/>
            <w:vAlign w:val="center"/>
          </w:tcPr>
          <w:p w14:paraId="34B59DAE">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3.0</w:t>
            </w:r>
          </w:p>
        </w:tc>
        <w:tc>
          <w:tcPr>
            <w:tcW w:w="483" w:type="pct"/>
            <w:vAlign w:val="center"/>
          </w:tcPr>
          <w:p w14:paraId="384D2DA8">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0.8</w:t>
            </w:r>
          </w:p>
        </w:tc>
        <w:tc>
          <w:tcPr>
            <w:tcW w:w="484" w:type="pct"/>
            <w:vAlign w:val="center"/>
          </w:tcPr>
          <w:p w14:paraId="5426FC8B">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0.6</w:t>
            </w:r>
          </w:p>
        </w:tc>
        <w:tc>
          <w:tcPr>
            <w:tcW w:w="492" w:type="pct"/>
            <w:vAlign w:val="center"/>
          </w:tcPr>
          <w:p w14:paraId="40603E2F">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0.68</w:t>
            </w:r>
          </w:p>
        </w:tc>
        <w:tc>
          <w:tcPr>
            <w:tcW w:w="471" w:type="pct"/>
            <w:vAlign w:val="center"/>
          </w:tcPr>
          <w:p w14:paraId="098185EC">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0.10</w:t>
            </w:r>
          </w:p>
        </w:tc>
        <w:tc>
          <w:tcPr>
            <w:tcW w:w="448" w:type="pct"/>
            <w:vAlign w:val="center"/>
          </w:tcPr>
          <w:p w14:paraId="5B742D8A">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100</w:t>
            </w:r>
          </w:p>
        </w:tc>
        <w:tc>
          <w:tcPr>
            <w:tcW w:w="454" w:type="pct"/>
            <w:vAlign w:val="center"/>
          </w:tcPr>
          <w:p w14:paraId="100CDB1A">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w:t>
            </w:r>
          </w:p>
        </w:tc>
        <w:tc>
          <w:tcPr>
            <w:tcW w:w="557" w:type="pct"/>
            <w:vAlign w:val="center"/>
          </w:tcPr>
          <w:p w14:paraId="1A3E4250">
            <w:pPr>
              <w:keepNext w:val="0"/>
              <w:keepLines w:val="0"/>
              <w:pageBreakBefore w:val="0"/>
              <w:widowControl/>
              <w:suppressLineNumbers w:val="0"/>
              <w:kinsoku/>
              <w:wordWrap/>
              <w:overflowPunct/>
              <w:topLinePunct w:val="0"/>
              <w:autoSpaceDE/>
              <w:autoSpaceDN/>
              <w:bidi w:val="0"/>
              <w:adjustRightInd w:val="0"/>
              <w:snapToGrid w:val="0"/>
              <w:spacing w:line="300" w:lineRule="exact"/>
              <w:ind w:firstLine="0" w:firstLineChars="0"/>
              <w:jc w:val="center"/>
              <w:textAlignment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i w:val="0"/>
                <w:iCs w:val="0"/>
                <w:snapToGrid w:val="0"/>
                <w:color w:val="000000"/>
                <w:kern w:val="0"/>
                <w:sz w:val="24"/>
                <w:szCs w:val="24"/>
                <w:u w:val="none"/>
                <w:lang w:val="en-US" w:eastAsia="zh-CN" w:bidi="ar"/>
              </w:rPr>
              <w:t>0.267</w:t>
            </w:r>
          </w:p>
        </w:tc>
      </w:tr>
      <w:tr w14:paraId="12A77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 w:type="pct"/>
            <w:vAlign w:val="center"/>
          </w:tcPr>
          <w:p w14:paraId="293742B7">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溶解性总固体</w:t>
            </w:r>
            <w:r>
              <w:rPr>
                <w:rFonts w:hint="default" w:ascii="Times New Roman" w:hAnsi="Times New Roman" w:eastAsia="楷体" w:cs="Times New Roman"/>
                <w:color w:val="000000" w:themeColor="text1"/>
                <w:sz w:val="24"/>
                <w:szCs w:val="24"/>
                <w:lang w:eastAsia="zh-CN"/>
                <w14:textFill>
                  <w14:solidFill>
                    <w14:schemeClr w14:val="tx1"/>
                  </w14:solidFill>
                </w14:textFill>
              </w:rPr>
              <w:t>（</w:t>
            </w:r>
            <w:r>
              <w:rPr>
                <w:rFonts w:hint="default" w:ascii="Times New Roman" w:hAnsi="Times New Roman" w:eastAsia="楷体" w:cs="Times New Roman"/>
                <w:color w:val="000000" w:themeColor="text1"/>
                <w:sz w:val="24"/>
                <w:szCs w:val="24"/>
                <w:lang w:val="en-US" w:eastAsia="zh-CN"/>
                <w14:textFill>
                  <w14:solidFill>
                    <w14:schemeClr w14:val="tx1"/>
                  </w14:solidFill>
                </w14:textFill>
              </w:rPr>
              <w:t>mg/L</w:t>
            </w:r>
            <w:r>
              <w:rPr>
                <w:rFonts w:hint="default" w:ascii="Times New Roman" w:hAnsi="Times New Roman" w:eastAsia="楷体" w:cs="Times New Roman"/>
                <w:color w:val="000000" w:themeColor="text1"/>
                <w:sz w:val="24"/>
                <w:szCs w:val="24"/>
                <w:lang w:eastAsia="zh-CN"/>
                <w14:textFill>
                  <w14:solidFill>
                    <w14:schemeClr w14:val="tx1"/>
                  </w14:solidFill>
                </w14:textFill>
              </w:rPr>
              <w:t>）</w:t>
            </w:r>
          </w:p>
        </w:tc>
        <w:tc>
          <w:tcPr>
            <w:tcW w:w="662" w:type="pct"/>
            <w:vAlign w:val="center"/>
          </w:tcPr>
          <w:p w14:paraId="14511B5B">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1000</w:t>
            </w:r>
          </w:p>
        </w:tc>
        <w:tc>
          <w:tcPr>
            <w:tcW w:w="483" w:type="pct"/>
            <w:vAlign w:val="center"/>
          </w:tcPr>
          <w:p w14:paraId="583F3D6A">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622</w:t>
            </w:r>
          </w:p>
        </w:tc>
        <w:tc>
          <w:tcPr>
            <w:tcW w:w="484" w:type="pct"/>
            <w:vAlign w:val="center"/>
          </w:tcPr>
          <w:p w14:paraId="7C18ED63">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377</w:t>
            </w:r>
          </w:p>
        </w:tc>
        <w:tc>
          <w:tcPr>
            <w:tcW w:w="492" w:type="pct"/>
            <w:vAlign w:val="center"/>
          </w:tcPr>
          <w:p w14:paraId="76491A5F">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449.50</w:t>
            </w:r>
          </w:p>
        </w:tc>
        <w:tc>
          <w:tcPr>
            <w:tcW w:w="471" w:type="pct"/>
            <w:vAlign w:val="center"/>
          </w:tcPr>
          <w:p w14:paraId="35FB51FB">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116.18</w:t>
            </w:r>
          </w:p>
        </w:tc>
        <w:tc>
          <w:tcPr>
            <w:tcW w:w="448" w:type="pct"/>
            <w:vAlign w:val="center"/>
          </w:tcPr>
          <w:p w14:paraId="2A154522">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100</w:t>
            </w:r>
          </w:p>
        </w:tc>
        <w:tc>
          <w:tcPr>
            <w:tcW w:w="454" w:type="pct"/>
            <w:vAlign w:val="center"/>
          </w:tcPr>
          <w:p w14:paraId="7894255A">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w:t>
            </w:r>
          </w:p>
        </w:tc>
        <w:tc>
          <w:tcPr>
            <w:tcW w:w="557" w:type="pct"/>
            <w:vAlign w:val="center"/>
          </w:tcPr>
          <w:p w14:paraId="6A5141A7">
            <w:pPr>
              <w:keepNext w:val="0"/>
              <w:keepLines w:val="0"/>
              <w:pageBreakBefore w:val="0"/>
              <w:widowControl/>
              <w:suppressLineNumbers w:val="0"/>
              <w:kinsoku/>
              <w:wordWrap/>
              <w:overflowPunct/>
              <w:topLinePunct w:val="0"/>
              <w:autoSpaceDE/>
              <w:autoSpaceDN/>
              <w:bidi w:val="0"/>
              <w:adjustRightInd w:val="0"/>
              <w:snapToGrid w:val="0"/>
              <w:spacing w:line="300" w:lineRule="exact"/>
              <w:ind w:firstLine="0" w:firstLineChars="0"/>
              <w:jc w:val="center"/>
              <w:textAlignment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i w:val="0"/>
                <w:iCs w:val="0"/>
                <w:snapToGrid w:val="0"/>
                <w:color w:val="000000"/>
                <w:kern w:val="0"/>
                <w:sz w:val="24"/>
                <w:szCs w:val="24"/>
                <w:u w:val="none"/>
                <w:lang w:val="en-US" w:eastAsia="zh-CN" w:bidi="ar"/>
              </w:rPr>
              <w:t>0.622</w:t>
            </w:r>
          </w:p>
        </w:tc>
      </w:tr>
      <w:tr w14:paraId="25EDA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 w:type="pct"/>
            <w:vAlign w:val="center"/>
          </w:tcPr>
          <w:p w14:paraId="647CFDD9">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氨氮（以N计）</w:t>
            </w:r>
            <w:r>
              <w:rPr>
                <w:rFonts w:hint="default" w:ascii="Times New Roman" w:hAnsi="Times New Roman" w:eastAsia="楷体" w:cs="Times New Roman"/>
                <w:color w:val="000000" w:themeColor="text1"/>
                <w:sz w:val="24"/>
                <w:szCs w:val="24"/>
                <w:lang w:eastAsia="zh-CN"/>
                <w14:textFill>
                  <w14:solidFill>
                    <w14:schemeClr w14:val="tx1"/>
                  </w14:solidFill>
                </w14:textFill>
              </w:rPr>
              <w:t>（</w:t>
            </w:r>
            <w:r>
              <w:rPr>
                <w:rFonts w:hint="default" w:ascii="Times New Roman" w:hAnsi="Times New Roman" w:eastAsia="楷体" w:cs="Times New Roman"/>
                <w:color w:val="000000" w:themeColor="text1"/>
                <w:sz w:val="24"/>
                <w:szCs w:val="24"/>
                <w:lang w:val="en-US" w:eastAsia="zh-CN"/>
                <w14:textFill>
                  <w14:solidFill>
                    <w14:schemeClr w14:val="tx1"/>
                  </w14:solidFill>
                </w14:textFill>
              </w:rPr>
              <w:t>mg/L</w:t>
            </w:r>
            <w:r>
              <w:rPr>
                <w:rFonts w:hint="default" w:ascii="Times New Roman" w:hAnsi="Times New Roman" w:eastAsia="楷体" w:cs="Times New Roman"/>
                <w:color w:val="000000" w:themeColor="text1"/>
                <w:sz w:val="24"/>
                <w:szCs w:val="24"/>
                <w:lang w:eastAsia="zh-CN"/>
                <w14:textFill>
                  <w14:solidFill>
                    <w14:schemeClr w14:val="tx1"/>
                  </w14:solidFill>
                </w14:textFill>
              </w:rPr>
              <w:t>）</w:t>
            </w:r>
          </w:p>
        </w:tc>
        <w:tc>
          <w:tcPr>
            <w:tcW w:w="662" w:type="pct"/>
            <w:vAlign w:val="center"/>
          </w:tcPr>
          <w:p w14:paraId="4C3832DF">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0.5</w:t>
            </w:r>
          </w:p>
        </w:tc>
        <w:tc>
          <w:tcPr>
            <w:tcW w:w="483" w:type="pct"/>
            <w:vAlign w:val="center"/>
          </w:tcPr>
          <w:p w14:paraId="6E8FD230">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c>
          <w:tcPr>
            <w:tcW w:w="484" w:type="pct"/>
            <w:vAlign w:val="center"/>
          </w:tcPr>
          <w:p w14:paraId="1F1D5539">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c>
          <w:tcPr>
            <w:tcW w:w="492" w:type="pct"/>
            <w:vAlign w:val="center"/>
          </w:tcPr>
          <w:p w14:paraId="2C3B748D">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c>
          <w:tcPr>
            <w:tcW w:w="471" w:type="pct"/>
            <w:vAlign w:val="center"/>
          </w:tcPr>
          <w:p w14:paraId="2904D28B">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c>
          <w:tcPr>
            <w:tcW w:w="448" w:type="pct"/>
            <w:vAlign w:val="center"/>
          </w:tcPr>
          <w:p w14:paraId="533F1865">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w:t>
            </w:r>
          </w:p>
        </w:tc>
        <w:tc>
          <w:tcPr>
            <w:tcW w:w="454" w:type="pct"/>
            <w:vAlign w:val="center"/>
          </w:tcPr>
          <w:p w14:paraId="1A471370">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w:t>
            </w:r>
          </w:p>
        </w:tc>
        <w:tc>
          <w:tcPr>
            <w:tcW w:w="557" w:type="pct"/>
            <w:vAlign w:val="center"/>
          </w:tcPr>
          <w:p w14:paraId="6AEF3F02">
            <w:pPr>
              <w:keepNext w:val="0"/>
              <w:keepLines w:val="0"/>
              <w:pageBreakBefore w:val="0"/>
              <w:widowControl/>
              <w:suppressLineNumbers w:val="0"/>
              <w:kinsoku/>
              <w:wordWrap/>
              <w:overflowPunct/>
              <w:topLinePunct w:val="0"/>
              <w:autoSpaceDE/>
              <w:autoSpaceDN/>
              <w:bidi w:val="0"/>
              <w:adjustRightInd w:val="0"/>
              <w:snapToGrid w:val="0"/>
              <w:spacing w:line="300" w:lineRule="exact"/>
              <w:ind w:firstLine="0" w:firstLineChars="0"/>
              <w:jc w:val="center"/>
              <w:textAlignment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i w:val="0"/>
                <w:iCs w:val="0"/>
                <w:snapToGrid w:val="0"/>
                <w:color w:val="000000"/>
                <w:kern w:val="0"/>
                <w:sz w:val="24"/>
                <w:szCs w:val="24"/>
                <w:u w:val="none"/>
                <w:lang w:val="en-US" w:eastAsia="zh-CN" w:bidi="ar"/>
              </w:rPr>
              <w:t>0</w:t>
            </w:r>
          </w:p>
        </w:tc>
      </w:tr>
      <w:tr w14:paraId="6228F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 w:type="pct"/>
            <w:vAlign w:val="center"/>
          </w:tcPr>
          <w:p w14:paraId="512D505A">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总大肠菌群（MPN/100mL）</w:t>
            </w:r>
          </w:p>
        </w:tc>
        <w:tc>
          <w:tcPr>
            <w:tcW w:w="662" w:type="pct"/>
            <w:vAlign w:val="center"/>
          </w:tcPr>
          <w:p w14:paraId="4ECDF137">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3.0</w:t>
            </w:r>
          </w:p>
        </w:tc>
        <w:tc>
          <w:tcPr>
            <w:tcW w:w="483" w:type="pct"/>
            <w:vAlign w:val="center"/>
          </w:tcPr>
          <w:p w14:paraId="5D98330A">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c>
          <w:tcPr>
            <w:tcW w:w="484" w:type="pct"/>
            <w:vAlign w:val="center"/>
          </w:tcPr>
          <w:p w14:paraId="638C3445">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c>
          <w:tcPr>
            <w:tcW w:w="492" w:type="pct"/>
            <w:vAlign w:val="center"/>
          </w:tcPr>
          <w:p w14:paraId="5753553B">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c>
          <w:tcPr>
            <w:tcW w:w="471" w:type="pct"/>
            <w:vAlign w:val="center"/>
          </w:tcPr>
          <w:p w14:paraId="733DECAC">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c>
          <w:tcPr>
            <w:tcW w:w="448" w:type="pct"/>
            <w:vAlign w:val="center"/>
          </w:tcPr>
          <w:p w14:paraId="508C3194">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w:t>
            </w:r>
          </w:p>
        </w:tc>
        <w:tc>
          <w:tcPr>
            <w:tcW w:w="454" w:type="pct"/>
            <w:vAlign w:val="center"/>
          </w:tcPr>
          <w:p w14:paraId="2FAC6B91">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w:t>
            </w:r>
          </w:p>
        </w:tc>
        <w:tc>
          <w:tcPr>
            <w:tcW w:w="557" w:type="pct"/>
            <w:vAlign w:val="center"/>
          </w:tcPr>
          <w:p w14:paraId="0C45905B">
            <w:pPr>
              <w:keepNext w:val="0"/>
              <w:keepLines w:val="0"/>
              <w:pageBreakBefore w:val="0"/>
              <w:widowControl/>
              <w:suppressLineNumbers w:val="0"/>
              <w:kinsoku/>
              <w:wordWrap/>
              <w:overflowPunct/>
              <w:topLinePunct w:val="0"/>
              <w:autoSpaceDE/>
              <w:autoSpaceDN/>
              <w:bidi w:val="0"/>
              <w:adjustRightInd w:val="0"/>
              <w:snapToGrid w:val="0"/>
              <w:spacing w:line="300" w:lineRule="exact"/>
              <w:ind w:firstLine="0" w:firstLineChars="0"/>
              <w:jc w:val="center"/>
              <w:textAlignment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i w:val="0"/>
                <w:iCs w:val="0"/>
                <w:snapToGrid w:val="0"/>
                <w:color w:val="000000"/>
                <w:kern w:val="0"/>
                <w:sz w:val="24"/>
                <w:szCs w:val="24"/>
                <w:u w:val="none"/>
                <w:lang w:val="en-US" w:eastAsia="zh-CN" w:bidi="ar"/>
              </w:rPr>
              <w:t>0</w:t>
            </w:r>
          </w:p>
        </w:tc>
      </w:tr>
      <w:tr w14:paraId="5AA08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 w:type="pct"/>
            <w:vAlign w:val="center"/>
          </w:tcPr>
          <w:p w14:paraId="47C8CBB0">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菌落总数（CFU/mL）</w:t>
            </w:r>
          </w:p>
        </w:tc>
        <w:tc>
          <w:tcPr>
            <w:tcW w:w="662" w:type="pct"/>
            <w:vAlign w:val="center"/>
          </w:tcPr>
          <w:p w14:paraId="6898E82F">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100</w:t>
            </w:r>
          </w:p>
        </w:tc>
        <w:tc>
          <w:tcPr>
            <w:tcW w:w="483" w:type="pct"/>
            <w:vAlign w:val="center"/>
          </w:tcPr>
          <w:p w14:paraId="578CF66F">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24</w:t>
            </w:r>
          </w:p>
        </w:tc>
        <w:tc>
          <w:tcPr>
            <w:tcW w:w="484" w:type="pct"/>
            <w:vAlign w:val="center"/>
          </w:tcPr>
          <w:p w14:paraId="49D9D123">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7</w:t>
            </w:r>
          </w:p>
        </w:tc>
        <w:tc>
          <w:tcPr>
            <w:tcW w:w="492" w:type="pct"/>
            <w:vAlign w:val="center"/>
          </w:tcPr>
          <w:p w14:paraId="5A5132EE">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16.75</w:t>
            </w:r>
          </w:p>
        </w:tc>
        <w:tc>
          <w:tcPr>
            <w:tcW w:w="471" w:type="pct"/>
            <w:vAlign w:val="center"/>
          </w:tcPr>
          <w:p w14:paraId="4E3D8A15">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7.27</w:t>
            </w:r>
          </w:p>
        </w:tc>
        <w:tc>
          <w:tcPr>
            <w:tcW w:w="448" w:type="pct"/>
            <w:vAlign w:val="center"/>
          </w:tcPr>
          <w:p w14:paraId="17BAEB43">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100</w:t>
            </w:r>
          </w:p>
        </w:tc>
        <w:tc>
          <w:tcPr>
            <w:tcW w:w="454" w:type="pct"/>
            <w:vAlign w:val="center"/>
          </w:tcPr>
          <w:p w14:paraId="4F5FF57B">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w:t>
            </w:r>
          </w:p>
        </w:tc>
        <w:tc>
          <w:tcPr>
            <w:tcW w:w="557" w:type="pct"/>
            <w:vAlign w:val="center"/>
          </w:tcPr>
          <w:p w14:paraId="5B64744E">
            <w:pPr>
              <w:keepNext w:val="0"/>
              <w:keepLines w:val="0"/>
              <w:pageBreakBefore w:val="0"/>
              <w:widowControl/>
              <w:suppressLineNumbers w:val="0"/>
              <w:kinsoku/>
              <w:wordWrap/>
              <w:overflowPunct/>
              <w:topLinePunct w:val="0"/>
              <w:autoSpaceDE/>
              <w:autoSpaceDN/>
              <w:bidi w:val="0"/>
              <w:adjustRightInd w:val="0"/>
              <w:snapToGrid w:val="0"/>
              <w:spacing w:line="300" w:lineRule="exact"/>
              <w:ind w:firstLine="0" w:firstLineChars="0"/>
              <w:jc w:val="center"/>
              <w:textAlignment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i w:val="0"/>
                <w:iCs w:val="0"/>
                <w:snapToGrid w:val="0"/>
                <w:color w:val="000000"/>
                <w:kern w:val="0"/>
                <w:sz w:val="24"/>
                <w:szCs w:val="24"/>
                <w:u w:val="none"/>
                <w:lang w:val="en-US" w:eastAsia="zh-CN" w:bidi="ar"/>
              </w:rPr>
              <w:t>0.24</w:t>
            </w:r>
          </w:p>
        </w:tc>
      </w:tr>
      <w:tr w14:paraId="02832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 w:type="pct"/>
            <w:vAlign w:val="center"/>
          </w:tcPr>
          <w:p w14:paraId="0DDCD9C2">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锰</w:t>
            </w:r>
            <w:r>
              <w:rPr>
                <w:rFonts w:hint="default" w:ascii="Times New Roman" w:hAnsi="Times New Roman" w:eastAsia="楷体" w:cs="Times New Roman"/>
                <w:color w:val="000000" w:themeColor="text1"/>
                <w:sz w:val="24"/>
                <w:szCs w:val="24"/>
                <w:lang w:eastAsia="zh-CN"/>
                <w14:textFill>
                  <w14:solidFill>
                    <w14:schemeClr w14:val="tx1"/>
                  </w14:solidFill>
                </w14:textFill>
              </w:rPr>
              <w:t>（</w:t>
            </w:r>
            <w:r>
              <w:rPr>
                <w:rFonts w:hint="default" w:ascii="Times New Roman" w:hAnsi="Times New Roman" w:eastAsia="楷体" w:cs="Times New Roman"/>
                <w:color w:val="000000" w:themeColor="text1"/>
                <w:sz w:val="24"/>
                <w:szCs w:val="24"/>
                <w:lang w:val="en-US" w:eastAsia="zh-CN"/>
                <w14:textFill>
                  <w14:solidFill>
                    <w14:schemeClr w14:val="tx1"/>
                  </w14:solidFill>
                </w14:textFill>
              </w:rPr>
              <w:t>mg/L</w:t>
            </w:r>
            <w:r>
              <w:rPr>
                <w:rFonts w:hint="default" w:ascii="Times New Roman" w:hAnsi="Times New Roman" w:eastAsia="楷体" w:cs="Times New Roman"/>
                <w:color w:val="000000" w:themeColor="text1"/>
                <w:sz w:val="24"/>
                <w:szCs w:val="24"/>
                <w:lang w:eastAsia="zh-CN"/>
                <w14:textFill>
                  <w14:solidFill>
                    <w14:schemeClr w14:val="tx1"/>
                  </w14:solidFill>
                </w14:textFill>
              </w:rPr>
              <w:t>）</w:t>
            </w:r>
          </w:p>
        </w:tc>
        <w:tc>
          <w:tcPr>
            <w:tcW w:w="662" w:type="pct"/>
            <w:vAlign w:val="center"/>
          </w:tcPr>
          <w:p w14:paraId="3314DBCE">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0.1</w:t>
            </w:r>
          </w:p>
        </w:tc>
        <w:tc>
          <w:tcPr>
            <w:tcW w:w="483" w:type="pct"/>
            <w:vAlign w:val="center"/>
          </w:tcPr>
          <w:p w14:paraId="54221D03">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c>
          <w:tcPr>
            <w:tcW w:w="484" w:type="pct"/>
            <w:vAlign w:val="center"/>
          </w:tcPr>
          <w:p w14:paraId="7B99D2D1">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c>
          <w:tcPr>
            <w:tcW w:w="492" w:type="pct"/>
            <w:vAlign w:val="center"/>
          </w:tcPr>
          <w:p w14:paraId="19E0CD9A">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c>
          <w:tcPr>
            <w:tcW w:w="471" w:type="pct"/>
            <w:vAlign w:val="center"/>
          </w:tcPr>
          <w:p w14:paraId="2F450E41">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c>
          <w:tcPr>
            <w:tcW w:w="448" w:type="pct"/>
            <w:vAlign w:val="center"/>
          </w:tcPr>
          <w:p w14:paraId="360106C2">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w:t>
            </w:r>
          </w:p>
        </w:tc>
        <w:tc>
          <w:tcPr>
            <w:tcW w:w="454" w:type="pct"/>
            <w:vAlign w:val="center"/>
          </w:tcPr>
          <w:p w14:paraId="6E0E1644">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w:t>
            </w:r>
          </w:p>
        </w:tc>
        <w:tc>
          <w:tcPr>
            <w:tcW w:w="557" w:type="pct"/>
            <w:vAlign w:val="center"/>
          </w:tcPr>
          <w:p w14:paraId="14E588BC">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r>
      <w:tr w14:paraId="10C5F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 w:type="pct"/>
            <w:vAlign w:val="center"/>
          </w:tcPr>
          <w:p w14:paraId="404BD800">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铁</w:t>
            </w:r>
            <w:r>
              <w:rPr>
                <w:rFonts w:hint="default" w:ascii="Times New Roman" w:hAnsi="Times New Roman" w:eastAsia="楷体" w:cs="Times New Roman"/>
                <w:color w:val="000000" w:themeColor="text1"/>
                <w:sz w:val="24"/>
                <w:szCs w:val="24"/>
                <w:lang w:eastAsia="zh-CN"/>
                <w14:textFill>
                  <w14:solidFill>
                    <w14:schemeClr w14:val="tx1"/>
                  </w14:solidFill>
                </w14:textFill>
              </w:rPr>
              <w:t>（</w:t>
            </w:r>
            <w:r>
              <w:rPr>
                <w:rFonts w:hint="default" w:ascii="Times New Roman" w:hAnsi="Times New Roman" w:eastAsia="楷体" w:cs="Times New Roman"/>
                <w:color w:val="000000" w:themeColor="text1"/>
                <w:sz w:val="24"/>
                <w:szCs w:val="24"/>
                <w:lang w:val="en-US" w:eastAsia="zh-CN"/>
                <w14:textFill>
                  <w14:solidFill>
                    <w14:schemeClr w14:val="tx1"/>
                  </w14:solidFill>
                </w14:textFill>
              </w:rPr>
              <w:t>mg/L</w:t>
            </w:r>
            <w:r>
              <w:rPr>
                <w:rFonts w:hint="default" w:ascii="Times New Roman" w:hAnsi="Times New Roman" w:eastAsia="楷体" w:cs="Times New Roman"/>
                <w:color w:val="000000" w:themeColor="text1"/>
                <w:sz w:val="24"/>
                <w:szCs w:val="24"/>
                <w:lang w:eastAsia="zh-CN"/>
                <w14:textFill>
                  <w14:solidFill>
                    <w14:schemeClr w14:val="tx1"/>
                  </w14:solidFill>
                </w14:textFill>
              </w:rPr>
              <w:t>）</w:t>
            </w:r>
          </w:p>
        </w:tc>
        <w:tc>
          <w:tcPr>
            <w:tcW w:w="662" w:type="pct"/>
            <w:vAlign w:val="center"/>
          </w:tcPr>
          <w:p w14:paraId="164A4ED0">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0.3</w:t>
            </w:r>
          </w:p>
        </w:tc>
        <w:tc>
          <w:tcPr>
            <w:tcW w:w="483" w:type="pct"/>
            <w:vAlign w:val="center"/>
          </w:tcPr>
          <w:p w14:paraId="631666C6">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0.07</w:t>
            </w:r>
          </w:p>
        </w:tc>
        <w:tc>
          <w:tcPr>
            <w:tcW w:w="484" w:type="pct"/>
            <w:vAlign w:val="center"/>
          </w:tcPr>
          <w:p w14:paraId="0192F727">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0.07</w:t>
            </w:r>
          </w:p>
        </w:tc>
        <w:tc>
          <w:tcPr>
            <w:tcW w:w="492" w:type="pct"/>
            <w:shd w:val="clear" w:color="auto" w:fill="auto"/>
            <w:vAlign w:val="center"/>
          </w:tcPr>
          <w:p w14:paraId="69B7491E">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snapToGrid w:val="0"/>
                <w:color w:val="000000" w:themeColor="text1"/>
                <w:kern w:val="0"/>
                <w:sz w:val="24"/>
                <w:szCs w:val="24"/>
                <w:lang w:val="en-US" w:eastAsia="zh-CN" w:bidi="ar-SA"/>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0.07</w:t>
            </w:r>
          </w:p>
        </w:tc>
        <w:tc>
          <w:tcPr>
            <w:tcW w:w="471" w:type="pct"/>
            <w:shd w:val="clear" w:color="auto" w:fill="auto"/>
            <w:vAlign w:val="center"/>
          </w:tcPr>
          <w:p w14:paraId="000BC289">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snapToGrid w:val="0"/>
                <w:color w:val="000000" w:themeColor="text1"/>
                <w:kern w:val="0"/>
                <w:sz w:val="24"/>
                <w:szCs w:val="24"/>
                <w:lang w:val="en-US" w:eastAsia="zh-CN" w:bidi="ar-SA"/>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c>
          <w:tcPr>
            <w:tcW w:w="448" w:type="pct"/>
            <w:shd w:val="clear" w:color="auto" w:fill="auto"/>
            <w:vAlign w:val="center"/>
          </w:tcPr>
          <w:p w14:paraId="52D1B36C">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snapToGrid w:val="0"/>
                <w:color w:val="000000" w:themeColor="text1"/>
                <w:kern w:val="0"/>
                <w:sz w:val="24"/>
                <w:szCs w:val="24"/>
                <w:lang w:val="en-US" w:eastAsia="zh-CN" w:bidi="ar-SA"/>
                <w14:textFill>
                  <w14:solidFill>
                    <w14:schemeClr w14:val="tx1"/>
                  </w14:solidFill>
                </w14:textFill>
              </w:rPr>
            </w:pPr>
            <w:r>
              <w:rPr>
                <w:rFonts w:hint="eastAsia" w:eastAsia="楷体" w:cs="Times New Roman"/>
                <w:color w:val="000000" w:themeColor="text1"/>
                <w:sz w:val="24"/>
                <w:szCs w:val="24"/>
                <w:lang w:val="en-US" w:eastAsia="zh-CN"/>
                <w14:textFill>
                  <w14:solidFill>
                    <w14:schemeClr w14:val="tx1"/>
                  </w14:solidFill>
                </w14:textFill>
              </w:rPr>
              <w:t>20</w:t>
            </w:r>
          </w:p>
        </w:tc>
        <w:tc>
          <w:tcPr>
            <w:tcW w:w="454" w:type="pct"/>
            <w:shd w:val="clear" w:color="auto" w:fill="auto"/>
            <w:vAlign w:val="center"/>
          </w:tcPr>
          <w:p w14:paraId="70A0F8D0">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snapToGrid w:val="0"/>
                <w:color w:val="000000" w:themeColor="text1"/>
                <w:kern w:val="0"/>
                <w:sz w:val="24"/>
                <w:szCs w:val="24"/>
                <w:lang w:val="en-US" w:eastAsia="zh-CN" w:bidi="ar-SA"/>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w:t>
            </w:r>
          </w:p>
        </w:tc>
        <w:tc>
          <w:tcPr>
            <w:tcW w:w="557" w:type="pct"/>
            <w:shd w:val="clear" w:color="auto" w:fill="auto"/>
            <w:vAlign w:val="center"/>
          </w:tcPr>
          <w:p w14:paraId="78810B5F">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0.23</w:t>
            </w:r>
          </w:p>
        </w:tc>
      </w:tr>
      <w:tr w14:paraId="45004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 w:type="pct"/>
            <w:vAlign w:val="center"/>
          </w:tcPr>
          <w:p w14:paraId="49CEBB2D">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铅</w:t>
            </w:r>
            <w:r>
              <w:rPr>
                <w:rFonts w:hint="default" w:ascii="Times New Roman" w:hAnsi="Times New Roman" w:eastAsia="楷体" w:cs="Times New Roman"/>
                <w:color w:val="000000" w:themeColor="text1"/>
                <w:sz w:val="24"/>
                <w:szCs w:val="24"/>
                <w:lang w:eastAsia="zh-CN"/>
                <w14:textFill>
                  <w14:solidFill>
                    <w14:schemeClr w14:val="tx1"/>
                  </w14:solidFill>
                </w14:textFill>
              </w:rPr>
              <w:t>（</w:t>
            </w:r>
            <w:r>
              <w:rPr>
                <w:rFonts w:hint="default" w:ascii="Times New Roman" w:hAnsi="Times New Roman" w:eastAsia="楷体" w:cs="Times New Roman"/>
                <w:color w:val="000000" w:themeColor="text1"/>
                <w:sz w:val="24"/>
                <w:szCs w:val="24"/>
                <w:lang w:val="en-US" w:eastAsia="zh-CN"/>
                <w14:textFill>
                  <w14:solidFill>
                    <w14:schemeClr w14:val="tx1"/>
                  </w14:solidFill>
                </w14:textFill>
              </w:rPr>
              <w:t>ug/L</w:t>
            </w:r>
            <w:r>
              <w:rPr>
                <w:rFonts w:hint="default" w:ascii="Times New Roman" w:hAnsi="Times New Roman" w:eastAsia="楷体" w:cs="Times New Roman"/>
                <w:color w:val="000000" w:themeColor="text1"/>
                <w:sz w:val="24"/>
                <w:szCs w:val="24"/>
                <w:lang w:eastAsia="zh-CN"/>
                <w14:textFill>
                  <w14:solidFill>
                    <w14:schemeClr w14:val="tx1"/>
                  </w14:solidFill>
                </w14:textFill>
              </w:rPr>
              <w:t>）</w:t>
            </w:r>
          </w:p>
        </w:tc>
        <w:tc>
          <w:tcPr>
            <w:tcW w:w="662" w:type="pct"/>
            <w:vAlign w:val="center"/>
          </w:tcPr>
          <w:p w14:paraId="63E77C49">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10</w:t>
            </w:r>
          </w:p>
        </w:tc>
        <w:tc>
          <w:tcPr>
            <w:tcW w:w="483" w:type="pct"/>
            <w:vAlign w:val="center"/>
          </w:tcPr>
          <w:p w14:paraId="7B9D8D6A">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3.0</w:t>
            </w:r>
          </w:p>
        </w:tc>
        <w:tc>
          <w:tcPr>
            <w:tcW w:w="484" w:type="pct"/>
            <w:vAlign w:val="center"/>
          </w:tcPr>
          <w:p w14:paraId="5F41E06E">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3.0</w:t>
            </w:r>
          </w:p>
        </w:tc>
        <w:tc>
          <w:tcPr>
            <w:tcW w:w="492" w:type="pct"/>
            <w:vAlign w:val="center"/>
          </w:tcPr>
          <w:p w14:paraId="571CFD6B">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3.0</w:t>
            </w:r>
          </w:p>
        </w:tc>
        <w:tc>
          <w:tcPr>
            <w:tcW w:w="471" w:type="pct"/>
            <w:vAlign w:val="center"/>
          </w:tcPr>
          <w:p w14:paraId="2B461CCD">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c>
          <w:tcPr>
            <w:tcW w:w="448" w:type="pct"/>
            <w:vAlign w:val="center"/>
          </w:tcPr>
          <w:p w14:paraId="60714BF1">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eastAsia" w:eastAsia="楷体" w:cs="Times New Roman"/>
                <w:color w:val="000000" w:themeColor="text1"/>
                <w:sz w:val="24"/>
                <w:szCs w:val="24"/>
                <w:lang w:val="en-US" w:eastAsia="zh-CN"/>
                <w14:textFill>
                  <w14:solidFill>
                    <w14:schemeClr w14:val="tx1"/>
                  </w14:solidFill>
                </w14:textFill>
              </w:rPr>
              <w:t>20</w:t>
            </w:r>
          </w:p>
        </w:tc>
        <w:tc>
          <w:tcPr>
            <w:tcW w:w="454" w:type="pct"/>
            <w:vAlign w:val="center"/>
          </w:tcPr>
          <w:p w14:paraId="2EE0C539">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w:t>
            </w:r>
          </w:p>
        </w:tc>
        <w:tc>
          <w:tcPr>
            <w:tcW w:w="557" w:type="pct"/>
            <w:vAlign w:val="center"/>
          </w:tcPr>
          <w:p w14:paraId="4867CBA4">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0.3</w:t>
            </w:r>
          </w:p>
        </w:tc>
      </w:tr>
      <w:tr w14:paraId="2A83E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 w:type="pct"/>
            <w:vAlign w:val="center"/>
          </w:tcPr>
          <w:p w14:paraId="5D0A77E4">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镉</w:t>
            </w:r>
            <w:r>
              <w:rPr>
                <w:rFonts w:hint="default" w:ascii="Times New Roman" w:hAnsi="Times New Roman" w:eastAsia="楷体" w:cs="Times New Roman"/>
                <w:color w:val="000000" w:themeColor="text1"/>
                <w:sz w:val="24"/>
                <w:szCs w:val="24"/>
                <w:lang w:eastAsia="zh-CN"/>
                <w14:textFill>
                  <w14:solidFill>
                    <w14:schemeClr w14:val="tx1"/>
                  </w14:solidFill>
                </w14:textFill>
              </w:rPr>
              <w:t>（</w:t>
            </w:r>
            <w:r>
              <w:rPr>
                <w:rFonts w:hint="default" w:ascii="Times New Roman" w:hAnsi="Times New Roman" w:eastAsia="楷体" w:cs="Times New Roman"/>
                <w:color w:val="000000" w:themeColor="text1"/>
                <w:sz w:val="24"/>
                <w:szCs w:val="24"/>
                <w:lang w:val="en-US" w:eastAsia="zh-CN"/>
                <w14:textFill>
                  <w14:solidFill>
                    <w14:schemeClr w14:val="tx1"/>
                  </w14:solidFill>
                </w14:textFill>
              </w:rPr>
              <w:t>mg/L</w:t>
            </w:r>
            <w:r>
              <w:rPr>
                <w:rFonts w:hint="default" w:ascii="Times New Roman" w:hAnsi="Times New Roman" w:eastAsia="楷体" w:cs="Times New Roman"/>
                <w:color w:val="000000" w:themeColor="text1"/>
                <w:sz w:val="24"/>
                <w:szCs w:val="24"/>
                <w:lang w:eastAsia="zh-CN"/>
                <w14:textFill>
                  <w14:solidFill>
                    <w14:schemeClr w14:val="tx1"/>
                  </w14:solidFill>
                </w14:textFill>
              </w:rPr>
              <w:t>）</w:t>
            </w:r>
          </w:p>
        </w:tc>
        <w:tc>
          <w:tcPr>
            <w:tcW w:w="662" w:type="pct"/>
            <w:vAlign w:val="center"/>
          </w:tcPr>
          <w:p w14:paraId="2BBC5326">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0.005</w:t>
            </w:r>
          </w:p>
        </w:tc>
        <w:tc>
          <w:tcPr>
            <w:tcW w:w="483" w:type="pct"/>
            <w:vAlign w:val="center"/>
          </w:tcPr>
          <w:p w14:paraId="23739B34">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c>
          <w:tcPr>
            <w:tcW w:w="484" w:type="pct"/>
            <w:vAlign w:val="center"/>
          </w:tcPr>
          <w:p w14:paraId="28FED79D">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c>
          <w:tcPr>
            <w:tcW w:w="492" w:type="pct"/>
            <w:vAlign w:val="center"/>
          </w:tcPr>
          <w:p w14:paraId="04A47CD4">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c>
          <w:tcPr>
            <w:tcW w:w="471" w:type="pct"/>
            <w:vAlign w:val="center"/>
          </w:tcPr>
          <w:p w14:paraId="2A257823">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c>
          <w:tcPr>
            <w:tcW w:w="448" w:type="pct"/>
            <w:vAlign w:val="center"/>
          </w:tcPr>
          <w:p w14:paraId="1945DB52">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w:t>
            </w:r>
          </w:p>
        </w:tc>
        <w:tc>
          <w:tcPr>
            <w:tcW w:w="454" w:type="pct"/>
            <w:vAlign w:val="center"/>
          </w:tcPr>
          <w:p w14:paraId="7D992A2A">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w:t>
            </w:r>
          </w:p>
        </w:tc>
        <w:tc>
          <w:tcPr>
            <w:tcW w:w="557" w:type="pct"/>
            <w:vAlign w:val="center"/>
          </w:tcPr>
          <w:p w14:paraId="48838D8F">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r>
      <w:tr w14:paraId="1E599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 w:type="pct"/>
            <w:vAlign w:val="center"/>
          </w:tcPr>
          <w:p w14:paraId="74BACF09">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汞</w:t>
            </w:r>
            <w:r>
              <w:rPr>
                <w:rFonts w:hint="default" w:ascii="Times New Roman" w:hAnsi="Times New Roman" w:eastAsia="楷体" w:cs="Times New Roman"/>
                <w:color w:val="000000" w:themeColor="text1"/>
                <w:sz w:val="24"/>
                <w:szCs w:val="24"/>
                <w:lang w:eastAsia="zh-CN"/>
                <w14:textFill>
                  <w14:solidFill>
                    <w14:schemeClr w14:val="tx1"/>
                  </w14:solidFill>
                </w14:textFill>
              </w:rPr>
              <w:t>（</w:t>
            </w:r>
            <w:r>
              <w:rPr>
                <w:rFonts w:hint="default" w:ascii="Times New Roman" w:hAnsi="Times New Roman" w:eastAsia="楷体" w:cs="Times New Roman"/>
                <w:color w:val="000000" w:themeColor="text1"/>
                <w:sz w:val="24"/>
                <w:szCs w:val="24"/>
                <w:lang w:val="en-US" w:eastAsia="zh-CN"/>
                <w14:textFill>
                  <w14:solidFill>
                    <w14:schemeClr w14:val="tx1"/>
                  </w14:solidFill>
                </w14:textFill>
              </w:rPr>
              <w:t>mg/L</w:t>
            </w:r>
            <w:r>
              <w:rPr>
                <w:rFonts w:hint="default" w:ascii="Times New Roman" w:hAnsi="Times New Roman" w:eastAsia="楷体" w:cs="Times New Roman"/>
                <w:color w:val="000000" w:themeColor="text1"/>
                <w:sz w:val="24"/>
                <w:szCs w:val="24"/>
                <w:lang w:eastAsia="zh-CN"/>
                <w14:textFill>
                  <w14:solidFill>
                    <w14:schemeClr w14:val="tx1"/>
                  </w14:solidFill>
                </w14:textFill>
              </w:rPr>
              <w:t>）</w:t>
            </w:r>
          </w:p>
        </w:tc>
        <w:tc>
          <w:tcPr>
            <w:tcW w:w="662" w:type="pct"/>
            <w:vAlign w:val="center"/>
          </w:tcPr>
          <w:p w14:paraId="78DA2786">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0.001</w:t>
            </w:r>
          </w:p>
        </w:tc>
        <w:tc>
          <w:tcPr>
            <w:tcW w:w="483" w:type="pct"/>
            <w:vAlign w:val="center"/>
          </w:tcPr>
          <w:p w14:paraId="4BE99B40">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c>
          <w:tcPr>
            <w:tcW w:w="484" w:type="pct"/>
            <w:vAlign w:val="center"/>
          </w:tcPr>
          <w:p w14:paraId="76B4F503">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c>
          <w:tcPr>
            <w:tcW w:w="492" w:type="pct"/>
            <w:vAlign w:val="center"/>
          </w:tcPr>
          <w:p w14:paraId="7F74C2AB">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c>
          <w:tcPr>
            <w:tcW w:w="471" w:type="pct"/>
            <w:vAlign w:val="center"/>
          </w:tcPr>
          <w:p w14:paraId="0C1DB58E">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c>
          <w:tcPr>
            <w:tcW w:w="448" w:type="pct"/>
            <w:vAlign w:val="center"/>
          </w:tcPr>
          <w:p w14:paraId="5A353DD1">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w:t>
            </w:r>
          </w:p>
        </w:tc>
        <w:tc>
          <w:tcPr>
            <w:tcW w:w="454" w:type="pct"/>
            <w:vAlign w:val="center"/>
          </w:tcPr>
          <w:p w14:paraId="1A35985E">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w:t>
            </w:r>
          </w:p>
        </w:tc>
        <w:tc>
          <w:tcPr>
            <w:tcW w:w="557" w:type="pct"/>
            <w:vAlign w:val="center"/>
          </w:tcPr>
          <w:p w14:paraId="3CA760B4">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r>
      <w:tr w14:paraId="55C73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 w:type="pct"/>
            <w:vAlign w:val="center"/>
          </w:tcPr>
          <w:p w14:paraId="3135EF0B">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砷</w:t>
            </w:r>
            <w:r>
              <w:rPr>
                <w:rFonts w:hint="default" w:ascii="Times New Roman" w:hAnsi="Times New Roman" w:eastAsia="楷体" w:cs="Times New Roman"/>
                <w:color w:val="000000" w:themeColor="text1"/>
                <w:sz w:val="24"/>
                <w:szCs w:val="24"/>
                <w:lang w:eastAsia="zh-CN"/>
                <w14:textFill>
                  <w14:solidFill>
                    <w14:schemeClr w14:val="tx1"/>
                  </w14:solidFill>
                </w14:textFill>
              </w:rPr>
              <w:t>（</w:t>
            </w:r>
            <w:r>
              <w:rPr>
                <w:rFonts w:hint="default" w:ascii="Times New Roman" w:hAnsi="Times New Roman" w:eastAsia="楷体" w:cs="Times New Roman"/>
                <w:color w:val="000000" w:themeColor="text1"/>
                <w:sz w:val="24"/>
                <w:szCs w:val="24"/>
                <w:lang w:val="en-US" w:eastAsia="zh-CN"/>
                <w14:textFill>
                  <w14:solidFill>
                    <w14:schemeClr w14:val="tx1"/>
                  </w14:solidFill>
                </w14:textFill>
              </w:rPr>
              <w:t>mg/L</w:t>
            </w:r>
            <w:r>
              <w:rPr>
                <w:rFonts w:hint="default" w:ascii="Times New Roman" w:hAnsi="Times New Roman" w:eastAsia="楷体" w:cs="Times New Roman"/>
                <w:color w:val="000000" w:themeColor="text1"/>
                <w:sz w:val="24"/>
                <w:szCs w:val="24"/>
                <w:lang w:eastAsia="zh-CN"/>
                <w14:textFill>
                  <w14:solidFill>
                    <w14:schemeClr w14:val="tx1"/>
                  </w14:solidFill>
                </w14:textFill>
              </w:rPr>
              <w:t>）</w:t>
            </w:r>
          </w:p>
        </w:tc>
        <w:tc>
          <w:tcPr>
            <w:tcW w:w="662" w:type="pct"/>
            <w:vAlign w:val="center"/>
          </w:tcPr>
          <w:p w14:paraId="665706DF">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0.01</w:t>
            </w:r>
          </w:p>
        </w:tc>
        <w:tc>
          <w:tcPr>
            <w:tcW w:w="483" w:type="pct"/>
            <w:vAlign w:val="center"/>
          </w:tcPr>
          <w:p w14:paraId="26244219">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c>
          <w:tcPr>
            <w:tcW w:w="484" w:type="pct"/>
            <w:vAlign w:val="center"/>
          </w:tcPr>
          <w:p w14:paraId="55629A22">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c>
          <w:tcPr>
            <w:tcW w:w="492" w:type="pct"/>
            <w:vAlign w:val="center"/>
          </w:tcPr>
          <w:p w14:paraId="6CE83E42">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c>
          <w:tcPr>
            <w:tcW w:w="471" w:type="pct"/>
            <w:vAlign w:val="center"/>
          </w:tcPr>
          <w:p w14:paraId="716E31C2">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c>
          <w:tcPr>
            <w:tcW w:w="448" w:type="pct"/>
            <w:vAlign w:val="center"/>
          </w:tcPr>
          <w:p w14:paraId="546EF070">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w:t>
            </w:r>
          </w:p>
        </w:tc>
        <w:tc>
          <w:tcPr>
            <w:tcW w:w="454" w:type="pct"/>
            <w:vAlign w:val="center"/>
          </w:tcPr>
          <w:p w14:paraId="72669252">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w:t>
            </w:r>
          </w:p>
        </w:tc>
        <w:tc>
          <w:tcPr>
            <w:tcW w:w="557" w:type="pct"/>
            <w:vAlign w:val="center"/>
          </w:tcPr>
          <w:p w14:paraId="177F750A">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r>
      <w:tr w14:paraId="7D3CE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 w:type="pct"/>
            <w:vAlign w:val="center"/>
          </w:tcPr>
          <w:p w14:paraId="37C5A3F2">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铬（六价）</w:t>
            </w:r>
          </w:p>
        </w:tc>
        <w:tc>
          <w:tcPr>
            <w:tcW w:w="662" w:type="pct"/>
            <w:vAlign w:val="center"/>
          </w:tcPr>
          <w:p w14:paraId="4DBA1A2C">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0.05</w:t>
            </w:r>
          </w:p>
        </w:tc>
        <w:tc>
          <w:tcPr>
            <w:tcW w:w="483" w:type="pct"/>
            <w:vAlign w:val="center"/>
          </w:tcPr>
          <w:p w14:paraId="5B57E66D">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c>
          <w:tcPr>
            <w:tcW w:w="484" w:type="pct"/>
            <w:vAlign w:val="center"/>
          </w:tcPr>
          <w:p w14:paraId="0158FA2E">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c>
          <w:tcPr>
            <w:tcW w:w="492" w:type="pct"/>
            <w:vAlign w:val="center"/>
          </w:tcPr>
          <w:p w14:paraId="762B2E83">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c>
          <w:tcPr>
            <w:tcW w:w="471" w:type="pct"/>
            <w:vAlign w:val="center"/>
          </w:tcPr>
          <w:p w14:paraId="356D81C8">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c>
          <w:tcPr>
            <w:tcW w:w="448" w:type="pct"/>
            <w:vAlign w:val="center"/>
          </w:tcPr>
          <w:p w14:paraId="50C687C6">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w:t>
            </w:r>
          </w:p>
        </w:tc>
        <w:tc>
          <w:tcPr>
            <w:tcW w:w="454" w:type="pct"/>
            <w:vAlign w:val="center"/>
          </w:tcPr>
          <w:p w14:paraId="23AC6321">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w:t>
            </w:r>
          </w:p>
        </w:tc>
        <w:tc>
          <w:tcPr>
            <w:tcW w:w="557" w:type="pct"/>
            <w:vAlign w:val="center"/>
          </w:tcPr>
          <w:p w14:paraId="732997AB">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r>
      <w:tr w14:paraId="61DB5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 w:type="pct"/>
            <w:vAlign w:val="center"/>
          </w:tcPr>
          <w:p w14:paraId="2CA78ACC">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色度（度）</w:t>
            </w:r>
          </w:p>
        </w:tc>
        <w:tc>
          <w:tcPr>
            <w:tcW w:w="662" w:type="pct"/>
            <w:vAlign w:val="center"/>
          </w:tcPr>
          <w:p w14:paraId="52FB56DD">
            <w:pPr>
              <w:pStyle w:val="55"/>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15</w:t>
            </w:r>
          </w:p>
        </w:tc>
        <w:tc>
          <w:tcPr>
            <w:tcW w:w="483" w:type="pct"/>
            <w:vAlign w:val="center"/>
          </w:tcPr>
          <w:p w14:paraId="3638B40B">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c>
          <w:tcPr>
            <w:tcW w:w="484" w:type="pct"/>
            <w:vAlign w:val="center"/>
          </w:tcPr>
          <w:p w14:paraId="528E4C61">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c>
          <w:tcPr>
            <w:tcW w:w="492" w:type="pct"/>
            <w:vAlign w:val="center"/>
          </w:tcPr>
          <w:p w14:paraId="564BD42E">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c>
          <w:tcPr>
            <w:tcW w:w="471" w:type="pct"/>
            <w:vAlign w:val="center"/>
          </w:tcPr>
          <w:p w14:paraId="0F4961BB">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c>
          <w:tcPr>
            <w:tcW w:w="448" w:type="pct"/>
            <w:vAlign w:val="center"/>
          </w:tcPr>
          <w:p w14:paraId="352BABA3">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w:t>
            </w:r>
          </w:p>
        </w:tc>
        <w:tc>
          <w:tcPr>
            <w:tcW w:w="454" w:type="pct"/>
            <w:vAlign w:val="center"/>
          </w:tcPr>
          <w:p w14:paraId="232F3A68">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0</w:t>
            </w:r>
          </w:p>
        </w:tc>
        <w:tc>
          <w:tcPr>
            <w:tcW w:w="557" w:type="pct"/>
            <w:vAlign w:val="center"/>
          </w:tcPr>
          <w:p w14:paraId="37F6F2FD">
            <w:pPr>
              <w:keepNext w:val="0"/>
              <w:keepLines w:val="0"/>
              <w:pageBreakBefore w:val="0"/>
              <w:kinsoku/>
              <w:wordWrap/>
              <w:overflowPunct/>
              <w:topLinePunct w:val="0"/>
              <w:autoSpaceDE/>
              <w:autoSpaceDN/>
              <w:bidi w:val="0"/>
              <w:adjustRightInd w:val="0"/>
              <w:snapToGrid w:val="0"/>
              <w:spacing w:line="300" w:lineRule="exact"/>
              <w:ind w:firstLine="0" w:firstLineChars="0"/>
              <w:jc w:val="center"/>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w:t>
            </w:r>
          </w:p>
        </w:tc>
      </w:tr>
    </w:tbl>
    <w:p w14:paraId="7D25830C">
      <w:pPr>
        <w:pStyle w:val="47"/>
        <w:ind w:firstLine="482"/>
        <w:rPr>
          <w:rFonts w:hint="default" w:ascii="Times New Roman" w:hAnsi="Times New Roman" w:eastAsia="楷体" w:cs="Times New Roman"/>
        </w:rPr>
      </w:pPr>
      <w:r>
        <w:rPr>
          <w:rFonts w:hint="default" w:ascii="Times New Roman" w:hAnsi="Times New Roman" w:eastAsia="楷体" w:cs="Times New Roman"/>
        </w:rPr>
        <w:t>由上表可知，各监测点位所有监测因子均满足《地下水环境质量标准》（GBT14848-2017）中的Ⅲ类标准。项目区域地下水环境质量状况良好。</w:t>
      </w:r>
    </w:p>
    <w:p w14:paraId="1C6AEAD0">
      <w:pPr>
        <w:pStyle w:val="92"/>
        <w:bidi w:val="0"/>
        <w:ind w:left="0" w:leftChars="0" w:firstLine="0" w:firstLineChars="0"/>
      </w:pPr>
      <w:r>
        <w:rPr>
          <w:rFonts w:hint="eastAsia"/>
        </w:rPr>
        <w:t>声环境质量现状</w:t>
      </w:r>
    </w:p>
    <w:p w14:paraId="14559B07">
      <w:pPr>
        <w:pStyle w:val="47"/>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（1）监测布点</w:t>
      </w:r>
    </w:p>
    <w:p w14:paraId="23AB46DB">
      <w:pPr>
        <w:pStyle w:val="47"/>
        <w:numPr>
          <w:ilvl w:val="0"/>
          <w:numId w:val="0"/>
        </w:numPr>
        <w:bidi w:val="0"/>
        <w:ind w:firstLine="56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本次土壤现状评委托</w:t>
      </w:r>
      <w:r>
        <w:rPr>
          <w:rFonts w:hint="eastAsia"/>
          <w:color w:val="000000" w:themeColor="text1"/>
          <w:highlight w:val="none"/>
          <w:lang w:eastAsia="zh-CN"/>
          <w14:textFill>
            <w14:solidFill>
              <w14:schemeClr w14:val="tx1"/>
            </w14:solidFill>
          </w14:textFill>
        </w:rPr>
        <w:t>河北新环检测集团有限公司</w:t>
      </w:r>
      <w:r>
        <w:rPr>
          <w:rFonts w:hint="eastAsia"/>
          <w:color w:val="000000" w:themeColor="text1"/>
          <w:highlight w:val="none"/>
          <w14:textFill>
            <w14:solidFill>
              <w14:schemeClr w14:val="tx1"/>
            </w14:solidFill>
          </w14:textFill>
        </w:rPr>
        <w:t>对项目</w:t>
      </w:r>
      <w:r>
        <w:rPr>
          <w:rFonts w:hint="eastAsia"/>
          <w:color w:val="000000" w:themeColor="text1"/>
          <w:highlight w:val="none"/>
          <w:lang w:eastAsia="zh-CN"/>
          <w14:textFill>
            <w14:solidFill>
              <w14:schemeClr w14:val="tx1"/>
            </w14:solidFill>
          </w14:textFill>
        </w:rPr>
        <w:t>声环境</w:t>
      </w:r>
      <w:r>
        <w:rPr>
          <w:rFonts w:hint="eastAsia"/>
          <w:color w:val="000000" w:themeColor="text1"/>
          <w:highlight w:val="none"/>
          <w14:textFill>
            <w14:solidFill>
              <w14:schemeClr w14:val="tx1"/>
            </w14:solidFill>
          </w14:textFill>
        </w:rPr>
        <w:t>进行监测，监测时间为202</w:t>
      </w:r>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年</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13</w:t>
      </w:r>
      <w:r>
        <w:rPr>
          <w:rFonts w:hint="eastAsia"/>
          <w:color w:val="000000" w:themeColor="text1"/>
          <w:highlight w:val="none"/>
          <w14:textFill>
            <w14:solidFill>
              <w14:schemeClr w14:val="tx1"/>
            </w14:solidFill>
          </w14:textFill>
        </w:rPr>
        <w:t>日。监测</w:t>
      </w:r>
      <w:r>
        <w:rPr>
          <w:rFonts w:hint="eastAsia"/>
          <w:color w:val="000000" w:themeColor="text1"/>
          <w:highlight w:val="none"/>
          <w:lang w:eastAsia="zh-CN"/>
          <w14:textFill>
            <w14:solidFill>
              <w14:schemeClr w14:val="tx1"/>
            </w14:solidFill>
          </w14:textFill>
        </w:rPr>
        <w:t>结果</w:t>
      </w:r>
      <w:r>
        <w:rPr>
          <w:rFonts w:hint="eastAsia"/>
          <w:color w:val="000000" w:themeColor="text1"/>
          <w:highlight w:val="none"/>
          <w14:textFill>
            <w14:solidFill>
              <w14:schemeClr w14:val="tx1"/>
            </w14:solidFill>
          </w14:textFill>
        </w:rPr>
        <w:t>见表4.</w:t>
      </w:r>
      <w:r>
        <w:rPr>
          <w:rFonts w:hint="eastAsia"/>
          <w:color w:val="000000" w:themeColor="text1"/>
          <w:highlight w:val="none"/>
          <w:lang w:val="en-US" w:eastAsia="zh-CN"/>
          <w14:textFill>
            <w14:solidFill>
              <w14:schemeClr w14:val="tx1"/>
            </w14:solidFill>
          </w14:textFill>
        </w:rPr>
        <w:t>3-7</w:t>
      </w:r>
      <w:r>
        <w:rPr>
          <w:rFonts w:hint="eastAsia"/>
          <w:color w:val="000000" w:themeColor="text1"/>
          <w:highlight w:val="none"/>
          <w14:textFill>
            <w14:solidFill>
              <w14:schemeClr w14:val="tx1"/>
            </w14:solidFill>
          </w14:textFill>
        </w:rPr>
        <w:t>。</w:t>
      </w:r>
    </w:p>
    <w:p w14:paraId="3E4F880D">
      <w:pPr>
        <w:pStyle w:val="47"/>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（4）监测结果</w:t>
      </w:r>
    </w:p>
    <w:p w14:paraId="5A101C12">
      <w:pPr>
        <w:pStyle w:val="94"/>
        <w:bidi w:val="0"/>
        <w:ind w:left="0" w:leftChars="0"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厂界环境噪声监测数据统计结果    单位：dB</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A</w:t>
      </w:r>
      <w:r>
        <w:rPr>
          <w:rFonts w:hint="eastAsia"/>
          <w:color w:val="000000" w:themeColor="text1"/>
          <w:highlight w:val="none"/>
          <w14:textFill>
            <w14:solidFill>
              <w14:schemeClr w14:val="tx1"/>
            </w14:solidFill>
          </w14:textFill>
        </w:rPr>
        <w:t>)</w:t>
      </w:r>
    </w:p>
    <w:tbl>
      <w:tblPr>
        <w:tblStyle w:val="32"/>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2393"/>
        <w:gridCol w:w="1403"/>
        <w:gridCol w:w="1342"/>
        <w:gridCol w:w="1340"/>
        <w:gridCol w:w="1407"/>
        <w:gridCol w:w="1403"/>
      </w:tblGrid>
      <w:tr w14:paraId="5FFA992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288" w:type="pct"/>
            <w:vMerge w:val="restart"/>
            <w:tcBorders>
              <w:top w:val="single" w:color="auto" w:sz="4" w:space="0"/>
              <w:bottom w:val="single" w:color="auto" w:sz="6" w:space="0"/>
              <w:tl2br w:val="single" w:color="auto" w:sz="4" w:space="0"/>
            </w:tcBorders>
            <w:vAlign w:val="center"/>
          </w:tcPr>
          <w:p w14:paraId="403BD53C">
            <w:pPr>
              <w:pStyle w:val="55"/>
              <w:jc w:val="righ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时间</w:t>
            </w:r>
          </w:p>
          <w:p w14:paraId="30D2DFFE">
            <w:pPr>
              <w:pStyle w:val="55"/>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位置</w:t>
            </w:r>
          </w:p>
        </w:tc>
        <w:tc>
          <w:tcPr>
            <w:tcW w:w="1477" w:type="pct"/>
            <w:gridSpan w:val="2"/>
            <w:vAlign w:val="center"/>
          </w:tcPr>
          <w:p w14:paraId="45E8B72B">
            <w:pPr>
              <w:pStyle w:val="55"/>
              <w:rPr>
                <w:rFonts w:hint="default" w:eastAsia="楷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02</w:t>
            </w:r>
            <w:r>
              <w:rPr>
                <w:rFonts w:hint="eastAsia"/>
                <w:color w:val="000000" w:themeColor="text1"/>
                <w:highlight w:val="none"/>
                <w:lang w:val="en-US" w:eastAsia="zh-CN"/>
                <w14:textFill>
                  <w14:solidFill>
                    <w14:schemeClr w14:val="tx1"/>
                  </w14:solidFill>
                </w14:textFill>
              </w:rPr>
              <w:t>5</w:t>
            </w:r>
            <w:r>
              <w:rPr>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2</w:t>
            </w:r>
            <w:r>
              <w:rPr>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13</w:t>
            </w:r>
          </w:p>
        </w:tc>
        <w:tc>
          <w:tcPr>
            <w:tcW w:w="1478" w:type="pct"/>
            <w:gridSpan w:val="2"/>
            <w:vAlign w:val="center"/>
          </w:tcPr>
          <w:p w14:paraId="153ACC12">
            <w:pPr>
              <w:pStyle w:val="55"/>
              <w:rPr>
                <w:rFonts w:hint="default" w:eastAsia="楷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02</w:t>
            </w:r>
            <w:r>
              <w:rPr>
                <w:rFonts w:hint="eastAsia"/>
                <w:color w:val="000000" w:themeColor="text1"/>
                <w:highlight w:val="none"/>
                <w:lang w:val="en-US" w:eastAsia="zh-CN"/>
                <w14:textFill>
                  <w14:solidFill>
                    <w14:schemeClr w14:val="tx1"/>
                  </w14:solidFill>
                </w14:textFill>
              </w:rPr>
              <w:t>5</w:t>
            </w:r>
            <w:r>
              <w:rPr>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2.14</w:t>
            </w:r>
          </w:p>
        </w:tc>
        <w:tc>
          <w:tcPr>
            <w:tcW w:w="755" w:type="pct"/>
            <w:vMerge w:val="restart"/>
            <w:vAlign w:val="center"/>
          </w:tcPr>
          <w:p w14:paraId="38B23186">
            <w:pPr>
              <w:pStyle w:val="5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标准值</w:t>
            </w:r>
          </w:p>
        </w:tc>
      </w:tr>
      <w:tr w14:paraId="631835A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288" w:type="pct"/>
            <w:vMerge w:val="continue"/>
            <w:tcBorders>
              <w:top w:val="single" w:color="auto" w:sz="6" w:space="0"/>
              <w:bottom w:val="single" w:color="auto" w:sz="6" w:space="0"/>
              <w:tl2br w:val="single" w:color="auto" w:sz="4" w:space="0"/>
            </w:tcBorders>
            <w:vAlign w:val="center"/>
          </w:tcPr>
          <w:p w14:paraId="453FE04E">
            <w:pPr>
              <w:pStyle w:val="55"/>
              <w:rPr>
                <w:color w:val="000000" w:themeColor="text1"/>
                <w:highlight w:val="none"/>
                <w14:textFill>
                  <w14:solidFill>
                    <w14:schemeClr w14:val="tx1"/>
                  </w14:solidFill>
                </w14:textFill>
              </w:rPr>
            </w:pPr>
          </w:p>
        </w:tc>
        <w:tc>
          <w:tcPr>
            <w:tcW w:w="755" w:type="pct"/>
            <w:vAlign w:val="center"/>
          </w:tcPr>
          <w:p w14:paraId="61292ADA">
            <w:pPr>
              <w:pStyle w:val="5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昼间</w:t>
            </w:r>
          </w:p>
        </w:tc>
        <w:tc>
          <w:tcPr>
            <w:tcW w:w="722" w:type="pct"/>
            <w:vAlign w:val="center"/>
          </w:tcPr>
          <w:p w14:paraId="7070535F">
            <w:pPr>
              <w:pStyle w:val="5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夜间</w:t>
            </w:r>
          </w:p>
        </w:tc>
        <w:tc>
          <w:tcPr>
            <w:tcW w:w="721" w:type="pct"/>
            <w:vAlign w:val="center"/>
          </w:tcPr>
          <w:p w14:paraId="1F316FB3">
            <w:pPr>
              <w:pStyle w:val="5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昼间</w:t>
            </w:r>
          </w:p>
        </w:tc>
        <w:tc>
          <w:tcPr>
            <w:tcW w:w="757" w:type="pct"/>
            <w:vAlign w:val="center"/>
          </w:tcPr>
          <w:p w14:paraId="3908CD44">
            <w:pPr>
              <w:pStyle w:val="5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夜间</w:t>
            </w:r>
          </w:p>
        </w:tc>
        <w:tc>
          <w:tcPr>
            <w:tcW w:w="755" w:type="pct"/>
            <w:vMerge w:val="continue"/>
            <w:vAlign w:val="center"/>
          </w:tcPr>
          <w:p w14:paraId="7088AF8B">
            <w:pPr>
              <w:pStyle w:val="55"/>
              <w:rPr>
                <w:color w:val="000000" w:themeColor="text1"/>
                <w:highlight w:val="none"/>
                <w14:textFill>
                  <w14:solidFill>
                    <w14:schemeClr w14:val="tx1"/>
                  </w14:solidFill>
                </w14:textFill>
              </w:rPr>
            </w:pPr>
          </w:p>
        </w:tc>
      </w:tr>
      <w:tr w14:paraId="282577B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288" w:type="pct"/>
            <w:vMerge w:val="restart"/>
            <w:tcBorders>
              <w:top w:val="single" w:color="auto" w:sz="6" w:space="0"/>
            </w:tcBorders>
            <w:vAlign w:val="center"/>
          </w:tcPr>
          <w:p w14:paraId="283B2004">
            <w:pPr>
              <w:pStyle w:val="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东侧厂界</w:t>
            </w:r>
          </w:p>
        </w:tc>
        <w:tc>
          <w:tcPr>
            <w:tcW w:w="755" w:type="pct"/>
            <w:vAlign w:val="center"/>
          </w:tcPr>
          <w:p w14:paraId="4B38B724">
            <w:pPr>
              <w:pStyle w:val="55"/>
              <w:rPr>
                <w:rFonts w:hint="default" w:eastAsia="楷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52</w:t>
            </w:r>
          </w:p>
        </w:tc>
        <w:tc>
          <w:tcPr>
            <w:tcW w:w="722" w:type="pct"/>
            <w:vAlign w:val="center"/>
          </w:tcPr>
          <w:p w14:paraId="38D078D6">
            <w:pPr>
              <w:pStyle w:val="55"/>
              <w:rPr>
                <w:rFonts w:hint="default" w:eastAsia="楷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43</w:t>
            </w:r>
          </w:p>
        </w:tc>
        <w:tc>
          <w:tcPr>
            <w:tcW w:w="721" w:type="pct"/>
            <w:vAlign w:val="center"/>
          </w:tcPr>
          <w:p w14:paraId="16B50A91">
            <w:pPr>
              <w:pStyle w:val="55"/>
              <w:rPr>
                <w:rFonts w:hint="default" w:eastAsia="楷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54</w:t>
            </w:r>
          </w:p>
        </w:tc>
        <w:tc>
          <w:tcPr>
            <w:tcW w:w="757" w:type="pct"/>
            <w:vAlign w:val="center"/>
          </w:tcPr>
          <w:p w14:paraId="223D6F7E">
            <w:pPr>
              <w:pStyle w:val="55"/>
              <w:rPr>
                <w:rFonts w:hint="default" w:eastAsia="楷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42</w:t>
            </w:r>
          </w:p>
        </w:tc>
        <w:tc>
          <w:tcPr>
            <w:tcW w:w="755" w:type="pct"/>
            <w:vAlign w:val="center"/>
          </w:tcPr>
          <w:p w14:paraId="6F551552">
            <w:pPr>
              <w:pStyle w:val="55"/>
              <w:rPr>
                <w:rFonts w:hint="eastAsia" w:eastAsia="楷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6</w:t>
            </w:r>
            <w:r>
              <w:rPr>
                <w:rFonts w:hint="eastAsia"/>
                <w:color w:val="000000" w:themeColor="text1"/>
                <w:highlight w:val="none"/>
                <w:lang w:val="en-US" w:eastAsia="zh-CN"/>
                <w14:textFill>
                  <w14:solidFill>
                    <w14:schemeClr w14:val="tx1"/>
                  </w14:solidFill>
                </w14:textFill>
              </w:rPr>
              <w:t>0</w:t>
            </w:r>
          </w:p>
        </w:tc>
      </w:tr>
      <w:tr w14:paraId="30F467E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288" w:type="pct"/>
            <w:vMerge w:val="continue"/>
            <w:vAlign w:val="center"/>
          </w:tcPr>
          <w:p w14:paraId="4A46FD89">
            <w:pPr>
              <w:pStyle w:val="55"/>
              <w:rPr>
                <w:color w:val="000000" w:themeColor="text1"/>
                <w:highlight w:val="none"/>
                <w14:textFill>
                  <w14:solidFill>
                    <w14:schemeClr w14:val="tx1"/>
                  </w14:solidFill>
                </w14:textFill>
              </w:rPr>
            </w:pPr>
          </w:p>
        </w:tc>
        <w:tc>
          <w:tcPr>
            <w:tcW w:w="1403" w:type="dxa"/>
            <w:vAlign w:val="center"/>
          </w:tcPr>
          <w:p w14:paraId="17CB0527">
            <w:pPr>
              <w:pStyle w:val="55"/>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52</w:t>
            </w:r>
          </w:p>
        </w:tc>
        <w:tc>
          <w:tcPr>
            <w:tcW w:w="1342" w:type="dxa"/>
            <w:vAlign w:val="center"/>
          </w:tcPr>
          <w:p w14:paraId="71E1B1BD">
            <w:pPr>
              <w:pStyle w:val="55"/>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43</w:t>
            </w:r>
          </w:p>
        </w:tc>
        <w:tc>
          <w:tcPr>
            <w:tcW w:w="1340" w:type="dxa"/>
            <w:vAlign w:val="center"/>
          </w:tcPr>
          <w:p w14:paraId="4F13E9F2">
            <w:pPr>
              <w:pStyle w:val="55"/>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54</w:t>
            </w:r>
          </w:p>
        </w:tc>
        <w:tc>
          <w:tcPr>
            <w:tcW w:w="1407" w:type="dxa"/>
            <w:vAlign w:val="center"/>
          </w:tcPr>
          <w:p w14:paraId="1673E694">
            <w:pPr>
              <w:pStyle w:val="55"/>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42</w:t>
            </w:r>
          </w:p>
        </w:tc>
        <w:tc>
          <w:tcPr>
            <w:tcW w:w="755" w:type="pct"/>
            <w:vAlign w:val="center"/>
          </w:tcPr>
          <w:p w14:paraId="146DC06E">
            <w:pPr>
              <w:pStyle w:val="55"/>
              <w:rPr>
                <w:rFonts w:hint="eastAsia" w:eastAsia="楷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5</w:t>
            </w:r>
            <w:r>
              <w:rPr>
                <w:rFonts w:hint="eastAsia"/>
                <w:color w:val="000000" w:themeColor="text1"/>
                <w:highlight w:val="none"/>
                <w:lang w:val="en-US" w:eastAsia="zh-CN"/>
                <w14:textFill>
                  <w14:solidFill>
                    <w14:schemeClr w14:val="tx1"/>
                  </w14:solidFill>
                </w14:textFill>
              </w:rPr>
              <w:t>0</w:t>
            </w:r>
          </w:p>
        </w:tc>
      </w:tr>
      <w:tr w14:paraId="1FD3F19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288" w:type="pct"/>
            <w:vMerge w:val="restart"/>
            <w:vAlign w:val="center"/>
          </w:tcPr>
          <w:p w14:paraId="2781D77D">
            <w:pPr>
              <w:pStyle w:val="55"/>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南</w:t>
            </w:r>
            <w:r>
              <w:rPr>
                <w:color w:val="000000" w:themeColor="text1"/>
                <w:highlight w:val="none"/>
                <w14:textFill>
                  <w14:solidFill>
                    <w14:schemeClr w14:val="tx1"/>
                  </w14:solidFill>
                </w14:textFill>
              </w:rPr>
              <w:t>侧厂界</w:t>
            </w:r>
          </w:p>
        </w:tc>
        <w:tc>
          <w:tcPr>
            <w:tcW w:w="1403" w:type="dxa"/>
            <w:vAlign w:val="center"/>
          </w:tcPr>
          <w:p w14:paraId="35176FFE">
            <w:pPr>
              <w:pStyle w:val="55"/>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52</w:t>
            </w:r>
          </w:p>
        </w:tc>
        <w:tc>
          <w:tcPr>
            <w:tcW w:w="1342" w:type="dxa"/>
            <w:vAlign w:val="center"/>
          </w:tcPr>
          <w:p w14:paraId="1F426DFB">
            <w:pPr>
              <w:pStyle w:val="55"/>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43</w:t>
            </w:r>
          </w:p>
        </w:tc>
        <w:tc>
          <w:tcPr>
            <w:tcW w:w="1340" w:type="dxa"/>
            <w:vAlign w:val="center"/>
          </w:tcPr>
          <w:p w14:paraId="4DFDA4A6">
            <w:pPr>
              <w:pStyle w:val="55"/>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54</w:t>
            </w:r>
          </w:p>
        </w:tc>
        <w:tc>
          <w:tcPr>
            <w:tcW w:w="1407" w:type="dxa"/>
            <w:vAlign w:val="center"/>
          </w:tcPr>
          <w:p w14:paraId="21E76FDF">
            <w:pPr>
              <w:pStyle w:val="55"/>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42</w:t>
            </w:r>
          </w:p>
        </w:tc>
        <w:tc>
          <w:tcPr>
            <w:tcW w:w="1403" w:type="dxa"/>
            <w:vAlign w:val="center"/>
          </w:tcPr>
          <w:p w14:paraId="2EC471A5">
            <w:pPr>
              <w:pStyle w:val="5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w:t>
            </w:r>
            <w:r>
              <w:rPr>
                <w:rFonts w:hint="eastAsia"/>
                <w:color w:val="000000" w:themeColor="text1"/>
                <w:highlight w:val="none"/>
                <w:lang w:val="en-US" w:eastAsia="zh-CN"/>
                <w14:textFill>
                  <w14:solidFill>
                    <w14:schemeClr w14:val="tx1"/>
                  </w14:solidFill>
                </w14:textFill>
              </w:rPr>
              <w:t>0</w:t>
            </w:r>
          </w:p>
        </w:tc>
      </w:tr>
      <w:tr w14:paraId="5185325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288" w:type="pct"/>
            <w:vMerge w:val="continue"/>
            <w:vAlign w:val="center"/>
          </w:tcPr>
          <w:p w14:paraId="7DE222E5">
            <w:pPr>
              <w:pStyle w:val="55"/>
              <w:rPr>
                <w:color w:val="000000" w:themeColor="text1"/>
                <w:highlight w:val="none"/>
                <w14:textFill>
                  <w14:solidFill>
                    <w14:schemeClr w14:val="tx1"/>
                  </w14:solidFill>
                </w14:textFill>
              </w:rPr>
            </w:pPr>
          </w:p>
        </w:tc>
        <w:tc>
          <w:tcPr>
            <w:tcW w:w="1403" w:type="dxa"/>
            <w:vAlign w:val="center"/>
          </w:tcPr>
          <w:p w14:paraId="4B31C086">
            <w:pPr>
              <w:pStyle w:val="55"/>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52</w:t>
            </w:r>
          </w:p>
        </w:tc>
        <w:tc>
          <w:tcPr>
            <w:tcW w:w="1342" w:type="dxa"/>
            <w:vAlign w:val="center"/>
          </w:tcPr>
          <w:p w14:paraId="3D348295">
            <w:pPr>
              <w:pStyle w:val="55"/>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43</w:t>
            </w:r>
          </w:p>
        </w:tc>
        <w:tc>
          <w:tcPr>
            <w:tcW w:w="1340" w:type="dxa"/>
            <w:vAlign w:val="center"/>
          </w:tcPr>
          <w:p w14:paraId="670BD88F">
            <w:pPr>
              <w:pStyle w:val="55"/>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54</w:t>
            </w:r>
          </w:p>
        </w:tc>
        <w:tc>
          <w:tcPr>
            <w:tcW w:w="1407" w:type="dxa"/>
            <w:vAlign w:val="center"/>
          </w:tcPr>
          <w:p w14:paraId="672CCD47">
            <w:pPr>
              <w:pStyle w:val="55"/>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42</w:t>
            </w:r>
          </w:p>
        </w:tc>
        <w:tc>
          <w:tcPr>
            <w:tcW w:w="1403" w:type="dxa"/>
            <w:vAlign w:val="center"/>
          </w:tcPr>
          <w:p w14:paraId="7E7F5758">
            <w:pPr>
              <w:pStyle w:val="5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w:t>
            </w:r>
            <w:r>
              <w:rPr>
                <w:rFonts w:hint="eastAsia"/>
                <w:color w:val="000000" w:themeColor="text1"/>
                <w:highlight w:val="none"/>
                <w:lang w:val="en-US" w:eastAsia="zh-CN"/>
                <w14:textFill>
                  <w14:solidFill>
                    <w14:schemeClr w14:val="tx1"/>
                  </w14:solidFill>
                </w14:textFill>
              </w:rPr>
              <w:t>0</w:t>
            </w:r>
          </w:p>
        </w:tc>
      </w:tr>
      <w:tr w14:paraId="1537DA3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288" w:type="pct"/>
            <w:vMerge w:val="restart"/>
            <w:vAlign w:val="center"/>
          </w:tcPr>
          <w:p w14:paraId="1C7FA195">
            <w:pPr>
              <w:pStyle w:val="55"/>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西</w:t>
            </w:r>
            <w:r>
              <w:rPr>
                <w:color w:val="000000" w:themeColor="text1"/>
                <w:highlight w:val="none"/>
                <w14:textFill>
                  <w14:solidFill>
                    <w14:schemeClr w14:val="tx1"/>
                  </w14:solidFill>
                </w14:textFill>
              </w:rPr>
              <w:t>侧厂界</w:t>
            </w:r>
          </w:p>
        </w:tc>
        <w:tc>
          <w:tcPr>
            <w:tcW w:w="1403" w:type="dxa"/>
            <w:vAlign w:val="center"/>
          </w:tcPr>
          <w:p w14:paraId="428CA614">
            <w:pPr>
              <w:pStyle w:val="55"/>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52</w:t>
            </w:r>
          </w:p>
        </w:tc>
        <w:tc>
          <w:tcPr>
            <w:tcW w:w="1342" w:type="dxa"/>
            <w:vAlign w:val="center"/>
          </w:tcPr>
          <w:p w14:paraId="358E4E4E">
            <w:pPr>
              <w:pStyle w:val="55"/>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43</w:t>
            </w:r>
          </w:p>
        </w:tc>
        <w:tc>
          <w:tcPr>
            <w:tcW w:w="1340" w:type="dxa"/>
            <w:vAlign w:val="center"/>
          </w:tcPr>
          <w:p w14:paraId="6D483717">
            <w:pPr>
              <w:pStyle w:val="55"/>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54</w:t>
            </w:r>
          </w:p>
        </w:tc>
        <w:tc>
          <w:tcPr>
            <w:tcW w:w="1407" w:type="dxa"/>
            <w:vAlign w:val="center"/>
          </w:tcPr>
          <w:p w14:paraId="6504DB8C">
            <w:pPr>
              <w:pStyle w:val="55"/>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42</w:t>
            </w:r>
          </w:p>
        </w:tc>
        <w:tc>
          <w:tcPr>
            <w:tcW w:w="1403" w:type="dxa"/>
            <w:vAlign w:val="center"/>
          </w:tcPr>
          <w:p w14:paraId="16C1E4DB">
            <w:pPr>
              <w:pStyle w:val="5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w:t>
            </w:r>
            <w:r>
              <w:rPr>
                <w:rFonts w:hint="eastAsia"/>
                <w:color w:val="000000" w:themeColor="text1"/>
                <w:highlight w:val="none"/>
                <w:lang w:val="en-US" w:eastAsia="zh-CN"/>
                <w14:textFill>
                  <w14:solidFill>
                    <w14:schemeClr w14:val="tx1"/>
                  </w14:solidFill>
                </w14:textFill>
              </w:rPr>
              <w:t>0</w:t>
            </w:r>
          </w:p>
        </w:tc>
      </w:tr>
      <w:tr w14:paraId="2F1213A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288" w:type="pct"/>
            <w:vMerge w:val="continue"/>
            <w:vAlign w:val="center"/>
          </w:tcPr>
          <w:p w14:paraId="741574A9">
            <w:pPr>
              <w:pStyle w:val="55"/>
              <w:rPr>
                <w:color w:val="000000" w:themeColor="text1"/>
                <w:highlight w:val="none"/>
                <w14:textFill>
                  <w14:solidFill>
                    <w14:schemeClr w14:val="tx1"/>
                  </w14:solidFill>
                </w14:textFill>
              </w:rPr>
            </w:pPr>
          </w:p>
        </w:tc>
        <w:tc>
          <w:tcPr>
            <w:tcW w:w="1403" w:type="dxa"/>
            <w:vAlign w:val="center"/>
          </w:tcPr>
          <w:p w14:paraId="551F762A">
            <w:pPr>
              <w:pStyle w:val="55"/>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52</w:t>
            </w:r>
          </w:p>
        </w:tc>
        <w:tc>
          <w:tcPr>
            <w:tcW w:w="1342" w:type="dxa"/>
            <w:vAlign w:val="center"/>
          </w:tcPr>
          <w:p w14:paraId="3CC2CE16">
            <w:pPr>
              <w:pStyle w:val="55"/>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43</w:t>
            </w:r>
          </w:p>
        </w:tc>
        <w:tc>
          <w:tcPr>
            <w:tcW w:w="1340" w:type="dxa"/>
            <w:vAlign w:val="center"/>
          </w:tcPr>
          <w:p w14:paraId="1DB7BB4F">
            <w:pPr>
              <w:pStyle w:val="55"/>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54</w:t>
            </w:r>
          </w:p>
        </w:tc>
        <w:tc>
          <w:tcPr>
            <w:tcW w:w="1407" w:type="dxa"/>
            <w:vAlign w:val="center"/>
          </w:tcPr>
          <w:p w14:paraId="61201C2F">
            <w:pPr>
              <w:pStyle w:val="55"/>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42</w:t>
            </w:r>
          </w:p>
        </w:tc>
        <w:tc>
          <w:tcPr>
            <w:tcW w:w="1403" w:type="dxa"/>
            <w:vAlign w:val="center"/>
          </w:tcPr>
          <w:p w14:paraId="56DACFDE">
            <w:pPr>
              <w:pStyle w:val="5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w:t>
            </w:r>
            <w:r>
              <w:rPr>
                <w:rFonts w:hint="eastAsia"/>
                <w:color w:val="000000" w:themeColor="text1"/>
                <w:highlight w:val="none"/>
                <w:lang w:val="en-US" w:eastAsia="zh-CN"/>
                <w14:textFill>
                  <w14:solidFill>
                    <w14:schemeClr w14:val="tx1"/>
                  </w14:solidFill>
                </w14:textFill>
              </w:rPr>
              <w:t>0</w:t>
            </w:r>
          </w:p>
        </w:tc>
      </w:tr>
      <w:tr w14:paraId="1ECB9F5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288" w:type="pct"/>
            <w:vMerge w:val="restart"/>
            <w:vAlign w:val="center"/>
          </w:tcPr>
          <w:p w14:paraId="20F41816">
            <w:pPr>
              <w:pStyle w:val="55"/>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北</w:t>
            </w:r>
            <w:r>
              <w:rPr>
                <w:color w:val="000000" w:themeColor="text1"/>
                <w:highlight w:val="none"/>
                <w14:textFill>
                  <w14:solidFill>
                    <w14:schemeClr w14:val="tx1"/>
                  </w14:solidFill>
                </w14:textFill>
              </w:rPr>
              <w:t>侧厂界</w:t>
            </w:r>
          </w:p>
        </w:tc>
        <w:tc>
          <w:tcPr>
            <w:tcW w:w="1403" w:type="dxa"/>
            <w:vAlign w:val="center"/>
          </w:tcPr>
          <w:p w14:paraId="6303BD06">
            <w:pPr>
              <w:pStyle w:val="55"/>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52</w:t>
            </w:r>
          </w:p>
        </w:tc>
        <w:tc>
          <w:tcPr>
            <w:tcW w:w="1342" w:type="dxa"/>
            <w:vAlign w:val="center"/>
          </w:tcPr>
          <w:p w14:paraId="339A5D82">
            <w:pPr>
              <w:pStyle w:val="55"/>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43</w:t>
            </w:r>
          </w:p>
        </w:tc>
        <w:tc>
          <w:tcPr>
            <w:tcW w:w="1340" w:type="dxa"/>
            <w:vAlign w:val="center"/>
          </w:tcPr>
          <w:p w14:paraId="1E52B22C">
            <w:pPr>
              <w:pStyle w:val="55"/>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54</w:t>
            </w:r>
          </w:p>
        </w:tc>
        <w:tc>
          <w:tcPr>
            <w:tcW w:w="1407" w:type="dxa"/>
            <w:vAlign w:val="center"/>
          </w:tcPr>
          <w:p w14:paraId="43893767">
            <w:pPr>
              <w:pStyle w:val="55"/>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42</w:t>
            </w:r>
          </w:p>
        </w:tc>
        <w:tc>
          <w:tcPr>
            <w:tcW w:w="1403" w:type="dxa"/>
            <w:vAlign w:val="center"/>
          </w:tcPr>
          <w:p w14:paraId="254F8B14">
            <w:pPr>
              <w:pStyle w:val="5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w:t>
            </w:r>
            <w:r>
              <w:rPr>
                <w:rFonts w:hint="eastAsia"/>
                <w:color w:val="000000" w:themeColor="text1"/>
                <w:highlight w:val="none"/>
                <w:lang w:val="en-US" w:eastAsia="zh-CN"/>
                <w14:textFill>
                  <w14:solidFill>
                    <w14:schemeClr w14:val="tx1"/>
                  </w14:solidFill>
                </w14:textFill>
              </w:rPr>
              <w:t>0</w:t>
            </w:r>
          </w:p>
        </w:tc>
      </w:tr>
      <w:tr w14:paraId="7F8D63B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288" w:type="pct"/>
            <w:vMerge w:val="continue"/>
            <w:vAlign w:val="center"/>
          </w:tcPr>
          <w:p w14:paraId="2CC15055">
            <w:pPr>
              <w:pStyle w:val="55"/>
              <w:rPr>
                <w:color w:val="000000" w:themeColor="text1"/>
                <w:highlight w:val="none"/>
                <w14:textFill>
                  <w14:solidFill>
                    <w14:schemeClr w14:val="tx1"/>
                  </w14:solidFill>
                </w14:textFill>
              </w:rPr>
            </w:pPr>
          </w:p>
        </w:tc>
        <w:tc>
          <w:tcPr>
            <w:tcW w:w="1403" w:type="dxa"/>
            <w:vAlign w:val="center"/>
          </w:tcPr>
          <w:p w14:paraId="515696DF">
            <w:pPr>
              <w:pStyle w:val="55"/>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52</w:t>
            </w:r>
          </w:p>
        </w:tc>
        <w:tc>
          <w:tcPr>
            <w:tcW w:w="1342" w:type="dxa"/>
            <w:vAlign w:val="center"/>
          </w:tcPr>
          <w:p w14:paraId="37466A3C">
            <w:pPr>
              <w:pStyle w:val="55"/>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43</w:t>
            </w:r>
          </w:p>
        </w:tc>
        <w:tc>
          <w:tcPr>
            <w:tcW w:w="1340" w:type="dxa"/>
            <w:vAlign w:val="center"/>
          </w:tcPr>
          <w:p w14:paraId="19C6541E">
            <w:pPr>
              <w:pStyle w:val="55"/>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54</w:t>
            </w:r>
          </w:p>
        </w:tc>
        <w:tc>
          <w:tcPr>
            <w:tcW w:w="1407" w:type="dxa"/>
            <w:vAlign w:val="center"/>
          </w:tcPr>
          <w:p w14:paraId="585986ED">
            <w:pPr>
              <w:pStyle w:val="55"/>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42</w:t>
            </w:r>
          </w:p>
        </w:tc>
        <w:tc>
          <w:tcPr>
            <w:tcW w:w="1403" w:type="dxa"/>
            <w:vAlign w:val="center"/>
          </w:tcPr>
          <w:p w14:paraId="74BDC0C6">
            <w:pPr>
              <w:pStyle w:val="5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w:t>
            </w:r>
            <w:r>
              <w:rPr>
                <w:rFonts w:hint="eastAsia"/>
                <w:color w:val="000000" w:themeColor="text1"/>
                <w:highlight w:val="none"/>
                <w:lang w:val="en-US" w:eastAsia="zh-CN"/>
                <w14:textFill>
                  <w14:solidFill>
                    <w14:schemeClr w14:val="tx1"/>
                  </w14:solidFill>
                </w14:textFill>
              </w:rPr>
              <w:t>0</w:t>
            </w:r>
          </w:p>
        </w:tc>
      </w:tr>
    </w:tbl>
    <w:p w14:paraId="7D967A43">
      <w:pPr>
        <w:pStyle w:val="47"/>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根据监测结果可知，项目选址四侧厂界处昼间及夜间现状环境噪声均满足《声环境质量标准》（GB3096-2008）</w:t>
      </w:r>
      <w:r>
        <w:rPr>
          <w:rFonts w:hint="eastAsia"/>
          <w:color w:val="000000" w:themeColor="text1"/>
          <w:lang w:val="en-US" w:eastAsia="zh-CN"/>
          <w14:textFill>
            <w14:solidFill>
              <w14:schemeClr w14:val="tx1"/>
            </w14:solidFill>
          </w14:textFill>
        </w:rPr>
        <w:t>2</w:t>
      </w:r>
      <w:r>
        <w:rPr>
          <w:rFonts w:hint="eastAsia"/>
          <w:color w:val="000000" w:themeColor="text1"/>
          <w14:textFill>
            <w14:solidFill>
              <w14:schemeClr w14:val="tx1"/>
            </w14:solidFill>
          </w14:textFill>
        </w:rPr>
        <w:t>类标准值要求。</w:t>
      </w:r>
    </w:p>
    <w:p w14:paraId="51268D47">
      <w:pPr>
        <w:pStyle w:val="92"/>
        <w:bidi w:val="0"/>
        <w:ind w:left="0" w:leftChars="0" w:firstLine="0" w:firstLineChars="0"/>
        <w:rPr>
          <w:lang w:val="en-US"/>
        </w:rPr>
      </w:pPr>
      <w:r>
        <w:rPr>
          <w:rFonts w:hint="eastAsia"/>
        </w:rPr>
        <w:t>土壤环境质量</w:t>
      </w:r>
      <w:r>
        <w:t>现状</w:t>
      </w:r>
    </w:p>
    <w:p w14:paraId="2A71EE53">
      <w:pPr>
        <w:pStyle w:val="47"/>
        <w:numPr>
          <w:ilvl w:val="0"/>
          <w:numId w:val="11"/>
        </w:numPr>
        <w:bidi w:val="0"/>
        <w:rPr>
          <w:rFonts w:hint="eastAsia"/>
        </w:rPr>
      </w:pPr>
      <w:r>
        <w:rPr>
          <w:rFonts w:hint="eastAsia"/>
        </w:rPr>
        <w:t>监测布点</w:t>
      </w:r>
    </w:p>
    <w:p w14:paraId="67D04B57">
      <w:pPr>
        <w:pStyle w:val="47"/>
        <w:numPr>
          <w:ilvl w:val="0"/>
          <w:numId w:val="0"/>
        </w:numPr>
        <w:bidi w:val="0"/>
        <w:ind w:firstLine="560" w:firstLineChars="200"/>
        <w:rPr>
          <w:rFonts w:hint="eastAsia"/>
        </w:rPr>
      </w:pPr>
      <w:r>
        <w:rPr>
          <w:rFonts w:hint="eastAsia"/>
        </w:rPr>
        <w:t>本</w:t>
      </w:r>
      <w:r>
        <w:rPr>
          <w:rFonts w:hint="eastAsia"/>
          <w:color w:val="000000" w:themeColor="text1"/>
          <w:highlight w:val="none"/>
          <w14:textFill>
            <w14:solidFill>
              <w14:schemeClr w14:val="tx1"/>
            </w14:solidFill>
          </w14:textFill>
        </w:rPr>
        <w:t>次土壤现状评委托</w:t>
      </w:r>
      <w:r>
        <w:rPr>
          <w:rFonts w:hint="default"/>
          <w:color w:val="000000" w:themeColor="text1"/>
          <w:highlight w:val="none"/>
          <w:lang w:val="en-US" w:eastAsia="zh-CN"/>
          <w14:textFill>
            <w14:solidFill>
              <w14:schemeClr w14:val="tx1"/>
            </w14:solidFill>
          </w14:textFill>
        </w:rPr>
        <w:t>河北磊清检测技术服务有限公司</w:t>
      </w:r>
      <w:r>
        <w:rPr>
          <w:rFonts w:hint="eastAsia"/>
          <w:color w:val="000000" w:themeColor="text1"/>
          <w:highlight w:val="none"/>
          <w14:textFill>
            <w14:solidFill>
              <w14:schemeClr w14:val="tx1"/>
            </w14:solidFill>
          </w14:textFill>
        </w:rPr>
        <w:t>对项目区土壤进行监测，监测时间为202</w:t>
      </w:r>
      <w:r>
        <w:rPr>
          <w:rFonts w:hint="eastAsia"/>
          <w:color w:val="000000" w:themeColor="text1"/>
          <w:highlight w:val="none"/>
          <w:lang w:val="en-US" w:eastAsia="zh-CN"/>
          <w14:textFill>
            <w14:solidFill>
              <w14:schemeClr w14:val="tx1"/>
            </w14:solidFill>
          </w14:textFill>
        </w:rPr>
        <w:t>4</w:t>
      </w:r>
      <w:r>
        <w:rPr>
          <w:rFonts w:hint="eastAsia"/>
          <w:color w:val="000000" w:themeColor="text1"/>
          <w:highlight w:val="none"/>
          <w14:textFill>
            <w14:solidFill>
              <w14:schemeClr w14:val="tx1"/>
            </w14:solidFill>
          </w14:textFill>
        </w:rPr>
        <w:t>年</w:t>
      </w:r>
      <w:r>
        <w:rPr>
          <w:rFonts w:hint="eastAsia"/>
          <w:color w:val="000000" w:themeColor="text1"/>
          <w:highlight w:val="none"/>
          <w:lang w:val="en-US" w:eastAsia="zh-CN"/>
          <w14:textFill>
            <w14:solidFill>
              <w14:schemeClr w14:val="tx1"/>
            </w14:solidFill>
          </w14:textFill>
        </w:rPr>
        <w:t>9</w:t>
      </w:r>
      <w:r>
        <w:rPr>
          <w:rFonts w:hint="eastAsia"/>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日。监测布点情况见表4.</w:t>
      </w:r>
      <w:r>
        <w:rPr>
          <w:rFonts w:hint="eastAsia"/>
          <w:color w:val="000000" w:themeColor="text1"/>
          <w:highlight w:val="none"/>
          <w:lang w:val="en-US" w:eastAsia="zh-CN"/>
          <w14:textFill>
            <w14:solidFill>
              <w14:schemeClr w14:val="tx1"/>
            </w14:solidFill>
          </w14:textFill>
        </w:rPr>
        <w:t>3-8</w:t>
      </w:r>
      <w:r>
        <w:rPr>
          <w:rFonts w:hint="eastAsia"/>
          <w:color w:val="000000" w:themeColor="text1"/>
          <w:highlight w:val="none"/>
          <w14:textFill>
            <w14:solidFill>
              <w14:schemeClr w14:val="tx1"/>
            </w14:solidFill>
          </w14:textFill>
        </w:rPr>
        <w:t>。</w:t>
      </w:r>
    </w:p>
    <w:p w14:paraId="4EF543A2">
      <w:pPr>
        <w:pStyle w:val="94"/>
        <w:bidi w:val="0"/>
        <w:ind w:left="0" w:leftChars="0" w:firstLine="0" w:firstLineChars="0"/>
        <w:rPr>
          <w:rFonts w:hint="default"/>
          <w:lang w:eastAsia="zh-CN"/>
        </w:rPr>
      </w:pPr>
      <w:r>
        <w:rPr>
          <w:rFonts w:hint="eastAsia"/>
          <w:lang w:eastAsia="zh-CN"/>
        </w:rPr>
        <w:t>土壤监测布点情况一览表</w:t>
      </w:r>
    </w:p>
    <w:tbl>
      <w:tblPr>
        <w:tblStyle w:val="32"/>
        <w:tblW w:w="4997"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78"/>
        <w:gridCol w:w="2119"/>
        <w:gridCol w:w="1852"/>
        <w:gridCol w:w="1193"/>
        <w:gridCol w:w="3240"/>
      </w:tblGrid>
      <w:tr w14:paraId="105F42A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473" w:type="pct"/>
            <w:vAlign w:val="center"/>
          </w:tcPr>
          <w:p w14:paraId="7978DA86">
            <w:pPr>
              <w:pStyle w:val="55"/>
              <w:bidi w:val="0"/>
              <w:rPr>
                <w:rFonts w:hint="eastAsia"/>
                <w:lang w:val="en-US" w:eastAsia="zh-CN"/>
              </w:rPr>
            </w:pPr>
            <w:r>
              <w:rPr>
                <w:rFonts w:hint="eastAsia"/>
                <w:lang w:val="en-US" w:eastAsia="zh-CN"/>
              </w:rPr>
              <w:t>序号</w:t>
            </w:r>
          </w:p>
        </w:tc>
        <w:tc>
          <w:tcPr>
            <w:tcW w:w="1141" w:type="pct"/>
            <w:vAlign w:val="center"/>
          </w:tcPr>
          <w:p w14:paraId="5D4C9CFF">
            <w:pPr>
              <w:pStyle w:val="55"/>
              <w:bidi w:val="0"/>
              <w:rPr>
                <w:rFonts w:hint="eastAsia"/>
                <w:lang w:eastAsia="zh-CN"/>
              </w:rPr>
            </w:pPr>
            <w:r>
              <w:rPr>
                <w:rFonts w:hint="default"/>
              </w:rPr>
              <w:t>监测点</w:t>
            </w:r>
            <w:r>
              <w:rPr>
                <w:rFonts w:hint="eastAsia"/>
                <w:lang w:val="en-US" w:eastAsia="zh-CN"/>
              </w:rPr>
              <w:t>位置</w:t>
            </w:r>
          </w:p>
        </w:tc>
        <w:tc>
          <w:tcPr>
            <w:tcW w:w="997" w:type="pct"/>
            <w:tcBorders>
              <w:right w:val="single" w:color="auto" w:sz="4" w:space="0"/>
            </w:tcBorders>
            <w:vAlign w:val="center"/>
          </w:tcPr>
          <w:p w14:paraId="2889F33E">
            <w:pPr>
              <w:pStyle w:val="55"/>
              <w:bidi w:val="0"/>
              <w:rPr>
                <w:rFonts w:hint="eastAsia"/>
                <w:lang w:eastAsia="zh-CN"/>
              </w:rPr>
            </w:pPr>
            <w:r>
              <w:rPr>
                <w:rFonts w:hint="default"/>
              </w:rPr>
              <w:t>监测</w:t>
            </w:r>
            <w:r>
              <w:rPr>
                <w:rFonts w:hint="eastAsia"/>
                <w:lang w:val="en-US" w:eastAsia="zh-CN"/>
              </w:rPr>
              <w:t>点位</w:t>
            </w:r>
          </w:p>
        </w:tc>
        <w:tc>
          <w:tcPr>
            <w:tcW w:w="642" w:type="pct"/>
            <w:tcBorders>
              <w:right w:val="single" w:color="auto" w:sz="4" w:space="0"/>
            </w:tcBorders>
            <w:vAlign w:val="center"/>
          </w:tcPr>
          <w:p w14:paraId="2860E58F">
            <w:pPr>
              <w:pStyle w:val="55"/>
              <w:bidi w:val="0"/>
              <w:rPr>
                <w:rFonts w:hint="default"/>
                <w:lang w:val="en-US" w:eastAsia="zh-CN"/>
              </w:rPr>
            </w:pPr>
            <w:r>
              <w:rPr>
                <w:rFonts w:hint="eastAsia"/>
                <w:lang w:val="en-US" w:eastAsia="zh-CN"/>
              </w:rPr>
              <w:t>现状情况</w:t>
            </w:r>
          </w:p>
        </w:tc>
        <w:tc>
          <w:tcPr>
            <w:tcW w:w="1744" w:type="pct"/>
            <w:tcBorders>
              <w:left w:val="single" w:color="auto" w:sz="4" w:space="0"/>
            </w:tcBorders>
            <w:vAlign w:val="center"/>
          </w:tcPr>
          <w:p w14:paraId="278F23E5">
            <w:pPr>
              <w:pStyle w:val="55"/>
              <w:bidi w:val="0"/>
              <w:rPr>
                <w:rFonts w:hint="default"/>
              </w:rPr>
            </w:pPr>
            <w:r>
              <w:rPr>
                <w:rFonts w:hint="default"/>
              </w:rPr>
              <w:t>监测因子</w:t>
            </w:r>
          </w:p>
        </w:tc>
      </w:tr>
      <w:tr w14:paraId="3717A5D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73" w:type="pct"/>
            <w:tcBorders>
              <w:bottom w:val="single" w:color="auto" w:sz="4" w:space="0"/>
            </w:tcBorders>
            <w:vAlign w:val="center"/>
          </w:tcPr>
          <w:p w14:paraId="0B04ED5D">
            <w:pPr>
              <w:pStyle w:val="55"/>
              <w:bidi w:val="0"/>
              <w:rPr>
                <w:rFonts w:hint="default"/>
                <w:lang w:val="en-US" w:eastAsia="zh-CN"/>
              </w:rPr>
            </w:pPr>
            <w:r>
              <w:rPr>
                <w:rFonts w:hint="eastAsia"/>
                <w:lang w:val="en-US" w:eastAsia="zh-CN"/>
              </w:rPr>
              <w:t>1</w:t>
            </w:r>
          </w:p>
        </w:tc>
        <w:tc>
          <w:tcPr>
            <w:tcW w:w="1141" w:type="pct"/>
            <w:tcBorders>
              <w:bottom w:val="single" w:color="auto" w:sz="4" w:space="0"/>
            </w:tcBorders>
            <w:vAlign w:val="center"/>
          </w:tcPr>
          <w:p w14:paraId="648F07DD">
            <w:pPr>
              <w:pStyle w:val="55"/>
              <w:bidi w:val="0"/>
              <w:rPr>
                <w:rFonts w:hint="eastAsia"/>
                <w:lang w:val="en-US" w:eastAsia="zh-CN"/>
              </w:rPr>
            </w:pPr>
            <w:r>
              <w:rPr>
                <w:rFonts w:hint="eastAsia"/>
                <w:lang w:val="en-US" w:eastAsia="zh-CN"/>
              </w:rPr>
              <w:t>拟建生产车间</w:t>
            </w:r>
          </w:p>
        </w:tc>
        <w:tc>
          <w:tcPr>
            <w:tcW w:w="997" w:type="pct"/>
            <w:tcBorders>
              <w:bottom w:val="single" w:color="auto" w:sz="4" w:space="0"/>
              <w:right w:val="single" w:color="auto" w:sz="4" w:space="0"/>
            </w:tcBorders>
            <w:vAlign w:val="center"/>
          </w:tcPr>
          <w:p w14:paraId="39C0F481">
            <w:pPr>
              <w:pStyle w:val="55"/>
              <w:bidi w:val="0"/>
              <w:rPr>
                <w:rFonts w:hint="default"/>
                <w:lang w:val="en-US" w:eastAsia="zh-CN"/>
              </w:rPr>
            </w:pPr>
            <w:r>
              <w:rPr>
                <w:rFonts w:hint="eastAsia"/>
                <w:lang w:val="en-US" w:eastAsia="zh-CN"/>
              </w:rPr>
              <w:t>T1表层样点</w:t>
            </w:r>
          </w:p>
        </w:tc>
        <w:tc>
          <w:tcPr>
            <w:tcW w:w="642" w:type="pct"/>
            <w:tcBorders>
              <w:bottom w:val="single" w:color="auto" w:sz="4" w:space="0"/>
              <w:right w:val="single" w:color="auto" w:sz="4" w:space="0"/>
            </w:tcBorders>
            <w:vAlign w:val="center"/>
          </w:tcPr>
          <w:p w14:paraId="382A7B85">
            <w:pPr>
              <w:pStyle w:val="55"/>
              <w:bidi w:val="0"/>
              <w:rPr>
                <w:rFonts w:hint="default"/>
                <w:lang w:val="en-US" w:eastAsia="zh-CN"/>
              </w:rPr>
            </w:pPr>
            <w:r>
              <w:rPr>
                <w:rFonts w:hint="eastAsia"/>
                <w:lang w:val="en-US" w:eastAsia="zh-CN"/>
              </w:rPr>
              <w:t>土壤</w:t>
            </w:r>
          </w:p>
        </w:tc>
        <w:tc>
          <w:tcPr>
            <w:tcW w:w="1744" w:type="pct"/>
            <w:vMerge w:val="restart"/>
            <w:tcBorders>
              <w:left w:val="single" w:color="auto" w:sz="4" w:space="0"/>
            </w:tcBorders>
            <w:vAlign w:val="center"/>
          </w:tcPr>
          <w:p w14:paraId="08D378D4">
            <w:pPr>
              <w:pStyle w:val="55"/>
              <w:bidi w:val="0"/>
              <w:rPr>
                <w:rFonts w:hint="eastAsia" w:eastAsia="楷体"/>
                <w:lang w:eastAsia="zh-CN"/>
              </w:rPr>
            </w:pPr>
            <w:r>
              <w:rPr>
                <w:rFonts w:hint="eastAsia"/>
              </w:rPr>
              <w:t>砷</w:t>
            </w:r>
            <w:r>
              <w:rPr>
                <w:rFonts w:hint="eastAsia"/>
                <w:lang w:eastAsia="zh-CN"/>
              </w:rPr>
              <w:t>、</w:t>
            </w:r>
            <w:r>
              <w:rPr>
                <w:rFonts w:hint="eastAsia"/>
              </w:rPr>
              <w:t>镉</w:t>
            </w:r>
            <w:r>
              <w:rPr>
                <w:rFonts w:hint="eastAsia"/>
                <w:lang w:eastAsia="zh-CN"/>
              </w:rPr>
              <w:t>、</w:t>
            </w:r>
            <w:r>
              <w:rPr>
                <w:rFonts w:hint="eastAsia"/>
              </w:rPr>
              <w:t>铬（六价）</w:t>
            </w:r>
            <w:r>
              <w:rPr>
                <w:rFonts w:hint="eastAsia"/>
                <w:lang w:eastAsia="zh-CN"/>
              </w:rPr>
              <w:t>、</w:t>
            </w:r>
            <w:r>
              <w:rPr>
                <w:rFonts w:hint="eastAsia"/>
              </w:rPr>
              <w:t>铜（mg/kg）</w:t>
            </w:r>
            <w:r>
              <w:rPr>
                <w:rFonts w:hint="eastAsia"/>
                <w:lang w:eastAsia="zh-CN"/>
              </w:rPr>
              <w:t>、</w:t>
            </w:r>
            <w:r>
              <w:rPr>
                <w:rFonts w:hint="eastAsia"/>
              </w:rPr>
              <w:t>铅</w:t>
            </w:r>
            <w:r>
              <w:rPr>
                <w:rFonts w:hint="eastAsia"/>
                <w:lang w:eastAsia="zh-CN"/>
              </w:rPr>
              <w:t>、</w:t>
            </w:r>
            <w:r>
              <w:rPr>
                <w:rFonts w:hint="eastAsia"/>
              </w:rPr>
              <w:t>汞</w:t>
            </w:r>
            <w:r>
              <w:rPr>
                <w:rFonts w:hint="eastAsia"/>
                <w:lang w:eastAsia="zh-CN"/>
              </w:rPr>
              <w:t>、</w:t>
            </w:r>
            <w:r>
              <w:rPr>
                <w:rFonts w:hint="eastAsia"/>
              </w:rPr>
              <w:t>镍</w:t>
            </w:r>
            <w:r>
              <w:rPr>
                <w:rFonts w:hint="eastAsia"/>
                <w:lang w:eastAsia="zh-CN"/>
              </w:rPr>
              <w:t>、</w:t>
            </w:r>
            <w:r>
              <w:rPr>
                <w:rFonts w:hint="eastAsia"/>
              </w:rPr>
              <w:t>2-氯酚</w:t>
            </w:r>
            <w:r>
              <w:rPr>
                <w:rFonts w:hint="eastAsia"/>
                <w:lang w:eastAsia="zh-CN"/>
              </w:rPr>
              <w:t>、</w:t>
            </w:r>
            <w:r>
              <w:rPr>
                <w:rFonts w:hint="eastAsia"/>
              </w:rPr>
              <w:t>硝基苯</w:t>
            </w:r>
            <w:r>
              <w:rPr>
                <w:rFonts w:hint="eastAsia"/>
                <w:lang w:eastAsia="zh-CN"/>
              </w:rPr>
              <w:t>、</w:t>
            </w:r>
            <w:r>
              <w:rPr>
                <w:rFonts w:hint="eastAsia"/>
              </w:rPr>
              <w:t>萘</w:t>
            </w:r>
            <w:r>
              <w:rPr>
                <w:rFonts w:hint="eastAsia"/>
                <w:lang w:eastAsia="zh-CN"/>
              </w:rPr>
              <w:t>、</w:t>
            </w:r>
            <w:r>
              <w:rPr>
                <w:rFonts w:hint="eastAsia"/>
              </w:rPr>
              <w:t>苯并（a）蒽</w:t>
            </w:r>
            <w:r>
              <w:rPr>
                <w:rFonts w:hint="eastAsia"/>
                <w:lang w:eastAsia="zh-CN"/>
              </w:rPr>
              <w:t>、</w:t>
            </w:r>
            <w:r>
              <w:rPr>
                <w:rFonts w:hint="eastAsia"/>
              </w:rPr>
              <w:t>䓛</w:t>
            </w:r>
            <w:r>
              <w:rPr>
                <w:rFonts w:hint="eastAsia"/>
                <w:lang w:eastAsia="zh-CN"/>
              </w:rPr>
              <w:t>、</w:t>
            </w:r>
            <w:r>
              <w:rPr>
                <w:rFonts w:hint="eastAsia"/>
              </w:rPr>
              <w:t>苯并（b）荧蒽</w:t>
            </w:r>
            <w:r>
              <w:rPr>
                <w:rFonts w:hint="eastAsia"/>
                <w:lang w:eastAsia="zh-CN"/>
              </w:rPr>
              <w:t>、</w:t>
            </w:r>
            <w:r>
              <w:rPr>
                <w:rFonts w:hint="eastAsia"/>
              </w:rPr>
              <w:t>苯并（k）荧蒽</w:t>
            </w:r>
            <w:r>
              <w:rPr>
                <w:rFonts w:hint="eastAsia"/>
                <w:lang w:eastAsia="zh-CN"/>
              </w:rPr>
              <w:t>、</w:t>
            </w:r>
          </w:p>
          <w:p w14:paraId="752574C2">
            <w:pPr>
              <w:pStyle w:val="55"/>
              <w:bidi w:val="0"/>
              <w:rPr>
                <w:rFonts w:hint="default"/>
                <w:lang w:val="en-US" w:eastAsia="zh-CN"/>
              </w:rPr>
            </w:pPr>
            <w:r>
              <w:rPr>
                <w:rFonts w:hint="eastAsia"/>
              </w:rPr>
              <w:t>苯并（a）芘</w:t>
            </w:r>
            <w:r>
              <w:rPr>
                <w:rFonts w:hint="eastAsia"/>
                <w:lang w:eastAsia="zh-CN"/>
              </w:rPr>
              <w:t>、</w:t>
            </w:r>
            <w:r>
              <w:rPr>
                <w:rFonts w:hint="eastAsia"/>
              </w:rPr>
              <w:t>茚并（1,2,3-cd)</w:t>
            </w:r>
            <w:r>
              <w:rPr>
                <w:rFonts w:hint="eastAsia"/>
                <w:lang w:eastAsia="zh-CN"/>
              </w:rPr>
              <w:t>、</w:t>
            </w:r>
            <w:r>
              <w:rPr>
                <w:rFonts w:hint="eastAsia"/>
              </w:rPr>
              <w:t>二苯并（a,h）蒽</w:t>
            </w:r>
            <w:r>
              <w:rPr>
                <w:rFonts w:hint="eastAsia"/>
                <w:lang w:eastAsia="zh-CN"/>
              </w:rPr>
              <w:t>、</w:t>
            </w:r>
            <w:r>
              <w:rPr>
                <w:rFonts w:hint="eastAsia"/>
              </w:rPr>
              <w:t>苯胺</w:t>
            </w:r>
            <w:r>
              <w:rPr>
                <w:rFonts w:hint="eastAsia"/>
                <w:lang w:eastAsia="zh-CN"/>
              </w:rPr>
              <w:t>、</w:t>
            </w:r>
            <w:r>
              <w:rPr>
                <w:rFonts w:hint="eastAsia"/>
              </w:rPr>
              <w:t>氯甲烷</w:t>
            </w:r>
            <w:r>
              <w:rPr>
                <w:rFonts w:hint="eastAsia"/>
                <w:lang w:eastAsia="zh-CN"/>
              </w:rPr>
              <w:t>、</w:t>
            </w:r>
            <w:r>
              <w:rPr>
                <w:rFonts w:hint="eastAsia"/>
              </w:rPr>
              <w:t>氯乙烯</w:t>
            </w:r>
            <w:r>
              <w:rPr>
                <w:rFonts w:hint="eastAsia"/>
                <w:lang w:eastAsia="zh-CN"/>
              </w:rPr>
              <w:t>、</w:t>
            </w:r>
            <w:r>
              <w:rPr>
                <w:rFonts w:hint="eastAsia"/>
              </w:rPr>
              <w:t>1,1-二氯乙烯</w:t>
            </w:r>
            <w:r>
              <w:rPr>
                <w:rFonts w:hint="eastAsia"/>
                <w:lang w:eastAsia="zh-CN"/>
              </w:rPr>
              <w:t>、</w:t>
            </w:r>
            <w:r>
              <w:rPr>
                <w:rFonts w:hint="eastAsia"/>
              </w:rPr>
              <w:t>二氯甲烷</w:t>
            </w:r>
            <w:r>
              <w:rPr>
                <w:rFonts w:hint="eastAsia"/>
                <w:lang w:eastAsia="zh-CN"/>
              </w:rPr>
              <w:t>、</w:t>
            </w:r>
            <w:r>
              <w:rPr>
                <w:rFonts w:hint="eastAsia"/>
              </w:rPr>
              <w:t>反式-1,2-二氯乙烯</w:t>
            </w:r>
            <w:r>
              <w:rPr>
                <w:rFonts w:hint="eastAsia"/>
                <w:lang w:eastAsia="zh-CN"/>
              </w:rPr>
              <w:t>、</w:t>
            </w:r>
            <w:r>
              <w:rPr>
                <w:rFonts w:hint="eastAsia"/>
              </w:rPr>
              <w:t>1,1-二氯乙烷</w:t>
            </w:r>
            <w:r>
              <w:rPr>
                <w:rFonts w:hint="eastAsia"/>
                <w:lang w:eastAsia="zh-CN"/>
              </w:rPr>
              <w:t>、</w:t>
            </w:r>
            <w:r>
              <w:rPr>
                <w:rFonts w:hint="eastAsia"/>
              </w:rPr>
              <w:t>顺式-1,2-二氯乙烯</w:t>
            </w:r>
            <w:r>
              <w:rPr>
                <w:rFonts w:hint="eastAsia"/>
                <w:lang w:eastAsia="zh-CN"/>
              </w:rPr>
              <w:t>、</w:t>
            </w:r>
            <w:r>
              <w:rPr>
                <w:rFonts w:hint="eastAsia"/>
              </w:rPr>
              <w:t>氯仿</w:t>
            </w:r>
            <w:r>
              <w:rPr>
                <w:rFonts w:hint="eastAsia"/>
                <w:lang w:eastAsia="zh-CN"/>
              </w:rPr>
              <w:t>、</w:t>
            </w:r>
            <w:r>
              <w:rPr>
                <w:rFonts w:hint="eastAsia"/>
              </w:rPr>
              <w:t>1,1,1-三氯乙烷</w:t>
            </w:r>
            <w:r>
              <w:rPr>
                <w:rFonts w:hint="eastAsia"/>
                <w:lang w:eastAsia="zh-CN"/>
              </w:rPr>
              <w:t>、</w:t>
            </w:r>
            <w:r>
              <w:rPr>
                <w:rFonts w:hint="eastAsia"/>
              </w:rPr>
              <w:t>四氯化碳</w:t>
            </w:r>
            <w:r>
              <w:rPr>
                <w:rFonts w:hint="eastAsia"/>
                <w:lang w:eastAsia="zh-CN"/>
              </w:rPr>
              <w:t>、</w:t>
            </w:r>
            <w:r>
              <w:rPr>
                <w:rFonts w:hint="eastAsia"/>
              </w:rPr>
              <w:t>苯</w:t>
            </w:r>
            <w:r>
              <w:rPr>
                <w:rFonts w:hint="eastAsia"/>
                <w:lang w:eastAsia="zh-CN"/>
              </w:rPr>
              <w:t>、</w:t>
            </w:r>
            <w:r>
              <w:rPr>
                <w:rFonts w:hint="eastAsia"/>
              </w:rPr>
              <w:t>1,2-二氯乙烷</w:t>
            </w:r>
            <w:r>
              <w:rPr>
                <w:rFonts w:hint="eastAsia"/>
                <w:lang w:eastAsia="zh-CN"/>
              </w:rPr>
              <w:t>、</w:t>
            </w:r>
            <w:r>
              <w:rPr>
                <w:rFonts w:hint="eastAsia"/>
              </w:rPr>
              <w:t>三氯乙烯</w:t>
            </w:r>
            <w:r>
              <w:rPr>
                <w:rFonts w:hint="eastAsia"/>
                <w:lang w:eastAsia="zh-CN"/>
              </w:rPr>
              <w:t>、</w:t>
            </w:r>
            <w:r>
              <w:rPr>
                <w:rFonts w:hint="eastAsia"/>
              </w:rPr>
              <w:t>1,2-二氯丙烷</w:t>
            </w:r>
            <w:r>
              <w:rPr>
                <w:rFonts w:hint="eastAsia"/>
                <w:lang w:eastAsia="zh-CN"/>
              </w:rPr>
              <w:t>、</w:t>
            </w:r>
            <w:r>
              <w:rPr>
                <w:rFonts w:hint="eastAsia"/>
              </w:rPr>
              <w:t>甲苯</w:t>
            </w:r>
            <w:r>
              <w:rPr>
                <w:rFonts w:hint="eastAsia"/>
                <w:lang w:eastAsia="zh-CN"/>
              </w:rPr>
              <w:t>、</w:t>
            </w:r>
            <w:r>
              <w:rPr>
                <w:rFonts w:hint="eastAsia"/>
              </w:rPr>
              <w:t>1,1,2-三氯乙烷</w:t>
            </w:r>
            <w:r>
              <w:rPr>
                <w:rFonts w:hint="eastAsia"/>
                <w:lang w:eastAsia="zh-CN"/>
              </w:rPr>
              <w:t>、</w:t>
            </w:r>
            <w:r>
              <w:rPr>
                <w:rFonts w:hint="eastAsia"/>
              </w:rPr>
              <w:t>四氯乙烯</w:t>
            </w:r>
            <w:r>
              <w:rPr>
                <w:rFonts w:hint="eastAsia"/>
                <w:lang w:eastAsia="zh-CN"/>
              </w:rPr>
              <w:t>、</w:t>
            </w:r>
            <w:r>
              <w:rPr>
                <w:rFonts w:hint="eastAsia"/>
              </w:rPr>
              <w:t>氯苯</w:t>
            </w:r>
            <w:r>
              <w:rPr>
                <w:rFonts w:hint="eastAsia"/>
                <w:lang w:eastAsia="zh-CN"/>
              </w:rPr>
              <w:t>、</w:t>
            </w:r>
            <w:r>
              <w:rPr>
                <w:rFonts w:hint="eastAsia"/>
              </w:rPr>
              <w:t>1,1,1,2-四氯乙烷</w:t>
            </w:r>
            <w:r>
              <w:rPr>
                <w:rFonts w:hint="eastAsia"/>
                <w:lang w:eastAsia="zh-CN"/>
              </w:rPr>
              <w:t>、</w:t>
            </w:r>
            <w:r>
              <w:rPr>
                <w:rFonts w:hint="eastAsia"/>
              </w:rPr>
              <w:t>乙苯</w:t>
            </w:r>
            <w:r>
              <w:rPr>
                <w:rFonts w:hint="eastAsia"/>
                <w:lang w:eastAsia="zh-CN"/>
              </w:rPr>
              <w:t>、</w:t>
            </w:r>
            <w:r>
              <w:rPr>
                <w:rFonts w:hint="eastAsia"/>
              </w:rPr>
              <w:t>间,对-二甲苯</w:t>
            </w:r>
            <w:r>
              <w:rPr>
                <w:rFonts w:hint="eastAsia"/>
                <w:lang w:eastAsia="zh-CN"/>
              </w:rPr>
              <w:t>、</w:t>
            </w:r>
            <w:r>
              <w:rPr>
                <w:rFonts w:hint="eastAsia"/>
              </w:rPr>
              <w:t>邻-二甲苯</w:t>
            </w:r>
            <w:r>
              <w:rPr>
                <w:rFonts w:hint="eastAsia"/>
                <w:lang w:eastAsia="zh-CN"/>
              </w:rPr>
              <w:t>、</w:t>
            </w:r>
            <w:r>
              <w:rPr>
                <w:rFonts w:hint="eastAsia"/>
              </w:rPr>
              <w:t>苯乙烯</w:t>
            </w:r>
            <w:r>
              <w:rPr>
                <w:rFonts w:hint="eastAsia"/>
                <w:lang w:eastAsia="zh-CN"/>
              </w:rPr>
              <w:t>、</w:t>
            </w:r>
            <w:r>
              <w:rPr>
                <w:rFonts w:hint="eastAsia"/>
              </w:rPr>
              <w:t>1,1,2,2-四氯乙烷</w:t>
            </w:r>
            <w:r>
              <w:rPr>
                <w:rFonts w:hint="eastAsia"/>
                <w:lang w:eastAsia="zh-CN"/>
              </w:rPr>
              <w:t>、</w:t>
            </w:r>
            <w:r>
              <w:rPr>
                <w:rFonts w:hint="eastAsia"/>
              </w:rPr>
              <w:t>1,2,3-三氯丙烷</w:t>
            </w:r>
            <w:r>
              <w:rPr>
                <w:rFonts w:hint="eastAsia"/>
                <w:lang w:eastAsia="zh-CN"/>
              </w:rPr>
              <w:t>、</w:t>
            </w:r>
            <w:r>
              <w:rPr>
                <w:rFonts w:hint="eastAsia"/>
              </w:rPr>
              <w:t>1,4-二氯苯</w:t>
            </w:r>
            <w:r>
              <w:rPr>
                <w:rFonts w:hint="eastAsia"/>
                <w:lang w:eastAsia="zh-CN"/>
              </w:rPr>
              <w:t>、</w:t>
            </w:r>
            <w:r>
              <w:rPr>
                <w:rFonts w:hint="eastAsia"/>
              </w:rPr>
              <w:t>1,2-二氯苯</w:t>
            </w:r>
          </w:p>
        </w:tc>
      </w:tr>
      <w:tr w14:paraId="0D0FF8F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73" w:type="pct"/>
            <w:tcBorders>
              <w:top w:val="single" w:color="auto" w:sz="4" w:space="0"/>
              <w:bottom w:val="single" w:color="auto" w:sz="4" w:space="0"/>
            </w:tcBorders>
            <w:vAlign w:val="center"/>
          </w:tcPr>
          <w:p w14:paraId="1E2C89A4">
            <w:pPr>
              <w:pStyle w:val="55"/>
              <w:bidi w:val="0"/>
              <w:rPr>
                <w:rFonts w:hint="default"/>
                <w:lang w:val="en-US" w:eastAsia="zh-CN"/>
              </w:rPr>
            </w:pPr>
            <w:r>
              <w:rPr>
                <w:rFonts w:hint="eastAsia"/>
                <w:lang w:val="en-US" w:eastAsia="zh-CN"/>
              </w:rPr>
              <w:t>2</w:t>
            </w:r>
          </w:p>
        </w:tc>
        <w:tc>
          <w:tcPr>
            <w:tcW w:w="1141" w:type="pct"/>
            <w:tcBorders>
              <w:top w:val="single" w:color="auto" w:sz="4" w:space="0"/>
              <w:bottom w:val="single" w:color="auto" w:sz="4" w:space="0"/>
            </w:tcBorders>
            <w:vAlign w:val="center"/>
          </w:tcPr>
          <w:p w14:paraId="71EE1584">
            <w:pPr>
              <w:pStyle w:val="55"/>
              <w:bidi w:val="0"/>
              <w:rPr>
                <w:rFonts w:hint="default"/>
              </w:rPr>
            </w:pPr>
            <w:r>
              <w:rPr>
                <w:rFonts w:hint="eastAsia"/>
                <w:lang w:val="en-US" w:eastAsia="zh-CN"/>
              </w:rPr>
              <w:t>拟建原料车间</w:t>
            </w:r>
          </w:p>
        </w:tc>
        <w:tc>
          <w:tcPr>
            <w:tcW w:w="997" w:type="pct"/>
            <w:tcBorders>
              <w:top w:val="single" w:color="auto" w:sz="4" w:space="0"/>
              <w:bottom w:val="single" w:color="auto" w:sz="4" w:space="0"/>
              <w:right w:val="single" w:color="auto" w:sz="4" w:space="0"/>
            </w:tcBorders>
            <w:vAlign w:val="center"/>
          </w:tcPr>
          <w:p w14:paraId="1A925558">
            <w:pPr>
              <w:pStyle w:val="55"/>
              <w:bidi w:val="0"/>
              <w:rPr>
                <w:rFonts w:hint="default"/>
                <w:lang w:val="en-US" w:eastAsia="zh-CN"/>
              </w:rPr>
            </w:pPr>
            <w:r>
              <w:rPr>
                <w:rFonts w:hint="eastAsia"/>
                <w:lang w:val="en-US" w:eastAsia="zh-CN"/>
              </w:rPr>
              <w:t>T2表层样点</w:t>
            </w:r>
          </w:p>
        </w:tc>
        <w:tc>
          <w:tcPr>
            <w:tcW w:w="642" w:type="pct"/>
            <w:tcBorders>
              <w:top w:val="single" w:color="auto" w:sz="4" w:space="0"/>
              <w:bottom w:val="single" w:color="auto" w:sz="4" w:space="0"/>
              <w:right w:val="single" w:color="auto" w:sz="4" w:space="0"/>
            </w:tcBorders>
            <w:vAlign w:val="center"/>
          </w:tcPr>
          <w:p w14:paraId="159C6BAE">
            <w:pPr>
              <w:pStyle w:val="55"/>
              <w:bidi w:val="0"/>
              <w:rPr>
                <w:rFonts w:hint="eastAsia"/>
                <w:lang w:val="en-US" w:eastAsia="zh-CN"/>
              </w:rPr>
            </w:pPr>
            <w:r>
              <w:rPr>
                <w:rFonts w:hint="eastAsia"/>
                <w:lang w:val="en-US" w:eastAsia="zh-CN"/>
              </w:rPr>
              <w:t>土壤</w:t>
            </w:r>
          </w:p>
        </w:tc>
        <w:tc>
          <w:tcPr>
            <w:tcW w:w="1744" w:type="pct"/>
            <w:vMerge w:val="continue"/>
            <w:tcBorders>
              <w:left w:val="single" w:color="auto" w:sz="4" w:space="0"/>
            </w:tcBorders>
            <w:vAlign w:val="center"/>
          </w:tcPr>
          <w:p w14:paraId="70745C43">
            <w:pPr>
              <w:pStyle w:val="55"/>
              <w:bidi w:val="0"/>
            </w:pPr>
          </w:p>
        </w:tc>
      </w:tr>
      <w:tr w14:paraId="1175CC5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73" w:type="pct"/>
            <w:tcBorders>
              <w:top w:val="single" w:color="auto" w:sz="4" w:space="0"/>
            </w:tcBorders>
            <w:vAlign w:val="center"/>
          </w:tcPr>
          <w:p w14:paraId="337114E4">
            <w:pPr>
              <w:pStyle w:val="55"/>
              <w:bidi w:val="0"/>
              <w:rPr>
                <w:rFonts w:hint="default"/>
                <w:lang w:val="en-US" w:eastAsia="zh-CN"/>
              </w:rPr>
            </w:pPr>
            <w:r>
              <w:rPr>
                <w:rFonts w:hint="eastAsia"/>
                <w:lang w:val="en-US" w:eastAsia="zh-CN"/>
              </w:rPr>
              <w:t>3</w:t>
            </w:r>
          </w:p>
        </w:tc>
        <w:tc>
          <w:tcPr>
            <w:tcW w:w="1141" w:type="pct"/>
            <w:tcBorders>
              <w:top w:val="single" w:color="auto" w:sz="4" w:space="0"/>
            </w:tcBorders>
            <w:vAlign w:val="center"/>
          </w:tcPr>
          <w:p w14:paraId="29C2CE02">
            <w:pPr>
              <w:pStyle w:val="55"/>
              <w:bidi w:val="0"/>
              <w:rPr>
                <w:rFonts w:hint="default"/>
                <w:lang w:val="en-US"/>
              </w:rPr>
            </w:pPr>
            <w:r>
              <w:rPr>
                <w:rFonts w:hint="eastAsia"/>
                <w:lang w:val="en-US" w:eastAsia="zh-CN"/>
              </w:rPr>
              <w:t>现有危废间北侧</w:t>
            </w:r>
          </w:p>
        </w:tc>
        <w:tc>
          <w:tcPr>
            <w:tcW w:w="997" w:type="pct"/>
            <w:tcBorders>
              <w:top w:val="single" w:color="auto" w:sz="4" w:space="0"/>
              <w:right w:val="single" w:color="auto" w:sz="4" w:space="0"/>
            </w:tcBorders>
            <w:vAlign w:val="center"/>
          </w:tcPr>
          <w:p w14:paraId="107D6B5D">
            <w:pPr>
              <w:pStyle w:val="55"/>
              <w:bidi w:val="0"/>
              <w:rPr>
                <w:rFonts w:hint="default"/>
                <w:lang w:val="en-US" w:eastAsia="zh-CN"/>
              </w:rPr>
            </w:pPr>
            <w:r>
              <w:rPr>
                <w:rFonts w:hint="eastAsia"/>
                <w:lang w:val="en-US" w:eastAsia="zh-CN"/>
              </w:rPr>
              <w:t>T3表层样点</w:t>
            </w:r>
          </w:p>
        </w:tc>
        <w:tc>
          <w:tcPr>
            <w:tcW w:w="642" w:type="pct"/>
            <w:tcBorders>
              <w:top w:val="single" w:color="auto" w:sz="4" w:space="0"/>
              <w:right w:val="single" w:color="auto" w:sz="4" w:space="0"/>
            </w:tcBorders>
            <w:vAlign w:val="center"/>
          </w:tcPr>
          <w:p w14:paraId="62E78E26">
            <w:pPr>
              <w:pStyle w:val="55"/>
              <w:bidi w:val="0"/>
              <w:rPr>
                <w:rFonts w:hint="eastAsia"/>
                <w:lang w:val="en-US" w:eastAsia="zh-CN"/>
              </w:rPr>
            </w:pPr>
            <w:r>
              <w:rPr>
                <w:rFonts w:hint="eastAsia"/>
                <w:lang w:val="en-US" w:eastAsia="zh-CN"/>
              </w:rPr>
              <w:t>土壤</w:t>
            </w:r>
          </w:p>
        </w:tc>
        <w:tc>
          <w:tcPr>
            <w:tcW w:w="1744" w:type="pct"/>
            <w:vMerge w:val="continue"/>
            <w:tcBorders>
              <w:left w:val="single" w:color="auto" w:sz="4" w:space="0"/>
              <w:bottom w:val="single" w:color="auto" w:sz="4" w:space="0"/>
            </w:tcBorders>
            <w:vAlign w:val="center"/>
          </w:tcPr>
          <w:p w14:paraId="4F2116FC">
            <w:pPr>
              <w:pStyle w:val="55"/>
              <w:bidi w:val="0"/>
            </w:pPr>
          </w:p>
        </w:tc>
      </w:tr>
    </w:tbl>
    <w:p w14:paraId="2D3FE0CA">
      <w:pPr>
        <w:pStyle w:val="47"/>
        <w:ind w:firstLine="482"/>
        <w:rPr>
          <w:rFonts w:hint="eastAsia"/>
        </w:rPr>
      </w:pPr>
      <w:r>
        <w:rPr>
          <w:rFonts w:hint="eastAsia"/>
        </w:rPr>
        <w:t>（2）评价方法</w:t>
      </w:r>
    </w:p>
    <w:p w14:paraId="0666CCC0">
      <w:pPr>
        <w:pStyle w:val="47"/>
        <w:ind w:firstLine="482"/>
        <w:rPr>
          <w:rFonts w:hint="eastAsia"/>
        </w:rPr>
      </w:pPr>
      <w:r>
        <w:rPr>
          <w:rFonts w:hint="eastAsia"/>
        </w:rPr>
        <w:t>采用标准指数法，其计算公式为：Pi=Ci/Si；</w:t>
      </w:r>
    </w:p>
    <w:p w14:paraId="10879C57">
      <w:pPr>
        <w:pStyle w:val="47"/>
        <w:ind w:firstLine="482"/>
        <w:rPr>
          <w:rFonts w:hint="eastAsia"/>
        </w:rPr>
      </w:pPr>
      <w:r>
        <w:rPr>
          <w:rFonts w:hint="eastAsia"/>
        </w:rPr>
        <w:t>式中：Pi—土壤中污染物i的单因子污染指数；</w:t>
      </w:r>
    </w:p>
    <w:p w14:paraId="5299DA30">
      <w:pPr>
        <w:pStyle w:val="47"/>
        <w:ind w:firstLine="482"/>
        <w:rPr>
          <w:rFonts w:hint="eastAsia"/>
        </w:rPr>
      </w:pPr>
      <w:r>
        <w:rPr>
          <w:rFonts w:hint="eastAsia"/>
        </w:rPr>
        <w:t xml:space="preserve">      Ci—监测点位土壤中污染物i的实测浓度，单位与Si一致；</w:t>
      </w:r>
    </w:p>
    <w:p w14:paraId="479E2094">
      <w:pPr>
        <w:pStyle w:val="47"/>
        <w:ind w:firstLine="482"/>
        <w:rPr>
          <w:rFonts w:hint="eastAsia"/>
        </w:rPr>
      </w:pPr>
      <w:r>
        <w:rPr>
          <w:rFonts w:hint="eastAsia"/>
        </w:rPr>
        <w:t xml:space="preserve">      Si—污染物i的标准值或参考值。</w:t>
      </w:r>
    </w:p>
    <w:p w14:paraId="2749B567">
      <w:pPr>
        <w:pStyle w:val="47"/>
        <w:ind w:firstLine="482"/>
        <w:rPr>
          <w:rFonts w:hint="eastAsia"/>
        </w:rPr>
      </w:pPr>
      <w:r>
        <w:rPr>
          <w:rFonts w:hint="eastAsia"/>
        </w:rPr>
        <w:t>（3）评价标准</w:t>
      </w:r>
    </w:p>
    <w:p w14:paraId="2F4ABB4B">
      <w:pPr>
        <w:pStyle w:val="47"/>
        <w:ind w:firstLine="482"/>
        <w:rPr>
          <w:rFonts w:hint="eastAsia"/>
        </w:rPr>
      </w:pPr>
      <w:r>
        <w:rPr>
          <w:rFonts w:hint="eastAsia"/>
        </w:rPr>
        <w:t>项目用地的监测点执行《土壤环境质量 建设用地土壤污染风险管控标准》（GB36600-2018）表1第二类用地筛选值。</w:t>
      </w:r>
    </w:p>
    <w:p w14:paraId="364AAE38">
      <w:pPr>
        <w:pStyle w:val="47"/>
        <w:ind w:firstLine="482"/>
        <w:rPr>
          <w:rFonts w:hint="eastAsia"/>
        </w:rPr>
      </w:pPr>
      <w:r>
        <w:rPr>
          <w:rFonts w:hint="eastAsia"/>
        </w:rPr>
        <w:t>（4）土壤环境现状监测结果与评价</w:t>
      </w:r>
    </w:p>
    <w:p w14:paraId="0DDA1C4E">
      <w:pPr>
        <w:pStyle w:val="94"/>
        <w:bidi w:val="0"/>
        <w:ind w:left="0" w:leftChars="0" w:firstLine="0" w:firstLineChars="0"/>
        <w:rPr>
          <w:rFonts w:hint="default"/>
        </w:rPr>
      </w:pPr>
      <w:r>
        <w:rPr>
          <w:rFonts w:hint="default"/>
        </w:rPr>
        <w:t>建设项目土壤环境质量监测结果一览表</w:t>
      </w:r>
    </w:p>
    <w:tbl>
      <w:tblPr>
        <w:tblStyle w:val="3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
        <w:gridCol w:w="2342"/>
        <w:gridCol w:w="1310"/>
        <w:gridCol w:w="1159"/>
        <w:gridCol w:w="1028"/>
        <w:gridCol w:w="1902"/>
        <w:gridCol w:w="1070"/>
      </w:tblGrid>
      <w:tr w14:paraId="70D8A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vMerge w:val="restart"/>
            <w:noWrap w:val="0"/>
            <w:vAlign w:val="center"/>
          </w:tcPr>
          <w:p w14:paraId="0F01C9F4">
            <w:pPr>
              <w:pStyle w:val="55"/>
              <w:bidi w:val="0"/>
              <w:rPr>
                <w:rFonts w:hint="default"/>
              </w:rPr>
            </w:pPr>
            <w:r>
              <w:rPr>
                <w:rFonts w:hint="default"/>
              </w:rPr>
              <w:t>序号</w:t>
            </w:r>
          </w:p>
        </w:tc>
        <w:tc>
          <w:tcPr>
            <w:tcW w:w="1261" w:type="pct"/>
            <w:vMerge w:val="restart"/>
            <w:noWrap w:val="0"/>
            <w:vAlign w:val="center"/>
          </w:tcPr>
          <w:p w14:paraId="4A9D2D91">
            <w:pPr>
              <w:pStyle w:val="55"/>
              <w:bidi w:val="0"/>
              <w:rPr>
                <w:rFonts w:hint="default"/>
              </w:rPr>
            </w:pPr>
            <w:r>
              <w:rPr>
                <w:rFonts w:hint="default"/>
              </w:rPr>
              <w:t>监测因子</w:t>
            </w:r>
          </w:p>
        </w:tc>
        <w:tc>
          <w:tcPr>
            <w:tcW w:w="705" w:type="pct"/>
            <w:vMerge w:val="restart"/>
            <w:noWrap w:val="0"/>
            <w:vAlign w:val="center"/>
          </w:tcPr>
          <w:p w14:paraId="57CA366F">
            <w:pPr>
              <w:pStyle w:val="55"/>
              <w:bidi w:val="0"/>
              <w:rPr>
                <w:rFonts w:hint="default"/>
              </w:rPr>
            </w:pPr>
            <w:r>
              <w:rPr>
                <w:rFonts w:hint="default"/>
              </w:rPr>
              <w:t>标准值（mg/kg）</w:t>
            </w:r>
          </w:p>
        </w:tc>
        <w:tc>
          <w:tcPr>
            <w:tcW w:w="624" w:type="pct"/>
            <w:noWrap w:val="0"/>
            <w:vAlign w:val="center"/>
          </w:tcPr>
          <w:p w14:paraId="6D5374BE">
            <w:pPr>
              <w:pStyle w:val="55"/>
              <w:bidi w:val="0"/>
              <w:rPr>
                <w:rFonts w:hint="default"/>
              </w:rPr>
            </w:pPr>
            <w:r>
              <w:rPr>
                <w:rFonts w:hint="eastAsia"/>
                <w:lang w:val="en-US" w:eastAsia="zh-CN"/>
              </w:rPr>
              <w:t>T1</w:t>
            </w:r>
          </w:p>
        </w:tc>
        <w:tc>
          <w:tcPr>
            <w:tcW w:w="1578" w:type="pct"/>
            <w:gridSpan w:val="2"/>
            <w:noWrap w:val="0"/>
            <w:vAlign w:val="center"/>
          </w:tcPr>
          <w:p w14:paraId="605664CB">
            <w:pPr>
              <w:pStyle w:val="55"/>
              <w:bidi w:val="0"/>
              <w:rPr>
                <w:rFonts w:hint="eastAsia"/>
                <w:lang w:val="en-US" w:eastAsia="zh-CN"/>
              </w:rPr>
            </w:pPr>
            <w:r>
              <w:rPr>
                <w:rFonts w:hint="eastAsia"/>
                <w:lang w:val="en-US" w:eastAsia="zh-CN"/>
              </w:rPr>
              <w:t>T2</w:t>
            </w:r>
          </w:p>
        </w:tc>
        <w:tc>
          <w:tcPr>
            <w:tcW w:w="576" w:type="pct"/>
            <w:noWrap w:val="0"/>
            <w:vAlign w:val="center"/>
          </w:tcPr>
          <w:p w14:paraId="545DFBE6">
            <w:pPr>
              <w:pStyle w:val="55"/>
              <w:bidi w:val="0"/>
              <w:rPr>
                <w:rFonts w:hint="default"/>
              </w:rPr>
            </w:pPr>
            <w:r>
              <w:rPr>
                <w:rFonts w:hint="eastAsia"/>
                <w:lang w:val="en-US" w:eastAsia="zh-CN"/>
              </w:rPr>
              <w:t>T3</w:t>
            </w:r>
          </w:p>
        </w:tc>
      </w:tr>
      <w:tr w14:paraId="3EDFE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vMerge w:val="continue"/>
            <w:noWrap w:val="0"/>
            <w:vAlign w:val="center"/>
          </w:tcPr>
          <w:p w14:paraId="4039C023">
            <w:pPr>
              <w:pStyle w:val="55"/>
              <w:bidi w:val="0"/>
              <w:rPr>
                <w:rFonts w:hint="default"/>
              </w:rPr>
            </w:pPr>
          </w:p>
        </w:tc>
        <w:tc>
          <w:tcPr>
            <w:tcW w:w="1261" w:type="pct"/>
            <w:vMerge w:val="continue"/>
            <w:noWrap w:val="0"/>
            <w:vAlign w:val="center"/>
          </w:tcPr>
          <w:p w14:paraId="0B37DB0C">
            <w:pPr>
              <w:pStyle w:val="55"/>
              <w:bidi w:val="0"/>
              <w:rPr>
                <w:rFonts w:hint="default"/>
              </w:rPr>
            </w:pPr>
          </w:p>
        </w:tc>
        <w:tc>
          <w:tcPr>
            <w:tcW w:w="705" w:type="pct"/>
            <w:vMerge w:val="continue"/>
            <w:noWrap w:val="0"/>
            <w:vAlign w:val="center"/>
          </w:tcPr>
          <w:p w14:paraId="52A56567">
            <w:pPr>
              <w:pStyle w:val="55"/>
              <w:bidi w:val="0"/>
              <w:rPr>
                <w:rFonts w:hint="default"/>
              </w:rPr>
            </w:pPr>
          </w:p>
        </w:tc>
        <w:tc>
          <w:tcPr>
            <w:tcW w:w="624" w:type="pct"/>
            <w:noWrap w:val="0"/>
            <w:vAlign w:val="center"/>
          </w:tcPr>
          <w:p w14:paraId="0BF37252">
            <w:pPr>
              <w:pStyle w:val="55"/>
              <w:bidi w:val="0"/>
              <w:rPr>
                <w:rFonts w:hint="default"/>
              </w:rPr>
            </w:pPr>
            <w:r>
              <w:rPr>
                <w:rFonts w:hint="eastAsia"/>
                <w:lang w:val="en-US" w:eastAsia="zh-CN"/>
              </w:rPr>
              <w:t>0-0.2m</w:t>
            </w:r>
          </w:p>
        </w:tc>
        <w:tc>
          <w:tcPr>
            <w:tcW w:w="553" w:type="pct"/>
            <w:noWrap w:val="0"/>
            <w:vAlign w:val="center"/>
          </w:tcPr>
          <w:p w14:paraId="5FC2B5C5">
            <w:pPr>
              <w:pStyle w:val="55"/>
              <w:bidi w:val="0"/>
              <w:rPr>
                <w:rFonts w:hint="default"/>
              </w:rPr>
            </w:pPr>
            <w:r>
              <w:rPr>
                <w:rFonts w:hint="eastAsia"/>
                <w:lang w:val="en-US" w:eastAsia="zh-CN"/>
              </w:rPr>
              <w:t>0-0.2m</w:t>
            </w:r>
          </w:p>
        </w:tc>
        <w:tc>
          <w:tcPr>
            <w:tcW w:w="1024" w:type="pct"/>
            <w:noWrap w:val="0"/>
            <w:vAlign w:val="center"/>
          </w:tcPr>
          <w:p w14:paraId="65D9F276">
            <w:pPr>
              <w:pStyle w:val="55"/>
              <w:bidi w:val="0"/>
              <w:rPr>
                <w:rFonts w:hint="eastAsia"/>
                <w:lang w:val="en-US" w:eastAsia="zh-CN"/>
              </w:rPr>
            </w:pPr>
            <w:r>
              <w:rPr>
                <w:rFonts w:hint="eastAsia"/>
                <w:lang w:val="en-US" w:eastAsia="zh-CN"/>
              </w:rPr>
              <w:t>0-0.2m</w:t>
            </w:r>
          </w:p>
          <w:p w14:paraId="5B7E2BD4">
            <w:pPr>
              <w:pStyle w:val="55"/>
              <w:bidi w:val="0"/>
              <w:rPr>
                <w:rFonts w:hint="default"/>
              </w:rPr>
            </w:pPr>
            <w:r>
              <w:rPr>
                <w:rFonts w:hint="eastAsia"/>
                <w:lang w:val="en-US" w:eastAsia="zh-CN"/>
              </w:rPr>
              <w:t>(现场平行)</w:t>
            </w:r>
          </w:p>
        </w:tc>
        <w:tc>
          <w:tcPr>
            <w:tcW w:w="576" w:type="pct"/>
            <w:noWrap w:val="0"/>
            <w:vAlign w:val="center"/>
          </w:tcPr>
          <w:p w14:paraId="70015B6F">
            <w:pPr>
              <w:pStyle w:val="55"/>
              <w:bidi w:val="0"/>
              <w:rPr>
                <w:rFonts w:hint="default"/>
              </w:rPr>
            </w:pPr>
            <w:r>
              <w:rPr>
                <w:rFonts w:hint="eastAsia"/>
                <w:lang w:val="en-US" w:eastAsia="zh-CN"/>
              </w:rPr>
              <w:t>0-0.2m</w:t>
            </w:r>
          </w:p>
        </w:tc>
      </w:tr>
      <w:tr w14:paraId="470AB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6EFD4FFD">
            <w:pPr>
              <w:pStyle w:val="55"/>
              <w:bidi w:val="0"/>
              <w:rPr>
                <w:rFonts w:hint="default"/>
              </w:rPr>
            </w:pPr>
            <w:r>
              <w:rPr>
                <w:rFonts w:hint="default"/>
              </w:rPr>
              <w:t>1</w:t>
            </w:r>
          </w:p>
        </w:tc>
        <w:tc>
          <w:tcPr>
            <w:tcW w:w="1261" w:type="pct"/>
            <w:shd w:val="clear" w:color="auto" w:fill="auto"/>
            <w:noWrap w:val="0"/>
            <w:vAlign w:val="center"/>
          </w:tcPr>
          <w:p w14:paraId="5ACE34D7">
            <w:pPr>
              <w:pStyle w:val="55"/>
              <w:bidi w:val="0"/>
              <w:rPr>
                <w:rFonts w:hint="default" w:ascii="Times New Roman" w:hAnsi="Times New Roman" w:eastAsia="楷体" w:cstheme="minorBidi"/>
                <w:snapToGrid w:val="0"/>
                <w:kern w:val="0"/>
                <w:sz w:val="24"/>
                <w:szCs w:val="24"/>
                <w:lang w:val="en-US" w:eastAsia="zh-CN" w:bidi="ar-SA"/>
              </w:rPr>
            </w:pPr>
            <w:r>
              <w:rPr>
                <w:rFonts w:hint="default"/>
              </w:rPr>
              <w:t>砷（mg/kg）</w:t>
            </w:r>
          </w:p>
        </w:tc>
        <w:tc>
          <w:tcPr>
            <w:tcW w:w="705" w:type="pct"/>
            <w:shd w:val="clear" w:color="auto" w:fill="auto"/>
            <w:noWrap w:val="0"/>
            <w:vAlign w:val="center"/>
          </w:tcPr>
          <w:p w14:paraId="4C0CF4F5">
            <w:pPr>
              <w:pStyle w:val="55"/>
              <w:bidi w:val="0"/>
              <w:rPr>
                <w:rFonts w:hint="eastAsia" w:ascii="Times New Roman" w:hAnsi="Times New Roman" w:eastAsia="楷体" w:cstheme="minorBidi"/>
                <w:snapToGrid w:val="0"/>
                <w:kern w:val="0"/>
                <w:sz w:val="24"/>
                <w:szCs w:val="24"/>
                <w:lang w:val="en-US" w:eastAsia="zh-CN" w:bidi="ar-SA"/>
              </w:rPr>
            </w:pPr>
            <w:r>
              <w:rPr>
                <w:rFonts w:hint="eastAsia"/>
                <w:lang w:val="en-US" w:eastAsia="zh-CN"/>
              </w:rPr>
              <w:t>60</w:t>
            </w:r>
          </w:p>
        </w:tc>
        <w:tc>
          <w:tcPr>
            <w:tcW w:w="624" w:type="pct"/>
            <w:shd w:val="clear" w:color="auto" w:fill="auto"/>
            <w:noWrap w:val="0"/>
            <w:vAlign w:val="center"/>
          </w:tcPr>
          <w:p w14:paraId="5B4F76D3">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14.4</w:t>
            </w:r>
          </w:p>
        </w:tc>
        <w:tc>
          <w:tcPr>
            <w:tcW w:w="553" w:type="pct"/>
            <w:shd w:val="clear" w:color="auto" w:fill="auto"/>
            <w:noWrap w:val="0"/>
            <w:vAlign w:val="center"/>
          </w:tcPr>
          <w:p w14:paraId="5EF6FB54">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12.9</w:t>
            </w:r>
          </w:p>
        </w:tc>
        <w:tc>
          <w:tcPr>
            <w:tcW w:w="1024" w:type="pct"/>
            <w:shd w:val="clear" w:color="auto" w:fill="auto"/>
            <w:noWrap w:val="0"/>
            <w:vAlign w:val="center"/>
          </w:tcPr>
          <w:p w14:paraId="04AA4026">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13.2</w:t>
            </w:r>
          </w:p>
        </w:tc>
        <w:tc>
          <w:tcPr>
            <w:tcW w:w="576" w:type="pct"/>
            <w:shd w:val="clear" w:color="auto" w:fill="auto"/>
            <w:noWrap w:val="0"/>
            <w:vAlign w:val="center"/>
          </w:tcPr>
          <w:p w14:paraId="00C62595">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15.9</w:t>
            </w:r>
          </w:p>
        </w:tc>
      </w:tr>
      <w:tr w14:paraId="35FEF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34819963">
            <w:pPr>
              <w:pStyle w:val="55"/>
              <w:bidi w:val="0"/>
              <w:rPr>
                <w:rFonts w:hint="default"/>
              </w:rPr>
            </w:pPr>
            <w:r>
              <w:rPr>
                <w:rFonts w:hint="default"/>
              </w:rPr>
              <w:t>2</w:t>
            </w:r>
          </w:p>
        </w:tc>
        <w:tc>
          <w:tcPr>
            <w:tcW w:w="1261" w:type="pct"/>
            <w:shd w:val="clear" w:color="auto" w:fill="auto"/>
            <w:noWrap w:val="0"/>
            <w:vAlign w:val="center"/>
          </w:tcPr>
          <w:p w14:paraId="3EC65769">
            <w:pPr>
              <w:pStyle w:val="55"/>
              <w:bidi w:val="0"/>
              <w:rPr>
                <w:rFonts w:hint="default" w:ascii="Times New Roman" w:hAnsi="Times New Roman" w:eastAsia="楷体" w:cstheme="minorBidi"/>
                <w:snapToGrid w:val="0"/>
                <w:kern w:val="0"/>
                <w:sz w:val="24"/>
                <w:szCs w:val="24"/>
                <w:lang w:val="en-US" w:eastAsia="zh-CN" w:bidi="ar-SA"/>
              </w:rPr>
            </w:pPr>
            <w:r>
              <w:rPr>
                <w:rFonts w:hint="default"/>
              </w:rPr>
              <w:t>镉（mg/kg）</w:t>
            </w:r>
          </w:p>
        </w:tc>
        <w:tc>
          <w:tcPr>
            <w:tcW w:w="705" w:type="pct"/>
            <w:shd w:val="clear" w:color="auto" w:fill="auto"/>
            <w:noWrap w:val="0"/>
            <w:vAlign w:val="center"/>
          </w:tcPr>
          <w:p w14:paraId="623069D5">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65</w:t>
            </w:r>
          </w:p>
        </w:tc>
        <w:tc>
          <w:tcPr>
            <w:tcW w:w="624" w:type="pct"/>
            <w:shd w:val="clear" w:color="auto" w:fill="auto"/>
            <w:noWrap w:val="0"/>
            <w:vAlign w:val="center"/>
          </w:tcPr>
          <w:p w14:paraId="04F74B69">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0.22</w:t>
            </w:r>
          </w:p>
        </w:tc>
        <w:tc>
          <w:tcPr>
            <w:tcW w:w="553" w:type="pct"/>
            <w:shd w:val="clear" w:color="auto" w:fill="auto"/>
            <w:noWrap w:val="0"/>
            <w:vAlign w:val="center"/>
          </w:tcPr>
          <w:p w14:paraId="4A51AEF1">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0.18</w:t>
            </w:r>
          </w:p>
        </w:tc>
        <w:tc>
          <w:tcPr>
            <w:tcW w:w="1024" w:type="pct"/>
            <w:shd w:val="clear" w:color="auto" w:fill="auto"/>
            <w:noWrap w:val="0"/>
            <w:vAlign w:val="center"/>
          </w:tcPr>
          <w:p w14:paraId="180B185C">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0.22</w:t>
            </w:r>
          </w:p>
        </w:tc>
        <w:tc>
          <w:tcPr>
            <w:tcW w:w="576" w:type="pct"/>
            <w:shd w:val="clear" w:color="auto" w:fill="auto"/>
            <w:noWrap w:val="0"/>
            <w:vAlign w:val="center"/>
          </w:tcPr>
          <w:p w14:paraId="65DDC1B9">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0.19</w:t>
            </w:r>
          </w:p>
        </w:tc>
      </w:tr>
      <w:tr w14:paraId="0D823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30B1E5E8">
            <w:pPr>
              <w:pStyle w:val="55"/>
              <w:bidi w:val="0"/>
              <w:rPr>
                <w:rFonts w:hint="default"/>
              </w:rPr>
            </w:pPr>
            <w:r>
              <w:rPr>
                <w:rFonts w:hint="default"/>
              </w:rPr>
              <w:t>3</w:t>
            </w:r>
          </w:p>
        </w:tc>
        <w:tc>
          <w:tcPr>
            <w:tcW w:w="1261" w:type="pct"/>
            <w:shd w:val="clear" w:color="auto" w:fill="auto"/>
            <w:noWrap w:val="0"/>
            <w:vAlign w:val="center"/>
          </w:tcPr>
          <w:p w14:paraId="0E8D36F1">
            <w:pPr>
              <w:pStyle w:val="55"/>
              <w:bidi w:val="0"/>
              <w:rPr>
                <w:rFonts w:hint="default" w:ascii="Times New Roman" w:hAnsi="Times New Roman" w:eastAsia="楷体" w:cstheme="minorBidi"/>
                <w:snapToGrid w:val="0"/>
                <w:kern w:val="0"/>
                <w:sz w:val="24"/>
                <w:szCs w:val="24"/>
                <w:lang w:val="en-US" w:eastAsia="zh-CN" w:bidi="ar-SA"/>
              </w:rPr>
            </w:pPr>
            <w:r>
              <w:rPr>
                <w:rFonts w:hint="default"/>
                <w:lang w:eastAsia="zh-CN"/>
              </w:rPr>
              <w:t>铬（六价）</w:t>
            </w:r>
            <w:r>
              <w:rPr>
                <w:rFonts w:hint="default"/>
              </w:rPr>
              <w:t>（mg/kg）</w:t>
            </w:r>
          </w:p>
        </w:tc>
        <w:tc>
          <w:tcPr>
            <w:tcW w:w="705" w:type="pct"/>
            <w:shd w:val="clear" w:color="auto" w:fill="auto"/>
            <w:noWrap w:val="0"/>
            <w:vAlign w:val="center"/>
          </w:tcPr>
          <w:p w14:paraId="730C1567">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5.7</w:t>
            </w:r>
          </w:p>
        </w:tc>
        <w:tc>
          <w:tcPr>
            <w:tcW w:w="624" w:type="pct"/>
            <w:shd w:val="clear" w:color="auto" w:fill="auto"/>
            <w:noWrap w:val="0"/>
            <w:vAlign w:val="center"/>
          </w:tcPr>
          <w:p w14:paraId="5AC2487C">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ND</w:t>
            </w:r>
          </w:p>
        </w:tc>
        <w:tc>
          <w:tcPr>
            <w:tcW w:w="553" w:type="pct"/>
            <w:shd w:val="clear" w:color="auto" w:fill="auto"/>
            <w:noWrap w:val="0"/>
            <w:vAlign w:val="center"/>
          </w:tcPr>
          <w:p w14:paraId="1B90077A">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ND</w:t>
            </w:r>
          </w:p>
        </w:tc>
        <w:tc>
          <w:tcPr>
            <w:tcW w:w="1024" w:type="pct"/>
            <w:shd w:val="clear" w:color="auto" w:fill="auto"/>
            <w:noWrap w:val="0"/>
            <w:vAlign w:val="center"/>
          </w:tcPr>
          <w:p w14:paraId="1A562739">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ND</w:t>
            </w:r>
          </w:p>
        </w:tc>
        <w:tc>
          <w:tcPr>
            <w:tcW w:w="576" w:type="pct"/>
            <w:shd w:val="clear" w:color="auto" w:fill="auto"/>
            <w:noWrap w:val="0"/>
            <w:vAlign w:val="center"/>
          </w:tcPr>
          <w:p w14:paraId="5FD436A6">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ND</w:t>
            </w:r>
          </w:p>
        </w:tc>
      </w:tr>
      <w:tr w14:paraId="18979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042065F8">
            <w:pPr>
              <w:pStyle w:val="55"/>
              <w:bidi w:val="0"/>
              <w:rPr>
                <w:rFonts w:hint="default"/>
              </w:rPr>
            </w:pPr>
            <w:r>
              <w:rPr>
                <w:rFonts w:hint="default"/>
              </w:rPr>
              <w:t>4</w:t>
            </w:r>
          </w:p>
        </w:tc>
        <w:tc>
          <w:tcPr>
            <w:tcW w:w="1261" w:type="pct"/>
            <w:shd w:val="clear" w:color="auto" w:fill="auto"/>
            <w:noWrap w:val="0"/>
            <w:vAlign w:val="center"/>
          </w:tcPr>
          <w:p w14:paraId="2C38D17F">
            <w:pPr>
              <w:pStyle w:val="55"/>
              <w:bidi w:val="0"/>
              <w:rPr>
                <w:rFonts w:hint="default" w:ascii="Times New Roman" w:hAnsi="Times New Roman" w:eastAsia="楷体" w:cstheme="minorBidi"/>
                <w:snapToGrid w:val="0"/>
                <w:kern w:val="0"/>
                <w:sz w:val="24"/>
                <w:szCs w:val="24"/>
                <w:lang w:val="en-US" w:eastAsia="zh-CN" w:bidi="ar-SA"/>
              </w:rPr>
            </w:pPr>
            <w:r>
              <w:rPr>
                <w:rFonts w:hint="default"/>
              </w:rPr>
              <w:t>铜（mg/kg）</w:t>
            </w:r>
          </w:p>
        </w:tc>
        <w:tc>
          <w:tcPr>
            <w:tcW w:w="705" w:type="pct"/>
            <w:shd w:val="clear" w:color="auto" w:fill="auto"/>
            <w:noWrap w:val="0"/>
            <w:vAlign w:val="center"/>
          </w:tcPr>
          <w:p w14:paraId="6C479866">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18000</w:t>
            </w:r>
          </w:p>
        </w:tc>
        <w:tc>
          <w:tcPr>
            <w:tcW w:w="624" w:type="pct"/>
            <w:shd w:val="clear" w:color="auto" w:fill="auto"/>
            <w:noWrap w:val="0"/>
            <w:vAlign w:val="center"/>
          </w:tcPr>
          <w:p w14:paraId="30254A98">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22</w:t>
            </w:r>
          </w:p>
        </w:tc>
        <w:tc>
          <w:tcPr>
            <w:tcW w:w="553" w:type="pct"/>
            <w:shd w:val="clear" w:color="auto" w:fill="auto"/>
            <w:noWrap w:val="0"/>
            <w:vAlign w:val="center"/>
          </w:tcPr>
          <w:p w14:paraId="1CDAB5A1">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22</w:t>
            </w:r>
          </w:p>
        </w:tc>
        <w:tc>
          <w:tcPr>
            <w:tcW w:w="1024" w:type="pct"/>
            <w:shd w:val="clear" w:color="auto" w:fill="auto"/>
            <w:noWrap w:val="0"/>
            <w:vAlign w:val="center"/>
          </w:tcPr>
          <w:p w14:paraId="72DF7F8A">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24</w:t>
            </w:r>
          </w:p>
        </w:tc>
        <w:tc>
          <w:tcPr>
            <w:tcW w:w="576" w:type="pct"/>
            <w:shd w:val="clear" w:color="auto" w:fill="auto"/>
            <w:noWrap w:val="0"/>
            <w:vAlign w:val="center"/>
          </w:tcPr>
          <w:p w14:paraId="5F685F12">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18</w:t>
            </w:r>
          </w:p>
        </w:tc>
      </w:tr>
      <w:tr w14:paraId="213EE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0701847C">
            <w:pPr>
              <w:pStyle w:val="55"/>
              <w:bidi w:val="0"/>
              <w:rPr>
                <w:rFonts w:hint="default"/>
              </w:rPr>
            </w:pPr>
            <w:r>
              <w:rPr>
                <w:rFonts w:hint="default"/>
              </w:rPr>
              <w:t>5</w:t>
            </w:r>
          </w:p>
        </w:tc>
        <w:tc>
          <w:tcPr>
            <w:tcW w:w="1261" w:type="pct"/>
            <w:shd w:val="clear" w:color="auto" w:fill="auto"/>
            <w:noWrap w:val="0"/>
            <w:vAlign w:val="center"/>
          </w:tcPr>
          <w:p w14:paraId="2E79E462">
            <w:pPr>
              <w:pStyle w:val="55"/>
              <w:bidi w:val="0"/>
              <w:rPr>
                <w:rFonts w:hint="default" w:ascii="Times New Roman" w:hAnsi="Times New Roman" w:eastAsia="楷体" w:cstheme="minorBidi"/>
                <w:snapToGrid w:val="0"/>
                <w:kern w:val="0"/>
                <w:sz w:val="24"/>
                <w:szCs w:val="24"/>
                <w:lang w:val="en-US" w:eastAsia="zh-CN" w:bidi="ar-SA"/>
              </w:rPr>
            </w:pPr>
            <w:r>
              <w:rPr>
                <w:rFonts w:hint="default"/>
              </w:rPr>
              <w:t>铅（mg/kg）</w:t>
            </w:r>
          </w:p>
        </w:tc>
        <w:tc>
          <w:tcPr>
            <w:tcW w:w="705" w:type="pct"/>
            <w:shd w:val="clear" w:color="auto" w:fill="auto"/>
            <w:noWrap w:val="0"/>
            <w:vAlign w:val="center"/>
          </w:tcPr>
          <w:p w14:paraId="2395CE1F">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800</w:t>
            </w:r>
          </w:p>
        </w:tc>
        <w:tc>
          <w:tcPr>
            <w:tcW w:w="624" w:type="pct"/>
            <w:shd w:val="clear" w:color="auto" w:fill="auto"/>
            <w:noWrap w:val="0"/>
            <w:vAlign w:val="center"/>
          </w:tcPr>
          <w:p w14:paraId="0E5D1FBE">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23.2</w:t>
            </w:r>
          </w:p>
        </w:tc>
        <w:tc>
          <w:tcPr>
            <w:tcW w:w="553" w:type="pct"/>
            <w:shd w:val="clear" w:color="auto" w:fill="auto"/>
            <w:noWrap w:val="0"/>
            <w:vAlign w:val="center"/>
          </w:tcPr>
          <w:p w14:paraId="4C5D0DE5">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27.1</w:t>
            </w:r>
          </w:p>
        </w:tc>
        <w:tc>
          <w:tcPr>
            <w:tcW w:w="1024" w:type="pct"/>
            <w:shd w:val="clear" w:color="auto" w:fill="auto"/>
            <w:noWrap w:val="0"/>
            <w:vAlign w:val="center"/>
          </w:tcPr>
          <w:p w14:paraId="6EF784BF">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24.0</w:t>
            </w:r>
          </w:p>
        </w:tc>
        <w:tc>
          <w:tcPr>
            <w:tcW w:w="576" w:type="pct"/>
            <w:shd w:val="clear" w:color="auto" w:fill="auto"/>
            <w:noWrap w:val="0"/>
            <w:vAlign w:val="center"/>
          </w:tcPr>
          <w:p w14:paraId="48747B4C">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27.7</w:t>
            </w:r>
          </w:p>
        </w:tc>
      </w:tr>
      <w:tr w14:paraId="6B818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7FEC4081">
            <w:pPr>
              <w:pStyle w:val="55"/>
              <w:bidi w:val="0"/>
              <w:rPr>
                <w:rFonts w:hint="default"/>
              </w:rPr>
            </w:pPr>
            <w:r>
              <w:rPr>
                <w:rFonts w:hint="default"/>
              </w:rPr>
              <w:t>6</w:t>
            </w:r>
          </w:p>
        </w:tc>
        <w:tc>
          <w:tcPr>
            <w:tcW w:w="1261" w:type="pct"/>
            <w:shd w:val="clear" w:color="auto" w:fill="auto"/>
            <w:noWrap w:val="0"/>
            <w:vAlign w:val="center"/>
          </w:tcPr>
          <w:p w14:paraId="78735484">
            <w:pPr>
              <w:pStyle w:val="55"/>
              <w:bidi w:val="0"/>
              <w:rPr>
                <w:rFonts w:hint="default" w:ascii="Times New Roman" w:hAnsi="Times New Roman" w:eastAsia="楷体" w:cstheme="minorBidi"/>
                <w:snapToGrid w:val="0"/>
                <w:kern w:val="0"/>
                <w:sz w:val="24"/>
                <w:szCs w:val="24"/>
                <w:lang w:val="en-US" w:eastAsia="zh-CN" w:bidi="ar-SA"/>
              </w:rPr>
            </w:pPr>
            <w:r>
              <w:rPr>
                <w:rFonts w:hint="default"/>
              </w:rPr>
              <w:t>汞（mg/kg）</w:t>
            </w:r>
          </w:p>
        </w:tc>
        <w:tc>
          <w:tcPr>
            <w:tcW w:w="705" w:type="pct"/>
            <w:shd w:val="clear" w:color="auto" w:fill="auto"/>
            <w:noWrap w:val="0"/>
            <w:vAlign w:val="center"/>
          </w:tcPr>
          <w:p w14:paraId="45CD570B">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38</w:t>
            </w:r>
          </w:p>
        </w:tc>
        <w:tc>
          <w:tcPr>
            <w:tcW w:w="624" w:type="pct"/>
            <w:shd w:val="clear" w:color="auto" w:fill="auto"/>
            <w:noWrap w:val="0"/>
            <w:vAlign w:val="center"/>
          </w:tcPr>
          <w:p w14:paraId="4E1657A7">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0.080</w:t>
            </w:r>
          </w:p>
        </w:tc>
        <w:tc>
          <w:tcPr>
            <w:tcW w:w="553" w:type="pct"/>
            <w:shd w:val="clear" w:color="auto" w:fill="auto"/>
            <w:noWrap w:val="0"/>
            <w:vAlign w:val="center"/>
          </w:tcPr>
          <w:p w14:paraId="7633E127">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0.038</w:t>
            </w:r>
          </w:p>
        </w:tc>
        <w:tc>
          <w:tcPr>
            <w:tcW w:w="1024" w:type="pct"/>
            <w:shd w:val="clear" w:color="auto" w:fill="auto"/>
            <w:noWrap w:val="0"/>
            <w:vAlign w:val="center"/>
          </w:tcPr>
          <w:p w14:paraId="745A2560">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0.040</w:t>
            </w:r>
          </w:p>
        </w:tc>
        <w:tc>
          <w:tcPr>
            <w:tcW w:w="576" w:type="pct"/>
            <w:shd w:val="clear" w:color="auto" w:fill="auto"/>
            <w:noWrap w:val="0"/>
            <w:vAlign w:val="center"/>
          </w:tcPr>
          <w:p w14:paraId="4CA76FBB">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0.088</w:t>
            </w:r>
          </w:p>
        </w:tc>
      </w:tr>
      <w:tr w14:paraId="27AC6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5AAECEF8">
            <w:pPr>
              <w:pStyle w:val="55"/>
              <w:bidi w:val="0"/>
              <w:rPr>
                <w:rFonts w:hint="default"/>
              </w:rPr>
            </w:pPr>
            <w:r>
              <w:rPr>
                <w:rFonts w:hint="default"/>
              </w:rPr>
              <w:t>7</w:t>
            </w:r>
          </w:p>
        </w:tc>
        <w:tc>
          <w:tcPr>
            <w:tcW w:w="1261" w:type="pct"/>
            <w:shd w:val="clear" w:color="auto" w:fill="auto"/>
            <w:noWrap w:val="0"/>
            <w:vAlign w:val="center"/>
          </w:tcPr>
          <w:p w14:paraId="141E3741">
            <w:pPr>
              <w:pStyle w:val="55"/>
              <w:bidi w:val="0"/>
              <w:rPr>
                <w:rFonts w:hint="default" w:ascii="Times New Roman" w:hAnsi="Times New Roman" w:eastAsia="楷体" w:cstheme="minorBidi"/>
                <w:snapToGrid w:val="0"/>
                <w:kern w:val="0"/>
                <w:sz w:val="24"/>
                <w:szCs w:val="24"/>
                <w:lang w:val="en-US" w:eastAsia="zh-CN" w:bidi="ar-SA"/>
              </w:rPr>
            </w:pPr>
            <w:r>
              <w:rPr>
                <w:rFonts w:hint="default"/>
                <w:lang w:eastAsia="zh-CN"/>
              </w:rPr>
              <w:t>镍</w:t>
            </w:r>
            <w:r>
              <w:rPr>
                <w:rFonts w:hint="default"/>
              </w:rPr>
              <w:t>（mg/kg）</w:t>
            </w:r>
          </w:p>
        </w:tc>
        <w:tc>
          <w:tcPr>
            <w:tcW w:w="705" w:type="pct"/>
            <w:shd w:val="clear" w:color="auto" w:fill="auto"/>
            <w:noWrap w:val="0"/>
            <w:vAlign w:val="center"/>
          </w:tcPr>
          <w:p w14:paraId="4223D5CB">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900</w:t>
            </w:r>
          </w:p>
        </w:tc>
        <w:tc>
          <w:tcPr>
            <w:tcW w:w="624" w:type="pct"/>
            <w:shd w:val="clear" w:color="auto" w:fill="auto"/>
            <w:noWrap w:val="0"/>
            <w:vAlign w:val="center"/>
          </w:tcPr>
          <w:p w14:paraId="436D13DA">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28</w:t>
            </w:r>
          </w:p>
        </w:tc>
        <w:tc>
          <w:tcPr>
            <w:tcW w:w="553" w:type="pct"/>
            <w:shd w:val="clear" w:color="auto" w:fill="auto"/>
            <w:noWrap w:val="0"/>
            <w:vAlign w:val="center"/>
          </w:tcPr>
          <w:p w14:paraId="624EFA4F">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27</w:t>
            </w:r>
          </w:p>
        </w:tc>
        <w:tc>
          <w:tcPr>
            <w:tcW w:w="1024" w:type="pct"/>
            <w:shd w:val="clear" w:color="auto" w:fill="auto"/>
            <w:noWrap w:val="0"/>
            <w:vAlign w:val="center"/>
          </w:tcPr>
          <w:p w14:paraId="35084299">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31</w:t>
            </w:r>
          </w:p>
        </w:tc>
        <w:tc>
          <w:tcPr>
            <w:tcW w:w="576" w:type="pct"/>
            <w:shd w:val="clear" w:color="auto" w:fill="auto"/>
            <w:noWrap w:val="0"/>
            <w:vAlign w:val="center"/>
          </w:tcPr>
          <w:p w14:paraId="4045F651">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26</w:t>
            </w:r>
          </w:p>
        </w:tc>
      </w:tr>
      <w:tr w14:paraId="18D74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640D449A">
            <w:pPr>
              <w:pStyle w:val="55"/>
              <w:bidi w:val="0"/>
              <w:rPr>
                <w:rFonts w:hint="default"/>
              </w:rPr>
            </w:pPr>
            <w:r>
              <w:rPr>
                <w:rFonts w:hint="default"/>
              </w:rPr>
              <w:t>8</w:t>
            </w:r>
          </w:p>
        </w:tc>
        <w:tc>
          <w:tcPr>
            <w:tcW w:w="1261" w:type="pct"/>
            <w:shd w:val="clear" w:color="auto" w:fill="auto"/>
            <w:noWrap w:val="0"/>
            <w:vAlign w:val="center"/>
          </w:tcPr>
          <w:p w14:paraId="79F656FE">
            <w:pPr>
              <w:pStyle w:val="55"/>
              <w:bidi w:val="0"/>
              <w:rPr>
                <w:rFonts w:hint="default" w:ascii="Times New Roman" w:hAnsi="Times New Roman" w:eastAsia="楷体" w:cstheme="minorBidi"/>
                <w:snapToGrid w:val="0"/>
                <w:kern w:val="0"/>
                <w:sz w:val="24"/>
                <w:szCs w:val="24"/>
                <w:lang w:val="en-US" w:eastAsia="zh-CN" w:bidi="ar-SA"/>
              </w:rPr>
            </w:pPr>
            <w:r>
              <w:rPr>
                <w:rFonts w:hint="default"/>
              </w:rPr>
              <w:t>2-氯酚（mg/kg）</w:t>
            </w:r>
          </w:p>
        </w:tc>
        <w:tc>
          <w:tcPr>
            <w:tcW w:w="705" w:type="pct"/>
            <w:shd w:val="clear" w:color="auto" w:fill="auto"/>
            <w:noWrap w:val="0"/>
            <w:vAlign w:val="center"/>
          </w:tcPr>
          <w:p w14:paraId="1B6B8AC8">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2256</w:t>
            </w:r>
          </w:p>
        </w:tc>
        <w:tc>
          <w:tcPr>
            <w:tcW w:w="624" w:type="pct"/>
            <w:shd w:val="clear" w:color="auto" w:fill="auto"/>
            <w:noWrap w:val="0"/>
            <w:vAlign w:val="center"/>
          </w:tcPr>
          <w:p w14:paraId="03EE88B2">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6890516B">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060EBC22">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7A594DB8">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2F81F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4D24296F">
            <w:pPr>
              <w:pStyle w:val="55"/>
              <w:bidi w:val="0"/>
              <w:rPr>
                <w:rFonts w:hint="default"/>
              </w:rPr>
            </w:pPr>
            <w:r>
              <w:rPr>
                <w:rFonts w:hint="default"/>
              </w:rPr>
              <w:t>9</w:t>
            </w:r>
          </w:p>
        </w:tc>
        <w:tc>
          <w:tcPr>
            <w:tcW w:w="1261" w:type="pct"/>
            <w:shd w:val="clear" w:color="auto" w:fill="auto"/>
            <w:noWrap w:val="0"/>
            <w:vAlign w:val="center"/>
          </w:tcPr>
          <w:p w14:paraId="2E82CFE6">
            <w:pPr>
              <w:pStyle w:val="55"/>
              <w:bidi w:val="0"/>
              <w:rPr>
                <w:rFonts w:hint="default" w:ascii="Times New Roman" w:hAnsi="Times New Roman" w:eastAsia="楷体" w:cstheme="minorBidi"/>
                <w:snapToGrid w:val="0"/>
                <w:kern w:val="0"/>
                <w:sz w:val="24"/>
                <w:szCs w:val="24"/>
                <w:lang w:val="en-US" w:eastAsia="zh-CN" w:bidi="ar-SA"/>
              </w:rPr>
            </w:pPr>
            <w:r>
              <w:rPr>
                <w:rFonts w:hint="default"/>
              </w:rPr>
              <w:t>硝基苯（mg/kg）</w:t>
            </w:r>
          </w:p>
        </w:tc>
        <w:tc>
          <w:tcPr>
            <w:tcW w:w="705" w:type="pct"/>
            <w:shd w:val="clear" w:color="auto" w:fill="auto"/>
            <w:noWrap w:val="0"/>
            <w:vAlign w:val="center"/>
          </w:tcPr>
          <w:p w14:paraId="6BDF88C7">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76</w:t>
            </w:r>
          </w:p>
        </w:tc>
        <w:tc>
          <w:tcPr>
            <w:tcW w:w="624" w:type="pct"/>
            <w:shd w:val="clear" w:color="auto" w:fill="auto"/>
            <w:noWrap w:val="0"/>
            <w:vAlign w:val="center"/>
          </w:tcPr>
          <w:p w14:paraId="25313C0B">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1A9872C3">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3A972902">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4E3B6CC0">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23D50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2EB23A7B">
            <w:pPr>
              <w:pStyle w:val="55"/>
              <w:bidi w:val="0"/>
              <w:rPr>
                <w:rFonts w:hint="default"/>
              </w:rPr>
            </w:pPr>
            <w:r>
              <w:rPr>
                <w:rFonts w:hint="default"/>
              </w:rPr>
              <w:t>10</w:t>
            </w:r>
          </w:p>
        </w:tc>
        <w:tc>
          <w:tcPr>
            <w:tcW w:w="1261" w:type="pct"/>
            <w:shd w:val="clear" w:color="auto" w:fill="auto"/>
            <w:noWrap w:val="0"/>
            <w:vAlign w:val="center"/>
          </w:tcPr>
          <w:p w14:paraId="31D7A4A6">
            <w:pPr>
              <w:pStyle w:val="55"/>
              <w:bidi w:val="0"/>
              <w:rPr>
                <w:rFonts w:hint="default" w:ascii="Times New Roman" w:hAnsi="Times New Roman" w:eastAsia="楷体" w:cstheme="minorBidi"/>
                <w:snapToGrid w:val="0"/>
                <w:kern w:val="0"/>
                <w:sz w:val="24"/>
                <w:szCs w:val="24"/>
                <w:lang w:val="en-US" w:eastAsia="zh-CN" w:bidi="ar-SA"/>
              </w:rPr>
            </w:pPr>
            <w:r>
              <w:rPr>
                <w:rFonts w:hint="default"/>
              </w:rPr>
              <w:t>萘（mg/kg）</w:t>
            </w:r>
          </w:p>
        </w:tc>
        <w:tc>
          <w:tcPr>
            <w:tcW w:w="705" w:type="pct"/>
            <w:shd w:val="clear" w:color="auto" w:fill="auto"/>
            <w:noWrap w:val="0"/>
            <w:vAlign w:val="center"/>
          </w:tcPr>
          <w:p w14:paraId="4E3F953A">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70</w:t>
            </w:r>
          </w:p>
        </w:tc>
        <w:tc>
          <w:tcPr>
            <w:tcW w:w="624" w:type="pct"/>
            <w:shd w:val="clear" w:color="auto" w:fill="auto"/>
            <w:noWrap w:val="0"/>
            <w:vAlign w:val="center"/>
          </w:tcPr>
          <w:p w14:paraId="37FC09AD">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4245263F">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64811DFD">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3679C1F6">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63F55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4C3705A1">
            <w:pPr>
              <w:pStyle w:val="55"/>
              <w:bidi w:val="0"/>
              <w:rPr>
                <w:rFonts w:hint="default"/>
              </w:rPr>
            </w:pPr>
            <w:r>
              <w:rPr>
                <w:rFonts w:hint="default"/>
              </w:rPr>
              <w:t>11</w:t>
            </w:r>
          </w:p>
        </w:tc>
        <w:tc>
          <w:tcPr>
            <w:tcW w:w="1261" w:type="pct"/>
            <w:shd w:val="clear" w:color="auto" w:fill="auto"/>
            <w:noWrap w:val="0"/>
            <w:vAlign w:val="center"/>
          </w:tcPr>
          <w:p w14:paraId="17D579B5">
            <w:pPr>
              <w:pStyle w:val="55"/>
              <w:bidi w:val="0"/>
              <w:rPr>
                <w:rFonts w:hint="default" w:ascii="Times New Roman" w:hAnsi="Times New Roman" w:eastAsia="楷体" w:cstheme="minorBidi"/>
                <w:snapToGrid w:val="0"/>
                <w:kern w:val="0"/>
                <w:sz w:val="24"/>
                <w:szCs w:val="24"/>
                <w:lang w:val="en-US" w:eastAsia="zh-CN" w:bidi="ar-SA"/>
              </w:rPr>
            </w:pPr>
            <w:r>
              <w:rPr>
                <w:rFonts w:hint="default"/>
              </w:rPr>
              <w:t>苯并（a）蒽（mg/kg）</w:t>
            </w:r>
          </w:p>
        </w:tc>
        <w:tc>
          <w:tcPr>
            <w:tcW w:w="705" w:type="pct"/>
            <w:shd w:val="clear" w:color="auto" w:fill="auto"/>
            <w:noWrap w:val="0"/>
            <w:vAlign w:val="center"/>
          </w:tcPr>
          <w:p w14:paraId="627E85D4">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15</w:t>
            </w:r>
          </w:p>
        </w:tc>
        <w:tc>
          <w:tcPr>
            <w:tcW w:w="624" w:type="pct"/>
            <w:shd w:val="clear" w:color="auto" w:fill="auto"/>
            <w:noWrap w:val="0"/>
            <w:vAlign w:val="center"/>
          </w:tcPr>
          <w:p w14:paraId="46406E2B">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6FF83F5F">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37B4E7C3">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42EDBE9F">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57C60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764CEA52">
            <w:pPr>
              <w:pStyle w:val="55"/>
              <w:bidi w:val="0"/>
              <w:rPr>
                <w:rFonts w:hint="default"/>
              </w:rPr>
            </w:pPr>
            <w:r>
              <w:rPr>
                <w:rFonts w:hint="default"/>
              </w:rPr>
              <w:t>12</w:t>
            </w:r>
          </w:p>
        </w:tc>
        <w:tc>
          <w:tcPr>
            <w:tcW w:w="1261" w:type="pct"/>
            <w:shd w:val="clear" w:color="auto" w:fill="auto"/>
            <w:noWrap w:val="0"/>
            <w:vAlign w:val="center"/>
          </w:tcPr>
          <w:p w14:paraId="6D805A96">
            <w:pPr>
              <w:pStyle w:val="55"/>
              <w:bidi w:val="0"/>
              <w:rPr>
                <w:rFonts w:hint="default" w:ascii="Times New Roman" w:hAnsi="Times New Roman" w:eastAsia="楷体" w:cstheme="minorBidi"/>
                <w:snapToGrid w:val="0"/>
                <w:kern w:val="0"/>
                <w:sz w:val="24"/>
                <w:szCs w:val="24"/>
                <w:lang w:val="en-US" w:eastAsia="zh-CN" w:bidi="ar-SA"/>
              </w:rPr>
            </w:pPr>
            <w:r>
              <w:rPr>
                <w:rFonts w:hint="default"/>
              </w:rPr>
              <w:t>䓛（mg/kg）</w:t>
            </w:r>
          </w:p>
        </w:tc>
        <w:tc>
          <w:tcPr>
            <w:tcW w:w="705" w:type="pct"/>
            <w:shd w:val="clear" w:color="auto" w:fill="auto"/>
            <w:noWrap w:val="0"/>
            <w:vAlign w:val="center"/>
          </w:tcPr>
          <w:p w14:paraId="1BA77EFB">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1293</w:t>
            </w:r>
          </w:p>
        </w:tc>
        <w:tc>
          <w:tcPr>
            <w:tcW w:w="624" w:type="pct"/>
            <w:shd w:val="clear" w:color="auto" w:fill="auto"/>
            <w:noWrap w:val="0"/>
            <w:vAlign w:val="center"/>
          </w:tcPr>
          <w:p w14:paraId="7B35BEA0">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21CD973F">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1A1BD884">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0EA97D79">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0FE8D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03F37D00">
            <w:pPr>
              <w:pStyle w:val="55"/>
              <w:bidi w:val="0"/>
              <w:rPr>
                <w:rFonts w:hint="default"/>
              </w:rPr>
            </w:pPr>
            <w:r>
              <w:rPr>
                <w:rFonts w:hint="default"/>
              </w:rPr>
              <w:t>13</w:t>
            </w:r>
          </w:p>
        </w:tc>
        <w:tc>
          <w:tcPr>
            <w:tcW w:w="1261" w:type="pct"/>
            <w:shd w:val="clear" w:color="auto" w:fill="auto"/>
            <w:noWrap w:val="0"/>
            <w:vAlign w:val="center"/>
          </w:tcPr>
          <w:p w14:paraId="2EFF3452">
            <w:pPr>
              <w:pStyle w:val="55"/>
              <w:bidi w:val="0"/>
              <w:rPr>
                <w:rFonts w:hint="default" w:ascii="Times New Roman" w:hAnsi="Times New Roman" w:eastAsia="楷体" w:cstheme="minorBidi"/>
                <w:snapToGrid w:val="0"/>
                <w:kern w:val="0"/>
                <w:sz w:val="24"/>
                <w:szCs w:val="24"/>
                <w:lang w:val="en-US" w:eastAsia="zh-CN" w:bidi="ar-SA"/>
              </w:rPr>
            </w:pPr>
            <w:r>
              <w:rPr>
                <w:rFonts w:hint="default"/>
              </w:rPr>
              <w:t>苯并（b）荧蒽（mg/kg）</w:t>
            </w:r>
          </w:p>
        </w:tc>
        <w:tc>
          <w:tcPr>
            <w:tcW w:w="705" w:type="pct"/>
            <w:shd w:val="clear" w:color="auto" w:fill="auto"/>
            <w:noWrap w:val="0"/>
            <w:vAlign w:val="center"/>
          </w:tcPr>
          <w:p w14:paraId="4EFE2B7F">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15</w:t>
            </w:r>
          </w:p>
        </w:tc>
        <w:tc>
          <w:tcPr>
            <w:tcW w:w="624" w:type="pct"/>
            <w:shd w:val="clear" w:color="auto" w:fill="auto"/>
            <w:noWrap w:val="0"/>
            <w:vAlign w:val="center"/>
          </w:tcPr>
          <w:p w14:paraId="30E9DF6E">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3B29B8F3">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4199F97C">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601C5A4A">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0D6FB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50FE3432">
            <w:pPr>
              <w:pStyle w:val="55"/>
              <w:bidi w:val="0"/>
              <w:rPr>
                <w:rFonts w:hint="default"/>
              </w:rPr>
            </w:pPr>
            <w:r>
              <w:rPr>
                <w:rFonts w:hint="default"/>
              </w:rPr>
              <w:t>14</w:t>
            </w:r>
          </w:p>
        </w:tc>
        <w:tc>
          <w:tcPr>
            <w:tcW w:w="1261" w:type="pct"/>
            <w:shd w:val="clear" w:color="auto" w:fill="auto"/>
            <w:noWrap w:val="0"/>
            <w:vAlign w:val="center"/>
          </w:tcPr>
          <w:p w14:paraId="4CEA4421">
            <w:pPr>
              <w:pStyle w:val="55"/>
              <w:bidi w:val="0"/>
              <w:rPr>
                <w:rFonts w:hint="default" w:ascii="Times New Roman" w:hAnsi="Times New Roman" w:eastAsia="楷体" w:cstheme="minorBidi"/>
                <w:snapToGrid w:val="0"/>
                <w:kern w:val="0"/>
                <w:sz w:val="24"/>
                <w:szCs w:val="24"/>
                <w:lang w:val="en-US" w:eastAsia="zh-CN" w:bidi="ar-SA"/>
              </w:rPr>
            </w:pPr>
            <w:r>
              <w:rPr>
                <w:rFonts w:hint="default"/>
              </w:rPr>
              <w:t>苯并（k）荧蒽（mg/kg）</w:t>
            </w:r>
          </w:p>
        </w:tc>
        <w:tc>
          <w:tcPr>
            <w:tcW w:w="705" w:type="pct"/>
            <w:shd w:val="clear" w:color="auto" w:fill="auto"/>
            <w:noWrap w:val="0"/>
            <w:vAlign w:val="center"/>
          </w:tcPr>
          <w:p w14:paraId="6292B662">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151</w:t>
            </w:r>
          </w:p>
        </w:tc>
        <w:tc>
          <w:tcPr>
            <w:tcW w:w="624" w:type="pct"/>
            <w:shd w:val="clear" w:color="auto" w:fill="auto"/>
            <w:noWrap w:val="0"/>
            <w:vAlign w:val="center"/>
          </w:tcPr>
          <w:p w14:paraId="4903F401">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723DBC43">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1ED55C8E">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0EE3978D">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66558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7DA9CBA3">
            <w:pPr>
              <w:pStyle w:val="55"/>
              <w:bidi w:val="0"/>
              <w:rPr>
                <w:rFonts w:hint="default"/>
              </w:rPr>
            </w:pPr>
            <w:r>
              <w:rPr>
                <w:rFonts w:hint="default"/>
              </w:rPr>
              <w:t>15</w:t>
            </w:r>
          </w:p>
        </w:tc>
        <w:tc>
          <w:tcPr>
            <w:tcW w:w="1261" w:type="pct"/>
            <w:shd w:val="clear" w:color="auto" w:fill="auto"/>
            <w:noWrap w:val="0"/>
            <w:vAlign w:val="center"/>
          </w:tcPr>
          <w:p w14:paraId="3F9D8FD5">
            <w:pPr>
              <w:pStyle w:val="55"/>
              <w:bidi w:val="0"/>
              <w:rPr>
                <w:rFonts w:hint="default" w:ascii="Times New Roman" w:hAnsi="Times New Roman" w:eastAsia="楷体" w:cstheme="minorBidi"/>
                <w:snapToGrid w:val="0"/>
                <w:kern w:val="0"/>
                <w:sz w:val="24"/>
                <w:szCs w:val="24"/>
                <w:lang w:val="en-US" w:eastAsia="zh-CN" w:bidi="ar-SA"/>
              </w:rPr>
            </w:pPr>
            <w:r>
              <w:rPr>
                <w:rFonts w:hint="default"/>
              </w:rPr>
              <w:t>苯并（a）芘（mg/kg）</w:t>
            </w:r>
          </w:p>
        </w:tc>
        <w:tc>
          <w:tcPr>
            <w:tcW w:w="705" w:type="pct"/>
            <w:shd w:val="clear" w:color="auto" w:fill="auto"/>
            <w:noWrap w:val="0"/>
            <w:vAlign w:val="center"/>
          </w:tcPr>
          <w:p w14:paraId="2FCC1147">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1.5</w:t>
            </w:r>
          </w:p>
        </w:tc>
        <w:tc>
          <w:tcPr>
            <w:tcW w:w="624" w:type="pct"/>
            <w:shd w:val="clear" w:color="auto" w:fill="auto"/>
            <w:noWrap w:val="0"/>
            <w:vAlign w:val="center"/>
          </w:tcPr>
          <w:p w14:paraId="3FB4711B">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4915E833">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132DFFA5">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1DB595C8">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6209C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67052F39">
            <w:pPr>
              <w:pStyle w:val="55"/>
              <w:bidi w:val="0"/>
              <w:rPr>
                <w:rFonts w:hint="default"/>
              </w:rPr>
            </w:pPr>
            <w:r>
              <w:rPr>
                <w:rFonts w:hint="default"/>
              </w:rPr>
              <w:t>16</w:t>
            </w:r>
          </w:p>
        </w:tc>
        <w:tc>
          <w:tcPr>
            <w:tcW w:w="1261" w:type="pct"/>
            <w:shd w:val="clear" w:color="auto" w:fill="auto"/>
            <w:noWrap w:val="0"/>
            <w:vAlign w:val="center"/>
          </w:tcPr>
          <w:p w14:paraId="0C7CCA42">
            <w:pPr>
              <w:pStyle w:val="55"/>
              <w:bidi w:val="0"/>
              <w:rPr>
                <w:rFonts w:hint="default" w:ascii="Times New Roman" w:hAnsi="Times New Roman" w:eastAsia="楷体" w:cstheme="minorBidi"/>
                <w:snapToGrid w:val="0"/>
                <w:kern w:val="0"/>
                <w:sz w:val="24"/>
                <w:szCs w:val="24"/>
                <w:lang w:val="en-US" w:eastAsia="zh-CN" w:bidi="ar-SA"/>
              </w:rPr>
            </w:pPr>
            <w:r>
              <w:rPr>
                <w:rFonts w:hint="default"/>
              </w:rPr>
              <w:t>茚并（1,2,3-cd)（mg/kg）</w:t>
            </w:r>
          </w:p>
        </w:tc>
        <w:tc>
          <w:tcPr>
            <w:tcW w:w="705" w:type="pct"/>
            <w:shd w:val="clear" w:color="auto" w:fill="auto"/>
            <w:noWrap w:val="0"/>
            <w:vAlign w:val="center"/>
          </w:tcPr>
          <w:p w14:paraId="661A8A5B">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15</w:t>
            </w:r>
          </w:p>
        </w:tc>
        <w:tc>
          <w:tcPr>
            <w:tcW w:w="624" w:type="pct"/>
            <w:shd w:val="clear" w:color="auto" w:fill="auto"/>
            <w:noWrap w:val="0"/>
            <w:vAlign w:val="center"/>
          </w:tcPr>
          <w:p w14:paraId="0FA062B3">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7084007A">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329566CD">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0DDDF0B8">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402F7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52203F09">
            <w:pPr>
              <w:pStyle w:val="55"/>
              <w:bidi w:val="0"/>
              <w:rPr>
                <w:rFonts w:hint="default"/>
              </w:rPr>
            </w:pPr>
            <w:r>
              <w:rPr>
                <w:rFonts w:hint="default"/>
              </w:rPr>
              <w:t>17</w:t>
            </w:r>
          </w:p>
        </w:tc>
        <w:tc>
          <w:tcPr>
            <w:tcW w:w="1261" w:type="pct"/>
            <w:shd w:val="clear" w:color="auto" w:fill="auto"/>
            <w:noWrap w:val="0"/>
            <w:vAlign w:val="center"/>
          </w:tcPr>
          <w:p w14:paraId="0895DB27">
            <w:pPr>
              <w:pStyle w:val="55"/>
              <w:bidi w:val="0"/>
              <w:rPr>
                <w:rFonts w:hint="default" w:ascii="Times New Roman" w:hAnsi="Times New Roman" w:eastAsia="楷体" w:cstheme="minorBidi"/>
                <w:snapToGrid w:val="0"/>
                <w:kern w:val="0"/>
                <w:sz w:val="24"/>
                <w:szCs w:val="24"/>
                <w:lang w:val="en-US" w:eastAsia="zh-CN" w:bidi="ar-SA"/>
              </w:rPr>
            </w:pPr>
            <w:r>
              <w:rPr>
                <w:rFonts w:hint="default"/>
              </w:rPr>
              <w:t>二苯并（</w:t>
            </w:r>
            <w:r>
              <w:rPr>
                <w:rFonts w:hint="default"/>
                <w:lang w:eastAsia="zh-CN"/>
              </w:rPr>
              <w:t>a,h</w:t>
            </w:r>
            <w:r>
              <w:rPr>
                <w:rFonts w:hint="default"/>
              </w:rPr>
              <w:t>）蒽（mg/kg）</w:t>
            </w:r>
          </w:p>
        </w:tc>
        <w:tc>
          <w:tcPr>
            <w:tcW w:w="705" w:type="pct"/>
            <w:shd w:val="clear" w:color="auto" w:fill="auto"/>
            <w:noWrap w:val="0"/>
            <w:vAlign w:val="center"/>
          </w:tcPr>
          <w:p w14:paraId="7ED995FC">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1.5</w:t>
            </w:r>
          </w:p>
        </w:tc>
        <w:tc>
          <w:tcPr>
            <w:tcW w:w="624" w:type="pct"/>
            <w:shd w:val="clear" w:color="auto" w:fill="auto"/>
            <w:noWrap w:val="0"/>
            <w:vAlign w:val="center"/>
          </w:tcPr>
          <w:p w14:paraId="6A1A8EB9">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3F049502">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5723F7D0">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0DA8D596">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4B7DB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5CA15DBA">
            <w:pPr>
              <w:pStyle w:val="55"/>
              <w:bidi w:val="0"/>
              <w:rPr>
                <w:rFonts w:hint="default"/>
              </w:rPr>
            </w:pPr>
            <w:r>
              <w:rPr>
                <w:rFonts w:hint="default"/>
              </w:rPr>
              <w:t>18</w:t>
            </w:r>
          </w:p>
        </w:tc>
        <w:tc>
          <w:tcPr>
            <w:tcW w:w="1261" w:type="pct"/>
            <w:shd w:val="clear" w:color="auto" w:fill="auto"/>
            <w:noWrap w:val="0"/>
            <w:vAlign w:val="center"/>
          </w:tcPr>
          <w:p w14:paraId="05BD58B7">
            <w:pPr>
              <w:pStyle w:val="55"/>
              <w:bidi w:val="0"/>
              <w:rPr>
                <w:rFonts w:hint="default" w:ascii="Times New Roman" w:hAnsi="Times New Roman" w:eastAsia="楷体" w:cstheme="minorBidi"/>
                <w:snapToGrid w:val="0"/>
                <w:kern w:val="0"/>
                <w:sz w:val="24"/>
                <w:szCs w:val="24"/>
                <w:lang w:val="en-US" w:eastAsia="zh-CN" w:bidi="ar-SA"/>
              </w:rPr>
            </w:pPr>
            <w:r>
              <w:rPr>
                <w:rFonts w:hint="default"/>
              </w:rPr>
              <w:t>苯胺（mg/kg）</w:t>
            </w:r>
          </w:p>
        </w:tc>
        <w:tc>
          <w:tcPr>
            <w:tcW w:w="705" w:type="pct"/>
            <w:shd w:val="clear" w:color="auto" w:fill="auto"/>
            <w:noWrap w:val="0"/>
            <w:vAlign w:val="center"/>
          </w:tcPr>
          <w:p w14:paraId="139D4736">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260</w:t>
            </w:r>
          </w:p>
        </w:tc>
        <w:tc>
          <w:tcPr>
            <w:tcW w:w="624" w:type="pct"/>
            <w:shd w:val="clear" w:color="auto" w:fill="auto"/>
            <w:noWrap w:val="0"/>
            <w:vAlign w:val="center"/>
          </w:tcPr>
          <w:p w14:paraId="2F22F432">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692A3C0F">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3919385D">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0DE6DFF0">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0803C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5021F6A2">
            <w:pPr>
              <w:pStyle w:val="55"/>
              <w:bidi w:val="0"/>
              <w:rPr>
                <w:rFonts w:hint="default"/>
              </w:rPr>
            </w:pPr>
            <w:r>
              <w:rPr>
                <w:rFonts w:hint="default"/>
              </w:rPr>
              <w:t>19</w:t>
            </w:r>
          </w:p>
        </w:tc>
        <w:tc>
          <w:tcPr>
            <w:tcW w:w="1261" w:type="pct"/>
            <w:shd w:val="clear" w:color="auto" w:fill="auto"/>
            <w:noWrap w:val="0"/>
            <w:vAlign w:val="center"/>
          </w:tcPr>
          <w:p w14:paraId="282D1C3F">
            <w:pPr>
              <w:pStyle w:val="55"/>
              <w:bidi w:val="0"/>
              <w:rPr>
                <w:rFonts w:hint="default" w:ascii="Times New Roman" w:hAnsi="Times New Roman" w:eastAsia="楷体" w:cstheme="minorBidi"/>
                <w:snapToGrid w:val="0"/>
                <w:kern w:val="0"/>
                <w:sz w:val="24"/>
                <w:szCs w:val="24"/>
                <w:lang w:val="en-US" w:eastAsia="zh-CN" w:bidi="ar-SA"/>
              </w:rPr>
            </w:pPr>
            <w:r>
              <w:rPr>
                <w:rFonts w:hint="default"/>
              </w:rPr>
              <w:t>氯甲烷（μg/kg）</w:t>
            </w:r>
          </w:p>
        </w:tc>
        <w:tc>
          <w:tcPr>
            <w:tcW w:w="705" w:type="pct"/>
            <w:shd w:val="clear" w:color="auto" w:fill="auto"/>
            <w:noWrap w:val="0"/>
            <w:vAlign w:val="center"/>
          </w:tcPr>
          <w:p w14:paraId="1DA90BC6">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37</w:t>
            </w:r>
          </w:p>
        </w:tc>
        <w:tc>
          <w:tcPr>
            <w:tcW w:w="624" w:type="pct"/>
            <w:shd w:val="clear" w:color="auto" w:fill="auto"/>
            <w:noWrap w:val="0"/>
            <w:vAlign w:val="center"/>
          </w:tcPr>
          <w:p w14:paraId="01D98DE0">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49314FB4">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44E800F0">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0B557D7E">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56CE2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08D35BF4">
            <w:pPr>
              <w:pStyle w:val="55"/>
              <w:bidi w:val="0"/>
              <w:rPr>
                <w:rFonts w:hint="default"/>
              </w:rPr>
            </w:pPr>
            <w:r>
              <w:rPr>
                <w:rFonts w:hint="default"/>
              </w:rPr>
              <w:t>20</w:t>
            </w:r>
          </w:p>
        </w:tc>
        <w:tc>
          <w:tcPr>
            <w:tcW w:w="1261" w:type="pct"/>
            <w:shd w:val="clear" w:color="auto" w:fill="auto"/>
            <w:noWrap w:val="0"/>
            <w:vAlign w:val="center"/>
          </w:tcPr>
          <w:p w14:paraId="2388BA10">
            <w:pPr>
              <w:pStyle w:val="55"/>
              <w:bidi w:val="0"/>
              <w:rPr>
                <w:rFonts w:hint="default" w:ascii="Times New Roman" w:hAnsi="Times New Roman" w:eastAsia="楷体" w:cstheme="minorBidi"/>
                <w:snapToGrid w:val="0"/>
                <w:kern w:val="0"/>
                <w:sz w:val="24"/>
                <w:szCs w:val="24"/>
                <w:lang w:val="en-US" w:eastAsia="zh-CN" w:bidi="ar-SA"/>
              </w:rPr>
            </w:pPr>
            <w:r>
              <w:rPr>
                <w:rFonts w:hint="default"/>
              </w:rPr>
              <w:t>氯乙烯（μg/kg）</w:t>
            </w:r>
          </w:p>
        </w:tc>
        <w:tc>
          <w:tcPr>
            <w:tcW w:w="705" w:type="pct"/>
            <w:shd w:val="clear" w:color="auto" w:fill="auto"/>
            <w:noWrap w:val="0"/>
            <w:vAlign w:val="center"/>
          </w:tcPr>
          <w:p w14:paraId="6AABE395">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0.43</w:t>
            </w:r>
          </w:p>
        </w:tc>
        <w:tc>
          <w:tcPr>
            <w:tcW w:w="624" w:type="pct"/>
            <w:shd w:val="clear" w:color="auto" w:fill="auto"/>
            <w:noWrap w:val="0"/>
            <w:vAlign w:val="center"/>
          </w:tcPr>
          <w:p w14:paraId="12FE13BF">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7D8C4F24">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5BF09EB3">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756F37B2">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1E55F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4BE60C61">
            <w:pPr>
              <w:pStyle w:val="55"/>
              <w:bidi w:val="0"/>
              <w:rPr>
                <w:rFonts w:hint="default"/>
              </w:rPr>
            </w:pPr>
            <w:r>
              <w:rPr>
                <w:rFonts w:hint="default"/>
              </w:rPr>
              <w:t>21</w:t>
            </w:r>
          </w:p>
        </w:tc>
        <w:tc>
          <w:tcPr>
            <w:tcW w:w="1261" w:type="pct"/>
            <w:shd w:val="clear" w:color="auto" w:fill="auto"/>
            <w:noWrap w:val="0"/>
            <w:vAlign w:val="center"/>
          </w:tcPr>
          <w:p w14:paraId="1EA84E89">
            <w:pPr>
              <w:pStyle w:val="55"/>
              <w:bidi w:val="0"/>
              <w:rPr>
                <w:rFonts w:hint="default" w:ascii="Times New Roman" w:hAnsi="Times New Roman" w:eastAsia="楷体" w:cstheme="minorBidi"/>
                <w:snapToGrid w:val="0"/>
                <w:kern w:val="0"/>
                <w:sz w:val="24"/>
                <w:szCs w:val="24"/>
                <w:lang w:val="en-US" w:eastAsia="zh-CN" w:bidi="ar-SA"/>
              </w:rPr>
            </w:pPr>
            <w:r>
              <w:rPr>
                <w:rFonts w:hint="default"/>
              </w:rPr>
              <w:t>1,1-二氯乙烯（μg/kg）</w:t>
            </w:r>
          </w:p>
        </w:tc>
        <w:tc>
          <w:tcPr>
            <w:tcW w:w="705" w:type="pct"/>
            <w:shd w:val="clear" w:color="auto" w:fill="auto"/>
            <w:noWrap w:val="0"/>
            <w:vAlign w:val="center"/>
          </w:tcPr>
          <w:p w14:paraId="3A07C412">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9</w:t>
            </w:r>
          </w:p>
        </w:tc>
        <w:tc>
          <w:tcPr>
            <w:tcW w:w="624" w:type="pct"/>
            <w:shd w:val="clear" w:color="auto" w:fill="auto"/>
            <w:noWrap w:val="0"/>
            <w:vAlign w:val="center"/>
          </w:tcPr>
          <w:p w14:paraId="248EC26F">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15ED8953">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0A7C6CDC">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3AA455C6">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1F3E7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0FDACEA8">
            <w:pPr>
              <w:pStyle w:val="55"/>
              <w:bidi w:val="0"/>
              <w:rPr>
                <w:rFonts w:hint="default"/>
              </w:rPr>
            </w:pPr>
            <w:r>
              <w:rPr>
                <w:rFonts w:hint="default"/>
              </w:rPr>
              <w:t>22</w:t>
            </w:r>
          </w:p>
        </w:tc>
        <w:tc>
          <w:tcPr>
            <w:tcW w:w="1261" w:type="pct"/>
            <w:shd w:val="clear" w:color="auto" w:fill="auto"/>
            <w:noWrap w:val="0"/>
            <w:vAlign w:val="center"/>
          </w:tcPr>
          <w:p w14:paraId="08D00B09">
            <w:pPr>
              <w:pStyle w:val="55"/>
              <w:bidi w:val="0"/>
              <w:rPr>
                <w:rFonts w:hint="default" w:ascii="Times New Roman" w:hAnsi="Times New Roman" w:eastAsia="楷体" w:cstheme="minorBidi"/>
                <w:snapToGrid w:val="0"/>
                <w:kern w:val="0"/>
                <w:sz w:val="24"/>
                <w:szCs w:val="24"/>
                <w:lang w:val="en-US" w:eastAsia="zh-CN" w:bidi="ar-SA"/>
              </w:rPr>
            </w:pPr>
            <w:r>
              <w:rPr>
                <w:rFonts w:hint="default"/>
              </w:rPr>
              <w:t>二氯甲烷（μg/kg）</w:t>
            </w:r>
          </w:p>
        </w:tc>
        <w:tc>
          <w:tcPr>
            <w:tcW w:w="705" w:type="pct"/>
            <w:shd w:val="clear" w:color="auto" w:fill="auto"/>
            <w:noWrap w:val="0"/>
            <w:vAlign w:val="center"/>
          </w:tcPr>
          <w:p w14:paraId="4C0EBFD9">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616</w:t>
            </w:r>
          </w:p>
        </w:tc>
        <w:tc>
          <w:tcPr>
            <w:tcW w:w="624" w:type="pct"/>
            <w:shd w:val="clear" w:color="auto" w:fill="auto"/>
            <w:noWrap w:val="0"/>
            <w:vAlign w:val="center"/>
          </w:tcPr>
          <w:p w14:paraId="40FFA588">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5081C575">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3310C9BB">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2A9C24B9">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3531E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1F9BEBD2">
            <w:pPr>
              <w:pStyle w:val="55"/>
              <w:bidi w:val="0"/>
              <w:rPr>
                <w:rFonts w:hint="default"/>
              </w:rPr>
            </w:pPr>
            <w:r>
              <w:rPr>
                <w:rFonts w:hint="default"/>
              </w:rPr>
              <w:t>23</w:t>
            </w:r>
          </w:p>
        </w:tc>
        <w:tc>
          <w:tcPr>
            <w:tcW w:w="1261" w:type="pct"/>
            <w:shd w:val="clear" w:color="auto" w:fill="auto"/>
            <w:noWrap w:val="0"/>
            <w:vAlign w:val="center"/>
          </w:tcPr>
          <w:p w14:paraId="489E92B4">
            <w:pPr>
              <w:pStyle w:val="55"/>
              <w:bidi w:val="0"/>
              <w:rPr>
                <w:rFonts w:hint="default" w:ascii="Times New Roman" w:hAnsi="Times New Roman" w:eastAsia="楷体" w:cstheme="minorBidi"/>
                <w:snapToGrid w:val="0"/>
                <w:kern w:val="0"/>
                <w:sz w:val="24"/>
                <w:szCs w:val="24"/>
                <w:lang w:val="en-US" w:eastAsia="zh-CN" w:bidi="ar-SA"/>
              </w:rPr>
            </w:pPr>
            <w:r>
              <w:rPr>
                <w:rFonts w:hint="default"/>
              </w:rPr>
              <w:t>反式-1,2-二氯乙烯（μg/kg）</w:t>
            </w:r>
          </w:p>
        </w:tc>
        <w:tc>
          <w:tcPr>
            <w:tcW w:w="705" w:type="pct"/>
            <w:shd w:val="clear" w:color="auto" w:fill="auto"/>
            <w:noWrap w:val="0"/>
            <w:vAlign w:val="center"/>
          </w:tcPr>
          <w:p w14:paraId="46E28220">
            <w:pPr>
              <w:pStyle w:val="55"/>
              <w:bidi w:val="0"/>
              <w:rPr>
                <w:rFonts w:hint="eastAsia" w:ascii="Times New Roman" w:hAnsi="Times New Roman" w:eastAsia="楷体" w:cstheme="minorBidi"/>
                <w:snapToGrid w:val="0"/>
                <w:kern w:val="0"/>
                <w:sz w:val="24"/>
                <w:szCs w:val="24"/>
                <w:lang w:val="en-US" w:eastAsia="zh-CN" w:bidi="ar-SA"/>
              </w:rPr>
            </w:pPr>
            <w:r>
              <w:rPr>
                <w:rFonts w:hint="eastAsia"/>
                <w:lang w:val="en-US" w:eastAsia="zh-CN"/>
              </w:rPr>
              <w:t>54</w:t>
            </w:r>
          </w:p>
        </w:tc>
        <w:tc>
          <w:tcPr>
            <w:tcW w:w="624" w:type="pct"/>
            <w:shd w:val="clear" w:color="auto" w:fill="auto"/>
            <w:noWrap w:val="0"/>
            <w:vAlign w:val="center"/>
          </w:tcPr>
          <w:p w14:paraId="5FC8D10A">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515C682E">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4BA409C5">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4C7E6CF3">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1F228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22992147">
            <w:pPr>
              <w:pStyle w:val="55"/>
              <w:bidi w:val="0"/>
              <w:rPr>
                <w:rFonts w:hint="default"/>
              </w:rPr>
            </w:pPr>
            <w:r>
              <w:rPr>
                <w:rFonts w:hint="default"/>
              </w:rPr>
              <w:t>24</w:t>
            </w:r>
          </w:p>
        </w:tc>
        <w:tc>
          <w:tcPr>
            <w:tcW w:w="1261" w:type="pct"/>
            <w:shd w:val="clear" w:color="auto" w:fill="auto"/>
            <w:noWrap w:val="0"/>
            <w:vAlign w:val="center"/>
          </w:tcPr>
          <w:p w14:paraId="3C39E0A6">
            <w:pPr>
              <w:pStyle w:val="55"/>
              <w:bidi w:val="0"/>
              <w:rPr>
                <w:rFonts w:hint="default" w:ascii="Times New Roman" w:hAnsi="Times New Roman" w:eastAsia="楷体" w:cstheme="minorBidi"/>
                <w:snapToGrid w:val="0"/>
                <w:kern w:val="0"/>
                <w:sz w:val="24"/>
                <w:szCs w:val="24"/>
                <w:lang w:val="en-US" w:eastAsia="zh-CN" w:bidi="ar-SA"/>
              </w:rPr>
            </w:pPr>
            <w:r>
              <w:rPr>
                <w:rFonts w:hint="default"/>
              </w:rPr>
              <w:t>1,1-二氯乙烷（μg/kg）</w:t>
            </w:r>
          </w:p>
        </w:tc>
        <w:tc>
          <w:tcPr>
            <w:tcW w:w="705" w:type="pct"/>
            <w:shd w:val="clear" w:color="auto" w:fill="auto"/>
            <w:noWrap w:val="0"/>
            <w:vAlign w:val="center"/>
          </w:tcPr>
          <w:p w14:paraId="38488614">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9</w:t>
            </w:r>
          </w:p>
        </w:tc>
        <w:tc>
          <w:tcPr>
            <w:tcW w:w="624" w:type="pct"/>
            <w:shd w:val="clear" w:color="auto" w:fill="auto"/>
            <w:noWrap w:val="0"/>
            <w:vAlign w:val="center"/>
          </w:tcPr>
          <w:p w14:paraId="4ADD6F71">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6A179729">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53312350">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64EF9D3D">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4E67C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61B15614">
            <w:pPr>
              <w:pStyle w:val="55"/>
              <w:bidi w:val="0"/>
              <w:rPr>
                <w:rFonts w:hint="default"/>
              </w:rPr>
            </w:pPr>
            <w:r>
              <w:rPr>
                <w:rFonts w:hint="default"/>
              </w:rPr>
              <w:t>25</w:t>
            </w:r>
          </w:p>
        </w:tc>
        <w:tc>
          <w:tcPr>
            <w:tcW w:w="1261" w:type="pct"/>
            <w:shd w:val="clear" w:color="auto" w:fill="auto"/>
            <w:noWrap w:val="0"/>
            <w:vAlign w:val="center"/>
          </w:tcPr>
          <w:p w14:paraId="5F07076B">
            <w:pPr>
              <w:pStyle w:val="55"/>
              <w:bidi w:val="0"/>
              <w:rPr>
                <w:rFonts w:hint="default" w:ascii="Times New Roman" w:hAnsi="Times New Roman" w:eastAsia="楷体" w:cstheme="minorBidi"/>
                <w:snapToGrid w:val="0"/>
                <w:kern w:val="0"/>
                <w:sz w:val="24"/>
                <w:szCs w:val="24"/>
                <w:lang w:val="en-US" w:eastAsia="zh-CN" w:bidi="ar-SA"/>
              </w:rPr>
            </w:pPr>
            <w:r>
              <w:rPr>
                <w:rFonts w:hint="default"/>
              </w:rPr>
              <w:t>顺式-1,2-二氯乙烯（μg/kg）</w:t>
            </w:r>
          </w:p>
        </w:tc>
        <w:tc>
          <w:tcPr>
            <w:tcW w:w="705" w:type="pct"/>
            <w:shd w:val="clear" w:color="auto" w:fill="auto"/>
            <w:noWrap w:val="0"/>
            <w:vAlign w:val="center"/>
          </w:tcPr>
          <w:p w14:paraId="0ED5A399">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596</w:t>
            </w:r>
          </w:p>
        </w:tc>
        <w:tc>
          <w:tcPr>
            <w:tcW w:w="624" w:type="pct"/>
            <w:shd w:val="clear" w:color="auto" w:fill="auto"/>
            <w:noWrap w:val="0"/>
            <w:vAlign w:val="center"/>
          </w:tcPr>
          <w:p w14:paraId="3B1AB1C2">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69F23A23">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6323BF2A">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4F423664">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2ECD2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2714A726">
            <w:pPr>
              <w:pStyle w:val="55"/>
              <w:bidi w:val="0"/>
              <w:rPr>
                <w:rFonts w:hint="default"/>
              </w:rPr>
            </w:pPr>
            <w:r>
              <w:rPr>
                <w:rFonts w:hint="default"/>
              </w:rPr>
              <w:t>26</w:t>
            </w:r>
          </w:p>
        </w:tc>
        <w:tc>
          <w:tcPr>
            <w:tcW w:w="1261" w:type="pct"/>
            <w:shd w:val="clear" w:color="auto" w:fill="auto"/>
            <w:noWrap w:val="0"/>
            <w:vAlign w:val="center"/>
          </w:tcPr>
          <w:p w14:paraId="39303A5A">
            <w:pPr>
              <w:pStyle w:val="55"/>
              <w:bidi w:val="0"/>
              <w:rPr>
                <w:rFonts w:hint="default" w:ascii="Times New Roman" w:hAnsi="Times New Roman" w:eastAsia="楷体" w:cstheme="minorBidi"/>
                <w:snapToGrid w:val="0"/>
                <w:kern w:val="0"/>
                <w:sz w:val="24"/>
                <w:szCs w:val="24"/>
                <w:lang w:val="en-US" w:eastAsia="zh-CN" w:bidi="ar-SA"/>
              </w:rPr>
            </w:pPr>
            <w:r>
              <w:rPr>
                <w:rFonts w:hint="default"/>
              </w:rPr>
              <w:t>氯仿（μg/kg）</w:t>
            </w:r>
          </w:p>
        </w:tc>
        <w:tc>
          <w:tcPr>
            <w:tcW w:w="705" w:type="pct"/>
            <w:shd w:val="clear" w:color="auto" w:fill="auto"/>
            <w:noWrap w:val="0"/>
            <w:vAlign w:val="center"/>
          </w:tcPr>
          <w:p w14:paraId="225C1B61">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0.9</w:t>
            </w:r>
          </w:p>
        </w:tc>
        <w:tc>
          <w:tcPr>
            <w:tcW w:w="624" w:type="pct"/>
            <w:shd w:val="clear" w:color="auto" w:fill="auto"/>
            <w:noWrap w:val="0"/>
            <w:vAlign w:val="center"/>
          </w:tcPr>
          <w:p w14:paraId="28274A18">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5F71C922">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1FEED9D7">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16516C34">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45756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049560AB">
            <w:pPr>
              <w:pStyle w:val="55"/>
              <w:bidi w:val="0"/>
              <w:rPr>
                <w:rFonts w:hint="default"/>
              </w:rPr>
            </w:pPr>
            <w:r>
              <w:rPr>
                <w:rFonts w:hint="default"/>
              </w:rPr>
              <w:t>27</w:t>
            </w:r>
          </w:p>
        </w:tc>
        <w:tc>
          <w:tcPr>
            <w:tcW w:w="1261" w:type="pct"/>
            <w:shd w:val="clear" w:color="auto" w:fill="auto"/>
            <w:noWrap w:val="0"/>
            <w:vAlign w:val="center"/>
          </w:tcPr>
          <w:p w14:paraId="5698B648">
            <w:pPr>
              <w:pStyle w:val="55"/>
              <w:bidi w:val="0"/>
              <w:rPr>
                <w:rFonts w:hint="default" w:ascii="Times New Roman" w:hAnsi="Times New Roman" w:eastAsia="楷体" w:cstheme="minorBidi"/>
                <w:snapToGrid w:val="0"/>
                <w:kern w:val="0"/>
                <w:sz w:val="24"/>
                <w:szCs w:val="24"/>
                <w:lang w:val="en-US" w:eastAsia="zh-CN" w:bidi="ar-SA"/>
              </w:rPr>
            </w:pPr>
            <w:r>
              <w:rPr>
                <w:rFonts w:hint="default"/>
              </w:rPr>
              <w:t>1,1,1-三氯乙烷（μg/kg）</w:t>
            </w:r>
          </w:p>
        </w:tc>
        <w:tc>
          <w:tcPr>
            <w:tcW w:w="705" w:type="pct"/>
            <w:shd w:val="clear" w:color="auto" w:fill="auto"/>
            <w:noWrap w:val="0"/>
            <w:vAlign w:val="center"/>
          </w:tcPr>
          <w:p w14:paraId="597448C6">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840</w:t>
            </w:r>
          </w:p>
        </w:tc>
        <w:tc>
          <w:tcPr>
            <w:tcW w:w="624" w:type="pct"/>
            <w:shd w:val="clear" w:color="auto" w:fill="auto"/>
            <w:noWrap w:val="0"/>
            <w:vAlign w:val="center"/>
          </w:tcPr>
          <w:p w14:paraId="2DD59BFC">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38EB2610">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4A872997">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67195AB5">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158D4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78F21823">
            <w:pPr>
              <w:pStyle w:val="55"/>
              <w:bidi w:val="0"/>
              <w:rPr>
                <w:rFonts w:hint="default"/>
              </w:rPr>
            </w:pPr>
            <w:r>
              <w:rPr>
                <w:rFonts w:hint="default"/>
              </w:rPr>
              <w:t>28</w:t>
            </w:r>
          </w:p>
        </w:tc>
        <w:tc>
          <w:tcPr>
            <w:tcW w:w="1261" w:type="pct"/>
            <w:shd w:val="clear" w:color="auto" w:fill="auto"/>
            <w:noWrap w:val="0"/>
            <w:vAlign w:val="center"/>
          </w:tcPr>
          <w:p w14:paraId="39863F62">
            <w:pPr>
              <w:pStyle w:val="55"/>
              <w:bidi w:val="0"/>
              <w:rPr>
                <w:rFonts w:hint="default" w:ascii="Times New Roman" w:hAnsi="Times New Roman" w:eastAsia="楷体" w:cstheme="minorBidi"/>
                <w:snapToGrid w:val="0"/>
                <w:kern w:val="0"/>
                <w:sz w:val="24"/>
                <w:szCs w:val="24"/>
                <w:lang w:val="en-US" w:eastAsia="zh-CN" w:bidi="ar-SA"/>
              </w:rPr>
            </w:pPr>
            <w:r>
              <w:rPr>
                <w:rFonts w:hint="default"/>
              </w:rPr>
              <w:t>四氯化碳（μg/kg）</w:t>
            </w:r>
          </w:p>
        </w:tc>
        <w:tc>
          <w:tcPr>
            <w:tcW w:w="705" w:type="pct"/>
            <w:shd w:val="clear" w:color="auto" w:fill="auto"/>
            <w:noWrap w:val="0"/>
            <w:vAlign w:val="center"/>
          </w:tcPr>
          <w:p w14:paraId="6CBAEB5A">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2.8</w:t>
            </w:r>
          </w:p>
        </w:tc>
        <w:tc>
          <w:tcPr>
            <w:tcW w:w="624" w:type="pct"/>
            <w:shd w:val="clear" w:color="auto" w:fill="auto"/>
            <w:noWrap w:val="0"/>
            <w:vAlign w:val="center"/>
          </w:tcPr>
          <w:p w14:paraId="58227139">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596C568B">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68E64277">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6594E08B">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6B403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70152455">
            <w:pPr>
              <w:pStyle w:val="55"/>
              <w:bidi w:val="0"/>
              <w:rPr>
                <w:rFonts w:hint="default"/>
              </w:rPr>
            </w:pPr>
            <w:r>
              <w:rPr>
                <w:rFonts w:hint="default"/>
              </w:rPr>
              <w:t>29</w:t>
            </w:r>
          </w:p>
        </w:tc>
        <w:tc>
          <w:tcPr>
            <w:tcW w:w="1261" w:type="pct"/>
            <w:shd w:val="clear" w:color="auto" w:fill="auto"/>
            <w:noWrap w:val="0"/>
            <w:vAlign w:val="center"/>
          </w:tcPr>
          <w:p w14:paraId="42F36329">
            <w:pPr>
              <w:pStyle w:val="55"/>
              <w:bidi w:val="0"/>
              <w:rPr>
                <w:rFonts w:hint="default" w:ascii="Times New Roman" w:hAnsi="Times New Roman" w:eastAsia="楷体" w:cstheme="minorBidi"/>
                <w:snapToGrid w:val="0"/>
                <w:kern w:val="0"/>
                <w:sz w:val="24"/>
                <w:szCs w:val="24"/>
                <w:lang w:val="en-US" w:eastAsia="zh-CN" w:bidi="ar-SA"/>
              </w:rPr>
            </w:pPr>
            <w:r>
              <w:rPr>
                <w:rFonts w:hint="default"/>
              </w:rPr>
              <w:t>苯（μg/kg）</w:t>
            </w:r>
          </w:p>
        </w:tc>
        <w:tc>
          <w:tcPr>
            <w:tcW w:w="705" w:type="pct"/>
            <w:shd w:val="clear" w:color="auto" w:fill="auto"/>
            <w:noWrap w:val="0"/>
            <w:vAlign w:val="center"/>
          </w:tcPr>
          <w:p w14:paraId="5EE1CF28">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4</w:t>
            </w:r>
          </w:p>
        </w:tc>
        <w:tc>
          <w:tcPr>
            <w:tcW w:w="624" w:type="pct"/>
            <w:shd w:val="clear" w:color="auto" w:fill="auto"/>
            <w:noWrap w:val="0"/>
            <w:vAlign w:val="center"/>
          </w:tcPr>
          <w:p w14:paraId="1CB728A0">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4D32D3BB">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36122608">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27881406">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5E448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18EF3D47">
            <w:pPr>
              <w:pStyle w:val="55"/>
              <w:bidi w:val="0"/>
              <w:rPr>
                <w:rFonts w:hint="default"/>
              </w:rPr>
            </w:pPr>
            <w:r>
              <w:rPr>
                <w:rFonts w:hint="default"/>
              </w:rPr>
              <w:t>30</w:t>
            </w:r>
          </w:p>
        </w:tc>
        <w:tc>
          <w:tcPr>
            <w:tcW w:w="1261" w:type="pct"/>
            <w:shd w:val="clear" w:color="auto" w:fill="auto"/>
            <w:noWrap w:val="0"/>
            <w:vAlign w:val="center"/>
          </w:tcPr>
          <w:p w14:paraId="4B0A75EB">
            <w:pPr>
              <w:pStyle w:val="55"/>
              <w:bidi w:val="0"/>
              <w:rPr>
                <w:rFonts w:hint="default" w:ascii="Times New Roman" w:hAnsi="Times New Roman" w:eastAsia="楷体" w:cstheme="minorBidi"/>
                <w:snapToGrid w:val="0"/>
                <w:kern w:val="0"/>
                <w:sz w:val="24"/>
                <w:szCs w:val="24"/>
                <w:lang w:val="en-US" w:eastAsia="zh-CN" w:bidi="ar-SA"/>
              </w:rPr>
            </w:pPr>
            <w:r>
              <w:rPr>
                <w:rFonts w:hint="default"/>
              </w:rPr>
              <w:t>1,2-二氯乙烷（μg/kg）</w:t>
            </w:r>
          </w:p>
        </w:tc>
        <w:tc>
          <w:tcPr>
            <w:tcW w:w="705" w:type="pct"/>
            <w:shd w:val="clear" w:color="auto" w:fill="auto"/>
            <w:noWrap w:val="0"/>
            <w:vAlign w:val="center"/>
          </w:tcPr>
          <w:p w14:paraId="11799C6F">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5</w:t>
            </w:r>
          </w:p>
        </w:tc>
        <w:tc>
          <w:tcPr>
            <w:tcW w:w="624" w:type="pct"/>
            <w:shd w:val="clear" w:color="auto" w:fill="auto"/>
            <w:noWrap w:val="0"/>
            <w:vAlign w:val="center"/>
          </w:tcPr>
          <w:p w14:paraId="1C57156F">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1C266F8D">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6CE44203">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7FDE208A">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43C94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0927C82E">
            <w:pPr>
              <w:pStyle w:val="55"/>
              <w:bidi w:val="0"/>
              <w:rPr>
                <w:rFonts w:hint="default"/>
              </w:rPr>
            </w:pPr>
            <w:r>
              <w:rPr>
                <w:rFonts w:hint="default"/>
              </w:rPr>
              <w:t>31</w:t>
            </w:r>
          </w:p>
        </w:tc>
        <w:tc>
          <w:tcPr>
            <w:tcW w:w="1261" w:type="pct"/>
            <w:shd w:val="clear" w:color="auto" w:fill="auto"/>
            <w:noWrap w:val="0"/>
            <w:vAlign w:val="center"/>
          </w:tcPr>
          <w:p w14:paraId="3A809FEE">
            <w:pPr>
              <w:pStyle w:val="55"/>
              <w:bidi w:val="0"/>
              <w:rPr>
                <w:rFonts w:hint="default" w:ascii="Times New Roman" w:hAnsi="Times New Roman" w:eastAsia="楷体" w:cstheme="minorBidi"/>
                <w:snapToGrid w:val="0"/>
                <w:kern w:val="0"/>
                <w:sz w:val="24"/>
                <w:szCs w:val="24"/>
                <w:lang w:val="en-US" w:eastAsia="zh-CN" w:bidi="ar-SA"/>
              </w:rPr>
            </w:pPr>
            <w:r>
              <w:rPr>
                <w:rFonts w:hint="default"/>
              </w:rPr>
              <w:t>三氯乙烯（μg/kg）</w:t>
            </w:r>
          </w:p>
        </w:tc>
        <w:tc>
          <w:tcPr>
            <w:tcW w:w="705" w:type="pct"/>
            <w:shd w:val="clear" w:color="auto" w:fill="auto"/>
            <w:noWrap w:val="0"/>
            <w:vAlign w:val="center"/>
          </w:tcPr>
          <w:p w14:paraId="0EFD8C3E">
            <w:pPr>
              <w:pStyle w:val="55"/>
              <w:bidi w:val="0"/>
              <w:rPr>
                <w:rFonts w:hint="eastAsia" w:ascii="Times New Roman" w:hAnsi="Times New Roman" w:eastAsia="楷体" w:cstheme="minorBidi"/>
                <w:snapToGrid w:val="0"/>
                <w:kern w:val="0"/>
                <w:sz w:val="24"/>
                <w:szCs w:val="24"/>
                <w:lang w:val="en-US" w:eastAsia="zh-CN" w:bidi="ar-SA"/>
              </w:rPr>
            </w:pPr>
            <w:r>
              <w:rPr>
                <w:rFonts w:hint="eastAsia"/>
                <w:lang w:val="en-US" w:eastAsia="zh-CN"/>
              </w:rPr>
              <w:t>2.8</w:t>
            </w:r>
          </w:p>
        </w:tc>
        <w:tc>
          <w:tcPr>
            <w:tcW w:w="624" w:type="pct"/>
            <w:shd w:val="clear" w:color="auto" w:fill="auto"/>
            <w:noWrap w:val="0"/>
            <w:vAlign w:val="center"/>
          </w:tcPr>
          <w:p w14:paraId="3C4AB21B">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6E8C7570">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11862AC4">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7AAF2703">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4036D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5951C92F">
            <w:pPr>
              <w:pStyle w:val="55"/>
              <w:bidi w:val="0"/>
              <w:rPr>
                <w:rFonts w:hint="default"/>
              </w:rPr>
            </w:pPr>
            <w:r>
              <w:rPr>
                <w:rFonts w:hint="default"/>
              </w:rPr>
              <w:t>32</w:t>
            </w:r>
          </w:p>
        </w:tc>
        <w:tc>
          <w:tcPr>
            <w:tcW w:w="1261" w:type="pct"/>
            <w:shd w:val="clear" w:color="auto" w:fill="auto"/>
            <w:noWrap w:val="0"/>
            <w:vAlign w:val="center"/>
          </w:tcPr>
          <w:p w14:paraId="35710223">
            <w:pPr>
              <w:pStyle w:val="55"/>
              <w:bidi w:val="0"/>
              <w:rPr>
                <w:rFonts w:hint="default" w:ascii="Times New Roman" w:hAnsi="Times New Roman" w:eastAsia="楷体" w:cstheme="minorBidi"/>
                <w:snapToGrid w:val="0"/>
                <w:kern w:val="0"/>
                <w:sz w:val="24"/>
                <w:szCs w:val="24"/>
                <w:lang w:val="en-US" w:eastAsia="zh-CN" w:bidi="ar-SA"/>
              </w:rPr>
            </w:pPr>
            <w:r>
              <w:rPr>
                <w:rFonts w:hint="default"/>
              </w:rPr>
              <w:t>1,2-二氯丙烷（μg/kg）</w:t>
            </w:r>
          </w:p>
        </w:tc>
        <w:tc>
          <w:tcPr>
            <w:tcW w:w="705" w:type="pct"/>
            <w:shd w:val="clear" w:color="auto" w:fill="auto"/>
            <w:noWrap w:val="0"/>
            <w:vAlign w:val="center"/>
          </w:tcPr>
          <w:p w14:paraId="123F3663">
            <w:pPr>
              <w:pStyle w:val="55"/>
              <w:bidi w:val="0"/>
              <w:rPr>
                <w:rFonts w:hint="eastAsia" w:ascii="Times New Roman" w:hAnsi="Times New Roman" w:eastAsia="楷体" w:cstheme="minorBidi"/>
                <w:snapToGrid w:val="0"/>
                <w:kern w:val="0"/>
                <w:sz w:val="24"/>
                <w:szCs w:val="24"/>
                <w:lang w:val="en-US" w:eastAsia="zh-CN" w:bidi="ar-SA"/>
              </w:rPr>
            </w:pPr>
            <w:r>
              <w:rPr>
                <w:rFonts w:hint="eastAsia"/>
                <w:lang w:val="en-US" w:eastAsia="zh-CN"/>
              </w:rPr>
              <w:t>5</w:t>
            </w:r>
          </w:p>
        </w:tc>
        <w:tc>
          <w:tcPr>
            <w:tcW w:w="624" w:type="pct"/>
            <w:shd w:val="clear" w:color="auto" w:fill="auto"/>
            <w:noWrap w:val="0"/>
            <w:vAlign w:val="center"/>
          </w:tcPr>
          <w:p w14:paraId="5667B311">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05958BB1">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32FCD68A">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2316695E">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158E8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7183193A">
            <w:pPr>
              <w:pStyle w:val="55"/>
              <w:bidi w:val="0"/>
              <w:rPr>
                <w:rFonts w:hint="default"/>
              </w:rPr>
            </w:pPr>
            <w:r>
              <w:rPr>
                <w:rFonts w:hint="default"/>
              </w:rPr>
              <w:t>33</w:t>
            </w:r>
          </w:p>
        </w:tc>
        <w:tc>
          <w:tcPr>
            <w:tcW w:w="1261" w:type="pct"/>
            <w:shd w:val="clear" w:color="auto" w:fill="auto"/>
            <w:noWrap w:val="0"/>
            <w:vAlign w:val="center"/>
          </w:tcPr>
          <w:p w14:paraId="223FB977">
            <w:pPr>
              <w:pStyle w:val="55"/>
              <w:bidi w:val="0"/>
              <w:rPr>
                <w:rFonts w:hint="default" w:ascii="Times New Roman" w:hAnsi="Times New Roman" w:eastAsia="楷体" w:cstheme="minorBidi"/>
                <w:snapToGrid w:val="0"/>
                <w:kern w:val="0"/>
                <w:sz w:val="24"/>
                <w:szCs w:val="24"/>
                <w:lang w:val="en-US" w:eastAsia="zh-CN" w:bidi="ar-SA"/>
              </w:rPr>
            </w:pPr>
            <w:r>
              <w:rPr>
                <w:rFonts w:hint="default"/>
              </w:rPr>
              <w:t>甲苯（μg/kg）</w:t>
            </w:r>
          </w:p>
        </w:tc>
        <w:tc>
          <w:tcPr>
            <w:tcW w:w="705" w:type="pct"/>
            <w:shd w:val="clear" w:color="auto" w:fill="auto"/>
            <w:noWrap w:val="0"/>
            <w:vAlign w:val="center"/>
          </w:tcPr>
          <w:p w14:paraId="71F18FCA">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1200</w:t>
            </w:r>
          </w:p>
        </w:tc>
        <w:tc>
          <w:tcPr>
            <w:tcW w:w="624" w:type="pct"/>
            <w:shd w:val="clear" w:color="auto" w:fill="auto"/>
            <w:noWrap w:val="0"/>
            <w:vAlign w:val="center"/>
          </w:tcPr>
          <w:p w14:paraId="67C61546">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06DB88CF">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7E483603">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7703FFB0">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5B6C2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6D9CCFA7">
            <w:pPr>
              <w:pStyle w:val="55"/>
              <w:bidi w:val="0"/>
              <w:rPr>
                <w:rFonts w:hint="default"/>
              </w:rPr>
            </w:pPr>
            <w:r>
              <w:rPr>
                <w:rFonts w:hint="default"/>
              </w:rPr>
              <w:t>34</w:t>
            </w:r>
          </w:p>
        </w:tc>
        <w:tc>
          <w:tcPr>
            <w:tcW w:w="1261" w:type="pct"/>
            <w:shd w:val="clear" w:color="auto" w:fill="auto"/>
            <w:noWrap w:val="0"/>
            <w:vAlign w:val="center"/>
          </w:tcPr>
          <w:p w14:paraId="3CF54393">
            <w:pPr>
              <w:pStyle w:val="55"/>
              <w:bidi w:val="0"/>
              <w:rPr>
                <w:rFonts w:hint="default" w:ascii="Times New Roman" w:hAnsi="Times New Roman" w:eastAsia="楷体" w:cstheme="minorBidi"/>
                <w:snapToGrid w:val="0"/>
                <w:kern w:val="0"/>
                <w:sz w:val="24"/>
                <w:szCs w:val="24"/>
                <w:lang w:val="en-US" w:eastAsia="zh-CN" w:bidi="ar-SA"/>
              </w:rPr>
            </w:pPr>
            <w:r>
              <w:rPr>
                <w:rFonts w:hint="default"/>
              </w:rPr>
              <w:t>1,1,2-三氯乙烷（μg/kg）</w:t>
            </w:r>
          </w:p>
        </w:tc>
        <w:tc>
          <w:tcPr>
            <w:tcW w:w="705" w:type="pct"/>
            <w:shd w:val="clear" w:color="auto" w:fill="auto"/>
            <w:noWrap w:val="0"/>
            <w:vAlign w:val="center"/>
          </w:tcPr>
          <w:p w14:paraId="0ABD0498">
            <w:pPr>
              <w:pStyle w:val="55"/>
              <w:bidi w:val="0"/>
              <w:rPr>
                <w:rFonts w:hint="eastAsia" w:ascii="Times New Roman" w:hAnsi="Times New Roman" w:eastAsia="楷体" w:cstheme="minorBidi"/>
                <w:snapToGrid w:val="0"/>
                <w:kern w:val="0"/>
                <w:sz w:val="24"/>
                <w:szCs w:val="24"/>
                <w:lang w:val="en-US" w:eastAsia="zh-CN" w:bidi="ar-SA"/>
              </w:rPr>
            </w:pPr>
            <w:r>
              <w:rPr>
                <w:rFonts w:hint="eastAsia"/>
                <w:lang w:val="en-US" w:eastAsia="zh-CN"/>
              </w:rPr>
              <w:t>2.8</w:t>
            </w:r>
          </w:p>
        </w:tc>
        <w:tc>
          <w:tcPr>
            <w:tcW w:w="624" w:type="pct"/>
            <w:shd w:val="clear" w:color="auto" w:fill="auto"/>
            <w:noWrap w:val="0"/>
            <w:vAlign w:val="center"/>
          </w:tcPr>
          <w:p w14:paraId="0F86FBA1">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72160C4C">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54460B0C">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02965B6A">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2A207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0D791388">
            <w:pPr>
              <w:pStyle w:val="55"/>
              <w:bidi w:val="0"/>
              <w:rPr>
                <w:rFonts w:hint="default"/>
              </w:rPr>
            </w:pPr>
            <w:r>
              <w:rPr>
                <w:rFonts w:hint="default"/>
              </w:rPr>
              <w:t>35</w:t>
            </w:r>
          </w:p>
        </w:tc>
        <w:tc>
          <w:tcPr>
            <w:tcW w:w="1261" w:type="pct"/>
            <w:shd w:val="clear" w:color="auto" w:fill="auto"/>
            <w:noWrap w:val="0"/>
            <w:vAlign w:val="center"/>
          </w:tcPr>
          <w:p w14:paraId="3BD8045A">
            <w:pPr>
              <w:pStyle w:val="55"/>
              <w:bidi w:val="0"/>
              <w:rPr>
                <w:rFonts w:hint="default" w:ascii="Times New Roman" w:hAnsi="Times New Roman" w:eastAsia="楷体" w:cstheme="minorBidi"/>
                <w:snapToGrid w:val="0"/>
                <w:kern w:val="0"/>
                <w:sz w:val="24"/>
                <w:szCs w:val="24"/>
                <w:lang w:val="en-US" w:eastAsia="zh-CN" w:bidi="ar-SA"/>
              </w:rPr>
            </w:pPr>
            <w:r>
              <w:rPr>
                <w:rFonts w:hint="default"/>
              </w:rPr>
              <w:t>四氯乙烯（μg/kg）</w:t>
            </w:r>
          </w:p>
        </w:tc>
        <w:tc>
          <w:tcPr>
            <w:tcW w:w="705" w:type="pct"/>
            <w:shd w:val="clear" w:color="auto" w:fill="auto"/>
            <w:noWrap w:val="0"/>
            <w:vAlign w:val="center"/>
          </w:tcPr>
          <w:p w14:paraId="53AD7A62">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53</w:t>
            </w:r>
          </w:p>
        </w:tc>
        <w:tc>
          <w:tcPr>
            <w:tcW w:w="624" w:type="pct"/>
            <w:shd w:val="clear" w:color="auto" w:fill="auto"/>
            <w:noWrap w:val="0"/>
            <w:vAlign w:val="center"/>
          </w:tcPr>
          <w:p w14:paraId="3795347F">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021CA17D">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2679C8B2">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179D3860">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6D178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4261389A">
            <w:pPr>
              <w:pStyle w:val="55"/>
              <w:bidi w:val="0"/>
              <w:rPr>
                <w:rFonts w:hint="default"/>
              </w:rPr>
            </w:pPr>
            <w:r>
              <w:rPr>
                <w:rFonts w:hint="default"/>
              </w:rPr>
              <w:t>36</w:t>
            </w:r>
          </w:p>
        </w:tc>
        <w:tc>
          <w:tcPr>
            <w:tcW w:w="1261" w:type="pct"/>
            <w:shd w:val="clear" w:color="auto" w:fill="auto"/>
            <w:noWrap w:val="0"/>
            <w:vAlign w:val="center"/>
          </w:tcPr>
          <w:p w14:paraId="55C08D6E">
            <w:pPr>
              <w:pStyle w:val="55"/>
              <w:bidi w:val="0"/>
              <w:rPr>
                <w:rFonts w:hint="default" w:ascii="Times New Roman" w:hAnsi="Times New Roman" w:eastAsia="楷体" w:cstheme="minorBidi"/>
                <w:snapToGrid w:val="0"/>
                <w:kern w:val="0"/>
                <w:sz w:val="24"/>
                <w:szCs w:val="24"/>
                <w:lang w:val="en-US" w:eastAsia="zh-CN" w:bidi="ar-SA"/>
              </w:rPr>
            </w:pPr>
            <w:r>
              <w:rPr>
                <w:rFonts w:hint="default"/>
              </w:rPr>
              <w:t>氯苯（μg/kg）</w:t>
            </w:r>
          </w:p>
        </w:tc>
        <w:tc>
          <w:tcPr>
            <w:tcW w:w="705" w:type="pct"/>
            <w:shd w:val="clear" w:color="auto" w:fill="auto"/>
            <w:noWrap w:val="0"/>
            <w:vAlign w:val="center"/>
          </w:tcPr>
          <w:p w14:paraId="4ACCAF87">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270</w:t>
            </w:r>
          </w:p>
        </w:tc>
        <w:tc>
          <w:tcPr>
            <w:tcW w:w="624" w:type="pct"/>
            <w:shd w:val="clear" w:color="auto" w:fill="auto"/>
            <w:noWrap w:val="0"/>
            <w:vAlign w:val="center"/>
          </w:tcPr>
          <w:p w14:paraId="132903D0">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0AB003F9">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5EF3808F">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2BD293F1">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38EFB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398CC472">
            <w:pPr>
              <w:pStyle w:val="55"/>
              <w:bidi w:val="0"/>
              <w:rPr>
                <w:rFonts w:hint="default"/>
              </w:rPr>
            </w:pPr>
            <w:r>
              <w:rPr>
                <w:rFonts w:hint="default"/>
              </w:rPr>
              <w:t>37</w:t>
            </w:r>
          </w:p>
        </w:tc>
        <w:tc>
          <w:tcPr>
            <w:tcW w:w="1261" w:type="pct"/>
            <w:shd w:val="clear" w:color="auto" w:fill="auto"/>
            <w:noWrap w:val="0"/>
            <w:vAlign w:val="center"/>
          </w:tcPr>
          <w:p w14:paraId="74E17557">
            <w:pPr>
              <w:pStyle w:val="55"/>
              <w:bidi w:val="0"/>
              <w:rPr>
                <w:rFonts w:hint="default" w:ascii="Times New Roman" w:hAnsi="Times New Roman" w:eastAsia="楷体" w:cstheme="minorBidi"/>
                <w:snapToGrid w:val="0"/>
                <w:kern w:val="0"/>
                <w:sz w:val="24"/>
                <w:szCs w:val="24"/>
                <w:lang w:val="en-US" w:eastAsia="zh-CN" w:bidi="ar-SA"/>
              </w:rPr>
            </w:pPr>
            <w:r>
              <w:rPr>
                <w:rFonts w:hint="default"/>
              </w:rPr>
              <w:t>1,1,1,2-四氯乙烷（μg/kg）</w:t>
            </w:r>
          </w:p>
        </w:tc>
        <w:tc>
          <w:tcPr>
            <w:tcW w:w="705" w:type="pct"/>
            <w:shd w:val="clear" w:color="auto" w:fill="auto"/>
            <w:noWrap w:val="0"/>
            <w:vAlign w:val="center"/>
          </w:tcPr>
          <w:p w14:paraId="3C6E12F0">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10</w:t>
            </w:r>
          </w:p>
        </w:tc>
        <w:tc>
          <w:tcPr>
            <w:tcW w:w="624" w:type="pct"/>
            <w:shd w:val="clear" w:color="auto" w:fill="auto"/>
            <w:noWrap w:val="0"/>
            <w:vAlign w:val="center"/>
          </w:tcPr>
          <w:p w14:paraId="1A858BE0">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7F416D2F">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2A87D878">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40D7A814">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42D99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407BBCE6">
            <w:pPr>
              <w:pStyle w:val="55"/>
              <w:bidi w:val="0"/>
              <w:rPr>
                <w:rFonts w:hint="default"/>
              </w:rPr>
            </w:pPr>
            <w:r>
              <w:rPr>
                <w:rFonts w:hint="default"/>
              </w:rPr>
              <w:t>38</w:t>
            </w:r>
          </w:p>
        </w:tc>
        <w:tc>
          <w:tcPr>
            <w:tcW w:w="1261" w:type="pct"/>
            <w:shd w:val="clear" w:color="auto" w:fill="auto"/>
            <w:noWrap w:val="0"/>
            <w:vAlign w:val="center"/>
          </w:tcPr>
          <w:p w14:paraId="39E19B49">
            <w:pPr>
              <w:pStyle w:val="55"/>
              <w:bidi w:val="0"/>
              <w:rPr>
                <w:rFonts w:hint="default" w:ascii="Times New Roman" w:hAnsi="Times New Roman" w:eastAsia="楷体" w:cstheme="minorBidi"/>
                <w:snapToGrid w:val="0"/>
                <w:kern w:val="0"/>
                <w:sz w:val="24"/>
                <w:szCs w:val="24"/>
                <w:lang w:val="en-US" w:eastAsia="zh-CN" w:bidi="ar-SA"/>
              </w:rPr>
            </w:pPr>
            <w:r>
              <w:rPr>
                <w:rFonts w:hint="default"/>
              </w:rPr>
              <w:t>乙苯（μg/kg）</w:t>
            </w:r>
          </w:p>
        </w:tc>
        <w:tc>
          <w:tcPr>
            <w:tcW w:w="705" w:type="pct"/>
            <w:shd w:val="clear" w:color="auto" w:fill="auto"/>
            <w:noWrap w:val="0"/>
            <w:vAlign w:val="center"/>
          </w:tcPr>
          <w:p w14:paraId="10D32754">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28</w:t>
            </w:r>
          </w:p>
        </w:tc>
        <w:tc>
          <w:tcPr>
            <w:tcW w:w="624" w:type="pct"/>
            <w:shd w:val="clear" w:color="auto" w:fill="auto"/>
            <w:noWrap w:val="0"/>
            <w:vAlign w:val="center"/>
          </w:tcPr>
          <w:p w14:paraId="70B9F93B">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354B16A2">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040BB3E8">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583D6232">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4ED6A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341E60C0">
            <w:pPr>
              <w:pStyle w:val="55"/>
              <w:bidi w:val="0"/>
              <w:rPr>
                <w:rFonts w:hint="default"/>
              </w:rPr>
            </w:pPr>
            <w:r>
              <w:rPr>
                <w:rFonts w:hint="default"/>
              </w:rPr>
              <w:t>39</w:t>
            </w:r>
          </w:p>
        </w:tc>
        <w:tc>
          <w:tcPr>
            <w:tcW w:w="1261" w:type="pct"/>
            <w:shd w:val="clear" w:color="auto" w:fill="auto"/>
            <w:noWrap w:val="0"/>
            <w:vAlign w:val="center"/>
          </w:tcPr>
          <w:p w14:paraId="7EA52268">
            <w:pPr>
              <w:pStyle w:val="55"/>
              <w:bidi w:val="0"/>
              <w:rPr>
                <w:rFonts w:hint="default" w:ascii="Times New Roman" w:hAnsi="Times New Roman" w:eastAsia="楷体" w:cstheme="minorBidi"/>
                <w:snapToGrid w:val="0"/>
                <w:kern w:val="0"/>
                <w:sz w:val="24"/>
                <w:szCs w:val="24"/>
                <w:lang w:val="en-US" w:eastAsia="zh-CN" w:bidi="ar-SA"/>
              </w:rPr>
            </w:pPr>
            <w:r>
              <w:rPr>
                <w:rFonts w:hint="default"/>
              </w:rPr>
              <w:t>间,对-二甲苯（μg/kg）</w:t>
            </w:r>
          </w:p>
        </w:tc>
        <w:tc>
          <w:tcPr>
            <w:tcW w:w="705" w:type="pct"/>
            <w:shd w:val="clear" w:color="auto" w:fill="auto"/>
            <w:noWrap w:val="0"/>
            <w:vAlign w:val="center"/>
          </w:tcPr>
          <w:p w14:paraId="4236F0BA">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570</w:t>
            </w:r>
          </w:p>
        </w:tc>
        <w:tc>
          <w:tcPr>
            <w:tcW w:w="624" w:type="pct"/>
            <w:shd w:val="clear" w:color="auto" w:fill="auto"/>
            <w:noWrap w:val="0"/>
            <w:vAlign w:val="center"/>
          </w:tcPr>
          <w:p w14:paraId="7AC3B64C">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5A751CBB">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4C1E6086">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265197C1">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00A7A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5FB7920B">
            <w:pPr>
              <w:pStyle w:val="55"/>
              <w:bidi w:val="0"/>
              <w:rPr>
                <w:rFonts w:hint="default"/>
              </w:rPr>
            </w:pPr>
            <w:r>
              <w:rPr>
                <w:rFonts w:hint="default"/>
              </w:rPr>
              <w:t>40</w:t>
            </w:r>
          </w:p>
        </w:tc>
        <w:tc>
          <w:tcPr>
            <w:tcW w:w="1261" w:type="pct"/>
            <w:shd w:val="clear" w:color="auto" w:fill="auto"/>
            <w:noWrap w:val="0"/>
            <w:vAlign w:val="center"/>
          </w:tcPr>
          <w:p w14:paraId="40A9DB15">
            <w:pPr>
              <w:pStyle w:val="55"/>
              <w:bidi w:val="0"/>
              <w:rPr>
                <w:rFonts w:hint="default" w:ascii="Times New Roman" w:hAnsi="Times New Roman" w:eastAsia="楷体" w:cstheme="minorBidi"/>
                <w:snapToGrid w:val="0"/>
                <w:kern w:val="0"/>
                <w:sz w:val="24"/>
                <w:szCs w:val="24"/>
                <w:lang w:val="en-US" w:eastAsia="zh-CN" w:bidi="ar-SA"/>
              </w:rPr>
            </w:pPr>
            <w:r>
              <w:rPr>
                <w:rFonts w:hint="default"/>
              </w:rPr>
              <w:t>邻-二甲苯（μg/kg）</w:t>
            </w:r>
          </w:p>
        </w:tc>
        <w:tc>
          <w:tcPr>
            <w:tcW w:w="705" w:type="pct"/>
            <w:shd w:val="clear" w:color="auto" w:fill="auto"/>
            <w:noWrap w:val="0"/>
            <w:vAlign w:val="center"/>
          </w:tcPr>
          <w:p w14:paraId="7D910078">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640</w:t>
            </w:r>
          </w:p>
        </w:tc>
        <w:tc>
          <w:tcPr>
            <w:tcW w:w="624" w:type="pct"/>
            <w:shd w:val="clear" w:color="auto" w:fill="auto"/>
            <w:noWrap w:val="0"/>
            <w:vAlign w:val="center"/>
          </w:tcPr>
          <w:p w14:paraId="18B22497">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1A390E6A">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1FCDABDF">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183FFF86">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30F54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68146459">
            <w:pPr>
              <w:pStyle w:val="55"/>
              <w:bidi w:val="0"/>
              <w:rPr>
                <w:rFonts w:hint="default"/>
              </w:rPr>
            </w:pPr>
            <w:r>
              <w:rPr>
                <w:rFonts w:hint="default"/>
              </w:rPr>
              <w:t>41</w:t>
            </w:r>
          </w:p>
        </w:tc>
        <w:tc>
          <w:tcPr>
            <w:tcW w:w="1261" w:type="pct"/>
            <w:shd w:val="clear" w:color="auto" w:fill="auto"/>
            <w:noWrap w:val="0"/>
            <w:vAlign w:val="center"/>
          </w:tcPr>
          <w:p w14:paraId="17B89CFE">
            <w:pPr>
              <w:pStyle w:val="55"/>
              <w:bidi w:val="0"/>
              <w:rPr>
                <w:rFonts w:hint="default" w:ascii="Times New Roman" w:hAnsi="Times New Roman" w:eastAsia="楷体" w:cstheme="minorBidi"/>
                <w:snapToGrid w:val="0"/>
                <w:kern w:val="0"/>
                <w:sz w:val="24"/>
                <w:szCs w:val="24"/>
                <w:lang w:val="en-US" w:eastAsia="zh-CN" w:bidi="ar-SA"/>
              </w:rPr>
            </w:pPr>
            <w:r>
              <w:rPr>
                <w:rFonts w:hint="default"/>
              </w:rPr>
              <w:t>苯乙烯（μg/kg）</w:t>
            </w:r>
          </w:p>
        </w:tc>
        <w:tc>
          <w:tcPr>
            <w:tcW w:w="705" w:type="pct"/>
            <w:shd w:val="clear" w:color="auto" w:fill="auto"/>
            <w:noWrap w:val="0"/>
            <w:vAlign w:val="center"/>
          </w:tcPr>
          <w:p w14:paraId="2DDD781D">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1290</w:t>
            </w:r>
          </w:p>
        </w:tc>
        <w:tc>
          <w:tcPr>
            <w:tcW w:w="624" w:type="pct"/>
            <w:shd w:val="clear" w:color="auto" w:fill="auto"/>
            <w:noWrap w:val="0"/>
            <w:vAlign w:val="center"/>
          </w:tcPr>
          <w:p w14:paraId="42E19119">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2137B0F2">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4109AFA1">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7063007A">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76E4C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4A35ED67">
            <w:pPr>
              <w:pStyle w:val="55"/>
              <w:bidi w:val="0"/>
              <w:rPr>
                <w:rFonts w:hint="default"/>
              </w:rPr>
            </w:pPr>
            <w:r>
              <w:rPr>
                <w:rFonts w:hint="default"/>
              </w:rPr>
              <w:t>42</w:t>
            </w:r>
          </w:p>
        </w:tc>
        <w:tc>
          <w:tcPr>
            <w:tcW w:w="1261" w:type="pct"/>
            <w:shd w:val="clear" w:color="auto" w:fill="auto"/>
            <w:noWrap w:val="0"/>
            <w:vAlign w:val="center"/>
          </w:tcPr>
          <w:p w14:paraId="3F0B7C68">
            <w:pPr>
              <w:pStyle w:val="55"/>
              <w:bidi w:val="0"/>
              <w:rPr>
                <w:rFonts w:hint="default" w:ascii="Times New Roman" w:hAnsi="Times New Roman" w:eastAsia="楷体" w:cstheme="minorBidi"/>
                <w:snapToGrid w:val="0"/>
                <w:kern w:val="0"/>
                <w:sz w:val="24"/>
                <w:szCs w:val="24"/>
                <w:lang w:val="en-US" w:eastAsia="zh-CN" w:bidi="ar-SA"/>
              </w:rPr>
            </w:pPr>
            <w:r>
              <w:rPr>
                <w:rFonts w:hint="default"/>
              </w:rPr>
              <w:t>1,1,2,2-四氯乙烷（μg/kg）</w:t>
            </w:r>
          </w:p>
        </w:tc>
        <w:tc>
          <w:tcPr>
            <w:tcW w:w="705" w:type="pct"/>
            <w:shd w:val="clear" w:color="auto" w:fill="auto"/>
            <w:noWrap w:val="0"/>
            <w:vAlign w:val="center"/>
          </w:tcPr>
          <w:p w14:paraId="18C995D1">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6.8</w:t>
            </w:r>
          </w:p>
        </w:tc>
        <w:tc>
          <w:tcPr>
            <w:tcW w:w="624" w:type="pct"/>
            <w:shd w:val="clear" w:color="auto" w:fill="auto"/>
            <w:noWrap w:val="0"/>
            <w:vAlign w:val="center"/>
          </w:tcPr>
          <w:p w14:paraId="40279E46">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3826F223">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009302CA">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7A322E31">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3034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00F9A206">
            <w:pPr>
              <w:pStyle w:val="55"/>
              <w:bidi w:val="0"/>
              <w:rPr>
                <w:rFonts w:hint="default"/>
              </w:rPr>
            </w:pPr>
            <w:r>
              <w:rPr>
                <w:rFonts w:hint="default"/>
              </w:rPr>
              <w:t>43</w:t>
            </w:r>
          </w:p>
        </w:tc>
        <w:tc>
          <w:tcPr>
            <w:tcW w:w="1261" w:type="pct"/>
            <w:shd w:val="clear" w:color="auto" w:fill="auto"/>
            <w:noWrap w:val="0"/>
            <w:vAlign w:val="center"/>
          </w:tcPr>
          <w:p w14:paraId="437791FE">
            <w:pPr>
              <w:pStyle w:val="55"/>
              <w:bidi w:val="0"/>
              <w:rPr>
                <w:rFonts w:hint="default" w:ascii="Times New Roman" w:hAnsi="Times New Roman" w:eastAsia="楷体" w:cstheme="minorBidi"/>
                <w:snapToGrid w:val="0"/>
                <w:kern w:val="0"/>
                <w:sz w:val="24"/>
                <w:szCs w:val="24"/>
                <w:lang w:val="en-US" w:eastAsia="zh-CN" w:bidi="ar-SA"/>
              </w:rPr>
            </w:pPr>
            <w:r>
              <w:rPr>
                <w:rFonts w:hint="default"/>
              </w:rPr>
              <w:t>1,2,3-三氯丙烷（μg/kg）</w:t>
            </w:r>
          </w:p>
        </w:tc>
        <w:tc>
          <w:tcPr>
            <w:tcW w:w="705" w:type="pct"/>
            <w:shd w:val="clear" w:color="auto" w:fill="auto"/>
            <w:noWrap w:val="0"/>
            <w:vAlign w:val="center"/>
          </w:tcPr>
          <w:p w14:paraId="0502846A">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0.5</w:t>
            </w:r>
          </w:p>
        </w:tc>
        <w:tc>
          <w:tcPr>
            <w:tcW w:w="624" w:type="pct"/>
            <w:shd w:val="clear" w:color="auto" w:fill="auto"/>
            <w:noWrap w:val="0"/>
            <w:vAlign w:val="center"/>
          </w:tcPr>
          <w:p w14:paraId="3F854C47">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77E52A83">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4673A407">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2FBE0651">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522ED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6BD7EB5D">
            <w:pPr>
              <w:pStyle w:val="55"/>
              <w:bidi w:val="0"/>
              <w:rPr>
                <w:rFonts w:hint="default"/>
              </w:rPr>
            </w:pPr>
            <w:r>
              <w:rPr>
                <w:rFonts w:hint="default"/>
              </w:rPr>
              <w:t>44</w:t>
            </w:r>
          </w:p>
        </w:tc>
        <w:tc>
          <w:tcPr>
            <w:tcW w:w="1261" w:type="pct"/>
            <w:shd w:val="clear" w:color="auto" w:fill="auto"/>
            <w:noWrap w:val="0"/>
            <w:vAlign w:val="center"/>
          </w:tcPr>
          <w:p w14:paraId="56E9167F">
            <w:pPr>
              <w:pStyle w:val="55"/>
              <w:bidi w:val="0"/>
              <w:rPr>
                <w:rFonts w:hint="default" w:ascii="Times New Roman" w:hAnsi="Times New Roman" w:eastAsia="楷体" w:cstheme="minorBidi"/>
                <w:snapToGrid w:val="0"/>
                <w:kern w:val="0"/>
                <w:sz w:val="24"/>
                <w:szCs w:val="24"/>
                <w:lang w:val="en-US" w:eastAsia="zh-CN" w:bidi="ar-SA"/>
              </w:rPr>
            </w:pPr>
            <w:r>
              <w:rPr>
                <w:rFonts w:hint="default"/>
              </w:rPr>
              <w:t>1,4-二氯苯（μg/kg）</w:t>
            </w:r>
          </w:p>
        </w:tc>
        <w:tc>
          <w:tcPr>
            <w:tcW w:w="705" w:type="pct"/>
            <w:shd w:val="clear" w:color="auto" w:fill="auto"/>
            <w:noWrap w:val="0"/>
            <w:vAlign w:val="center"/>
          </w:tcPr>
          <w:p w14:paraId="49A849BA">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20</w:t>
            </w:r>
          </w:p>
        </w:tc>
        <w:tc>
          <w:tcPr>
            <w:tcW w:w="624" w:type="pct"/>
            <w:shd w:val="clear" w:color="auto" w:fill="auto"/>
            <w:noWrap w:val="0"/>
            <w:vAlign w:val="center"/>
          </w:tcPr>
          <w:p w14:paraId="74E2E8AE">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658F6BB5">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538FA09A">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41EEBBAC">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r w14:paraId="64C64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3" w:type="pct"/>
            <w:noWrap w:val="0"/>
            <w:vAlign w:val="center"/>
          </w:tcPr>
          <w:p w14:paraId="0CD3F01F">
            <w:pPr>
              <w:pStyle w:val="55"/>
              <w:bidi w:val="0"/>
              <w:rPr>
                <w:rFonts w:hint="default"/>
              </w:rPr>
            </w:pPr>
            <w:r>
              <w:rPr>
                <w:rFonts w:hint="default"/>
              </w:rPr>
              <w:t>45</w:t>
            </w:r>
          </w:p>
        </w:tc>
        <w:tc>
          <w:tcPr>
            <w:tcW w:w="1261" w:type="pct"/>
            <w:shd w:val="clear" w:color="auto" w:fill="auto"/>
            <w:noWrap w:val="0"/>
            <w:vAlign w:val="center"/>
          </w:tcPr>
          <w:p w14:paraId="0C09212E">
            <w:pPr>
              <w:pStyle w:val="55"/>
              <w:bidi w:val="0"/>
              <w:rPr>
                <w:rFonts w:hint="default" w:ascii="Times New Roman" w:hAnsi="Times New Roman" w:eastAsia="楷体" w:cstheme="minorBidi"/>
                <w:snapToGrid w:val="0"/>
                <w:kern w:val="0"/>
                <w:sz w:val="24"/>
                <w:szCs w:val="24"/>
                <w:lang w:val="en-US" w:eastAsia="zh-CN" w:bidi="ar-SA"/>
              </w:rPr>
            </w:pPr>
            <w:r>
              <w:rPr>
                <w:rFonts w:hint="default"/>
              </w:rPr>
              <w:t>1,2-二氯苯（μg/kg）</w:t>
            </w:r>
          </w:p>
        </w:tc>
        <w:tc>
          <w:tcPr>
            <w:tcW w:w="705" w:type="pct"/>
            <w:shd w:val="clear" w:color="auto" w:fill="auto"/>
            <w:noWrap w:val="0"/>
            <w:vAlign w:val="center"/>
          </w:tcPr>
          <w:p w14:paraId="0EC5F308">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560</w:t>
            </w:r>
          </w:p>
        </w:tc>
        <w:tc>
          <w:tcPr>
            <w:tcW w:w="624" w:type="pct"/>
            <w:shd w:val="clear" w:color="auto" w:fill="auto"/>
            <w:noWrap w:val="0"/>
            <w:vAlign w:val="center"/>
          </w:tcPr>
          <w:p w14:paraId="2672C291">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53" w:type="pct"/>
            <w:shd w:val="clear" w:color="auto" w:fill="auto"/>
            <w:noWrap w:val="0"/>
            <w:vAlign w:val="center"/>
          </w:tcPr>
          <w:p w14:paraId="48DA6008">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1024" w:type="pct"/>
            <w:shd w:val="clear" w:color="auto" w:fill="auto"/>
            <w:noWrap w:val="0"/>
            <w:vAlign w:val="center"/>
          </w:tcPr>
          <w:p w14:paraId="37A30097">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c>
          <w:tcPr>
            <w:tcW w:w="576" w:type="pct"/>
            <w:shd w:val="clear" w:color="auto" w:fill="auto"/>
            <w:noWrap w:val="0"/>
            <w:vAlign w:val="center"/>
          </w:tcPr>
          <w:p w14:paraId="50C7E20E">
            <w:pPr>
              <w:pStyle w:val="55"/>
              <w:bidi w:val="0"/>
              <w:rPr>
                <w:rFonts w:hint="default" w:ascii="Times New Roman" w:hAnsi="Times New Roman" w:eastAsia="楷体" w:cstheme="minorBidi"/>
                <w:snapToGrid w:val="0"/>
                <w:kern w:val="0"/>
                <w:sz w:val="24"/>
                <w:szCs w:val="24"/>
                <w:lang w:val="en-US" w:eastAsia="zh-CN" w:bidi="ar-SA"/>
              </w:rPr>
            </w:pPr>
            <w:r>
              <w:rPr>
                <w:rFonts w:hint="default"/>
              </w:rPr>
              <w:t>ND</w:t>
            </w:r>
          </w:p>
        </w:tc>
      </w:tr>
    </w:tbl>
    <w:p w14:paraId="2997B956">
      <w:pPr>
        <w:pStyle w:val="94"/>
        <w:bidi w:val="0"/>
        <w:ind w:left="0" w:leftChars="0" w:firstLine="0" w:firstLineChars="0"/>
        <w:rPr>
          <w:rFonts w:hint="default"/>
        </w:rPr>
      </w:pPr>
      <w:r>
        <w:rPr>
          <w:rFonts w:hint="default"/>
        </w:rPr>
        <w:t>建设项目土壤环境质量监测</w:t>
      </w:r>
      <w:r>
        <w:rPr>
          <w:rFonts w:hint="eastAsia"/>
          <w:lang w:val="en-US" w:eastAsia="zh-CN"/>
        </w:rPr>
        <w:t>统计分析</w:t>
      </w:r>
      <w:r>
        <w:rPr>
          <w:rFonts w:hint="default"/>
        </w:rPr>
        <w:t>结果一览表</w:t>
      </w:r>
    </w:p>
    <w:tbl>
      <w:tblPr>
        <w:tblStyle w:val="3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8"/>
        <w:gridCol w:w="1364"/>
        <w:gridCol w:w="1310"/>
        <w:gridCol w:w="732"/>
        <w:gridCol w:w="757"/>
        <w:gridCol w:w="757"/>
        <w:gridCol w:w="876"/>
        <w:gridCol w:w="805"/>
        <w:gridCol w:w="600"/>
        <w:gridCol w:w="664"/>
        <w:gridCol w:w="898"/>
      </w:tblGrid>
      <w:tr w14:paraId="7F579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noWrap w:val="0"/>
            <w:vAlign w:val="center"/>
          </w:tcPr>
          <w:p w14:paraId="54BC5C2F">
            <w:pPr>
              <w:pStyle w:val="55"/>
              <w:bidi w:val="0"/>
              <w:rPr>
                <w:rFonts w:hint="default"/>
              </w:rPr>
            </w:pPr>
            <w:r>
              <w:rPr>
                <w:rFonts w:hint="default"/>
              </w:rPr>
              <w:t>序号</w:t>
            </w:r>
          </w:p>
        </w:tc>
        <w:tc>
          <w:tcPr>
            <w:tcW w:w="734" w:type="pct"/>
            <w:noWrap w:val="0"/>
            <w:vAlign w:val="center"/>
          </w:tcPr>
          <w:p w14:paraId="1DBD9226">
            <w:pPr>
              <w:pStyle w:val="55"/>
              <w:bidi w:val="0"/>
              <w:rPr>
                <w:rFonts w:hint="default"/>
              </w:rPr>
            </w:pPr>
            <w:r>
              <w:rPr>
                <w:rFonts w:hint="default"/>
              </w:rPr>
              <w:t>监测因子</w:t>
            </w:r>
          </w:p>
        </w:tc>
        <w:tc>
          <w:tcPr>
            <w:tcW w:w="705" w:type="pct"/>
            <w:noWrap w:val="0"/>
            <w:vAlign w:val="center"/>
          </w:tcPr>
          <w:p w14:paraId="04A781CB">
            <w:pPr>
              <w:pStyle w:val="55"/>
              <w:bidi w:val="0"/>
              <w:rPr>
                <w:rFonts w:hint="default"/>
              </w:rPr>
            </w:pPr>
            <w:r>
              <w:rPr>
                <w:rFonts w:hint="default"/>
              </w:rPr>
              <w:t>标准值（mg/kg）</w:t>
            </w:r>
          </w:p>
        </w:tc>
        <w:tc>
          <w:tcPr>
            <w:tcW w:w="394" w:type="pct"/>
            <w:noWrap w:val="0"/>
            <w:vAlign w:val="center"/>
          </w:tcPr>
          <w:p w14:paraId="249720E0">
            <w:pPr>
              <w:pStyle w:val="55"/>
              <w:bidi w:val="0"/>
              <w:rPr>
                <w:rFonts w:hint="default"/>
              </w:rPr>
            </w:pPr>
            <w:r>
              <w:rPr>
                <w:rFonts w:hint="eastAsia"/>
                <w:lang w:val="en-US" w:eastAsia="zh-CN"/>
              </w:rPr>
              <w:t>样本数量</w:t>
            </w:r>
          </w:p>
        </w:tc>
        <w:tc>
          <w:tcPr>
            <w:tcW w:w="407" w:type="pct"/>
            <w:noWrap w:val="0"/>
            <w:vAlign w:val="center"/>
          </w:tcPr>
          <w:p w14:paraId="3DC15448">
            <w:pPr>
              <w:pStyle w:val="55"/>
              <w:bidi w:val="0"/>
              <w:rPr>
                <w:rFonts w:hint="default"/>
              </w:rPr>
            </w:pPr>
            <w:r>
              <w:rPr>
                <w:rFonts w:hint="eastAsia"/>
                <w:lang w:val="en-US" w:eastAsia="zh-CN"/>
              </w:rPr>
              <w:t>最大值</w:t>
            </w:r>
          </w:p>
        </w:tc>
        <w:tc>
          <w:tcPr>
            <w:tcW w:w="407" w:type="pct"/>
            <w:noWrap w:val="0"/>
            <w:vAlign w:val="center"/>
          </w:tcPr>
          <w:p w14:paraId="757BFD78">
            <w:pPr>
              <w:pStyle w:val="55"/>
              <w:bidi w:val="0"/>
              <w:rPr>
                <w:rFonts w:hint="default"/>
              </w:rPr>
            </w:pPr>
            <w:r>
              <w:rPr>
                <w:rFonts w:hint="eastAsia"/>
                <w:lang w:val="en-US" w:eastAsia="zh-CN"/>
              </w:rPr>
              <w:t>最小值</w:t>
            </w:r>
          </w:p>
        </w:tc>
        <w:tc>
          <w:tcPr>
            <w:tcW w:w="471" w:type="pct"/>
            <w:noWrap w:val="0"/>
            <w:vAlign w:val="center"/>
          </w:tcPr>
          <w:p w14:paraId="69D1F694">
            <w:pPr>
              <w:pStyle w:val="55"/>
              <w:bidi w:val="0"/>
              <w:rPr>
                <w:rFonts w:hint="default"/>
              </w:rPr>
            </w:pPr>
            <w:r>
              <w:rPr>
                <w:rFonts w:hint="eastAsia"/>
                <w:lang w:val="en-US" w:eastAsia="zh-CN"/>
              </w:rPr>
              <w:t>均值</w:t>
            </w:r>
          </w:p>
        </w:tc>
        <w:tc>
          <w:tcPr>
            <w:tcW w:w="433" w:type="pct"/>
            <w:noWrap w:val="0"/>
            <w:vAlign w:val="center"/>
          </w:tcPr>
          <w:p w14:paraId="5EFDD9B9">
            <w:pPr>
              <w:pStyle w:val="55"/>
              <w:bidi w:val="0"/>
              <w:rPr>
                <w:rFonts w:hint="default"/>
              </w:rPr>
            </w:pPr>
            <w:r>
              <w:rPr>
                <w:rFonts w:hint="eastAsia"/>
                <w:lang w:val="en-US" w:eastAsia="zh-CN"/>
              </w:rPr>
              <w:t>标准差</w:t>
            </w:r>
          </w:p>
        </w:tc>
        <w:tc>
          <w:tcPr>
            <w:tcW w:w="323" w:type="pct"/>
            <w:noWrap w:val="0"/>
            <w:vAlign w:val="center"/>
          </w:tcPr>
          <w:p w14:paraId="1D3A7B44">
            <w:pPr>
              <w:pStyle w:val="55"/>
              <w:bidi w:val="0"/>
              <w:rPr>
                <w:rFonts w:hint="default"/>
              </w:rPr>
            </w:pPr>
            <w:r>
              <w:rPr>
                <w:rFonts w:hint="eastAsia"/>
                <w:lang w:val="en-US" w:eastAsia="zh-CN"/>
              </w:rPr>
              <w:t>检出率</w:t>
            </w:r>
          </w:p>
        </w:tc>
        <w:tc>
          <w:tcPr>
            <w:tcW w:w="357" w:type="pct"/>
            <w:noWrap w:val="0"/>
            <w:vAlign w:val="center"/>
          </w:tcPr>
          <w:p w14:paraId="6490FFB8">
            <w:pPr>
              <w:pStyle w:val="55"/>
              <w:bidi w:val="0"/>
              <w:rPr>
                <w:rFonts w:hint="default"/>
              </w:rPr>
            </w:pPr>
            <w:r>
              <w:rPr>
                <w:rFonts w:hint="eastAsia"/>
                <w:lang w:val="en-US" w:eastAsia="zh-CN"/>
              </w:rPr>
              <w:t>超标率</w:t>
            </w:r>
          </w:p>
        </w:tc>
        <w:tc>
          <w:tcPr>
            <w:tcW w:w="483" w:type="pct"/>
            <w:noWrap w:val="0"/>
            <w:vAlign w:val="center"/>
          </w:tcPr>
          <w:p w14:paraId="3B736D45">
            <w:pPr>
              <w:pStyle w:val="55"/>
              <w:bidi w:val="0"/>
              <w:rPr>
                <w:rFonts w:hint="default"/>
              </w:rPr>
            </w:pPr>
            <w:r>
              <w:rPr>
                <w:rFonts w:hint="eastAsia"/>
                <w:lang w:val="en-US" w:eastAsia="zh-CN"/>
              </w:rPr>
              <w:t>最大超标倍数</w:t>
            </w:r>
          </w:p>
        </w:tc>
      </w:tr>
      <w:tr w14:paraId="2DA4A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noWrap w:val="0"/>
            <w:vAlign w:val="center"/>
          </w:tcPr>
          <w:p w14:paraId="552B16E9">
            <w:pPr>
              <w:pStyle w:val="55"/>
              <w:bidi w:val="0"/>
              <w:rPr>
                <w:rFonts w:hint="default"/>
              </w:rPr>
            </w:pPr>
            <w:r>
              <w:rPr>
                <w:rFonts w:hint="default"/>
              </w:rPr>
              <w:t>1</w:t>
            </w:r>
          </w:p>
        </w:tc>
        <w:tc>
          <w:tcPr>
            <w:tcW w:w="734" w:type="pct"/>
            <w:shd w:val="clear" w:color="auto" w:fill="auto"/>
            <w:noWrap w:val="0"/>
            <w:vAlign w:val="center"/>
          </w:tcPr>
          <w:p w14:paraId="71ACB9A0">
            <w:pPr>
              <w:pStyle w:val="55"/>
              <w:bidi w:val="0"/>
              <w:rPr>
                <w:rFonts w:hint="default" w:ascii="Times New Roman" w:hAnsi="Times New Roman" w:eastAsia="楷体" w:cstheme="minorBidi"/>
                <w:snapToGrid w:val="0"/>
                <w:kern w:val="0"/>
                <w:sz w:val="24"/>
                <w:szCs w:val="24"/>
                <w:lang w:val="en-US" w:eastAsia="zh-CN" w:bidi="ar-SA"/>
              </w:rPr>
            </w:pPr>
            <w:r>
              <w:rPr>
                <w:rFonts w:hint="default"/>
              </w:rPr>
              <w:t>砷（mg/kg）</w:t>
            </w:r>
          </w:p>
        </w:tc>
        <w:tc>
          <w:tcPr>
            <w:tcW w:w="705" w:type="pct"/>
            <w:shd w:val="clear" w:color="auto" w:fill="auto"/>
            <w:noWrap w:val="0"/>
            <w:vAlign w:val="center"/>
          </w:tcPr>
          <w:p w14:paraId="37BD00AF">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60</w:t>
            </w:r>
          </w:p>
        </w:tc>
        <w:tc>
          <w:tcPr>
            <w:tcW w:w="394" w:type="pct"/>
            <w:shd w:val="clear" w:color="auto" w:fill="auto"/>
            <w:noWrap w:val="0"/>
            <w:vAlign w:val="center"/>
          </w:tcPr>
          <w:p w14:paraId="3A305A06">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4</w:t>
            </w:r>
          </w:p>
        </w:tc>
        <w:tc>
          <w:tcPr>
            <w:tcW w:w="407" w:type="pct"/>
            <w:shd w:val="clear" w:color="auto" w:fill="auto"/>
            <w:noWrap w:val="0"/>
            <w:vAlign w:val="center"/>
          </w:tcPr>
          <w:p w14:paraId="64D4D2C1">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15.9</w:t>
            </w:r>
          </w:p>
        </w:tc>
        <w:tc>
          <w:tcPr>
            <w:tcW w:w="407" w:type="pct"/>
            <w:shd w:val="clear" w:color="auto" w:fill="auto"/>
            <w:noWrap w:val="0"/>
            <w:vAlign w:val="center"/>
          </w:tcPr>
          <w:p w14:paraId="354D58E5">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12.9</w:t>
            </w:r>
          </w:p>
        </w:tc>
        <w:tc>
          <w:tcPr>
            <w:tcW w:w="471" w:type="pct"/>
            <w:shd w:val="clear" w:color="auto" w:fill="auto"/>
            <w:noWrap w:val="0"/>
            <w:vAlign w:val="center"/>
          </w:tcPr>
          <w:p w14:paraId="085D59F3">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1.05</w:t>
            </w:r>
          </w:p>
        </w:tc>
        <w:tc>
          <w:tcPr>
            <w:tcW w:w="433" w:type="pct"/>
            <w:shd w:val="clear" w:color="auto" w:fill="auto"/>
            <w:noWrap w:val="0"/>
            <w:vAlign w:val="center"/>
          </w:tcPr>
          <w:p w14:paraId="37C85B9F">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26.5</w:t>
            </w:r>
          </w:p>
        </w:tc>
        <w:tc>
          <w:tcPr>
            <w:tcW w:w="323" w:type="pct"/>
            <w:shd w:val="clear" w:color="auto" w:fill="auto"/>
            <w:noWrap w:val="0"/>
            <w:vAlign w:val="center"/>
          </w:tcPr>
          <w:p w14:paraId="530CB6D0">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100</w:t>
            </w:r>
          </w:p>
        </w:tc>
        <w:tc>
          <w:tcPr>
            <w:tcW w:w="357" w:type="pct"/>
            <w:shd w:val="clear" w:color="auto" w:fill="auto"/>
            <w:noWrap w:val="0"/>
            <w:vAlign w:val="center"/>
          </w:tcPr>
          <w:p w14:paraId="2DF9382E">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w:t>
            </w:r>
          </w:p>
        </w:tc>
        <w:tc>
          <w:tcPr>
            <w:tcW w:w="483" w:type="pct"/>
            <w:shd w:val="clear" w:color="auto" w:fill="auto"/>
            <w:noWrap w:val="0"/>
            <w:vAlign w:val="center"/>
          </w:tcPr>
          <w:p w14:paraId="33520B89">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w:t>
            </w:r>
          </w:p>
        </w:tc>
      </w:tr>
      <w:tr w14:paraId="414FA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noWrap w:val="0"/>
            <w:vAlign w:val="center"/>
          </w:tcPr>
          <w:p w14:paraId="5C975CA2">
            <w:pPr>
              <w:pStyle w:val="55"/>
              <w:bidi w:val="0"/>
              <w:rPr>
                <w:rFonts w:hint="default"/>
              </w:rPr>
            </w:pPr>
            <w:r>
              <w:rPr>
                <w:rFonts w:hint="default"/>
              </w:rPr>
              <w:t>2</w:t>
            </w:r>
          </w:p>
        </w:tc>
        <w:tc>
          <w:tcPr>
            <w:tcW w:w="734" w:type="pct"/>
            <w:shd w:val="clear" w:color="auto" w:fill="auto"/>
            <w:noWrap w:val="0"/>
            <w:vAlign w:val="center"/>
          </w:tcPr>
          <w:p w14:paraId="2014944F">
            <w:pPr>
              <w:pStyle w:val="55"/>
              <w:bidi w:val="0"/>
              <w:rPr>
                <w:rFonts w:hint="default" w:ascii="Times New Roman" w:hAnsi="Times New Roman" w:eastAsia="楷体" w:cstheme="minorBidi"/>
                <w:snapToGrid w:val="0"/>
                <w:kern w:val="0"/>
                <w:sz w:val="24"/>
                <w:szCs w:val="24"/>
                <w:lang w:val="en-US" w:eastAsia="zh-CN" w:bidi="ar-SA"/>
              </w:rPr>
            </w:pPr>
            <w:r>
              <w:rPr>
                <w:rFonts w:hint="default"/>
              </w:rPr>
              <w:t>镉（mg/kg）</w:t>
            </w:r>
          </w:p>
        </w:tc>
        <w:tc>
          <w:tcPr>
            <w:tcW w:w="705" w:type="pct"/>
            <w:shd w:val="clear" w:color="auto" w:fill="auto"/>
            <w:noWrap w:val="0"/>
            <w:vAlign w:val="center"/>
          </w:tcPr>
          <w:p w14:paraId="0814E04F">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65</w:t>
            </w:r>
          </w:p>
        </w:tc>
        <w:tc>
          <w:tcPr>
            <w:tcW w:w="394" w:type="pct"/>
            <w:shd w:val="clear" w:color="auto" w:fill="auto"/>
            <w:noWrap w:val="0"/>
            <w:vAlign w:val="center"/>
          </w:tcPr>
          <w:p w14:paraId="1A27E46D">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4</w:t>
            </w:r>
          </w:p>
        </w:tc>
        <w:tc>
          <w:tcPr>
            <w:tcW w:w="407" w:type="pct"/>
            <w:shd w:val="clear" w:color="auto" w:fill="auto"/>
            <w:noWrap w:val="0"/>
            <w:vAlign w:val="center"/>
          </w:tcPr>
          <w:p w14:paraId="7D90D198">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0.22</w:t>
            </w:r>
          </w:p>
        </w:tc>
        <w:tc>
          <w:tcPr>
            <w:tcW w:w="407" w:type="pct"/>
            <w:shd w:val="clear" w:color="auto" w:fill="auto"/>
            <w:noWrap w:val="0"/>
            <w:vAlign w:val="center"/>
          </w:tcPr>
          <w:p w14:paraId="43B4B3E4">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0.18</w:t>
            </w:r>
          </w:p>
        </w:tc>
        <w:tc>
          <w:tcPr>
            <w:tcW w:w="471" w:type="pct"/>
            <w:shd w:val="clear" w:color="auto" w:fill="auto"/>
            <w:noWrap w:val="0"/>
            <w:vAlign w:val="center"/>
          </w:tcPr>
          <w:p w14:paraId="52A9F65B">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0.0175</w:t>
            </w:r>
          </w:p>
        </w:tc>
        <w:tc>
          <w:tcPr>
            <w:tcW w:w="433" w:type="pct"/>
            <w:shd w:val="clear" w:color="auto" w:fill="auto"/>
            <w:noWrap w:val="0"/>
            <w:vAlign w:val="center"/>
          </w:tcPr>
          <w:p w14:paraId="321BD2FE">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0.34</w:t>
            </w:r>
          </w:p>
        </w:tc>
        <w:tc>
          <w:tcPr>
            <w:tcW w:w="323" w:type="pct"/>
            <w:shd w:val="clear" w:color="auto" w:fill="auto"/>
            <w:noWrap w:val="0"/>
            <w:vAlign w:val="center"/>
          </w:tcPr>
          <w:p w14:paraId="234E4159">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100</w:t>
            </w:r>
          </w:p>
        </w:tc>
        <w:tc>
          <w:tcPr>
            <w:tcW w:w="357" w:type="pct"/>
            <w:shd w:val="clear" w:color="auto" w:fill="auto"/>
            <w:noWrap w:val="0"/>
            <w:vAlign w:val="center"/>
          </w:tcPr>
          <w:p w14:paraId="41A01B4C">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w:t>
            </w:r>
          </w:p>
        </w:tc>
        <w:tc>
          <w:tcPr>
            <w:tcW w:w="483" w:type="pct"/>
            <w:shd w:val="clear" w:color="auto" w:fill="auto"/>
            <w:noWrap w:val="0"/>
            <w:vAlign w:val="center"/>
          </w:tcPr>
          <w:p w14:paraId="65BDA6B6">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w:t>
            </w:r>
          </w:p>
        </w:tc>
      </w:tr>
      <w:tr w14:paraId="6DF8E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noWrap w:val="0"/>
            <w:vAlign w:val="center"/>
          </w:tcPr>
          <w:p w14:paraId="6D462896">
            <w:pPr>
              <w:pStyle w:val="55"/>
              <w:bidi w:val="0"/>
              <w:rPr>
                <w:rFonts w:hint="default"/>
              </w:rPr>
            </w:pPr>
            <w:r>
              <w:rPr>
                <w:rFonts w:hint="default"/>
              </w:rPr>
              <w:t>3</w:t>
            </w:r>
          </w:p>
        </w:tc>
        <w:tc>
          <w:tcPr>
            <w:tcW w:w="734" w:type="pct"/>
            <w:shd w:val="clear" w:color="auto" w:fill="auto"/>
            <w:noWrap w:val="0"/>
            <w:vAlign w:val="center"/>
          </w:tcPr>
          <w:p w14:paraId="16ABB71D">
            <w:pPr>
              <w:pStyle w:val="55"/>
              <w:bidi w:val="0"/>
              <w:rPr>
                <w:rFonts w:hint="default" w:ascii="Times New Roman" w:hAnsi="Times New Roman" w:eastAsia="楷体" w:cstheme="minorBidi"/>
                <w:snapToGrid w:val="0"/>
                <w:kern w:val="0"/>
                <w:sz w:val="24"/>
                <w:szCs w:val="24"/>
                <w:lang w:val="en-US" w:eastAsia="zh-CN" w:bidi="ar-SA"/>
              </w:rPr>
            </w:pPr>
            <w:r>
              <w:rPr>
                <w:rFonts w:hint="default"/>
                <w:lang w:eastAsia="zh-CN"/>
              </w:rPr>
              <w:t>铬（六价）</w:t>
            </w:r>
            <w:r>
              <w:rPr>
                <w:rFonts w:hint="default"/>
              </w:rPr>
              <w:t>（mg/kg）</w:t>
            </w:r>
          </w:p>
        </w:tc>
        <w:tc>
          <w:tcPr>
            <w:tcW w:w="705" w:type="pct"/>
            <w:shd w:val="clear" w:color="auto" w:fill="auto"/>
            <w:noWrap w:val="0"/>
            <w:vAlign w:val="center"/>
          </w:tcPr>
          <w:p w14:paraId="0F909158">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5.7</w:t>
            </w:r>
          </w:p>
        </w:tc>
        <w:tc>
          <w:tcPr>
            <w:tcW w:w="394" w:type="pct"/>
            <w:shd w:val="clear" w:color="auto" w:fill="auto"/>
            <w:noWrap w:val="0"/>
            <w:vAlign w:val="center"/>
          </w:tcPr>
          <w:p w14:paraId="6EF35B19">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4</w:t>
            </w:r>
          </w:p>
        </w:tc>
        <w:tc>
          <w:tcPr>
            <w:tcW w:w="407" w:type="pct"/>
            <w:shd w:val="clear" w:color="auto" w:fill="auto"/>
            <w:noWrap w:val="0"/>
            <w:vAlign w:val="center"/>
          </w:tcPr>
          <w:p w14:paraId="0E7FDE87">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w:t>
            </w:r>
          </w:p>
        </w:tc>
        <w:tc>
          <w:tcPr>
            <w:tcW w:w="407" w:type="pct"/>
            <w:shd w:val="clear" w:color="auto" w:fill="auto"/>
            <w:noWrap w:val="0"/>
            <w:vAlign w:val="center"/>
          </w:tcPr>
          <w:p w14:paraId="4A068E0E">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w:t>
            </w:r>
          </w:p>
        </w:tc>
        <w:tc>
          <w:tcPr>
            <w:tcW w:w="471" w:type="pct"/>
            <w:shd w:val="clear" w:color="auto" w:fill="auto"/>
            <w:noWrap w:val="0"/>
            <w:vAlign w:val="center"/>
          </w:tcPr>
          <w:p w14:paraId="47CA4055">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w:t>
            </w:r>
          </w:p>
        </w:tc>
        <w:tc>
          <w:tcPr>
            <w:tcW w:w="433" w:type="pct"/>
            <w:shd w:val="clear" w:color="auto" w:fill="auto"/>
            <w:noWrap w:val="0"/>
            <w:vAlign w:val="center"/>
          </w:tcPr>
          <w:p w14:paraId="39167DA4">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w:t>
            </w:r>
          </w:p>
        </w:tc>
        <w:tc>
          <w:tcPr>
            <w:tcW w:w="323" w:type="pct"/>
            <w:shd w:val="clear" w:color="auto" w:fill="auto"/>
            <w:noWrap w:val="0"/>
            <w:vAlign w:val="center"/>
          </w:tcPr>
          <w:p w14:paraId="71D2A554">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100</w:t>
            </w:r>
          </w:p>
        </w:tc>
        <w:tc>
          <w:tcPr>
            <w:tcW w:w="357" w:type="pct"/>
            <w:shd w:val="clear" w:color="auto" w:fill="auto"/>
            <w:noWrap w:val="0"/>
            <w:vAlign w:val="center"/>
          </w:tcPr>
          <w:p w14:paraId="42806A3D">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w:t>
            </w:r>
          </w:p>
        </w:tc>
        <w:tc>
          <w:tcPr>
            <w:tcW w:w="483" w:type="pct"/>
            <w:shd w:val="clear" w:color="auto" w:fill="auto"/>
            <w:noWrap w:val="0"/>
            <w:vAlign w:val="center"/>
          </w:tcPr>
          <w:p w14:paraId="16D41F6F">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w:t>
            </w:r>
          </w:p>
        </w:tc>
      </w:tr>
      <w:tr w14:paraId="0551B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noWrap w:val="0"/>
            <w:vAlign w:val="center"/>
          </w:tcPr>
          <w:p w14:paraId="3D6331F6">
            <w:pPr>
              <w:pStyle w:val="55"/>
              <w:bidi w:val="0"/>
              <w:rPr>
                <w:rFonts w:hint="default"/>
              </w:rPr>
            </w:pPr>
            <w:r>
              <w:rPr>
                <w:rFonts w:hint="default"/>
              </w:rPr>
              <w:t>4</w:t>
            </w:r>
          </w:p>
        </w:tc>
        <w:tc>
          <w:tcPr>
            <w:tcW w:w="734" w:type="pct"/>
            <w:shd w:val="clear" w:color="auto" w:fill="auto"/>
            <w:noWrap w:val="0"/>
            <w:vAlign w:val="center"/>
          </w:tcPr>
          <w:p w14:paraId="0141F574">
            <w:pPr>
              <w:pStyle w:val="55"/>
              <w:bidi w:val="0"/>
              <w:rPr>
                <w:rFonts w:hint="default" w:ascii="Times New Roman" w:hAnsi="Times New Roman" w:eastAsia="楷体" w:cstheme="minorBidi"/>
                <w:snapToGrid w:val="0"/>
                <w:kern w:val="0"/>
                <w:sz w:val="24"/>
                <w:szCs w:val="24"/>
                <w:lang w:val="en-US" w:eastAsia="zh-CN" w:bidi="ar-SA"/>
              </w:rPr>
            </w:pPr>
            <w:r>
              <w:rPr>
                <w:rFonts w:hint="default"/>
              </w:rPr>
              <w:t>铜（mg/kg）</w:t>
            </w:r>
          </w:p>
        </w:tc>
        <w:tc>
          <w:tcPr>
            <w:tcW w:w="705" w:type="pct"/>
            <w:shd w:val="clear" w:color="auto" w:fill="auto"/>
            <w:noWrap w:val="0"/>
            <w:vAlign w:val="center"/>
          </w:tcPr>
          <w:p w14:paraId="22E2BEC3">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18000</w:t>
            </w:r>
          </w:p>
        </w:tc>
        <w:tc>
          <w:tcPr>
            <w:tcW w:w="394" w:type="pct"/>
            <w:shd w:val="clear" w:color="auto" w:fill="auto"/>
            <w:noWrap w:val="0"/>
            <w:vAlign w:val="center"/>
          </w:tcPr>
          <w:p w14:paraId="7A2EB463">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4</w:t>
            </w:r>
          </w:p>
        </w:tc>
        <w:tc>
          <w:tcPr>
            <w:tcW w:w="407" w:type="pct"/>
            <w:shd w:val="clear" w:color="auto" w:fill="auto"/>
            <w:noWrap w:val="0"/>
            <w:vAlign w:val="center"/>
          </w:tcPr>
          <w:p w14:paraId="00F05654">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24</w:t>
            </w:r>
          </w:p>
        </w:tc>
        <w:tc>
          <w:tcPr>
            <w:tcW w:w="407" w:type="pct"/>
            <w:shd w:val="clear" w:color="auto" w:fill="auto"/>
            <w:noWrap w:val="0"/>
            <w:vAlign w:val="center"/>
          </w:tcPr>
          <w:p w14:paraId="60039AE9">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18</w:t>
            </w:r>
          </w:p>
        </w:tc>
        <w:tc>
          <w:tcPr>
            <w:tcW w:w="471" w:type="pct"/>
            <w:shd w:val="clear" w:color="auto" w:fill="auto"/>
            <w:noWrap w:val="0"/>
            <w:vAlign w:val="center"/>
          </w:tcPr>
          <w:p w14:paraId="3960B0AF">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1.75</w:t>
            </w:r>
          </w:p>
        </w:tc>
        <w:tc>
          <w:tcPr>
            <w:tcW w:w="433" w:type="pct"/>
            <w:shd w:val="clear" w:color="auto" w:fill="auto"/>
            <w:noWrap w:val="0"/>
            <w:vAlign w:val="center"/>
          </w:tcPr>
          <w:p w14:paraId="0C92335C">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0.13</w:t>
            </w:r>
          </w:p>
        </w:tc>
        <w:tc>
          <w:tcPr>
            <w:tcW w:w="323" w:type="pct"/>
            <w:shd w:val="clear" w:color="auto" w:fill="auto"/>
            <w:noWrap w:val="0"/>
            <w:vAlign w:val="center"/>
          </w:tcPr>
          <w:p w14:paraId="40B504E9">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100</w:t>
            </w:r>
          </w:p>
        </w:tc>
        <w:tc>
          <w:tcPr>
            <w:tcW w:w="357" w:type="pct"/>
            <w:shd w:val="clear" w:color="auto" w:fill="auto"/>
            <w:noWrap w:val="0"/>
            <w:vAlign w:val="center"/>
          </w:tcPr>
          <w:p w14:paraId="1BCC001F">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w:t>
            </w:r>
          </w:p>
        </w:tc>
        <w:tc>
          <w:tcPr>
            <w:tcW w:w="483" w:type="pct"/>
            <w:shd w:val="clear" w:color="auto" w:fill="auto"/>
            <w:noWrap w:val="0"/>
            <w:vAlign w:val="center"/>
          </w:tcPr>
          <w:p w14:paraId="4588F99A">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w:t>
            </w:r>
          </w:p>
        </w:tc>
      </w:tr>
      <w:tr w14:paraId="4E7E0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noWrap w:val="0"/>
            <w:vAlign w:val="center"/>
          </w:tcPr>
          <w:p w14:paraId="40A1C9DA">
            <w:pPr>
              <w:pStyle w:val="55"/>
              <w:bidi w:val="0"/>
              <w:rPr>
                <w:rFonts w:hint="default"/>
              </w:rPr>
            </w:pPr>
            <w:r>
              <w:rPr>
                <w:rFonts w:hint="default"/>
              </w:rPr>
              <w:t>5</w:t>
            </w:r>
          </w:p>
        </w:tc>
        <w:tc>
          <w:tcPr>
            <w:tcW w:w="734" w:type="pct"/>
            <w:shd w:val="clear" w:color="auto" w:fill="auto"/>
            <w:noWrap w:val="0"/>
            <w:vAlign w:val="center"/>
          </w:tcPr>
          <w:p w14:paraId="2692D7ED">
            <w:pPr>
              <w:pStyle w:val="55"/>
              <w:bidi w:val="0"/>
              <w:rPr>
                <w:rFonts w:hint="default" w:ascii="Times New Roman" w:hAnsi="Times New Roman" w:eastAsia="楷体" w:cstheme="minorBidi"/>
                <w:snapToGrid w:val="0"/>
                <w:kern w:val="0"/>
                <w:sz w:val="24"/>
                <w:szCs w:val="24"/>
                <w:lang w:val="en-US" w:eastAsia="zh-CN" w:bidi="ar-SA"/>
              </w:rPr>
            </w:pPr>
            <w:r>
              <w:rPr>
                <w:rFonts w:hint="default"/>
              </w:rPr>
              <w:t>铅（mg/kg）</w:t>
            </w:r>
          </w:p>
        </w:tc>
        <w:tc>
          <w:tcPr>
            <w:tcW w:w="705" w:type="pct"/>
            <w:shd w:val="clear" w:color="auto" w:fill="auto"/>
            <w:noWrap w:val="0"/>
            <w:vAlign w:val="center"/>
          </w:tcPr>
          <w:p w14:paraId="72F286A7">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800</w:t>
            </w:r>
          </w:p>
        </w:tc>
        <w:tc>
          <w:tcPr>
            <w:tcW w:w="394" w:type="pct"/>
            <w:shd w:val="clear" w:color="auto" w:fill="auto"/>
            <w:noWrap w:val="0"/>
            <w:vAlign w:val="center"/>
          </w:tcPr>
          <w:p w14:paraId="2889CC6E">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4</w:t>
            </w:r>
          </w:p>
        </w:tc>
        <w:tc>
          <w:tcPr>
            <w:tcW w:w="407" w:type="pct"/>
            <w:shd w:val="clear" w:color="auto" w:fill="auto"/>
            <w:noWrap w:val="0"/>
            <w:vAlign w:val="center"/>
          </w:tcPr>
          <w:p w14:paraId="74010495">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27.7</w:t>
            </w:r>
          </w:p>
        </w:tc>
        <w:tc>
          <w:tcPr>
            <w:tcW w:w="407" w:type="pct"/>
            <w:shd w:val="clear" w:color="auto" w:fill="auto"/>
            <w:noWrap w:val="0"/>
            <w:vAlign w:val="center"/>
          </w:tcPr>
          <w:p w14:paraId="5CA00587">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23.2</w:t>
            </w:r>
          </w:p>
        </w:tc>
        <w:tc>
          <w:tcPr>
            <w:tcW w:w="471" w:type="pct"/>
            <w:shd w:val="clear" w:color="auto" w:fill="auto"/>
            <w:noWrap w:val="0"/>
            <w:vAlign w:val="center"/>
          </w:tcPr>
          <w:p w14:paraId="0FA33138">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1.9</w:t>
            </w:r>
          </w:p>
        </w:tc>
        <w:tc>
          <w:tcPr>
            <w:tcW w:w="433" w:type="pct"/>
            <w:shd w:val="clear" w:color="auto" w:fill="auto"/>
            <w:noWrap w:val="0"/>
            <w:vAlign w:val="center"/>
          </w:tcPr>
          <w:p w14:paraId="39541623">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3.46</w:t>
            </w:r>
          </w:p>
        </w:tc>
        <w:tc>
          <w:tcPr>
            <w:tcW w:w="323" w:type="pct"/>
            <w:shd w:val="clear" w:color="auto" w:fill="auto"/>
            <w:noWrap w:val="0"/>
            <w:vAlign w:val="center"/>
          </w:tcPr>
          <w:p w14:paraId="234455DA">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100</w:t>
            </w:r>
          </w:p>
        </w:tc>
        <w:tc>
          <w:tcPr>
            <w:tcW w:w="357" w:type="pct"/>
            <w:shd w:val="clear" w:color="auto" w:fill="auto"/>
            <w:noWrap w:val="0"/>
            <w:vAlign w:val="center"/>
          </w:tcPr>
          <w:p w14:paraId="0EDA385C">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w:t>
            </w:r>
          </w:p>
        </w:tc>
        <w:tc>
          <w:tcPr>
            <w:tcW w:w="483" w:type="pct"/>
            <w:shd w:val="clear" w:color="auto" w:fill="auto"/>
            <w:noWrap w:val="0"/>
            <w:vAlign w:val="center"/>
          </w:tcPr>
          <w:p w14:paraId="70AA032F">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w:t>
            </w:r>
          </w:p>
        </w:tc>
      </w:tr>
      <w:tr w14:paraId="12EEF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noWrap w:val="0"/>
            <w:vAlign w:val="center"/>
          </w:tcPr>
          <w:p w14:paraId="77F8677D">
            <w:pPr>
              <w:pStyle w:val="55"/>
              <w:bidi w:val="0"/>
              <w:rPr>
                <w:rFonts w:hint="default"/>
              </w:rPr>
            </w:pPr>
            <w:r>
              <w:rPr>
                <w:rFonts w:hint="default"/>
              </w:rPr>
              <w:t>6</w:t>
            </w:r>
          </w:p>
        </w:tc>
        <w:tc>
          <w:tcPr>
            <w:tcW w:w="734" w:type="pct"/>
            <w:shd w:val="clear" w:color="auto" w:fill="auto"/>
            <w:noWrap w:val="0"/>
            <w:vAlign w:val="center"/>
          </w:tcPr>
          <w:p w14:paraId="10630D54">
            <w:pPr>
              <w:pStyle w:val="55"/>
              <w:bidi w:val="0"/>
              <w:rPr>
                <w:rFonts w:hint="default" w:ascii="Times New Roman" w:hAnsi="Times New Roman" w:eastAsia="楷体" w:cstheme="minorBidi"/>
                <w:snapToGrid w:val="0"/>
                <w:kern w:val="0"/>
                <w:sz w:val="24"/>
                <w:szCs w:val="24"/>
                <w:lang w:val="en-US" w:eastAsia="zh-CN" w:bidi="ar-SA"/>
              </w:rPr>
            </w:pPr>
            <w:r>
              <w:rPr>
                <w:rFonts w:hint="default"/>
              </w:rPr>
              <w:t>汞（mg/kg）</w:t>
            </w:r>
          </w:p>
        </w:tc>
        <w:tc>
          <w:tcPr>
            <w:tcW w:w="705" w:type="pct"/>
            <w:shd w:val="clear" w:color="auto" w:fill="auto"/>
            <w:noWrap w:val="0"/>
            <w:vAlign w:val="center"/>
          </w:tcPr>
          <w:p w14:paraId="09880CAE">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38</w:t>
            </w:r>
          </w:p>
        </w:tc>
        <w:tc>
          <w:tcPr>
            <w:tcW w:w="394" w:type="pct"/>
            <w:shd w:val="clear" w:color="auto" w:fill="auto"/>
            <w:noWrap w:val="0"/>
            <w:vAlign w:val="center"/>
          </w:tcPr>
          <w:p w14:paraId="58D6C127">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4</w:t>
            </w:r>
          </w:p>
        </w:tc>
        <w:tc>
          <w:tcPr>
            <w:tcW w:w="407" w:type="pct"/>
            <w:shd w:val="clear" w:color="auto" w:fill="auto"/>
            <w:noWrap w:val="0"/>
            <w:vAlign w:val="center"/>
          </w:tcPr>
          <w:p w14:paraId="68081D26">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0.088</w:t>
            </w:r>
          </w:p>
        </w:tc>
        <w:tc>
          <w:tcPr>
            <w:tcW w:w="407" w:type="pct"/>
            <w:shd w:val="clear" w:color="auto" w:fill="auto"/>
            <w:noWrap w:val="0"/>
            <w:vAlign w:val="center"/>
          </w:tcPr>
          <w:p w14:paraId="1227D794">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0.038</w:t>
            </w:r>
          </w:p>
        </w:tc>
        <w:tc>
          <w:tcPr>
            <w:tcW w:w="471" w:type="pct"/>
            <w:shd w:val="clear" w:color="auto" w:fill="auto"/>
            <w:noWrap w:val="0"/>
            <w:vAlign w:val="center"/>
          </w:tcPr>
          <w:p w14:paraId="4E51A2E6">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0.023</w:t>
            </w:r>
          </w:p>
        </w:tc>
        <w:tc>
          <w:tcPr>
            <w:tcW w:w="433" w:type="pct"/>
            <w:shd w:val="clear" w:color="auto" w:fill="auto"/>
            <w:noWrap w:val="0"/>
            <w:vAlign w:val="center"/>
          </w:tcPr>
          <w:p w14:paraId="197C8FF1">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0.232</w:t>
            </w:r>
          </w:p>
        </w:tc>
        <w:tc>
          <w:tcPr>
            <w:tcW w:w="323" w:type="pct"/>
            <w:shd w:val="clear" w:color="auto" w:fill="auto"/>
            <w:noWrap w:val="0"/>
            <w:vAlign w:val="center"/>
          </w:tcPr>
          <w:p w14:paraId="5D37AC05">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100</w:t>
            </w:r>
          </w:p>
        </w:tc>
        <w:tc>
          <w:tcPr>
            <w:tcW w:w="357" w:type="pct"/>
            <w:shd w:val="clear" w:color="auto" w:fill="auto"/>
            <w:noWrap w:val="0"/>
            <w:vAlign w:val="center"/>
          </w:tcPr>
          <w:p w14:paraId="0EB49010">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w:t>
            </w:r>
          </w:p>
        </w:tc>
        <w:tc>
          <w:tcPr>
            <w:tcW w:w="483" w:type="pct"/>
            <w:shd w:val="clear" w:color="auto" w:fill="auto"/>
            <w:noWrap w:val="0"/>
            <w:vAlign w:val="center"/>
          </w:tcPr>
          <w:p w14:paraId="2048551D">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w:t>
            </w:r>
          </w:p>
        </w:tc>
      </w:tr>
      <w:tr w14:paraId="5E674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noWrap w:val="0"/>
            <w:vAlign w:val="center"/>
          </w:tcPr>
          <w:p w14:paraId="2AB854F2">
            <w:pPr>
              <w:pStyle w:val="55"/>
              <w:bidi w:val="0"/>
              <w:rPr>
                <w:rFonts w:hint="default"/>
              </w:rPr>
            </w:pPr>
            <w:r>
              <w:rPr>
                <w:rFonts w:hint="default"/>
              </w:rPr>
              <w:t>7</w:t>
            </w:r>
          </w:p>
        </w:tc>
        <w:tc>
          <w:tcPr>
            <w:tcW w:w="734" w:type="pct"/>
            <w:shd w:val="clear" w:color="auto" w:fill="auto"/>
            <w:noWrap w:val="0"/>
            <w:vAlign w:val="center"/>
          </w:tcPr>
          <w:p w14:paraId="35A64A50">
            <w:pPr>
              <w:pStyle w:val="55"/>
              <w:bidi w:val="0"/>
              <w:rPr>
                <w:rFonts w:hint="default" w:ascii="Times New Roman" w:hAnsi="Times New Roman" w:eastAsia="楷体" w:cstheme="minorBidi"/>
                <w:snapToGrid w:val="0"/>
                <w:kern w:val="0"/>
                <w:sz w:val="24"/>
                <w:szCs w:val="24"/>
                <w:lang w:val="en-US" w:eastAsia="zh-CN" w:bidi="ar-SA"/>
              </w:rPr>
            </w:pPr>
            <w:r>
              <w:rPr>
                <w:rFonts w:hint="default"/>
                <w:lang w:eastAsia="zh-CN"/>
              </w:rPr>
              <w:t>镍</w:t>
            </w:r>
            <w:r>
              <w:rPr>
                <w:rFonts w:hint="default"/>
              </w:rPr>
              <w:t>（mg/kg）</w:t>
            </w:r>
          </w:p>
        </w:tc>
        <w:tc>
          <w:tcPr>
            <w:tcW w:w="705" w:type="pct"/>
            <w:shd w:val="clear" w:color="auto" w:fill="auto"/>
            <w:noWrap w:val="0"/>
            <w:vAlign w:val="center"/>
          </w:tcPr>
          <w:p w14:paraId="245C7724">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900</w:t>
            </w:r>
          </w:p>
        </w:tc>
        <w:tc>
          <w:tcPr>
            <w:tcW w:w="394" w:type="pct"/>
            <w:shd w:val="clear" w:color="auto" w:fill="auto"/>
            <w:noWrap w:val="0"/>
            <w:vAlign w:val="center"/>
          </w:tcPr>
          <w:p w14:paraId="6058266B">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4</w:t>
            </w:r>
          </w:p>
        </w:tc>
        <w:tc>
          <w:tcPr>
            <w:tcW w:w="407" w:type="pct"/>
            <w:shd w:val="clear" w:color="auto" w:fill="auto"/>
            <w:noWrap w:val="0"/>
            <w:vAlign w:val="center"/>
          </w:tcPr>
          <w:p w14:paraId="079DF929">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31</w:t>
            </w:r>
          </w:p>
        </w:tc>
        <w:tc>
          <w:tcPr>
            <w:tcW w:w="407" w:type="pct"/>
            <w:shd w:val="clear" w:color="auto" w:fill="auto"/>
            <w:noWrap w:val="0"/>
            <w:vAlign w:val="center"/>
          </w:tcPr>
          <w:p w14:paraId="35503A14">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26</w:t>
            </w:r>
          </w:p>
        </w:tc>
        <w:tc>
          <w:tcPr>
            <w:tcW w:w="471" w:type="pct"/>
            <w:shd w:val="clear" w:color="auto" w:fill="auto"/>
            <w:noWrap w:val="0"/>
            <w:vAlign w:val="center"/>
          </w:tcPr>
          <w:p w14:paraId="40679BD0">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1.5</w:t>
            </w:r>
          </w:p>
        </w:tc>
        <w:tc>
          <w:tcPr>
            <w:tcW w:w="433" w:type="pct"/>
            <w:shd w:val="clear" w:color="auto" w:fill="auto"/>
            <w:noWrap w:val="0"/>
            <w:vAlign w:val="center"/>
          </w:tcPr>
          <w:p w14:paraId="69B16D82">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3.444</w:t>
            </w:r>
          </w:p>
        </w:tc>
        <w:tc>
          <w:tcPr>
            <w:tcW w:w="323" w:type="pct"/>
            <w:shd w:val="clear" w:color="auto" w:fill="auto"/>
            <w:noWrap w:val="0"/>
            <w:vAlign w:val="center"/>
          </w:tcPr>
          <w:p w14:paraId="6A3A1AE7">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100</w:t>
            </w:r>
          </w:p>
        </w:tc>
        <w:tc>
          <w:tcPr>
            <w:tcW w:w="357" w:type="pct"/>
            <w:shd w:val="clear" w:color="auto" w:fill="auto"/>
            <w:noWrap w:val="0"/>
            <w:vAlign w:val="center"/>
          </w:tcPr>
          <w:p w14:paraId="28BF696B">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w:t>
            </w:r>
          </w:p>
        </w:tc>
        <w:tc>
          <w:tcPr>
            <w:tcW w:w="483" w:type="pct"/>
            <w:shd w:val="clear" w:color="auto" w:fill="auto"/>
            <w:noWrap w:val="0"/>
            <w:vAlign w:val="center"/>
          </w:tcPr>
          <w:p w14:paraId="5A85DB8C">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w:t>
            </w:r>
          </w:p>
        </w:tc>
      </w:tr>
      <w:tr w14:paraId="0FCBE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noWrap w:val="0"/>
            <w:vAlign w:val="center"/>
          </w:tcPr>
          <w:p w14:paraId="71C6055C">
            <w:pPr>
              <w:pStyle w:val="55"/>
              <w:bidi w:val="0"/>
              <w:rPr>
                <w:rFonts w:hint="default"/>
              </w:rPr>
            </w:pPr>
            <w:r>
              <w:rPr>
                <w:rFonts w:hint="default"/>
              </w:rPr>
              <w:t>8</w:t>
            </w:r>
          </w:p>
        </w:tc>
        <w:tc>
          <w:tcPr>
            <w:tcW w:w="734" w:type="pct"/>
            <w:shd w:val="clear" w:color="auto" w:fill="auto"/>
            <w:noWrap w:val="0"/>
            <w:vAlign w:val="center"/>
          </w:tcPr>
          <w:p w14:paraId="7E121F86">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挥发性有机物</w:t>
            </w:r>
          </w:p>
        </w:tc>
        <w:tc>
          <w:tcPr>
            <w:tcW w:w="705" w:type="pct"/>
            <w:shd w:val="clear" w:color="auto" w:fill="auto"/>
            <w:noWrap w:val="0"/>
            <w:vAlign w:val="center"/>
          </w:tcPr>
          <w:p w14:paraId="3F488A25">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w:t>
            </w:r>
          </w:p>
        </w:tc>
        <w:tc>
          <w:tcPr>
            <w:tcW w:w="394" w:type="pct"/>
            <w:shd w:val="clear" w:color="auto" w:fill="auto"/>
            <w:noWrap w:val="0"/>
            <w:vAlign w:val="center"/>
          </w:tcPr>
          <w:p w14:paraId="796D1230">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4</w:t>
            </w:r>
          </w:p>
        </w:tc>
        <w:tc>
          <w:tcPr>
            <w:tcW w:w="407" w:type="pct"/>
            <w:shd w:val="clear" w:color="auto" w:fill="auto"/>
            <w:noWrap w:val="0"/>
            <w:vAlign w:val="center"/>
          </w:tcPr>
          <w:p w14:paraId="1A7F1611">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w:t>
            </w:r>
          </w:p>
        </w:tc>
        <w:tc>
          <w:tcPr>
            <w:tcW w:w="407" w:type="pct"/>
            <w:shd w:val="clear" w:color="auto" w:fill="auto"/>
            <w:noWrap w:val="0"/>
            <w:vAlign w:val="center"/>
          </w:tcPr>
          <w:p w14:paraId="4B8293C5">
            <w:pPr>
              <w:pStyle w:val="55"/>
              <w:bidi w:val="0"/>
              <w:rPr>
                <w:rFonts w:hint="default" w:ascii="Times New Roman" w:hAnsi="Times New Roman" w:eastAsia="楷体" w:cstheme="minorBidi"/>
                <w:snapToGrid w:val="0"/>
                <w:kern w:val="0"/>
                <w:sz w:val="24"/>
                <w:szCs w:val="24"/>
                <w:lang w:val="en-US" w:eastAsia="zh-CN" w:bidi="ar-SA"/>
              </w:rPr>
            </w:pPr>
            <w:r>
              <w:rPr>
                <w:rFonts w:hint="default"/>
                <w:lang w:val="en-US" w:eastAsia="zh-CN"/>
              </w:rPr>
              <w:t>0</w:t>
            </w:r>
          </w:p>
        </w:tc>
        <w:tc>
          <w:tcPr>
            <w:tcW w:w="471" w:type="pct"/>
            <w:shd w:val="clear" w:color="auto" w:fill="auto"/>
            <w:noWrap w:val="0"/>
            <w:vAlign w:val="center"/>
          </w:tcPr>
          <w:p w14:paraId="20C95B22">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w:t>
            </w:r>
          </w:p>
        </w:tc>
        <w:tc>
          <w:tcPr>
            <w:tcW w:w="433" w:type="pct"/>
            <w:shd w:val="clear" w:color="auto" w:fill="auto"/>
            <w:noWrap w:val="0"/>
            <w:vAlign w:val="center"/>
          </w:tcPr>
          <w:p w14:paraId="75C36F22">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w:t>
            </w:r>
          </w:p>
        </w:tc>
        <w:tc>
          <w:tcPr>
            <w:tcW w:w="323" w:type="pct"/>
            <w:shd w:val="clear" w:color="auto" w:fill="auto"/>
            <w:noWrap w:val="0"/>
            <w:vAlign w:val="center"/>
          </w:tcPr>
          <w:p w14:paraId="174B2DE8">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w:t>
            </w:r>
          </w:p>
        </w:tc>
        <w:tc>
          <w:tcPr>
            <w:tcW w:w="357" w:type="pct"/>
            <w:shd w:val="clear" w:color="auto" w:fill="auto"/>
            <w:noWrap w:val="0"/>
            <w:vAlign w:val="center"/>
          </w:tcPr>
          <w:p w14:paraId="5E60CFEF">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w:t>
            </w:r>
          </w:p>
        </w:tc>
        <w:tc>
          <w:tcPr>
            <w:tcW w:w="483" w:type="pct"/>
            <w:shd w:val="clear" w:color="auto" w:fill="auto"/>
            <w:noWrap w:val="0"/>
            <w:vAlign w:val="center"/>
          </w:tcPr>
          <w:p w14:paraId="6B9411C9">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w:t>
            </w:r>
          </w:p>
        </w:tc>
      </w:tr>
      <w:tr w14:paraId="2747B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noWrap w:val="0"/>
            <w:vAlign w:val="center"/>
          </w:tcPr>
          <w:p w14:paraId="6F0217AE">
            <w:pPr>
              <w:pStyle w:val="55"/>
              <w:bidi w:val="0"/>
              <w:rPr>
                <w:rFonts w:hint="default"/>
              </w:rPr>
            </w:pPr>
            <w:r>
              <w:rPr>
                <w:rFonts w:hint="default"/>
              </w:rPr>
              <w:t>9</w:t>
            </w:r>
          </w:p>
        </w:tc>
        <w:tc>
          <w:tcPr>
            <w:tcW w:w="734" w:type="pct"/>
            <w:shd w:val="clear" w:color="auto" w:fill="auto"/>
            <w:noWrap w:val="0"/>
            <w:vAlign w:val="center"/>
          </w:tcPr>
          <w:p w14:paraId="2E1A7B6A">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半挥发性有机物</w:t>
            </w:r>
          </w:p>
        </w:tc>
        <w:tc>
          <w:tcPr>
            <w:tcW w:w="705" w:type="pct"/>
            <w:shd w:val="clear" w:color="auto" w:fill="auto"/>
            <w:noWrap w:val="0"/>
            <w:vAlign w:val="center"/>
          </w:tcPr>
          <w:p w14:paraId="24AE0EBB">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w:t>
            </w:r>
          </w:p>
        </w:tc>
        <w:tc>
          <w:tcPr>
            <w:tcW w:w="394" w:type="pct"/>
            <w:shd w:val="clear" w:color="auto" w:fill="auto"/>
            <w:noWrap w:val="0"/>
            <w:vAlign w:val="center"/>
          </w:tcPr>
          <w:p w14:paraId="3E215CB1">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4</w:t>
            </w:r>
          </w:p>
        </w:tc>
        <w:tc>
          <w:tcPr>
            <w:tcW w:w="407" w:type="pct"/>
            <w:shd w:val="clear" w:color="auto" w:fill="auto"/>
            <w:noWrap w:val="0"/>
            <w:vAlign w:val="center"/>
          </w:tcPr>
          <w:p w14:paraId="7111B26E">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w:t>
            </w:r>
          </w:p>
        </w:tc>
        <w:tc>
          <w:tcPr>
            <w:tcW w:w="407" w:type="pct"/>
            <w:shd w:val="clear" w:color="auto" w:fill="auto"/>
            <w:noWrap w:val="0"/>
            <w:vAlign w:val="center"/>
          </w:tcPr>
          <w:p w14:paraId="3322316E">
            <w:pPr>
              <w:pStyle w:val="55"/>
              <w:bidi w:val="0"/>
              <w:rPr>
                <w:rFonts w:hint="default" w:ascii="Times New Roman" w:hAnsi="Times New Roman" w:eastAsia="楷体" w:cstheme="minorBidi"/>
                <w:snapToGrid w:val="0"/>
                <w:kern w:val="0"/>
                <w:sz w:val="24"/>
                <w:szCs w:val="24"/>
                <w:lang w:val="en-US" w:eastAsia="zh-CN" w:bidi="ar-SA"/>
              </w:rPr>
            </w:pPr>
            <w:r>
              <w:rPr>
                <w:rFonts w:hint="default"/>
                <w:lang w:val="en-US" w:eastAsia="zh-CN"/>
              </w:rPr>
              <w:t>0</w:t>
            </w:r>
          </w:p>
        </w:tc>
        <w:tc>
          <w:tcPr>
            <w:tcW w:w="471" w:type="pct"/>
            <w:shd w:val="clear" w:color="auto" w:fill="auto"/>
            <w:noWrap w:val="0"/>
            <w:vAlign w:val="center"/>
          </w:tcPr>
          <w:p w14:paraId="30AFCE80">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w:t>
            </w:r>
          </w:p>
        </w:tc>
        <w:tc>
          <w:tcPr>
            <w:tcW w:w="433" w:type="pct"/>
            <w:shd w:val="clear" w:color="auto" w:fill="auto"/>
            <w:noWrap w:val="0"/>
            <w:vAlign w:val="center"/>
          </w:tcPr>
          <w:p w14:paraId="0E9788CD">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w:t>
            </w:r>
          </w:p>
        </w:tc>
        <w:tc>
          <w:tcPr>
            <w:tcW w:w="323" w:type="pct"/>
            <w:shd w:val="clear" w:color="auto" w:fill="auto"/>
            <w:noWrap w:val="0"/>
            <w:vAlign w:val="center"/>
          </w:tcPr>
          <w:p w14:paraId="64D9DAE0">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w:t>
            </w:r>
          </w:p>
        </w:tc>
        <w:tc>
          <w:tcPr>
            <w:tcW w:w="357" w:type="pct"/>
            <w:shd w:val="clear" w:color="auto" w:fill="auto"/>
            <w:noWrap w:val="0"/>
            <w:vAlign w:val="center"/>
          </w:tcPr>
          <w:p w14:paraId="0C258D75">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w:t>
            </w:r>
          </w:p>
        </w:tc>
        <w:tc>
          <w:tcPr>
            <w:tcW w:w="483" w:type="pct"/>
            <w:shd w:val="clear" w:color="auto" w:fill="auto"/>
            <w:noWrap w:val="0"/>
            <w:vAlign w:val="center"/>
          </w:tcPr>
          <w:p w14:paraId="21B51207">
            <w:pPr>
              <w:pStyle w:val="55"/>
              <w:bidi w:val="0"/>
              <w:rPr>
                <w:rFonts w:hint="default" w:ascii="Times New Roman" w:hAnsi="Times New Roman" w:eastAsia="楷体" w:cstheme="minorBidi"/>
                <w:snapToGrid w:val="0"/>
                <w:kern w:val="0"/>
                <w:sz w:val="24"/>
                <w:szCs w:val="24"/>
                <w:lang w:val="en-US" w:eastAsia="zh-CN" w:bidi="ar-SA"/>
              </w:rPr>
            </w:pPr>
            <w:r>
              <w:rPr>
                <w:rFonts w:hint="eastAsia"/>
                <w:lang w:val="en-US" w:eastAsia="zh-CN"/>
              </w:rPr>
              <w:t>0</w:t>
            </w:r>
          </w:p>
        </w:tc>
      </w:tr>
    </w:tbl>
    <w:p w14:paraId="498512CD">
      <w:pPr>
        <w:pStyle w:val="47"/>
        <w:ind w:firstLine="482"/>
        <w:rPr>
          <w:rFonts w:hint="eastAsia"/>
        </w:rPr>
      </w:pPr>
      <w:r>
        <w:rPr>
          <w:rFonts w:hint="eastAsia"/>
        </w:rPr>
        <w:t>由上表分析可知，土壤监测点各监测因子监测值</w:t>
      </w:r>
      <w:r>
        <w:rPr>
          <w:rFonts w:hint="eastAsia"/>
          <w:lang w:val="en-US" w:eastAsia="zh-CN"/>
        </w:rPr>
        <w:t>满足</w:t>
      </w:r>
      <w:r>
        <w:rPr>
          <w:rFonts w:hint="eastAsia"/>
        </w:rPr>
        <w:t>《土壤环境质量 建设用地土壤污染风险管控标准（试行）》（GB36600-2018）</w:t>
      </w:r>
      <w:r>
        <w:rPr>
          <w:rFonts w:hint="eastAsia"/>
          <w:lang w:val="en-US" w:eastAsia="zh-CN"/>
        </w:rPr>
        <w:t>表1</w:t>
      </w:r>
      <w:r>
        <w:rPr>
          <w:rFonts w:hint="eastAsia"/>
        </w:rPr>
        <w:t>中第二类用地土壤污染风险筛选值。</w:t>
      </w:r>
    </w:p>
    <w:p w14:paraId="435B4BBE">
      <w:pPr>
        <w:pStyle w:val="47"/>
        <w:ind w:firstLine="482"/>
        <w:rPr>
          <w:rFonts w:hint="eastAsia"/>
        </w:rPr>
      </w:pPr>
    </w:p>
    <w:p w14:paraId="5D494232">
      <w:pPr>
        <w:pStyle w:val="47"/>
        <w:ind w:firstLine="482"/>
        <w:rPr>
          <w:rFonts w:hint="eastAsia"/>
        </w:rPr>
      </w:pPr>
    </w:p>
    <w:p w14:paraId="1BEA98E3">
      <w:pPr>
        <w:pStyle w:val="47"/>
        <w:ind w:firstLine="482"/>
        <w:rPr>
          <w:rFonts w:hint="eastAsia"/>
        </w:rPr>
      </w:pPr>
    </w:p>
    <w:p w14:paraId="751024EF">
      <w:pPr>
        <w:pStyle w:val="47"/>
        <w:ind w:firstLine="482"/>
        <w:rPr>
          <w:rFonts w:hint="eastAsia"/>
        </w:rPr>
      </w:pPr>
    </w:p>
    <w:p w14:paraId="2A222692">
      <w:pPr>
        <w:pStyle w:val="47"/>
        <w:ind w:firstLine="482"/>
        <w:rPr>
          <w:rFonts w:hint="eastAsia"/>
        </w:rPr>
      </w:pPr>
    </w:p>
    <w:p w14:paraId="11BAD722">
      <w:pPr>
        <w:pStyle w:val="47"/>
        <w:ind w:firstLine="482"/>
        <w:rPr>
          <w:rFonts w:hint="eastAsia"/>
        </w:rPr>
      </w:pPr>
    </w:p>
    <w:p w14:paraId="0EE6438D">
      <w:pPr>
        <w:pStyle w:val="47"/>
        <w:ind w:firstLine="482"/>
        <w:rPr>
          <w:rFonts w:hint="eastAsia"/>
        </w:rPr>
      </w:pPr>
    </w:p>
    <w:p w14:paraId="0E3F433E">
      <w:pPr>
        <w:pStyle w:val="47"/>
        <w:ind w:firstLine="482"/>
        <w:rPr>
          <w:rFonts w:hint="eastAsia"/>
        </w:rPr>
      </w:pPr>
    </w:p>
    <w:p w14:paraId="577E128E">
      <w:pPr>
        <w:pStyle w:val="47"/>
        <w:ind w:firstLine="482"/>
        <w:rPr>
          <w:rFonts w:hint="eastAsia"/>
        </w:rPr>
      </w:pPr>
    </w:p>
    <w:p w14:paraId="06331023">
      <w:pPr>
        <w:pStyle w:val="47"/>
        <w:ind w:left="0" w:leftChars="0" w:firstLine="0" w:firstLineChars="0"/>
        <w:rPr>
          <w:lang w:val="en-US"/>
        </w:rPr>
      </w:pPr>
    </w:p>
    <w:p w14:paraId="504C1642">
      <w:pPr>
        <w:pStyle w:val="88"/>
        <w:bidi w:val="0"/>
        <w:ind w:left="0" w:leftChars="0" w:hanging="102" w:firstLineChars="0"/>
      </w:pPr>
      <w:bookmarkStart w:id="50" w:name="_Toc27498"/>
      <w:r>
        <w:rPr>
          <w:rFonts w:hint="eastAsia"/>
        </w:rPr>
        <w:t>施工期环境</w:t>
      </w:r>
      <w:r>
        <w:t>影响预测与评价</w:t>
      </w:r>
      <w:bookmarkEnd w:id="50"/>
    </w:p>
    <w:p w14:paraId="2B8431C4">
      <w:pPr>
        <w:pStyle w:val="47"/>
        <w:ind w:firstLine="482"/>
      </w:pPr>
      <w:r>
        <w:rPr>
          <w:rFonts w:hint="eastAsia"/>
        </w:rPr>
        <w:t>施工</w:t>
      </w:r>
      <w:r>
        <w:rPr>
          <w:rFonts w:hint="eastAsia"/>
          <w:lang w:val="en-US" w:eastAsia="zh-CN"/>
        </w:rPr>
        <w:t>期</w:t>
      </w:r>
      <w:r>
        <w:rPr>
          <w:rFonts w:hint="eastAsia"/>
        </w:rPr>
        <w:t>中主要环境影响包括施工废气、施工废水、施工噪声及固体废物等。</w:t>
      </w:r>
    </w:p>
    <w:p w14:paraId="0AD20907">
      <w:pPr>
        <w:pStyle w:val="90"/>
        <w:bidi w:val="0"/>
        <w:ind w:left="0" w:leftChars="0" w:firstLine="0" w:firstLineChars="0"/>
      </w:pPr>
      <w:bookmarkStart w:id="51" w:name="_Toc885"/>
      <w:r>
        <w:rPr>
          <w:rFonts w:hint="eastAsia"/>
        </w:rPr>
        <w:t>施工扬尘</w:t>
      </w:r>
      <w:bookmarkEnd w:id="51"/>
    </w:p>
    <w:p w14:paraId="48047014">
      <w:pPr>
        <w:pStyle w:val="47"/>
        <w:rPr>
          <w:rFonts w:hint="eastAsia"/>
        </w:rPr>
      </w:pPr>
      <w:r>
        <w:rPr>
          <w:rFonts w:hint="eastAsia"/>
        </w:rPr>
        <w:t>（1）尽量缩短施工工期，认真做好施工计划，安排好施工线路及时间顺序。</w:t>
      </w:r>
    </w:p>
    <w:p w14:paraId="330F4E9C">
      <w:pPr>
        <w:pStyle w:val="47"/>
        <w:rPr>
          <w:rFonts w:hint="eastAsia"/>
        </w:rPr>
      </w:pPr>
      <w:r>
        <w:rPr>
          <w:rFonts w:hint="eastAsia"/>
        </w:rPr>
        <w:t>（2）建设单位在施工过程中尽量限制来往、进出施工场地车辆的车速，并在场地周围及运输道路上及时洒水，保持路面的潮湿，以减少由于车辆动力起尘对周围环境的影响。</w:t>
      </w:r>
    </w:p>
    <w:p w14:paraId="15EDE545">
      <w:pPr>
        <w:pStyle w:val="47"/>
        <w:rPr>
          <w:rFonts w:hint="eastAsia"/>
        </w:rPr>
      </w:pPr>
      <w:r>
        <w:rPr>
          <w:rFonts w:hint="eastAsia"/>
        </w:rPr>
        <w:t>（3）对易起尘的建筑材料，如水泥、砂子等，采取覆盖措施，减少起尘。</w:t>
      </w:r>
    </w:p>
    <w:p w14:paraId="7DA00DA4">
      <w:pPr>
        <w:pStyle w:val="47"/>
      </w:pPr>
      <w:r>
        <w:rPr>
          <w:rFonts w:hint="eastAsia"/>
        </w:rPr>
        <w:t>（4）施工单位加强施工场地管理，减少施工机械待机时间及运输车辆在施工场地内停留时间，减少废气产生量。</w:t>
      </w:r>
    </w:p>
    <w:p w14:paraId="6F861D49">
      <w:pPr>
        <w:pStyle w:val="90"/>
        <w:bidi w:val="0"/>
        <w:ind w:left="0" w:leftChars="0" w:firstLine="0" w:firstLineChars="0"/>
      </w:pPr>
      <w:bookmarkStart w:id="52" w:name="_Toc15598"/>
      <w:r>
        <w:rPr>
          <w:rFonts w:hint="eastAsia"/>
        </w:rPr>
        <w:t>施工废水</w:t>
      </w:r>
      <w:bookmarkEnd w:id="52"/>
    </w:p>
    <w:p w14:paraId="471F8606">
      <w:pPr>
        <w:pStyle w:val="47"/>
        <w:ind w:firstLine="482"/>
      </w:pPr>
      <w:r>
        <w:rPr>
          <w:rFonts w:hint="eastAsia"/>
        </w:rPr>
        <w:t>（1）生活污水</w:t>
      </w:r>
    </w:p>
    <w:p w14:paraId="1F4CCA46">
      <w:pPr>
        <w:pStyle w:val="47"/>
        <w:ind w:firstLine="482"/>
        <w:rPr>
          <w:rFonts w:hint="eastAsia"/>
        </w:rPr>
      </w:pPr>
      <w:r>
        <w:rPr>
          <w:rFonts w:hint="eastAsia"/>
        </w:rPr>
        <w:t>生活污水产生量为1m</w:t>
      </w:r>
      <w:r>
        <w:rPr>
          <w:rFonts w:hint="eastAsia"/>
          <w:vertAlign w:val="superscript"/>
        </w:rPr>
        <w:t>3</w:t>
      </w:r>
      <w:r>
        <w:rPr>
          <w:rFonts w:hint="eastAsia"/>
        </w:rPr>
        <w:t>/d（施工人数为20人，产生量按50L/d·人），施工期生活污水产生量按照用水的80%核算，则生活污水排放量为0.8m</w:t>
      </w:r>
      <w:r>
        <w:rPr>
          <w:rFonts w:hint="eastAsia"/>
          <w:vertAlign w:val="superscript"/>
        </w:rPr>
        <w:t>3</w:t>
      </w:r>
      <w:r>
        <w:rPr>
          <w:rFonts w:hint="eastAsia"/>
        </w:rPr>
        <w:t>/d，泼洒厂区抑尘。</w:t>
      </w:r>
    </w:p>
    <w:p w14:paraId="21683C9B">
      <w:pPr>
        <w:pStyle w:val="47"/>
        <w:ind w:firstLine="482"/>
        <w:rPr>
          <w:rFonts w:hint="eastAsia"/>
        </w:rPr>
      </w:pPr>
      <w:r>
        <w:rPr>
          <w:rFonts w:hint="eastAsia"/>
        </w:rPr>
        <w:t>（2）施工废水</w:t>
      </w:r>
    </w:p>
    <w:p w14:paraId="023BE7FE">
      <w:pPr>
        <w:pStyle w:val="47"/>
        <w:ind w:firstLine="482"/>
        <w:rPr>
          <w:rFonts w:hint="eastAsia"/>
        </w:rPr>
      </w:pPr>
      <w:r>
        <w:rPr>
          <w:rFonts w:hint="eastAsia"/>
          <w:lang w:val="en-US" w:eastAsia="zh-CN"/>
        </w:rPr>
        <w:t>车辆冲洗废水</w:t>
      </w:r>
      <w:r>
        <w:rPr>
          <w:rFonts w:hint="eastAsia"/>
        </w:rPr>
        <w:t>经沉淀池处理后回用，不外排。</w:t>
      </w:r>
    </w:p>
    <w:p w14:paraId="39F11B4A">
      <w:pPr>
        <w:pStyle w:val="90"/>
        <w:bidi w:val="0"/>
        <w:ind w:left="0" w:leftChars="0" w:firstLine="0" w:firstLineChars="0"/>
      </w:pPr>
      <w:bookmarkStart w:id="53" w:name="_Toc4199"/>
      <w:r>
        <w:rPr>
          <w:rFonts w:hint="eastAsia"/>
        </w:rPr>
        <w:t>施工噪声</w:t>
      </w:r>
      <w:bookmarkEnd w:id="53"/>
    </w:p>
    <w:p w14:paraId="4438A15C">
      <w:pPr>
        <w:pStyle w:val="47"/>
        <w:bidi w:val="0"/>
        <w:rPr>
          <w:rFonts w:hint="default"/>
        </w:rPr>
      </w:pPr>
      <w:r>
        <w:rPr>
          <w:rFonts w:hint="default"/>
        </w:rPr>
        <w:t>建设施工期一般为露天作业，而且场地内设备大多属于移动声源，要准确预测施工场地各厂界噪声值较困难，因此本评价只预测各噪声源单独作用时的超标范围，采用点源衰减模式，预测计算施工机械噪声源至受声点的几何发散衰减，计算中不考虑声屏障、空气吸收等衰减，预测公式如下：</w:t>
      </w:r>
    </w:p>
    <w:p w14:paraId="082263CC">
      <w:pPr>
        <w:pStyle w:val="47"/>
        <w:bidi w:val="0"/>
        <w:rPr>
          <w:rFonts w:hint="default"/>
        </w:rPr>
      </w:pPr>
      <w:r>
        <w:rPr>
          <w:rFonts w:hint="default" w:ascii="Times New Roman" w:hAnsi="Times New Roman" w:eastAsia="宋体" w:cs="Times New Roman"/>
          <w:color w:val="auto"/>
          <w:position w:val="-30"/>
          <w:highlight w:val="none"/>
        </w:rPr>
        <w:object>
          <v:shape id="_x0000_i1026" o:spt="75" type="#_x0000_t75" style="height:50.15pt;width:124.7pt;" o:ole="t" filled="f" o:preferrelative="t" stroked="f" coordsize="21600,21600">
            <v:path/>
            <v:fill on="f" focussize="0,0"/>
            <v:stroke on="f"/>
            <v:imagedata r:id="rId25" o:title=""/>
            <o:lock v:ext="edit" aspectratio="t"/>
            <w10:wrap type="none"/>
            <w10:anchorlock/>
          </v:shape>
          <o:OLEObject Type="Embed" ProgID="Equation.3" ShapeID="_x0000_i1026" DrawAspect="Content" ObjectID="_1468075728" r:id="rId24">
            <o:LockedField>false</o:LockedField>
          </o:OLEObject>
        </w:object>
      </w:r>
    </w:p>
    <w:p w14:paraId="397A7A13">
      <w:pPr>
        <w:pStyle w:val="47"/>
        <w:bidi w:val="0"/>
        <w:rPr>
          <w:rFonts w:hint="default"/>
        </w:rPr>
      </w:pPr>
      <w:r>
        <w:rPr>
          <w:rFonts w:hint="default"/>
        </w:rPr>
        <w:t>式中：—距离声源r处的A声级，dB</w:t>
      </w:r>
      <w:r>
        <w:rPr>
          <w:rFonts w:hint="default"/>
          <w:lang w:eastAsia="zh-CN"/>
        </w:rPr>
        <w:t>（</w:t>
      </w:r>
      <w:r>
        <w:rPr>
          <w:rFonts w:hint="default"/>
        </w:rPr>
        <w:t>A</w:t>
      </w:r>
      <w:r>
        <w:rPr>
          <w:rFonts w:hint="default"/>
          <w:lang w:eastAsia="zh-CN"/>
        </w:rPr>
        <w:t>）</w:t>
      </w:r>
      <w:r>
        <w:rPr>
          <w:rFonts w:hint="default"/>
        </w:rPr>
        <w:t>；</w:t>
      </w:r>
    </w:p>
    <w:p w14:paraId="2CD6E2F5">
      <w:pPr>
        <w:pStyle w:val="47"/>
        <w:bidi w:val="0"/>
        <w:rPr>
          <w:rFonts w:hint="default"/>
          <w:lang w:eastAsia="zh-CN"/>
        </w:rPr>
      </w:pPr>
      <w:r>
        <w:rPr>
          <w:rFonts w:hint="default"/>
        </w:rPr>
        <w:t>—参考位置r0处的A声级，dB</w:t>
      </w:r>
      <w:r>
        <w:rPr>
          <w:rFonts w:hint="default"/>
          <w:lang w:eastAsia="zh-CN"/>
        </w:rPr>
        <w:t>（</w:t>
      </w:r>
      <w:r>
        <w:rPr>
          <w:rFonts w:hint="default"/>
        </w:rPr>
        <w:t>A</w:t>
      </w:r>
      <w:r>
        <w:rPr>
          <w:rFonts w:hint="default"/>
          <w:lang w:eastAsia="zh-CN"/>
        </w:rPr>
        <w:t>）</w:t>
      </w:r>
    </w:p>
    <w:p w14:paraId="4F5DDE97">
      <w:pPr>
        <w:pStyle w:val="47"/>
        <w:bidi w:val="0"/>
        <w:rPr>
          <w:rFonts w:hint="default"/>
        </w:rPr>
      </w:pPr>
      <w:r>
        <w:rPr>
          <w:rFonts w:hint="default"/>
        </w:rPr>
        <w:t>－预测点距离声源的距离，m；</w:t>
      </w:r>
    </w:p>
    <w:p w14:paraId="5A7130B0">
      <w:pPr>
        <w:pStyle w:val="47"/>
        <w:bidi w:val="0"/>
        <w:rPr>
          <w:rFonts w:hint="default"/>
        </w:rPr>
      </w:pPr>
      <w:r>
        <w:rPr>
          <w:rFonts w:hint="default"/>
        </w:rPr>
        <w:t>r0—参考位置距声源中心的距离，m；</w:t>
      </w:r>
    </w:p>
    <w:p w14:paraId="016B3F7E">
      <w:pPr>
        <w:pStyle w:val="47"/>
        <w:bidi w:val="0"/>
        <w:rPr>
          <w:rFonts w:hint="default"/>
        </w:rPr>
      </w:pPr>
      <w:r>
        <w:rPr>
          <w:rFonts w:hint="default"/>
        </w:rPr>
        <w:t>利用上述公式，预测计算本项目主要施工机械在不同距离处的贡献值，噪声预测结果见表</w:t>
      </w:r>
      <w:r>
        <w:rPr>
          <w:rFonts w:hint="default"/>
          <w:lang w:val="en-US" w:eastAsia="zh-CN"/>
        </w:rPr>
        <w:t>5</w:t>
      </w:r>
      <w:r>
        <w:rPr>
          <w:rFonts w:hint="default"/>
        </w:rPr>
        <w:t>.</w:t>
      </w:r>
      <w:r>
        <w:rPr>
          <w:rFonts w:hint="eastAsia"/>
          <w:lang w:val="en-US" w:eastAsia="zh-CN"/>
        </w:rPr>
        <w:t>3</w:t>
      </w:r>
      <w:r>
        <w:rPr>
          <w:rFonts w:hint="default"/>
        </w:rPr>
        <w:t>-1。</w:t>
      </w:r>
    </w:p>
    <w:p w14:paraId="2D78BEC9">
      <w:pPr>
        <w:pStyle w:val="94"/>
        <w:bidi w:val="0"/>
        <w:ind w:left="0" w:leftChars="0" w:firstLine="0" w:firstLineChars="0"/>
        <w:rPr>
          <w:rFonts w:hint="default"/>
        </w:rPr>
      </w:pPr>
      <w:r>
        <w:rPr>
          <w:rFonts w:hint="default"/>
        </w:rPr>
        <w:t>施工机械噪声影响预测结果表</w:t>
      </w:r>
    </w:p>
    <w:tbl>
      <w:tblPr>
        <w:tblStyle w:val="32"/>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66"/>
        <w:gridCol w:w="1524"/>
        <w:gridCol w:w="804"/>
        <w:gridCol w:w="699"/>
        <w:gridCol w:w="729"/>
        <w:gridCol w:w="744"/>
        <w:gridCol w:w="551"/>
        <w:gridCol w:w="699"/>
        <w:gridCol w:w="699"/>
        <w:gridCol w:w="744"/>
        <w:gridCol w:w="830"/>
      </w:tblGrid>
      <w:tr w14:paraId="13E08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11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F71B69">
            <w:pPr>
              <w:pStyle w:val="55"/>
              <w:bidi w:val="0"/>
              <w:rPr>
                <w:rFonts w:hint="default"/>
              </w:rPr>
            </w:pPr>
            <w:r>
              <w:rPr>
                <w:rFonts w:hint="default"/>
                <w:lang w:val="en-US" w:eastAsia="zh-CN"/>
              </w:rPr>
              <w:t>施工阶段</w:t>
            </w:r>
          </w:p>
        </w:tc>
        <w:tc>
          <w:tcPr>
            <w:tcW w:w="13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6E1F84">
            <w:pPr>
              <w:pStyle w:val="55"/>
              <w:bidi w:val="0"/>
              <w:rPr>
                <w:rFonts w:hint="default"/>
              </w:rPr>
            </w:pPr>
            <w:r>
              <w:rPr>
                <w:rFonts w:hint="default"/>
                <w:lang w:val="en-US" w:eastAsia="zh-CN"/>
              </w:rPr>
              <w:t>施工机械</w:t>
            </w:r>
          </w:p>
        </w:tc>
        <w:tc>
          <w:tcPr>
            <w:tcW w:w="4514" w:type="dxa"/>
            <w:gridSpan w:val="7"/>
            <w:tcBorders>
              <w:top w:val="single" w:color="000000" w:sz="4" w:space="0"/>
              <w:left w:val="single" w:color="000000" w:sz="4" w:space="0"/>
              <w:bottom w:val="single" w:color="000000" w:sz="4" w:space="0"/>
              <w:right w:val="single" w:color="auto" w:sz="4" w:space="0"/>
            </w:tcBorders>
            <w:shd w:val="clear" w:color="auto" w:fill="auto"/>
            <w:vAlign w:val="center"/>
          </w:tcPr>
          <w:p w14:paraId="67BA682E">
            <w:pPr>
              <w:pStyle w:val="55"/>
              <w:bidi w:val="0"/>
              <w:rPr>
                <w:rFonts w:hint="default"/>
              </w:rPr>
            </w:pPr>
            <w:r>
              <w:rPr>
                <w:rFonts w:hint="default"/>
                <w:lang w:val="en-US" w:eastAsia="zh-CN"/>
              </w:rPr>
              <w:t>X（m）处声压级dB（A）</w:t>
            </w:r>
          </w:p>
        </w:tc>
        <w:tc>
          <w:tcPr>
            <w:tcW w:w="1444"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06277925">
            <w:pPr>
              <w:pStyle w:val="55"/>
              <w:bidi w:val="0"/>
              <w:rPr>
                <w:rFonts w:hint="default"/>
                <w:lang w:val="en-US" w:eastAsia="zh-CN"/>
              </w:rPr>
            </w:pPr>
            <w:r>
              <w:rPr>
                <w:rFonts w:hint="default"/>
                <w:lang w:val="en-US" w:eastAsia="zh-CN"/>
              </w:rPr>
              <w:t>标准dB（A）</w:t>
            </w:r>
          </w:p>
        </w:tc>
      </w:tr>
      <w:tr w14:paraId="7C233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5D6326">
            <w:pPr>
              <w:pStyle w:val="55"/>
              <w:bidi w:val="0"/>
              <w:rPr>
                <w:rFonts w:hint="default"/>
              </w:rPr>
            </w:pPr>
          </w:p>
        </w:tc>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78EBC1">
            <w:pPr>
              <w:pStyle w:val="55"/>
              <w:bidi w:val="0"/>
              <w:rPr>
                <w:rFonts w:hint="default"/>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F15F2">
            <w:pPr>
              <w:pStyle w:val="55"/>
              <w:bidi w:val="0"/>
              <w:rPr>
                <w:rFonts w:hint="default"/>
              </w:rPr>
            </w:pPr>
            <w:r>
              <w:rPr>
                <w:rFonts w:hint="default"/>
                <w:lang w:val="en-US" w:eastAsia="zh-CN"/>
              </w:rPr>
              <w:t>1</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4325D">
            <w:pPr>
              <w:pStyle w:val="55"/>
              <w:bidi w:val="0"/>
              <w:rPr>
                <w:rFonts w:hint="default"/>
              </w:rPr>
            </w:pPr>
            <w:r>
              <w:rPr>
                <w:rFonts w:hint="default"/>
                <w:lang w:val="en-US" w:eastAsia="zh-CN"/>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CE1DC">
            <w:pPr>
              <w:pStyle w:val="55"/>
              <w:bidi w:val="0"/>
              <w:rPr>
                <w:rFonts w:hint="default"/>
              </w:rPr>
            </w:pPr>
            <w:r>
              <w:rPr>
                <w:rFonts w:hint="default"/>
                <w:lang w:val="en-US" w:eastAsia="zh-CN"/>
              </w:rPr>
              <w:t>20</w:t>
            </w:r>
          </w:p>
        </w:tc>
        <w:tc>
          <w:tcPr>
            <w:tcW w:w="682"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52AC287E">
            <w:pPr>
              <w:pStyle w:val="55"/>
              <w:bidi w:val="0"/>
              <w:rPr>
                <w:rFonts w:hint="default"/>
              </w:rPr>
            </w:pPr>
            <w:r>
              <w:rPr>
                <w:rFonts w:hint="default"/>
                <w:lang w:val="en-US" w:eastAsia="zh-CN"/>
              </w:rPr>
              <w:t>30</w:t>
            </w:r>
          </w:p>
        </w:tc>
        <w:tc>
          <w:tcPr>
            <w:tcW w:w="504" w:type="dxa"/>
            <w:tcBorders>
              <w:top w:val="single" w:color="000000" w:sz="4" w:space="0"/>
              <w:left w:val="single" w:color="auto" w:sz="4" w:space="0"/>
              <w:bottom w:val="single" w:color="000000" w:sz="4" w:space="0"/>
              <w:right w:val="single" w:color="auto" w:sz="4" w:space="0"/>
            </w:tcBorders>
            <w:shd w:val="clear" w:color="auto" w:fill="auto"/>
            <w:noWrap/>
            <w:vAlign w:val="center"/>
          </w:tcPr>
          <w:p w14:paraId="651737AB">
            <w:pPr>
              <w:pStyle w:val="55"/>
              <w:bidi w:val="0"/>
              <w:rPr>
                <w:rFonts w:hint="default"/>
                <w:lang w:val="en-US" w:eastAsia="zh-CN"/>
              </w:rPr>
            </w:pPr>
            <w:r>
              <w:rPr>
                <w:rFonts w:hint="default"/>
                <w:lang w:val="en-US" w:eastAsia="zh-CN"/>
              </w:rPr>
              <w:t>60</w:t>
            </w:r>
          </w:p>
        </w:tc>
        <w:tc>
          <w:tcPr>
            <w:tcW w:w="641"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7947EF7E">
            <w:pPr>
              <w:pStyle w:val="55"/>
              <w:bidi w:val="0"/>
              <w:rPr>
                <w:rFonts w:hint="default"/>
                <w:lang w:val="en-US" w:eastAsia="zh-CN"/>
              </w:rPr>
            </w:pPr>
            <w:r>
              <w:rPr>
                <w:rFonts w:hint="default"/>
                <w:lang w:val="en-US" w:eastAsia="zh-CN"/>
              </w:rPr>
              <w:t>120</w:t>
            </w:r>
          </w:p>
        </w:tc>
        <w:tc>
          <w:tcPr>
            <w:tcW w:w="641" w:type="dxa"/>
            <w:tcBorders>
              <w:top w:val="single" w:color="000000" w:sz="4" w:space="0"/>
              <w:left w:val="single" w:color="000000" w:sz="4" w:space="0"/>
              <w:bottom w:val="single" w:color="000000" w:sz="4" w:space="0"/>
              <w:right w:val="single" w:color="auto" w:sz="4" w:space="0"/>
            </w:tcBorders>
            <w:shd w:val="clear" w:color="auto" w:fill="auto"/>
            <w:vAlign w:val="center"/>
          </w:tcPr>
          <w:p w14:paraId="3EEB9453">
            <w:pPr>
              <w:pStyle w:val="55"/>
              <w:bidi w:val="0"/>
              <w:rPr>
                <w:rFonts w:hint="default"/>
                <w:lang w:val="en-US" w:eastAsia="zh-CN"/>
              </w:rPr>
            </w:pPr>
            <w:r>
              <w:rPr>
                <w:rFonts w:hint="default"/>
                <w:lang w:val="en-US" w:eastAsia="zh-CN"/>
              </w:rPr>
              <w:t>240</w:t>
            </w:r>
          </w:p>
        </w:tc>
        <w:tc>
          <w:tcPr>
            <w:tcW w:w="682" w:type="dxa"/>
            <w:tcBorders>
              <w:top w:val="single" w:color="000000" w:sz="4" w:space="0"/>
              <w:left w:val="single" w:color="auto" w:sz="4" w:space="0"/>
              <w:bottom w:val="single" w:color="000000" w:sz="4" w:space="0"/>
              <w:right w:val="single" w:color="000000" w:sz="4" w:space="0"/>
            </w:tcBorders>
            <w:shd w:val="clear" w:color="auto" w:fill="auto"/>
            <w:vAlign w:val="center"/>
          </w:tcPr>
          <w:p w14:paraId="2C22547E">
            <w:pPr>
              <w:pStyle w:val="55"/>
              <w:bidi w:val="0"/>
              <w:rPr>
                <w:rFonts w:hint="default"/>
                <w:lang w:val="en-US" w:eastAsia="zh-CN"/>
              </w:rPr>
            </w:pPr>
            <w:r>
              <w:rPr>
                <w:rFonts w:hint="default"/>
                <w:lang w:val="en-US" w:eastAsia="zh-CN"/>
              </w:rPr>
              <w:t>昼间</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5B8B5">
            <w:pPr>
              <w:pStyle w:val="55"/>
              <w:bidi w:val="0"/>
              <w:rPr>
                <w:rFonts w:hint="default"/>
              </w:rPr>
            </w:pPr>
            <w:r>
              <w:rPr>
                <w:rFonts w:hint="default"/>
                <w:lang w:val="en-US" w:eastAsia="zh-CN"/>
              </w:rPr>
              <w:t>夜间</w:t>
            </w:r>
          </w:p>
        </w:tc>
      </w:tr>
      <w:tr w14:paraId="51708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1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836959">
            <w:pPr>
              <w:pStyle w:val="55"/>
              <w:bidi w:val="0"/>
              <w:rPr>
                <w:rFonts w:hint="default"/>
              </w:rPr>
            </w:pPr>
            <w:r>
              <w:rPr>
                <w:rFonts w:hint="default"/>
                <w:lang w:val="en-US" w:eastAsia="zh-CN"/>
              </w:rPr>
              <w:t>土石方</w:t>
            </w:r>
          </w:p>
        </w:tc>
        <w:tc>
          <w:tcPr>
            <w:tcW w:w="1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68E13">
            <w:pPr>
              <w:pStyle w:val="55"/>
              <w:bidi w:val="0"/>
              <w:rPr>
                <w:rFonts w:hint="default"/>
              </w:rPr>
            </w:pPr>
            <w:r>
              <w:rPr>
                <w:rFonts w:hint="default"/>
                <w:lang w:val="en-US" w:eastAsia="zh-CN"/>
              </w:rPr>
              <w:t>载重车</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4E4E1">
            <w:pPr>
              <w:pStyle w:val="55"/>
              <w:bidi w:val="0"/>
              <w:rPr>
                <w:rFonts w:hint="default"/>
              </w:rPr>
            </w:pPr>
            <w:r>
              <w:rPr>
                <w:rFonts w:hint="default"/>
                <w:lang w:val="en-US" w:eastAsia="zh-CN"/>
              </w:rPr>
              <w:t>90</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3FC64">
            <w:pPr>
              <w:pStyle w:val="55"/>
              <w:bidi w:val="0"/>
              <w:rPr>
                <w:rFonts w:hint="default"/>
              </w:rPr>
            </w:pPr>
            <w:r>
              <w:rPr>
                <w:rFonts w:hint="default"/>
                <w:lang w:val="en-US" w:eastAsia="zh-CN"/>
              </w:rPr>
              <w:t>71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80C71">
            <w:pPr>
              <w:pStyle w:val="55"/>
              <w:bidi w:val="0"/>
              <w:rPr>
                <w:rFonts w:hint="default"/>
                <w:lang w:val="en-US" w:eastAsia="zh-CN"/>
              </w:rPr>
            </w:pPr>
            <w:r>
              <w:rPr>
                <w:rFonts w:hint="default"/>
                <w:lang w:val="en-US" w:eastAsia="zh-CN"/>
              </w:rPr>
              <w:t>65</w:t>
            </w:r>
          </w:p>
        </w:tc>
        <w:tc>
          <w:tcPr>
            <w:tcW w:w="682"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2F34FC50">
            <w:pPr>
              <w:pStyle w:val="55"/>
              <w:bidi w:val="0"/>
              <w:rPr>
                <w:rFonts w:hint="default"/>
                <w:lang w:val="en-US" w:eastAsia="zh-CN"/>
              </w:rPr>
            </w:pPr>
            <w:r>
              <w:rPr>
                <w:rFonts w:hint="default"/>
                <w:lang w:val="en-US" w:eastAsia="zh-CN"/>
              </w:rPr>
              <w:t>59</w:t>
            </w:r>
          </w:p>
        </w:tc>
        <w:tc>
          <w:tcPr>
            <w:tcW w:w="504" w:type="dxa"/>
            <w:tcBorders>
              <w:top w:val="single" w:color="000000" w:sz="4" w:space="0"/>
              <w:left w:val="single" w:color="auto" w:sz="4" w:space="0"/>
              <w:bottom w:val="single" w:color="000000" w:sz="4" w:space="0"/>
              <w:right w:val="single" w:color="auto" w:sz="4" w:space="0"/>
            </w:tcBorders>
            <w:shd w:val="clear" w:color="auto" w:fill="auto"/>
            <w:noWrap/>
            <w:vAlign w:val="center"/>
          </w:tcPr>
          <w:p w14:paraId="769AB4B3">
            <w:pPr>
              <w:pStyle w:val="55"/>
              <w:bidi w:val="0"/>
              <w:rPr>
                <w:rFonts w:hint="default"/>
                <w:lang w:val="en-US" w:eastAsia="zh-CN"/>
              </w:rPr>
            </w:pPr>
            <w:r>
              <w:rPr>
                <w:rFonts w:hint="default"/>
                <w:lang w:val="en-US" w:eastAsia="zh-CN"/>
              </w:rPr>
              <w:t>53</w:t>
            </w:r>
          </w:p>
        </w:tc>
        <w:tc>
          <w:tcPr>
            <w:tcW w:w="641"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20AB4922">
            <w:pPr>
              <w:pStyle w:val="55"/>
              <w:bidi w:val="0"/>
              <w:rPr>
                <w:rFonts w:hint="default"/>
                <w:lang w:val="en-US" w:eastAsia="zh-CN"/>
              </w:rPr>
            </w:pPr>
            <w:r>
              <w:rPr>
                <w:rFonts w:hint="default"/>
                <w:lang w:val="en-US" w:eastAsia="zh-CN"/>
              </w:rPr>
              <w:t>47</w:t>
            </w:r>
          </w:p>
        </w:tc>
        <w:tc>
          <w:tcPr>
            <w:tcW w:w="641"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153C1A51">
            <w:pPr>
              <w:pStyle w:val="55"/>
              <w:bidi w:val="0"/>
              <w:rPr>
                <w:rFonts w:hint="default"/>
                <w:lang w:val="en-US" w:eastAsia="zh-CN"/>
              </w:rPr>
            </w:pPr>
            <w:r>
              <w:rPr>
                <w:rFonts w:hint="default"/>
                <w:lang w:val="en-US" w:eastAsia="zh-CN"/>
              </w:rPr>
              <w:t>41</w:t>
            </w:r>
          </w:p>
        </w:tc>
        <w:tc>
          <w:tcPr>
            <w:tcW w:w="682"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2BBCA30C">
            <w:pPr>
              <w:pStyle w:val="55"/>
              <w:bidi w:val="0"/>
              <w:rPr>
                <w:rFonts w:hint="default"/>
                <w:lang w:val="en-US" w:eastAsia="zh-CN"/>
              </w:rPr>
            </w:pPr>
            <w:r>
              <w:rPr>
                <w:rFonts w:hint="default"/>
                <w:lang w:val="en-US" w:eastAsia="zh-CN"/>
              </w:rPr>
              <w:t>70</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10C30">
            <w:pPr>
              <w:pStyle w:val="55"/>
              <w:bidi w:val="0"/>
              <w:rPr>
                <w:rFonts w:hint="default"/>
              </w:rPr>
            </w:pPr>
            <w:r>
              <w:rPr>
                <w:rFonts w:hint="default"/>
                <w:lang w:val="en-US" w:eastAsia="zh-CN"/>
              </w:rPr>
              <w:t>55</w:t>
            </w:r>
          </w:p>
        </w:tc>
      </w:tr>
      <w:tr w14:paraId="77446F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706ECA">
            <w:pPr>
              <w:pStyle w:val="55"/>
              <w:bidi w:val="0"/>
              <w:rPr>
                <w:rFonts w:hint="default"/>
              </w:rPr>
            </w:pPr>
          </w:p>
        </w:tc>
        <w:tc>
          <w:tcPr>
            <w:tcW w:w="1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4147B">
            <w:pPr>
              <w:pStyle w:val="55"/>
              <w:bidi w:val="0"/>
              <w:rPr>
                <w:rFonts w:hint="default"/>
              </w:rPr>
            </w:pPr>
            <w:r>
              <w:rPr>
                <w:rFonts w:hint="default"/>
                <w:lang w:val="en-US" w:eastAsia="zh-CN"/>
              </w:rPr>
              <w:t>推土机</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093C5">
            <w:pPr>
              <w:pStyle w:val="55"/>
              <w:bidi w:val="0"/>
              <w:rPr>
                <w:rFonts w:hint="default"/>
              </w:rPr>
            </w:pPr>
            <w:r>
              <w:rPr>
                <w:rFonts w:hint="default"/>
                <w:lang w:val="en-US" w:eastAsia="zh-CN"/>
              </w:rPr>
              <w:t>90</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F4C7F">
            <w:pPr>
              <w:pStyle w:val="55"/>
              <w:bidi w:val="0"/>
              <w:rPr>
                <w:rFonts w:hint="default"/>
                <w:lang w:val="en-US"/>
              </w:rPr>
            </w:pPr>
            <w:r>
              <w:rPr>
                <w:rFonts w:hint="default"/>
                <w:lang w:val="en-US" w:eastAsia="zh-CN"/>
              </w:rPr>
              <w:t>71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0CF78">
            <w:pPr>
              <w:pStyle w:val="55"/>
              <w:bidi w:val="0"/>
              <w:rPr>
                <w:rFonts w:hint="default"/>
                <w:lang w:val="en-US" w:eastAsia="zh-CN"/>
              </w:rPr>
            </w:pPr>
            <w:r>
              <w:rPr>
                <w:rFonts w:hint="default"/>
                <w:lang w:val="en-US" w:eastAsia="zh-CN"/>
              </w:rPr>
              <w:t>65</w:t>
            </w:r>
          </w:p>
        </w:tc>
        <w:tc>
          <w:tcPr>
            <w:tcW w:w="682"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6F6AE428">
            <w:pPr>
              <w:pStyle w:val="55"/>
              <w:bidi w:val="0"/>
              <w:rPr>
                <w:rFonts w:hint="default"/>
                <w:lang w:val="en-US" w:eastAsia="zh-CN"/>
              </w:rPr>
            </w:pPr>
            <w:r>
              <w:rPr>
                <w:rFonts w:hint="default"/>
                <w:lang w:val="en-US" w:eastAsia="zh-CN"/>
              </w:rPr>
              <w:t>59</w:t>
            </w:r>
          </w:p>
        </w:tc>
        <w:tc>
          <w:tcPr>
            <w:tcW w:w="504" w:type="dxa"/>
            <w:tcBorders>
              <w:top w:val="single" w:color="000000" w:sz="4" w:space="0"/>
              <w:left w:val="single" w:color="auto" w:sz="4" w:space="0"/>
              <w:bottom w:val="single" w:color="000000" w:sz="4" w:space="0"/>
              <w:right w:val="single" w:color="auto" w:sz="4" w:space="0"/>
            </w:tcBorders>
            <w:shd w:val="clear" w:color="auto" w:fill="auto"/>
            <w:noWrap/>
            <w:vAlign w:val="center"/>
          </w:tcPr>
          <w:p w14:paraId="326F796A">
            <w:pPr>
              <w:pStyle w:val="55"/>
              <w:bidi w:val="0"/>
              <w:rPr>
                <w:rFonts w:hint="default"/>
                <w:lang w:val="en-US" w:eastAsia="zh-CN"/>
              </w:rPr>
            </w:pPr>
            <w:r>
              <w:rPr>
                <w:rFonts w:hint="default"/>
                <w:lang w:val="en-US" w:eastAsia="zh-CN"/>
              </w:rPr>
              <w:t>53</w:t>
            </w:r>
          </w:p>
        </w:tc>
        <w:tc>
          <w:tcPr>
            <w:tcW w:w="641"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01F08561">
            <w:pPr>
              <w:pStyle w:val="55"/>
              <w:bidi w:val="0"/>
              <w:rPr>
                <w:rFonts w:hint="default"/>
                <w:lang w:val="en-US" w:eastAsia="zh-CN"/>
              </w:rPr>
            </w:pPr>
            <w:r>
              <w:rPr>
                <w:rFonts w:hint="default"/>
                <w:lang w:val="en-US" w:eastAsia="zh-CN"/>
              </w:rPr>
              <w:t>47</w:t>
            </w:r>
          </w:p>
        </w:tc>
        <w:tc>
          <w:tcPr>
            <w:tcW w:w="641"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6CBFED53">
            <w:pPr>
              <w:pStyle w:val="55"/>
              <w:bidi w:val="0"/>
              <w:rPr>
                <w:rFonts w:hint="default"/>
                <w:lang w:val="en-US" w:eastAsia="zh-CN"/>
              </w:rPr>
            </w:pPr>
            <w:r>
              <w:rPr>
                <w:rFonts w:hint="default"/>
                <w:lang w:val="en-US" w:eastAsia="zh-CN"/>
              </w:rPr>
              <w:t>41</w:t>
            </w:r>
          </w:p>
        </w:tc>
        <w:tc>
          <w:tcPr>
            <w:tcW w:w="682"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1BF1443B">
            <w:pPr>
              <w:pStyle w:val="55"/>
              <w:bidi w:val="0"/>
              <w:rPr>
                <w:rFonts w:hint="default"/>
                <w:lang w:val="en-US" w:eastAsia="zh-CN"/>
              </w:rPr>
            </w:pPr>
            <w:r>
              <w:rPr>
                <w:rFonts w:hint="default"/>
                <w:lang w:val="en-US" w:eastAsia="zh-CN"/>
              </w:rPr>
              <w:t>70</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EF4B6">
            <w:pPr>
              <w:pStyle w:val="55"/>
              <w:bidi w:val="0"/>
              <w:rPr>
                <w:rFonts w:hint="default"/>
              </w:rPr>
            </w:pPr>
            <w:r>
              <w:rPr>
                <w:rFonts w:hint="default"/>
                <w:lang w:val="en-US" w:eastAsia="zh-CN"/>
              </w:rPr>
              <w:t>55</w:t>
            </w:r>
          </w:p>
        </w:tc>
      </w:tr>
      <w:tr w14:paraId="668BD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9C58A9">
            <w:pPr>
              <w:pStyle w:val="55"/>
              <w:bidi w:val="0"/>
              <w:rPr>
                <w:rFonts w:hint="default"/>
              </w:rPr>
            </w:pPr>
          </w:p>
        </w:tc>
        <w:tc>
          <w:tcPr>
            <w:tcW w:w="1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CA435">
            <w:pPr>
              <w:pStyle w:val="55"/>
              <w:bidi w:val="0"/>
              <w:rPr>
                <w:rFonts w:hint="default"/>
              </w:rPr>
            </w:pPr>
            <w:r>
              <w:rPr>
                <w:rFonts w:hint="default"/>
                <w:lang w:val="en-US" w:eastAsia="zh-CN"/>
              </w:rPr>
              <w:t>翻斗车</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8B045">
            <w:pPr>
              <w:pStyle w:val="55"/>
              <w:bidi w:val="0"/>
              <w:rPr>
                <w:rFonts w:hint="default"/>
              </w:rPr>
            </w:pPr>
            <w:r>
              <w:rPr>
                <w:rFonts w:hint="default"/>
                <w:lang w:val="en-US" w:eastAsia="zh-CN"/>
              </w:rPr>
              <w:t>90</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718EE">
            <w:pPr>
              <w:pStyle w:val="55"/>
              <w:bidi w:val="0"/>
              <w:rPr>
                <w:rFonts w:hint="default"/>
              </w:rPr>
            </w:pPr>
            <w:r>
              <w:rPr>
                <w:rFonts w:hint="default"/>
                <w:lang w:val="en-US" w:eastAsia="zh-CN"/>
              </w:rPr>
              <w:t>71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369D7">
            <w:pPr>
              <w:pStyle w:val="55"/>
              <w:bidi w:val="0"/>
              <w:rPr>
                <w:rFonts w:hint="default"/>
                <w:lang w:val="en-US" w:eastAsia="zh-CN"/>
              </w:rPr>
            </w:pPr>
            <w:r>
              <w:rPr>
                <w:rFonts w:hint="default"/>
                <w:lang w:val="en-US" w:eastAsia="zh-CN"/>
              </w:rPr>
              <w:t>65</w:t>
            </w:r>
          </w:p>
        </w:tc>
        <w:tc>
          <w:tcPr>
            <w:tcW w:w="682"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5320012C">
            <w:pPr>
              <w:pStyle w:val="55"/>
              <w:bidi w:val="0"/>
              <w:rPr>
                <w:rFonts w:hint="default"/>
                <w:lang w:val="en-US" w:eastAsia="zh-CN"/>
              </w:rPr>
            </w:pPr>
            <w:r>
              <w:rPr>
                <w:rFonts w:hint="default"/>
                <w:lang w:val="en-US" w:eastAsia="zh-CN"/>
              </w:rPr>
              <w:t>59</w:t>
            </w:r>
          </w:p>
        </w:tc>
        <w:tc>
          <w:tcPr>
            <w:tcW w:w="504" w:type="dxa"/>
            <w:tcBorders>
              <w:top w:val="single" w:color="000000" w:sz="4" w:space="0"/>
              <w:left w:val="single" w:color="auto" w:sz="4" w:space="0"/>
              <w:bottom w:val="single" w:color="000000" w:sz="4" w:space="0"/>
              <w:right w:val="single" w:color="auto" w:sz="4" w:space="0"/>
            </w:tcBorders>
            <w:shd w:val="clear" w:color="auto" w:fill="auto"/>
            <w:noWrap/>
            <w:vAlign w:val="center"/>
          </w:tcPr>
          <w:p w14:paraId="560BA9DE">
            <w:pPr>
              <w:pStyle w:val="55"/>
              <w:bidi w:val="0"/>
              <w:rPr>
                <w:rFonts w:hint="default"/>
                <w:lang w:val="en-US" w:eastAsia="zh-CN"/>
              </w:rPr>
            </w:pPr>
            <w:r>
              <w:rPr>
                <w:rFonts w:hint="default"/>
                <w:lang w:val="en-US" w:eastAsia="zh-CN"/>
              </w:rPr>
              <w:t>53</w:t>
            </w:r>
          </w:p>
        </w:tc>
        <w:tc>
          <w:tcPr>
            <w:tcW w:w="641"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7520778B">
            <w:pPr>
              <w:pStyle w:val="55"/>
              <w:bidi w:val="0"/>
              <w:rPr>
                <w:rFonts w:hint="default"/>
                <w:lang w:val="en-US" w:eastAsia="zh-CN"/>
              </w:rPr>
            </w:pPr>
            <w:r>
              <w:rPr>
                <w:rFonts w:hint="default"/>
                <w:lang w:val="en-US" w:eastAsia="zh-CN"/>
              </w:rPr>
              <w:t>47</w:t>
            </w:r>
          </w:p>
        </w:tc>
        <w:tc>
          <w:tcPr>
            <w:tcW w:w="641"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53C2BE16">
            <w:pPr>
              <w:pStyle w:val="55"/>
              <w:bidi w:val="0"/>
              <w:rPr>
                <w:rFonts w:hint="default"/>
                <w:lang w:val="en-US" w:eastAsia="zh-CN"/>
              </w:rPr>
            </w:pPr>
            <w:r>
              <w:rPr>
                <w:rFonts w:hint="default"/>
                <w:lang w:val="en-US" w:eastAsia="zh-CN"/>
              </w:rPr>
              <w:t>41</w:t>
            </w:r>
          </w:p>
        </w:tc>
        <w:tc>
          <w:tcPr>
            <w:tcW w:w="682"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2710B442">
            <w:pPr>
              <w:pStyle w:val="55"/>
              <w:bidi w:val="0"/>
              <w:rPr>
                <w:rFonts w:hint="default"/>
                <w:lang w:val="en-US" w:eastAsia="zh-CN"/>
              </w:rPr>
            </w:pPr>
            <w:r>
              <w:rPr>
                <w:rFonts w:hint="default"/>
                <w:lang w:val="en-US" w:eastAsia="zh-CN"/>
              </w:rPr>
              <w:t>70</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8F7D0">
            <w:pPr>
              <w:pStyle w:val="55"/>
              <w:bidi w:val="0"/>
              <w:rPr>
                <w:rFonts w:hint="default"/>
              </w:rPr>
            </w:pPr>
            <w:r>
              <w:rPr>
                <w:rFonts w:hint="default"/>
                <w:lang w:val="en-US" w:eastAsia="zh-CN"/>
              </w:rPr>
              <w:t>55</w:t>
            </w:r>
          </w:p>
        </w:tc>
      </w:tr>
      <w:tr w14:paraId="12A0A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7B308B">
            <w:pPr>
              <w:pStyle w:val="55"/>
              <w:bidi w:val="0"/>
              <w:rPr>
                <w:rFonts w:hint="default"/>
              </w:rPr>
            </w:pPr>
          </w:p>
        </w:tc>
        <w:tc>
          <w:tcPr>
            <w:tcW w:w="1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16587">
            <w:pPr>
              <w:pStyle w:val="55"/>
              <w:bidi w:val="0"/>
              <w:rPr>
                <w:rFonts w:hint="default"/>
              </w:rPr>
            </w:pPr>
            <w:r>
              <w:rPr>
                <w:rFonts w:hint="default"/>
                <w:lang w:val="en-US" w:eastAsia="zh-CN"/>
              </w:rPr>
              <w:t>挖掘机</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394E5">
            <w:pPr>
              <w:pStyle w:val="55"/>
              <w:bidi w:val="0"/>
              <w:rPr>
                <w:rFonts w:hint="default"/>
              </w:rPr>
            </w:pPr>
            <w:r>
              <w:rPr>
                <w:rFonts w:hint="default"/>
                <w:lang w:val="en-US" w:eastAsia="zh-CN"/>
              </w:rPr>
              <w:t>90</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51384">
            <w:pPr>
              <w:pStyle w:val="55"/>
              <w:bidi w:val="0"/>
              <w:rPr>
                <w:rFonts w:hint="default"/>
                <w:lang w:val="en-US"/>
              </w:rPr>
            </w:pPr>
            <w:r>
              <w:rPr>
                <w:rFonts w:hint="default"/>
                <w:lang w:val="en-US" w:eastAsia="zh-CN"/>
              </w:rPr>
              <w:t>71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1B794">
            <w:pPr>
              <w:pStyle w:val="55"/>
              <w:bidi w:val="0"/>
              <w:rPr>
                <w:rFonts w:hint="default"/>
                <w:lang w:val="en-US" w:eastAsia="zh-CN"/>
              </w:rPr>
            </w:pPr>
            <w:r>
              <w:rPr>
                <w:rFonts w:hint="default"/>
                <w:lang w:val="en-US" w:eastAsia="zh-CN"/>
              </w:rPr>
              <w:t>65</w:t>
            </w:r>
          </w:p>
        </w:tc>
        <w:tc>
          <w:tcPr>
            <w:tcW w:w="682"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39D2FE65">
            <w:pPr>
              <w:pStyle w:val="55"/>
              <w:bidi w:val="0"/>
              <w:rPr>
                <w:rFonts w:hint="default"/>
                <w:lang w:val="en-US" w:eastAsia="zh-CN"/>
              </w:rPr>
            </w:pPr>
            <w:r>
              <w:rPr>
                <w:rFonts w:hint="default"/>
                <w:lang w:val="en-US" w:eastAsia="zh-CN"/>
              </w:rPr>
              <w:t>59</w:t>
            </w:r>
          </w:p>
        </w:tc>
        <w:tc>
          <w:tcPr>
            <w:tcW w:w="504" w:type="dxa"/>
            <w:tcBorders>
              <w:top w:val="single" w:color="000000" w:sz="4" w:space="0"/>
              <w:left w:val="single" w:color="auto" w:sz="4" w:space="0"/>
              <w:bottom w:val="single" w:color="000000" w:sz="4" w:space="0"/>
              <w:right w:val="single" w:color="auto" w:sz="4" w:space="0"/>
            </w:tcBorders>
            <w:shd w:val="clear" w:color="auto" w:fill="auto"/>
            <w:noWrap/>
            <w:vAlign w:val="center"/>
          </w:tcPr>
          <w:p w14:paraId="297F0089">
            <w:pPr>
              <w:pStyle w:val="55"/>
              <w:bidi w:val="0"/>
              <w:rPr>
                <w:rFonts w:hint="default"/>
                <w:lang w:val="en-US" w:eastAsia="zh-CN"/>
              </w:rPr>
            </w:pPr>
            <w:r>
              <w:rPr>
                <w:rFonts w:hint="default"/>
                <w:lang w:val="en-US" w:eastAsia="zh-CN"/>
              </w:rPr>
              <w:t>53</w:t>
            </w:r>
          </w:p>
        </w:tc>
        <w:tc>
          <w:tcPr>
            <w:tcW w:w="641"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4ECBD168">
            <w:pPr>
              <w:pStyle w:val="55"/>
              <w:bidi w:val="0"/>
              <w:rPr>
                <w:rFonts w:hint="default"/>
                <w:lang w:val="en-US" w:eastAsia="zh-CN"/>
              </w:rPr>
            </w:pPr>
            <w:r>
              <w:rPr>
                <w:rFonts w:hint="default"/>
                <w:lang w:val="en-US" w:eastAsia="zh-CN"/>
              </w:rPr>
              <w:t>47</w:t>
            </w:r>
          </w:p>
        </w:tc>
        <w:tc>
          <w:tcPr>
            <w:tcW w:w="641"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31F8E27E">
            <w:pPr>
              <w:pStyle w:val="55"/>
              <w:bidi w:val="0"/>
              <w:rPr>
                <w:rFonts w:hint="default"/>
                <w:lang w:val="en-US" w:eastAsia="zh-CN"/>
              </w:rPr>
            </w:pPr>
            <w:r>
              <w:rPr>
                <w:rFonts w:hint="default"/>
                <w:lang w:val="en-US" w:eastAsia="zh-CN"/>
              </w:rPr>
              <w:t>41</w:t>
            </w:r>
          </w:p>
        </w:tc>
        <w:tc>
          <w:tcPr>
            <w:tcW w:w="682"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014C824D">
            <w:pPr>
              <w:pStyle w:val="55"/>
              <w:bidi w:val="0"/>
              <w:rPr>
                <w:rFonts w:hint="default"/>
                <w:lang w:val="en-US" w:eastAsia="zh-CN"/>
              </w:rPr>
            </w:pPr>
            <w:r>
              <w:rPr>
                <w:rFonts w:hint="default"/>
                <w:lang w:val="en-US" w:eastAsia="zh-CN"/>
              </w:rPr>
              <w:t>70</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B8B12">
            <w:pPr>
              <w:pStyle w:val="55"/>
              <w:bidi w:val="0"/>
              <w:rPr>
                <w:rFonts w:hint="default"/>
              </w:rPr>
            </w:pPr>
            <w:r>
              <w:rPr>
                <w:rFonts w:hint="default"/>
                <w:lang w:val="en-US" w:eastAsia="zh-CN"/>
              </w:rPr>
              <w:t>55</w:t>
            </w:r>
          </w:p>
        </w:tc>
      </w:tr>
      <w:tr w14:paraId="35605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1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2DA8D9">
            <w:pPr>
              <w:pStyle w:val="55"/>
              <w:bidi w:val="0"/>
              <w:rPr>
                <w:rFonts w:hint="default"/>
              </w:rPr>
            </w:pPr>
            <w:r>
              <w:rPr>
                <w:rFonts w:hint="default"/>
                <w:lang w:val="en-US" w:eastAsia="zh-CN"/>
              </w:rPr>
              <w:t>结构</w:t>
            </w:r>
          </w:p>
        </w:tc>
        <w:tc>
          <w:tcPr>
            <w:tcW w:w="1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8CA32">
            <w:pPr>
              <w:pStyle w:val="55"/>
              <w:bidi w:val="0"/>
              <w:rPr>
                <w:rFonts w:hint="default"/>
              </w:rPr>
            </w:pPr>
            <w:r>
              <w:rPr>
                <w:rFonts w:hint="default"/>
                <w:lang w:val="en-US" w:eastAsia="zh-CN"/>
              </w:rPr>
              <w:t>混凝振捣机</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1D3CA">
            <w:pPr>
              <w:pStyle w:val="55"/>
              <w:bidi w:val="0"/>
              <w:rPr>
                <w:rFonts w:hint="default"/>
                <w:lang w:val="en-US"/>
              </w:rPr>
            </w:pPr>
            <w:r>
              <w:rPr>
                <w:rFonts w:hint="eastAsia"/>
                <w:lang w:val="en-US" w:eastAsia="zh-CN"/>
              </w:rPr>
              <w:t>95</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FCA70">
            <w:pPr>
              <w:pStyle w:val="55"/>
              <w:bidi w:val="0"/>
              <w:rPr>
                <w:rFonts w:hint="default"/>
                <w:lang w:val="en-US"/>
              </w:rPr>
            </w:pPr>
            <w:r>
              <w:rPr>
                <w:rFonts w:hint="eastAsia"/>
                <w:lang w:val="en-US" w:eastAsia="zh-CN"/>
              </w:rPr>
              <w:t>75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1C028">
            <w:pPr>
              <w:pStyle w:val="55"/>
              <w:bidi w:val="0"/>
              <w:rPr>
                <w:rFonts w:hint="default"/>
                <w:lang w:val="en-US" w:eastAsia="zh-CN"/>
              </w:rPr>
            </w:pPr>
            <w:r>
              <w:rPr>
                <w:rFonts w:hint="eastAsia"/>
                <w:lang w:val="en-US" w:eastAsia="zh-CN"/>
              </w:rPr>
              <w:t>69</w:t>
            </w:r>
          </w:p>
        </w:tc>
        <w:tc>
          <w:tcPr>
            <w:tcW w:w="682"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36D67A18">
            <w:pPr>
              <w:pStyle w:val="55"/>
              <w:bidi w:val="0"/>
              <w:rPr>
                <w:rFonts w:hint="default"/>
                <w:lang w:val="en-US" w:eastAsia="zh-CN"/>
              </w:rPr>
            </w:pPr>
            <w:r>
              <w:rPr>
                <w:rFonts w:hint="default"/>
                <w:lang w:val="en-US" w:eastAsia="zh-CN"/>
              </w:rPr>
              <w:t>6</w:t>
            </w:r>
            <w:r>
              <w:rPr>
                <w:rFonts w:hint="eastAsia"/>
                <w:lang w:val="en-US" w:eastAsia="zh-CN"/>
              </w:rPr>
              <w:t>5</w:t>
            </w:r>
          </w:p>
        </w:tc>
        <w:tc>
          <w:tcPr>
            <w:tcW w:w="504" w:type="dxa"/>
            <w:tcBorders>
              <w:top w:val="single" w:color="000000" w:sz="4" w:space="0"/>
              <w:left w:val="single" w:color="auto" w:sz="4" w:space="0"/>
              <w:bottom w:val="single" w:color="000000" w:sz="4" w:space="0"/>
              <w:right w:val="single" w:color="auto" w:sz="4" w:space="0"/>
            </w:tcBorders>
            <w:shd w:val="clear" w:color="auto" w:fill="auto"/>
            <w:noWrap/>
            <w:vAlign w:val="center"/>
          </w:tcPr>
          <w:p w14:paraId="6680707B">
            <w:pPr>
              <w:pStyle w:val="55"/>
              <w:bidi w:val="0"/>
              <w:rPr>
                <w:rFonts w:hint="default"/>
                <w:lang w:val="en-US" w:eastAsia="zh-CN"/>
              </w:rPr>
            </w:pPr>
            <w:r>
              <w:rPr>
                <w:rFonts w:hint="eastAsia"/>
                <w:lang w:val="en-US" w:eastAsia="zh-CN"/>
              </w:rPr>
              <w:t>59</w:t>
            </w:r>
          </w:p>
        </w:tc>
        <w:tc>
          <w:tcPr>
            <w:tcW w:w="641"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0F68B32F">
            <w:pPr>
              <w:pStyle w:val="55"/>
              <w:bidi w:val="0"/>
              <w:rPr>
                <w:rFonts w:hint="default"/>
                <w:lang w:val="en-US" w:eastAsia="zh-CN"/>
              </w:rPr>
            </w:pPr>
            <w:r>
              <w:rPr>
                <w:rFonts w:hint="default"/>
                <w:lang w:val="en-US" w:eastAsia="zh-CN"/>
              </w:rPr>
              <w:t>5</w:t>
            </w:r>
            <w:r>
              <w:rPr>
                <w:rFonts w:hint="eastAsia"/>
                <w:lang w:val="en-US" w:eastAsia="zh-CN"/>
              </w:rPr>
              <w:t>3</w:t>
            </w:r>
          </w:p>
        </w:tc>
        <w:tc>
          <w:tcPr>
            <w:tcW w:w="641"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275C3359">
            <w:pPr>
              <w:pStyle w:val="55"/>
              <w:bidi w:val="0"/>
              <w:rPr>
                <w:rFonts w:hint="default"/>
                <w:lang w:val="en-US" w:eastAsia="zh-CN"/>
              </w:rPr>
            </w:pPr>
            <w:r>
              <w:rPr>
                <w:rFonts w:hint="eastAsia"/>
                <w:lang w:val="en-US" w:eastAsia="zh-CN"/>
              </w:rPr>
              <w:t>47</w:t>
            </w:r>
          </w:p>
        </w:tc>
        <w:tc>
          <w:tcPr>
            <w:tcW w:w="682"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01777854">
            <w:pPr>
              <w:pStyle w:val="55"/>
              <w:bidi w:val="0"/>
              <w:rPr>
                <w:rFonts w:hint="default"/>
                <w:lang w:val="en-US" w:eastAsia="zh-CN"/>
              </w:rPr>
            </w:pPr>
            <w:r>
              <w:rPr>
                <w:rFonts w:hint="default"/>
                <w:lang w:val="en-US" w:eastAsia="zh-CN"/>
              </w:rPr>
              <w:t>70</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3763A">
            <w:pPr>
              <w:pStyle w:val="55"/>
              <w:bidi w:val="0"/>
              <w:rPr>
                <w:rFonts w:hint="default"/>
              </w:rPr>
            </w:pPr>
            <w:r>
              <w:rPr>
                <w:rFonts w:hint="default"/>
                <w:lang w:val="en-US" w:eastAsia="zh-CN"/>
              </w:rPr>
              <w:t>55</w:t>
            </w:r>
          </w:p>
        </w:tc>
      </w:tr>
      <w:tr w14:paraId="49D2F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2E56EC">
            <w:pPr>
              <w:pStyle w:val="55"/>
              <w:bidi w:val="0"/>
              <w:rPr>
                <w:rFonts w:hint="default"/>
              </w:rPr>
            </w:pPr>
          </w:p>
        </w:tc>
        <w:tc>
          <w:tcPr>
            <w:tcW w:w="1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0F816">
            <w:pPr>
              <w:pStyle w:val="55"/>
              <w:bidi w:val="0"/>
              <w:rPr>
                <w:rFonts w:hint="default"/>
              </w:rPr>
            </w:pPr>
            <w:r>
              <w:rPr>
                <w:rFonts w:hint="default"/>
                <w:lang w:val="en-US" w:eastAsia="zh-CN"/>
              </w:rPr>
              <w:t>木工机械</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E95CF">
            <w:pPr>
              <w:pStyle w:val="55"/>
              <w:bidi w:val="0"/>
              <w:rPr>
                <w:rFonts w:hint="default"/>
                <w:lang w:val="en-US"/>
              </w:rPr>
            </w:pPr>
            <w:r>
              <w:rPr>
                <w:rFonts w:hint="eastAsia"/>
                <w:lang w:val="en-US" w:eastAsia="zh-CN"/>
              </w:rPr>
              <w:t>95</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9D02D">
            <w:pPr>
              <w:pStyle w:val="55"/>
              <w:bidi w:val="0"/>
              <w:rPr>
                <w:rFonts w:hint="default"/>
              </w:rPr>
            </w:pPr>
            <w:r>
              <w:rPr>
                <w:rFonts w:hint="eastAsia"/>
                <w:lang w:val="en-US" w:eastAsia="zh-CN"/>
              </w:rPr>
              <w:t>75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63002">
            <w:pPr>
              <w:pStyle w:val="55"/>
              <w:bidi w:val="0"/>
              <w:rPr>
                <w:rFonts w:hint="default"/>
                <w:lang w:val="en-US" w:eastAsia="zh-CN"/>
              </w:rPr>
            </w:pPr>
            <w:r>
              <w:rPr>
                <w:rFonts w:hint="eastAsia"/>
                <w:lang w:val="en-US" w:eastAsia="zh-CN"/>
              </w:rPr>
              <w:t>69</w:t>
            </w:r>
          </w:p>
        </w:tc>
        <w:tc>
          <w:tcPr>
            <w:tcW w:w="682"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081E5EFF">
            <w:pPr>
              <w:pStyle w:val="55"/>
              <w:bidi w:val="0"/>
              <w:rPr>
                <w:rFonts w:hint="default"/>
                <w:lang w:val="en-US" w:eastAsia="zh-CN"/>
              </w:rPr>
            </w:pPr>
            <w:r>
              <w:rPr>
                <w:rFonts w:hint="default"/>
                <w:lang w:val="en-US" w:eastAsia="zh-CN"/>
              </w:rPr>
              <w:t>6</w:t>
            </w:r>
            <w:r>
              <w:rPr>
                <w:rFonts w:hint="eastAsia"/>
                <w:lang w:val="en-US" w:eastAsia="zh-CN"/>
              </w:rPr>
              <w:t>5</w:t>
            </w:r>
          </w:p>
        </w:tc>
        <w:tc>
          <w:tcPr>
            <w:tcW w:w="504" w:type="dxa"/>
            <w:tcBorders>
              <w:top w:val="single" w:color="000000" w:sz="4" w:space="0"/>
              <w:left w:val="single" w:color="auto" w:sz="4" w:space="0"/>
              <w:bottom w:val="single" w:color="000000" w:sz="4" w:space="0"/>
              <w:right w:val="single" w:color="auto" w:sz="4" w:space="0"/>
            </w:tcBorders>
            <w:shd w:val="clear" w:color="auto" w:fill="auto"/>
            <w:noWrap/>
            <w:vAlign w:val="center"/>
          </w:tcPr>
          <w:p w14:paraId="6BC0B9A2">
            <w:pPr>
              <w:pStyle w:val="55"/>
              <w:bidi w:val="0"/>
              <w:rPr>
                <w:rFonts w:hint="default"/>
                <w:lang w:val="en-US" w:eastAsia="zh-CN"/>
              </w:rPr>
            </w:pPr>
            <w:r>
              <w:rPr>
                <w:rFonts w:hint="eastAsia"/>
                <w:lang w:val="en-US" w:eastAsia="zh-CN"/>
              </w:rPr>
              <w:t>59</w:t>
            </w:r>
          </w:p>
        </w:tc>
        <w:tc>
          <w:tcPr>
            <w:tcW w:w="641"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2928F384">
            <w:pPr>
              <w:pStyle w:val="55"/>
              <w:bidi w:val="0"/>
              <w:rPr>
                <w:rFonts w:hint="default"/>
                <w:lang w:val="en-US" w:eastAsia="zh-CN"/>
              </w:rPr>
            </w:pPr>
            <w:r>
              <w:rPr>
                <w:rFonts w:hint="default"/>
                <w:lang w:val="en-US" w:eastAsia="zh-CN"/>
              </w:rPr>
              <w:t>5</w:t>
            </w:r>
            <w:r>
              <w:rPr>
                <w:rFonts w:hint="eastAsia"/>
                <w:lang w:val="en-US" w:eastAsia="zh-CN"/>
              </w:rPr>
              <w:t>3</w:t>
            </w:r>
          </w:p>
        </w:tc>
        <w:tc>
          <w:tcPr>
            <w:tcW w:w="641"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0F8EBF1B">
            <w:pPr>
              <w:pStyle w:val="55"/>
              <w:bidi w:val="0"/>
              <w:rPr>
                <w:rFonts w:hint="default"/>
                <w:lang w:val="en-US" w:eastAsia="zh-CN"/>
              </w:rPr>
            </w:pPr>
            <w:r>
              <w:rPr>
                <w:rFonts w:hint="eastAsia"/>
                <w:lang w:val="en-US" w:eastAsia="zh-CN"/>
              </w:rPr>
              <w:t>47</w:t>
            </w:r>
          </w:p>
        </w:tc>
        <w:tc>
          <w:tcPr>
            <w:tcW w:w="682"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7D73FAAA">
            <w:pPr>
              <w:pStyle w:val="55"/>
              <w:bidi w:val="0"/>
              <w:rPr>
                <w:rFonts w:hint="default"/>
                <w:lang w:val="en-US" w:eastAsia="zh-CN"/>
              </w:rPr>
            </w:pPr>
            <w:r>
              <w:rPr>
                <w:rFonts w:hint="default"/>
                <w:lang w:val="en-US" w:eastAsia="zh-CN"/>
              </w:rPr>
              <w:t>70</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10FAA">
            <w:pPr>
              <w:pStyle w:val="55"/>
              <w:bidi w:val="0"/>
              <w:rPr>
                <w:rFonts w:hint="default"/>
              </w:rPr>
            </w:pPr>
            <w:r>
              <w:rPr>
                <w:rFonts w:hint="default"/>
                <w:lang w:val="en-US" w:eastAsia="zh-CN"/>
              </w:rPr>
              <w:t>55</w:t>
            </w:r>
          </w:p>
        </w:tc>
      </w:tr>
      <w:tr w14:paraId="4528DE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D2D30">
            <w:pPr>
              <w:pStyle w:val="55"/>
              <w:bidi w:val="0"/>
              <w:rPr>
                <w:rFonts w:hint="default"/>
              </w:rPr>
            </w:pPr>
            <w:r>
              <w:rPr>
                <w:rFonts w:hint="default"/>
                <w:lang w:val="en-US" w:eastAsia="zh-CN"/>
              </w:rPr>
              <w:t>装修</w:t>
            </w:r>
          </w:p>
        </w:tc>
        <w:tc>
          <w:tcPr>
            <w:tcW w:w="1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5F478">
            <w:pPr>
              <w:pStyle w:val="55"/>
              <w:bidi w:val="0"/>
              <w:rPr>
                <w:rFonts w:hint="default"/>
              </w:rPr>
            </w:pPr>
            <w:r>
              <w:rPr>
                <w:rFonts w:hint="default"/>
                <w:lang w:val="en-US" w:eastAsia="zh-CN"/>
              </w:rPr>
              <w:t>汽车吊</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0F8CA">
            <w:pPr>
              <w:pStyle w:val="55"/>
              <w:bidi w:val="0"/>
              <w:rPr>
                <w:rFonts w:hint="default"/>
              </w:rPr>
            </w:pPr>
            <w:r>
              <w:rPr>
                <w:rFonts w:hint="default"/>
                <w:lang w:val="en-US" w:eastAsia="zh-CN"/>
              </w:rPr>
              <w:t>90</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770BE">
            <w:pPr>
              <w:pStyle w:val="55"/>
              <w:bidi w:val="0"/>
              <w:rPr>
                <w:rFonts w:hint="default"/>
              </w:rPr>
            </w:pPr>
            <w:r>
              <w:rPr>
                <w:rFonts w:hint="default"/>
                <w:lang w:val="en-US" w:eastAsia="zh-CN"/>
              </w:rPr>
              <w:t>71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EE87C">
            <w:pPr>
              <w:pStyle w:val="55"/>
              <w:bidi w:val="0"/>
              <w:rPr>
                <w:rFonts w:hint="default"/>
                <w:lang w:val="en-US" w:eastAsia="zh-CN"/>
              </w:rPr>
            </w:pPr>
            <w:r>
              <w:rPr>
                <w:rFonts w:hint="default"/>
                <w:lang w:val="en-US" w:eastAsia="zh-CN"/>
              </w:rPr>
              <w:t>65</w:t>
            </w:r>
          </w:p>
        </w:tc>
        <w:tc>
          <w:tcPr>
            <w:tcW w:w="682"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13EB382A">
            <w:pPr>
              <w:pStyle w:val="55"/>
              <w:bidi w:val="0"/>
              <w:rPr>
                <w:rFonts w:hint="default"/>
                <w:lang w:val="en-US" w:eastAsia="zh-CN"/>
              </w:rPr>
            </w:pPr>
            <w:r>
              <w:rPr>
                <w:rFonts w:hint="default"/>
                <w:lang w:val="en-US" w:eastAsia="zh-CN"/>
              </w:rPr>
              <w:t>59</w:t>
            </w:r>
          </w:p>
        </w:tc>
        <w:tc>
          <w:tcPr>
            <w:tcW w:w="504" w:type="dxa"/>
            <w:tcBorders>
              <w:top w:val="single" w:color="000000" w:sz="4" w:space="0"/>
              <w:left w:val="single" w:color="auto" w:sz="4" w:space="0"/>
              <w:bottom w:val="single" w:color="000000" w:sz="4" w:space="0"/>
              <w:right w:val="single" w:color="auto" w:sz="4" w:space="0"/>
            </w:tcBorders>
            <w:shd w:val="clear" w:color="auto" w:fill="auto"/>
            <w:noWrap/>
            <w:vAlign w:val="center"/>
          </w:tcPr>
          <w:p w14:paraId="3EE142D0">
            <w:pPr>
              <w:pStyle w:val="55"/>
              <w:bidi w:val="0"/>
              <w:rPr>
                <w:rFonts w:hint="default"/>
                <w:lang w:val="en-US" w:eastAsia="zh-CN"/>
              </w:rPr>
            </w:pPr>
            <w:r>
              <w:rPr>
                <w:rFonts w:hint="default"/>
                <w:lang w:val="en-US" w:eastAsia="zh-CN"/>
              </w:rPr>
              <w:t>53</w:t>
            </w:r>
          </w:p>
        </w:tc>
        <w:tc>
          <w:tcPr>
            <w:tcW w:w="641"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5252F713">
            <w:pPr>
              <w:pStyle w:val="55"/>
              <w:bidi w:val="0"/>
              <w:rPr>
                <w:rFonts w:hint="default"/>
                <w:lang w:val="en-US" w:eastAsia="zh-CN"/>
              </w:rPr>
            </w:pPr>
            <w:r>
              <w:rPr>
                <w:rFonts w:hint="default"/>
                <w:lang w:val="en-US" w:eastAsia="zh-CN"/>
              </w:rPr>
              <w:t>47</w:t>
            </w:r>
          </w:p>
        </w:tc>
        <w:tc>
          <w:tcPr>
            <w:tcW w:w="641"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5B662BBD">
            <w:pPr>
              <w:pStyle w:val="55"/>
              <w:bidi w:val="0"/>
              <w:rPr>
                <w:rFonts w:hint="default"/>
                <w:lang w:val="en-US" w:eastAsia="zh-CN"/>
              </w:rPr>
            </w:pPr>
            <w:r>
              <w:rPr>
                <w:rFonts w:hint="default"/>
                <w:lang w:val="en-US" w:eastAsia="zh-CN"/>
              </w:rPr>
              <w:t>41</w:t>
            </w:r>
          </w:p>
        </w:tc>
        <w:tc>
          <w:tcPr>
            <w:tcW w:w="682"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5591C1CE">
            <w:pPr>
              <w:pStyle w:val="55"/>
              <w:bidi w:val="0"/>
              <w:rPr>
                <w:rFonts w:hint="default"/>
                <w:lang w:val="en-US" w:eastAsia="zh-CN"/>
              </w:rPr>
            </w:pPr>
            <w:r>
              <w:rPr>
                <w:rFonts w:hint="default"/>
                <w:lang w:val="en-US" w:eastAsia="zh-CN"/>
              </w:rPr>
              <w:t>70</w:t>
            </w:r>
          </w:p>
        </w:tc>
        <w:tc>
          <w:tcPr>
            <w:tcW w:w="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59074">
            <w:pPr>
              <w:pStyle w:val="55"/>
              <w:bidi w:val="0"/>
              <w:rPr>
                <w:rFonts w:hint="default"/>
              </w:rPr>
            </w:pPr>
            <w:r>
              <w:rPr>
                <w:rFonts w:hint="default"/>
                <w:lang w:val="en-US" w:eastAsia="zh-CN"/>
              </w:rPr>
              <w:t>55</w:t>
            </w:r>
          </w:p>
        </w:tc>
      </w:tr>
    </w:tbl>
    <w:p w14:paraId="2CC929C4">
      <w:pPr>
        <w:pStyle w:val="47"/>
        <w:bidi w:val="0"/>
        <w:rPr>
          <w:rFonts w:hint="default"/>
        </w:rPr>
      </w:pPr>
      <w:r>
        <w:rPr>
          <w:rFonts w:hint="default"/>
        </w:rPr>
        <w:t>根据预测结果可知，影响较大的噪声源装载机、挖掘机、推土机等昼间</w:t>
      </w:r>
      <w:r>
        <w:rPr>
          <w:rFonts w:hint="eastAsia"/>
          <w:lang w:val="en-US" w:eastAsia="zh-CN"/>
        </w:rPr>
        <w:t>3</w:t>
      </w:r>
      <w:r>
        <w:rPr>
          <w:rFonts w:hint="default"/>
        </w:rPr>
        <w:t>0m，夜间</w:t>
      </w:r>
      <w:r>
        <w:rPr>
          <w:rFonts w:hint="eastAsia"/>
          <w:lang w:val="en-US" w:eastAsia="zh-CN"/>
        </w:rPr>
        <w:t>120</w:t>
      </w:r>
      <w:r>
        <w:rPr>
          <w:rFonts w:hint="default"/>
        </w:rPr>
        <w:t>m可达到《建筑施工场界环境噪声排放标准》（GB12523-2011）的要求（昼间70dB（A），夜间55dB（A）），施工期间对周边声环境影响较小。</w:t>
      </w:r>
    </w:p>
    <w:p w14:paraId="2A4320FB">
      <w:pPr>
        <w:pStyle w:val="90"/>
        <w:bidi w:val="0"/>
        <w:ind w:left="0" w:leftChars="0" w:firstLine="0" w:firstLineChars="0"/>
        <w:rPr>
          <w:rFonts w:hint="eastAsia"/>
        </w:rPr>
      </w:pPr>
      <w:bookmarkStart w:id="54" w:name="_Toc18496"/>
      <w:r>
        <w:rPr>
          <w:rFonts w:hint="eastAsia"/>
        </w:rPr>
        <w:t>施工固体废物</w:t>
      </w:r>
      <w:bookmarkEnd w:id="54"/>
    </w:p>
    <w:p w14:paraId="03B7418E">
      <w:pPr>
        <w:pStyle w:val="47"/>
        <w:ind w:firstLine="482"/>
      </w:pPr>
      <w:r>
        <w:rPr>
          <w:rFonts w:hint="eastAsia"/>
        </w:rPr>
        <w:t>施工期固体废物主要是施工过程产生的建筑垃圾以及施工人员生活垃圾。</w:t>
      </w:r>
    </w:p>
    <w:p w14:paraId="699075F6">
      <w:pPr>
        <w:pStyle w:val="47"/>
        <w:ind w:firstLine="482"/>
      </w:pPr>
      <w:r>
        <w:rPr>
          <w:rFonts w:hint="eastAsia"/>
        </w:rPr>
        <w:t>建筑垃圾主要是施工过程中产生的水泥、石灰、编织袋、包装袋和废管材等。这类固体废物一般是无害的，但它影响市容，妨碍交通运输，同时可能加重工地扬尘污染。施工中确保在生产、运输、堆放等各环节采取措施，减少撒落，及时打扫，及时清运，避免污染环境，减少扬尘的污染。施工单位应采取有效措施，从源头上减少废料产生，并加强回收利用，严禁浪费，不能利用的应交由环卫部门妥善处理。</w:t>
      </w:r>
    </w:p>
    <w:p w14:paraId="68BBB1B4">
      <w:pPr>
        <w:pStyle w:val="47"/>
        <w:ind w:firstLine="482"/>
      </w:pPr>
      <w:r>
        <w:rPr>
          <w:rFonts w:hint="eastAsia"/>
        </w:rPr>
        <w:t>生活垃圾主要是工人废弃物品，施工人员生活垃圾定点存放，由环卫部门定期清运，不会对环境造成二次污染。</w:t>
      </w:r>
    </w:p>
    <w:p w14:paraId="38174A4B">
      <w:pPr>
        <w:pStyle w:val="88"/>
        <w:bidi w:val="0"/>
        <w:ind w:left="0" w:leftChars="0" w:hanging="102" w:firstLineChars="0"/>
      </w:pPr>
      <w:bookmarkStart w:id="55" w:name="_Toc13335"/>
      <w:r>
        <w:rPr>
          <w:rFonts w:hint="eastAsia"/>
        </w:rPr>
        <w:t>营运期环境</w:t>
      </w:r>
      <w:r>
        <w:t>影响预测与评价</w:t>
      </w:r>
      <w:bookmarkEnd w:id="55"/>
    </w:p>
    <w:p w14:paraId="3A62771E">
      <w:pPr>
        <w:pStyle w:val="90"/>
        <w:bidi w:val="0"/>
        <w:ind w:left="0" w:leftChars="0" w:firstLine="0" w:firstLineChars="0"/>
      </w:pPr>
      <w:bookmarkStart w:id="56" w:name="_Toc30685"/>
      <w:r>
        <w:rPr>
          <w:rFonts w:hint="eastAsia"/>
        </w:rPr>
        <w:t>大气环境影响分析</w:t>
      </w:r>
      <w:bookmarkEnd w:id="56"/>
    </w:p>
    <w:p w14:paraId="0A7B21A1">
      <w:pPr>
        <w:pStyle w:val="47"/>
        <w:rPr>
          <w:rFonts w:hint="eastAsia"/>
        </w:rPr>
      </w:pPr>
      <w:r>
        <w:rPr>
          <w:rFonts w:hint="eastAsia"/>
        </w:rPr>
        <w:t>依据《环境影响评价技术导则-大气环境》（HJ2.2-2018）中5.3节工作等级的确定方法，结合项目工程分析结果，确定项目的评价等级为二级。根据导则相关要求，二级评价项目可不进行进一步预测与评价。</w:t>
      </w:r>
    </w:p>
    <w:p w14:paraId="640D6093">
      <w:pPr>
        <w:pStyle w:val="92"/>
        <w:bidi w:val="0"/>
        <w:ind w:left="0" w:leftChars="0" w:firstLine="0" w:firstLineChars="0"/>
      </w:pPr>
      <w:r>
        <w:rPr>
          <w:rFonts w:hint="eastAsia"/>
        </w:rPr>
        <w:t>估算模式选择与参数确定</w:t>
      </w:r>
    </w:p>
    <w:p w14:paraId="71823DC7">
      <w:pPr>
        <w:pStyle w:val="47"/>
        <w:rPr>
          <w:color w:val="000000" w:themeColor="text1"/>
          <w14:textFill>
            <w14:solidFill>
              <w14:schemeClr w14:val="tx1"/>
            </w14:solidFill>
          </w14:textFill>
        </w:rPr>
      </w:pPr>
      <w:r>
        <w:rPr>
          <w:rFonts w:hint="eastAsia"/>
          <w:color w:val="000000" w:themeColor="text1"/>
          <w14:textFill>
            <w14:solidFill>
              <w14:schemeClr w14:val="tx1"/>
            </w14:solidFill>
          </w14:textFill>
        </w:rPr>
        <w:t>本次预测选用《环境影响评价技术导则 大气环境》（HJ2.2-2018）推荐的估算模型（AERSCREEN）进行大气影响分析。</w:t>
      </w:r>
    </w:p>
    <w:p w14:paraId="29E015C2">
      <w:pPr>
        <w:pStyle w:val="92"/>
        <w:bidi w:val="0"/>
        <w:ind w:left="0" w:leftChars="0" w:firstLine="0" w:firstLineChars="0"/>
      </w:pPr>
      <w:r>
        <w:rPr>
          <w:rFonts w:hint="eastAsia"/>
        </w:rPr>
        <w:t>气象条件与地形数据</w:t>
      </w:r>
    </w:p>
    <w:p w14:paraId="008FDA61">
      <w:pPr>
        <w:pStyle w:val="47"/>
        <w:rPr>
          <w:rFonts w:hint="default" w:eastAsia="宋体"/>
          <w:color w:val="000000" w:themeColor="text1"/>
          <w:lang w:val="en-US" w:eastAsia="zh-CN"/>
          <w14:textFill>
            <w14:solidFill>
              <w14:schemeClr w14:val="tx1"/>
            </w14:solidFill>
          </w14:textFill>
        </w:rPr>
      </w:pP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1</w:t>
      </w: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气象条件</w:t>
      </w:r>
    </w:p>
    <w:p w14:paraId="6C1CE9FB">
      <w:pPr>
        <w:pStyle w:val="4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采用估算模型（AERSCREEN），根据评价区域近年来资料统计结果可知，最高环境温度为</w:t>
      </w:r>
      <w:r>
        <w:rPr>
          <w:rFonts w:hint="eastAsia"/>
          <w:color w:val="000000" w:themeColor="text1"/>
          <w:highlight w:val="none"/>
          <w:lang w:val="en-US" w:eastAsia="zh-CN"/>
          <w14:textFill>
            <w14:solidFill>
              <w14:schemeClr w14:val="tx1"/>
            </w14:solidFill>
          </w14:textFill>
        </w:rPr>
        <w:t>41.4</w:t>
      </w:r>
      <w:r>
        <w:rPr>
          <w:rFonts w:hint="eastAsia"/>
          <w:color w:val="000000" w:themeColor="text1"/>
          <w:highlight w:val="none"/>
          <w14:textFill>
            <w14:solidFill>
              <w14:schemeClr w14:val="tx1"/>
            </w14:solidFill>
          </w14:textFill>
        </w:rPr>
        <w:t>℃，最低环境温度为-</w:t>
      </w:r>
      <w:r>
        <w:rPr>
          <w:rFonts w:hint="eastAsia"/>
          <w:color w:val="000000" w:themeColor="text1"/>
          <w:highlight w:val="none"/>
          <w:lang w:val="en-US" w:eastAsia="zh-CN"/>
          <w14:textFill>
            <w14:solidFill>
              <w14:schemeClr w14:val="tx1"/>
            </w14:solidFill>
          </w14:textFill>
        </w:rPr>
        <w:t>20.6</w:t>
      </w:r>
      <w:r>
        <w:rPr>
          <w:rFonts w:hint="eastAsia"/>
          <w:color w:val="000000" w:themeColor="text1"/>
          <w:highlight w:val="none"/>
          <w14:textFill>
            <w14:solidFill>
              <w14:schemeClr w14:val="tx1"/>
            </w14:solidFill>
          </w14:textFill>
        </w:rPr>
        <w:t>℃，平均风速为</w:t>
      </w:r>
      <w:r>
        <w:rPr>
          <w:rFonts w:hint="eastAsia"/>
          <w:color w:val="000000" w:themeColor="text1"/>
          <w:highlight w:val="none"/>
          <w:lang w:val="en-US" w:eastAsia="zh-CN"/>
          <w14:textFill>
            <w14:solidFill>
              <w14:schemeClr w14:val="tx1"/>
            </w14:solidFill>
          </w14:textFill>
        </w:rPr>
        <w:t>0.5</w:t>
      </w:r>
      <w:r>
        <w:rPr>
          <w:rFonts w:hint="eastAsia"/>
          <w:color w:val="000000" w:themeColor="text1"/>
          <w:highlight w:val="none"/>
          <w14:textFill>
            <w14:solidFill>
              <w14:schemeClr w14:val="tx1"/>
            </w14:solidFill>
          </w14:textFill>
        </w:rPr>
        <w:t>m/s。</w:t>
      </w:r>
    </w:p>
    <w:p w14:paraId="52C99C42">
      <w:pPr>
        <w:pStyle w:val="47"/>
        <w:rPr>
          <w:rFonts w:hint="eastAsia"/>
          <w:color w:val="000000" w:themeColor="text1"/>
          <w:lang w:val="en-US" w:eastAsia="zh-CN"/>
          <w14:textFill>
            <w14:solidFill>
              <w14:schemeClr w14:val="tx1"/>
            </w14:solidFill>
          </w14:textFill>
        </w:rPr>
      </w:pP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2</w:t>
      </w: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地形数据</w:t>
      </w:r>
    </w:p>
    <w:p w14:paraId="544CE5E4">
      <w:pPr>
        <w:pStyle w:val="47"/>
        <w:rPr>
          <w:rFonts w:hint="eastAsia"/>
        </w:rPr>
      </w:pPr>
      <w:r>
        <w:rPr>
          <w:rFonts w:hint="default"/>
          <w:color w:val="000000" w:themeColor="text1"/>
          <w:lang w:val="en-US" w:eastAsia="zh-CN"/>
          <w14:textFill>
            <w14:solidFill>
              <w14:schemeClr w14:val="tx1"/>
            </w14:solidFill>
          </w14:textFill>
        </w:rPr>
        <w:t>经估算模型（AERSCREEN）判定，</w:t>
      </w:r>
      <w:r>
        <w:rPr>
          <w:rFonts w:hint="eastAsia"/>
          <w:color w:val="000000" w:themeColor="text1"/>
          <w:lang w:val="en-US" w:eastAsia="zh-CN"/>
          <w14:textFill>
            <w14:solidFill>
              <w14:schemeClr w14:val="tx1"/>
            </w14:solidFill>
          </w14:textFill>
        </w:rPr>
        <w:t>项目</w:t>
      </w:r>
      <w:r>
        <w:rPr>
          <w:rFonts w:hint="default"/>
          <w:color w:val="000000" w:themeColor="text1"/>
          <w:lang w:val="en-US" w:eastAsia="zh-CN"/>
          <w14:textFill>
            <w14:solidFill>
              <w14:schemeClr w14:val="tx1"/>
            </w14:solidFill>
          </w14:textFill>
        </w:rPr>
        <w:t>属于</w:t>
      </w:r>
      <w:r>
        <w:rPr>
          <w:rFonts w:hint="eastAsia"/>
          <w:color w:val="000000" w:themeColor="text1"/>
          <w:lang w:val="en-US" w:eastAsia="zh-CN"/>
          <w14:textFill>
            <w14:solidFill>
              <w14:schemeClr w14:val="tx1"/>
            </w14:solidFill>
          </w14:textFill>
        </w:rPr>
        <w:t>简单</w:t>
      </w:r>
      <w:r>
        <w:rPr>
          <w:rFonts w:hint="default"/>
          <w:color w:val="000000" w:themeColor="text1"/>
          <w:lang w:val="en-US" w:eastAsia="zh-CN"/>
          <w14:textFill>
            <w14:solidFill>
              <w14:schemeClr w14:val="tx1"/>
            </w14:solidFill>
          </w14:textFill>
        </w:rPr>
        <w:t>地形</w:t>
      </w:r>
      <w:r>
        <w:rPr>
          <w:rFonts w:hint="eastAsia"/>
          <w:color w:val="000000" w:themeColor="text1"/>
          <w:lang w:val="en-US" w:eastAsia="zh-CN"/>
          <w14:textFill>
            <w14:solidFill>
              <w14:schemeClr w14:val="tx1"/>
            </w14:solidFill>
          </w14:textFill>
        </w:rPr>
        <w:t>。</w:t>
      </w:r>
    </w:p>
    <w:p w14:paraId="17C5DA14">
      <w:pPr>
        <w:pStyle w:val="92"/>
        <w:bidi w:val="0"/>
        <w:ind w:left="0" w:leftChars="0" w:firstLine="0" w:firstLineChars="0"/>
      </w:pPr>
      <w:r>
        <w:rPr>
          <w:rFonts w:hint="eastAsia"/>
        </w:rPr>
        <w:t>废气达标分析</w:t>
      </w:r>
    </w:p>
    <w:p w14:paraId="5A87810F">
      <w:pPr>
        <w:pStyle w:val="47"/>
        <w:bidi w:val="0"/>
      </w:pPr>
      <w:r>
        <w:rPr>
          <w:rFonts w:hint="eastAsia"/>
          <w:lang w:eastAsia="zh-CN"/>
        </w:rPr>
        <w:t>（</w:t>
      </w:r>
      <w:r>
        <w:rPr>
          <w:rFonts w:hint="eastAsia"/>
          <w:lang w:val="en-US" w:eastAsia="zh-CN"/>
        </w:rPr>
        <w:t>1</w:t>
      </w:r>
      <w:r>
        <w:rPr>
          <w:rFonts w:hint="eastAsia"/>
          <w:lang w:eastAsia="zh-CN"/>
        </w:rPr>
        <w:t>）</w:t>
      </w:r>
      <w:r>
        <w:rPr>
          <w:rFonts w:hint="eastAsia"/>
        </w:rPr>
        <w:t>有组织排放源达标排放论证</w:t>
      </w:r>
    </w:p>
    <w:p w14:paraId="2E07F642">
      <w:pPr>
        <w:pStyle w:val="47"/>
        <w:ind w:firstLine="48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根据工程分析，</w:t>
      </w:r>
      <w:r>
        <w:rPr>
          <w:rFonts w:hint="eastAsia"/>
          <w:color w:val="000000" w:themeColor="text1"/>
          <w:lang w:eastAsia="zh-CN"/>
          <w14:textFill>
            <w14:solidFill>
              <w14:schemeClr w14:val="tx1"/>
            </w14:solidFill>
          </w14:textFill>
        </w:rPr>
        <w:t>项目</w:t>
      </w:r>
      <w:r>
        <w:rPr>
          <w:rFonts w:hint="eastAsia"/>
          <w:color w:val="000000" w:themeColor="text1"/>
          <w14:textFill>
            <w14:solidFill>
              <w14:schemeClr w14:val="tx1"/>
            </w14:solidFill>
          </w14:textFill>
        </w:rPr>
        <w:t>有组织排放污染物达标情况见下表。</w:t>
      </w:r>
    </w:p>
    <w:p w14:paraId="16456AB8">
      <w:pPr>
        <w:pStyle w:val="47"/>
        <w:ind w:firstLine="482"/>
        <w:rPr>
          <w:rFonts w:hint="eastAsia"/>
          <w:color w:val="000000" w:themeColor="text1"/>
          <w14:textFill>
            <w14:solidFill>
              <w14:schemeClr w14:val="tx1"/>
            </w14:solidFill>
          </w14:textFill>
        </w:rPr>
      </w:pPr>
    </w:p>
    <w:p w14:paraId="36A4FAE2">
      <w:pPr>
        <w:pStyle w:val="47"/>
        <w:ind w:firstLine="482"/>
        <w:rPr>
          <w:rFonts w:hint="eastAsia"/>
          <w:color w:val="000000" w:themeColor="text1"/>
          <w14:textFill>
            <w14:solidFill>
              <w14:schemeClr w14:val="tx1"/>
            </w14:solidFill>
          </w14:textFill>
        </w:rPr>
        <w:sectPr>
          <w:pgSz w:w="11906" w:h="16838"/>
          <w:pgMar w:top="1417" w:right="1417" w:bottom="1417" w:left="1417" w:header="964" w:footer="964" w:gutter="0"/>
          <w:pgBorders>
            <w:top w:val="none" w:sz="0" w:space="0"/>
            <w:left w:val="none" w:sz="0" w:space="0"/>
            <w:bottom w:val="none" w:sz="0" w:space="0"/>
            <w:right w:val="none" w:sz="0" w:space="0"/>
          </w:pgBorders>
          <w:cols w:space="425" w:num="1"/>
          <w:docGrid w:type="linesAndChars" w:linePitch="326" w:charSpace="190"/>
        </w:sectPr>
      </w:pPr>
    </w:p>
    <w:p w14:paraId="46A2520C">
      <w:pPr>
        <w:pStyle w:val="94"/>
        <w:bidi w:val="0"/>
        <w:ind w:left="0" w:leftChars="0" w:firstLine="0" w:firstLineChars="0"/>
        <w:rPr>
          <w:rFonts w:hint="eastAsia"/>
        </w:rPr>
      </w:pPr>
      <w:r>
        <w:rPr>
          <w:rFonts w:hint="eastAsia"/>
        </w:rPr>
        <w:t>废气有组织排放源及达标排放情况</w:t>
      </w:r>
    </w:p>
    <w:tbl>
      <w:tblPr>
        <w:tblStyle w:val="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499"/>
        <w:gridCol w:w="617"/>
        <w:gridCol w:w="797"/>
        <w:gridCol w:w="1356"/>
        <w:gridCol w:w="791"/>
        <w:gridCol w:w="736"/>
        <w:gridCol w:w="925"/>
        <w:gridCol w:w="900"/>
        <w:gridCol w:w="1106"/>
        <w:gridCol w:w="862"/>
        <w:gridCol w:w="1196"/>
        <w:gridCol w:w="3614"/>
        <w:gridCol w:w="615"/>
      </w:tblGrid>
      <w:tr w14:paraId="67ABD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tblHeader/>
          <w:jc w:val="center"/>
        </w:trPr>
        <w:tc>
          <w:tcPr>
            <w:tcW w:w="178" w:type="pct"/>
            <w:vMerge w:val="restart"/>
            <w:vAlign w:val="center"/>
          </w:tcPr>
          <w:p w14:paraId="575B45DC">
            <w:pPr>
              <w:pStyle w:val="55"/>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排气筒</w:t>
            </w:r>
          </w:p>
        </w:tc>
        <w:tc>
          <w:tcPr>
            <w:tcW w:w="504" w:type="pct"/>
            <w:gridSpan w:val="2"/>
            <w:vMerge w:val="restart"/>
            <w:vAlign w:val="center"/>
          </w:tcPr>
          <w:p w14:paraId="05979E0C">
            <w:pPr>
              <w:pStyle w:val="55"/>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污染</w:t>
            </w:r>
            <w:r>
              <w:rPr>
                <w:color w:val="000000" w:themeColor="text1"/>
                <w:sz w:val="24"/>
                <w:szCs w:val="24"/>
                <w14:textFill>
                  <w14:solidFill>
                    <w14:schemeClr w14:val="tx1"/>
                  </w14:solidFill>
                </w14:textFill>
              </w:rPr>
              <w:t>工序</w:t>
            </w:r>
          </w:p>
        </w:tc>
        <w:tc>
          <w:tcPr>
            <w:tcW w:w="483" w:type="pct"/>
            <w:vMerge w:val="restart"/>
            <w:shd w:val="clear" w:color="auto" w:fill="auto"/>
            <w:vAlign w:val="center"/>
          </w:tcPr>
          <w:p w14:paraId="72F8A4B0">
            <w:pPr>
              <w:pStyle w:val="55"/>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污染物</w:t>
            </w:r>
          </w:p>
        </w:tc>
        <w:tc>
          <w:tcPr>
            <w:tcW w:w="544" w:type="pct"/>
            <w:gridSpan w:val="2"/>
            <w:vAlign w:val="center"/>
          </w:tcPr>
          <w:p w14:paraId="5DDDC907">
            <w:pPr>
              <w:pStyle w:val="55"/>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排气筒/</w:t>
            </w:r>
            <w:r>
              <w:rPr>
                <w:color w:val="000000" w:themeColor="text1"/>
                <w:sz w:val="24"/>
                <w:szCs w:val="24"/>
                <w14:textFill>
                  <w14:solidFill>
                    <w14:schemeClr w14:val="tx1"/>
                  </w14:solidFill>
                </w14:textFill>
              </w:rPr>
              <w:t>m</w:t>
            </w:r>
          </w:p>
        </w:tc>
        <w:tc>
          <w:tcPr>
            <w:tcW w:w="330" w:type="pct"/>
            <w:vMerge w:val="restart"/>
            <w:vAlign w:val="center"/>
          </w:tcPr>
          <w:p w14:paraId="387C16BD">
            <w:pPr>
              <w:pStyle w:val="55"/>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风机</w:t>
            </w:r>
          </w:p>
          <w:p w14:paraId="3EF5C607">
            <w:pPr>
              <w:pStyle w:val="55"/>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风量</w:t>
            </w:r>
            <w:r>
              <w:rPr>
                <w:rFonts w:hint="eastAsia"/>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m</w:t>
            </w:r>
            <w:r>
              <w:rPr>
                <w:color w:val="000000" w:themeColor="text1"/>
                <w:sz w:val="24"/>
                <w:szCs w:val="24"/>
                <w:vertAlign w:val="superscript"/>
                <w14:textFill>
                  <w14:solidFill>
                    <w14:schemeClr w14:val="tx1"/>
                  </w14:solidFill>
                </w14:textFill>
              </w:rPr>
              <w:t>3</w:t>
            </w:r>
            <w:r>
              <w:rPr>
                <w:color w:val="000000" w:themeColor="text1"/>
                <w:sz w:val="24"/>
                <w:szCs w:val="24"/>
                <w14:textFill>
                  <w14:solidFill>
                    <w14:schemeClr w14:val="tx1"/>
                  </w14:solidFill>
                </w14:textFill>
              </w:rPr>
              <w:t>/h)</w:t>
            </w:r>
          </w:p>
        </w:tc>
        <w:tc>
          <w:tcPr>
            <w:tcW w:w="715" w:type="pct"/>
            <w:gridSpan w:val="2"/>
            <w:shd w:val="clear" w:color="auto" w:fill="auto"/>
            <w:vAlign w:val="center"/>
          </w:tcPr>
          <w:p w14:paraId="268C60D2">
            <w:pPr>
              <w:pStyle w:val="55"/>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排放情况</w:t>
            </w:r>
          </w:p>
        </w:tc>
        <w:tc>
          <w:tcPr>
            <w:tcW w:w="734" w:type="pct"/>
            <w:gridSpan w:val="2"/>
            <w:vAlign w:val="center"/>
          </w:tcPr>
          <w:p w14:paraId="1691305A">
            <w:pPr>
              <w:pStyle w:val="55"/>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标准</w:t>
            </w:r>
            <w:r>
              <w:rPr>
                <w:color w:val="000000" w:themeColor="text1"/>
                <w:sz w:val="24"/>
                <w:szCs w:val="24"/>
                <w14:textFill>
                  <w14:solidFill>
                    <w14:schemeClr w14:val="tx1"/>
                  </w14:solidFill>
                </w14:textFill>
              </w:rPr>
              <w:t>限值</w:t>
            </w:r>
          </w:p>
        </w:tc>
        <w:tc>
          <w:tcPr>
            <w:tcW w:w="1289" w:type="pct"/>
            <w:vMerge w:val="restart"/>
            <w:vAlign w:val="center"/>
          </w:tcPr>
          <w:p w14:paraId="78F4CD4E">
            <w:pPr>
              <w:pStyle w:val="55"/>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执行标准</w:t>
            </w:r>
          </w:p>
        </w:tc>
        <w:tc>
          <w:tcPr>
            <w:tcW w:w="219" w:type="pct"/>
            <w:vMerge w:val="restart"/>
            <w:vAlign w:val="center"/>
          </w:tcPr>
          <w:p w14:paraId="4B67F2C0">
            <w:pPr>
              <w:pStyle w:val="55"/>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是否</w:t>
            </w:r>
          </w:p>
          <w:p w14:paraId="44A0D081">
            <w:pPr>
              <w:pStyle w:val="55"/>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达标</w:t>
            </w:r>
          </w:p>
        </w:tc>
      </w:tr>
      <w:tr w14:paraId="2A9C8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tblHeader/>
          <w:jc w:val="center"/>
        </w:trPr>
        <w:tc>
          <w:tcPr>
            <w:tcW w:w="178" w:type="pct"/>
            <w:vMerge w:val="continue"/>
            <w:vAlign w:val="center"/>
          </w:tcPr>
          <w:p w14:paraId="3D09F387">
            <w:pPr>
              <w:pStyle w:val="55"/>
              <w:rPr>
                <w:color w:val="000000" w:themeColor="text1"/>
                <w:sz w:val="24"/>
                <w:szCs w:val="24"/>
                <w14:textFill>
                  <w14:solidFill>
                    <w14:schemeClr w14:val="tx1"/>
                  </w14:solidFill>
                </w14:textFill>
              </w:rPr>
            </w:pPr>
          </w:p>
        </w:tc>
        <w:tc>
          <w:tcPr>
            <w:tcW w:w="504" w:type="pct"/>
            <w:gridSpan w:val="2"/>
            <w:vMerge w:val="continue"/>
            <w:vAlign w:val="center"/>
          </w:tcPr>
          <w:p w14:paraId="16FA27BE">
            <w:pPr>
              <w:pStyle w:val="55"/>
              <w:rPr>
                <w:color w:val="000000" w:themeColor="text1"/>
                <w:sz w:val="24"/>
                <w:szCs w:val="24"/>
                <w14:textFill>
                  <w14:solidFill>
                    <w14:schemeClr w14:val="tx1"/>
                  </w14:solidFill>
                </w14:textFill>
              </w:rPr>
            </w:pPr>
          </w:p>
        </w:tc>
        <w:tc>
          <w:tcPr>
            <w:tcW w:w="483" w:type="pct"/>
            <w:vMerge w:val="continue"/>
            <w:shd w:val="clear" w:color="auto" w:fill="auto"/>
            <w:vAlign w:val="center"/>
          </w:tcPr>
          <w:p w14:paraId="502283DD">
            <w:pPr>
              <w:pStyle w:val="55"/>
              <w:rPr>
                <w:color w:val="000000" w:themeColor="text1"/>
                <w:sz w:val="24"/>
                <w:szCs w:val="24"/>
                <w14:textFill>
                  <w14:solidFill>
                    <w14:schemeClr w14:val="tx1"/>
                  </w14:solidFill>
                </w14:textFill>
              </w:rPr>
            </w:pPr>
          </w:p>
        </w:tc>
        <w:tc>
          <w:tcPr>
            <w:tcW w:w="282" w:type="pct"/>
            <w:vAlign w:val="center"/>
          </w:tcPr>
          <w:p w14:paraId="40D70387">
            <w:pPr>
              <w:pStyle w:val="55"/>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高度</w:t>
            </w:r>
          </w:p>
        </w:tc>
        <w:tc>
          <w:tcPr>
            <w:tcW w:w="262" w:type="pct"/>
            <w:vAlign w:val="center"/>
          </w:tcPr>
          <w:p w14:paraId="3B82337C">
            <w:pPr>
              <w:pStyle w:val="55"/>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内径</w:t>
            </w:r>
          </w:p>
        </w:tc>
        <w:tc>
          <w:tcPr>
            <w:tcW w:w="330" w:type="pct"/>
            <w:vMerge w:val="continue"/>
            <w:vAlign w:val="center"/>
          </w:tcPr>
          <w:p w14:paraId="66038A7C">
            <w:pPr>
              <w:pStyle w:val="55"/>
              <w:rPr>
                <w:color w:val="000000" w:themeColor="text1"/>
                <w:sz w:val="24"/>
                <w:szCs w:val="24"/>
                <w14:textFill>
                  <w14:solidFill>
                    <w14:schemeClr w14:val="tx1"/>
                  </w14:solidFill>
                </w14:textFill>
              </w:rPr>
            </w:pPr>
          </w:p>
        </w:tc>
        <w:tc>
          <w:tcPr>
            <w:tcW w:w="321" w:type="pct"/>
            <w:shd w:val="clear" w:color="auto" w:fill="auto"/>
            <w:vAlign w:val="center"/>
          </w:tcPr>
          <w:p w14:paraId="1C017B5E">
            <w:pPr>
              <w:pStyle w:val="55"/>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速率</w:t>
            </w:r>
            <w:r>
              <w:rPr>
                <w:rFonts w:hint="eastAsia"/>
                <w:color w:val="000000" w:themeColor="text1"/>
                <w:sz w:val="24"/>
                <w:szCs w:val="24"/>
                <w:lang w:eastAsia="zh-CN"/>
                <w14:textFill>
                  <w14:solidFill>
                    <w14:schemeClr w14:val="tx1"/>
                  </w14:solidFill>
                </w14:textFill>
              </w:rPr>
              <w:t>（</w:t>
            </w:r>
            <w:r>
              <w:rPr>
                <w:rFonts w:hint="eastAsia"/>
                <w:color w:val="000000" w:themeColor="text1"/>
                <w:sz w:val="24"/>
                <w:szCs w:val="24"/>
                <w14:textFill>
                  <w14:solidFill>
                    <w14:schemeClr w14:val="tx1"/>
                  </w14:solidFill>
                </w14:textFill>
              </w:rPr>
              <w:t>kg/h</w:t>
            </w:r>
            <w:r>
              <w:rPr>
                <w:rFonts w:hint="eastAsia"/>
                <w:color w:val="000000" w:themeColor="text1"/>
                <w:sz w:val="24"/>
                <w:szCs w:val="24"/>
                <w:lang w:eastAsia="zh-CN"/>
                <w14:textFill>
                  <w14:solidFill>
                    <w14:schemeClr w14:val="tx1"/>
                  </w14:solidFill>
                </w14:textFill>
              </w:rPr>
              <w:t>）</w:t>
            </w:r>
          </w:p>
        </w:tc>
        <w:tc>
          <w:tcPr>
            <w:tcW w:w="394" w:type="pct"/>
            <w:vAlign w:val="center"/>
          </w:tcPr>
          <w:p w14:paraId="2ACF873F">
            <w:pPr>
              <w:pStyle w:val="55"/>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浓度</w:t>
            </w:r>
            <w:r>
              <w:rPr>
                <w:rFonts w:hint="eastAsia"/>
                <w:color w:val="000000" w:themeColor="text1"/>
                <w:sz w:val="24"/>
                <w:szCs w:val="24"/>
                <w14:textFill>
                  <w14:solidFill>
                    <w14:schemeClr w14:val="tx1"/>
                  </w14:solidFill>
                </w14:textFill>
              </w:rPr>
              <w:t>(mg/m</w:t>
            </w:r>
            <w:r>
              <w:rPr>
                <w:rFonts w:hint="eastAsia"/>
                <w:color w:val="000000" w:themeColor="text1"/>
                <w:sz w:val="24"/>
                <w:szCs w:val="24"/>
                <w:vertAlign w:val="superscript"/>
                <w14:textFill>
                  <w14:solidFill>
                    <w14:schemeClr w14:val="tx1"/>
                  </w14:solidFill>
                </w14:textFill>
              </w:rPr>
              <w:t>3</w:t>
            </w:r>
            <w:r>
              <w:rPr>
                <w:color w:val="000000" w:themeColor="text1"/>
                <w:sz w:val="24"/>
                <w:szCs w:val="24"/>
                <w14:textFill>
                  <w14:solidFill>
                    <w14:schemeClr w14:val="tx1"/>
                  </w14:solidFill>
                </w14:textFill>
              </w:rPr>
              <w:t>)</w:t>
            </w:r>
          </w:p>
        </w:tc>
        <w:tc>
          <w:tcPr>
            <w:tcW w:w="307" w:type="pct"/>
            <w:vAlign w:val="center"/>
          </w:tcPr>
          <w:p w14:paraId="488F7551">
            <w:pPr>
              <w:pStyle w:val="55"/>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速率</w:t>
            </w:r>
            <w:r>
              <w:rPr>
                <w:rFonts w:hint="eastAsia"/>
                <w:color w:val="000000" w:themeColor="text1"/>
                <w:sz w:val="24"/>
                <w:szCs w:val="24"/>
                <w14:textFill>
                  <w14:solidFill>
                    <w14:schemeClr w14:val="tx1"/>
                  </w14:solidFill>
                </w14:textFill>
              </w:rPr>
              <w:t>(kg/h</w:t>
            </w:r>
            <w:r>
              <w:rPr>
                <w:color w:val="000000" w:themeColor="text1"/>
                <w:sz w:val="24"/>
                <w:szCs w:val="24"/>
                <w14:textFill>
                  <w14:solidFill>
                    <w14:schemeClr w14:val="tx1"/>
                  </w14:solidFill>
                </w14:textFill>
              </w:rPr>
              <w:t>)</w:t>
            </w:r>
          </w:p>
        </w:tc>
        <w:tc>
          <w:tcPr>
            <w:tcW w:w="426" w:type="pct"/>
            <w:vAlign w:val="center"/>
          </w:tcPr>
          <w:p w14:paraId="4D5DEA8F">
            <w:pPr>
              <w:pStyle w:val="55"/>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浓度</w:t>
            </w:r>
            <w:r>
              <w:rPr>
                <w:rFonts w:hint="eastAsia"/>
                <w:color w:val="000000" w:themeColor="text1"/>
                <w:sz w:val="24"/>
                <w:szCs w:val="24"/>
                <w14:textFill>
                  <w14:solidFill>
                    <w14:schemeClr w14:val="tx1"/>
                  </w14:solidFill>
                </w14:textFill>
              </w:rPr>
              <w:t>(mg/m</w:t>
            </w:r>
            <w:r>
              <w:rPr>
                <w:rFonts w:hint="eastAsia"/>
                <w:color w:val="000000" w:themeColor="text1"/>
                <w:sz w:val="24"/>
                <w:szCs w:val="24"/>
                <w:vertAlign w:val="superscript"/>
                <w14:textFill>
                  <w14:solidFill>
                    <w14:schemeClr w14:val="tx1"/>
                  </w14:solidFill>
                </w14:textFill>
              </w:rPr>
              <w:t>3</w:t>
            </w:r>
            <w:r>
              <w:rPr>
                <w:color w:val="000000" w:themeColor="text1"/>
                <w:sz w:val="24"/>
                <w:szCs w:val="24"/>
                <w14:textFill>
                  <w14:solidFill>
                    <w14:schemeClr w14:val="tx1"/>
                  </w14:solidFill>
                </w14:textFill>
              </w:rPr>
              <w:t>)</w:t>
            </w:r>
          </w:p>
        </w:tc>
        <w:tc>
          <w:tcPr>
            <w:tcW w:w="1289" w:type="pct"/>
            <w:vMerge w:val="continue"/>
            <w:vAlign w:val="center"/>
          </w:tcPr>
          <w:p w14:paraId="33BB5182">
            <w:pPr>
              <w:pStyle w:val="55"/>
              <w:rPr>
                <w:color w:val="000000" w:themeColor="text1"/>
                <w:sz w:val="24"/>
                <w:szCs w:val="24"/>
                <w14:textFill>
                  <w14:solidFill>
                    <w14:schemeClr w14:val="tx1"/>
                  </w14:solidFill>
                </w14:textFill>
              </w:rPr>
            </w:pPr>
          </w:p>
        </w:tc>
        <w:tc>
          <w:tcPr>
            <w:tcW w:w="219" w:type="pct"/>
            <w:vMerge w:val="continue"/>
            <w:vAlign w:val="center"/>
          </w:tcPr>
          <w:p w14:paraId="19903982">
            <w:pPr>
              <w:pStyle w:val="55"/>
              <w:rPr>
                <w:color w:val="000000" w:themeColor="text1"/>
                <w:sz w:val="24"/>
                <w:szCs w:val="24"/>
                <w14:textFill>
                  <w14:solidFill>
                    <w14:schemeClr w14:val="tx1"/>
                  </w14:solidFill>
                </w14:textFill>
              </w:rPr>
            </w:pPr>
          </w:p>
        </w:tc>
      </w:tr>
      <w:tr w14:paraId="75914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80" w:hRule="atLeast"/>
          <w:jc w:val="center"/>
        </w:trPr>
        <w:tc>
          <w:tcPr>
            <w:tcW w:w="178" w:type="pct"/>
            <w:vMerge w:val="restart"/>
            <w:vAlign w:val="center"/>
          </w:tcPr>
          <w:p w14:paraId="0F031FC2">
            <w:pPr>
              <w:pStyle w:val="55"/>
              <w:rPr>
                <w:rFonts w:hint="default" w:eastAsia="宋体"/>
                <w:color w:val="000000" w:themeColor="text1"/>
                <w:sz w:val="24"/>
                <w:szCs w:val="24"/>
                <w:lang w:val="en-US" w:eastAsia="zh-CN"/>
                <w14:textFill>
                  <w14:solidFill>
                    <w14:schemeClr w14:val="tx1"/>
                  </w14:solidFill>
                </w14:textFill>
              </w:rPr>
            </w:pPr>
            <w:r>
              <w:rPr>
                <w:rFonts w:hint="eastAsia" w:eastAsia="宋体"/>
                <w:color w:val="000000" w:themeColor="text1"/>
                <w:sz w:val="24"/>
                <w:szCs w:val="24"/>
                <w:lang w:val="en-US" w:eastAsia="zh-CN"/>
                <w14:textFill>
                  <w14:solidFill>
                    <w14:schemeClr w14:val="tx1"/>
                  </w14:solidFill>
                </w14:textFill>
              </w:rPr>
              <w:t>DA001</w:t>
            </w:r>
          </w:p>
        </w:tc>
        <w:tc>
          <w:tcPr>
            <w:tcW w:w="220" w:type="pct"/>
            <w:vMerge w:val="restart"/>
            <w:vAlign w:val="center"/>
          </w:tcPr>
          <w:p w14:paraId="3D4713DA">
            <w:pPr>
              <w:pStyle w:val="55"/>
              <w:rPr>
                <w:rFonts w:hint="eastAsia" w:eastAsia="宋体"/>
                <w:color w:val="000000" w:themeColor="text1"/>
                <w:sz w:val="24"/>
                <w:szCs w:val="24"/>
                <w:lang w:val="en-US" w:eastAsia="zh-CN"/>
                <w14:textFill>
                  <w14:solidFill>
                    <w14:schemeClr w14:val="tx1"/>
                  </w14:solidFill>
                </w14:textFill>
              </w:rPr>
            </w:pPr>
            <w:r>
              <w:rPr>
                <w:rFonts w:hint="eastAsia"/>
                <w:sz w:val="24"/>
                <w:szCs w:val="24"/>
                <w:lang w:val="en-US" w:eastAsia="zh-CN"/>
              </w:rPr>
              <w:t>1</w:t>
            </w:r>
            <w:r>
              <w:rPr>
                <w:rFonts w:hint="eastAsia"/>
                <w:sz w:val="24"/>
                <w:szCs w:val="24"/>
              </w:rPr>
              <w:t>#生产车间</w:t>
            </w:r>
          </w:p>
        </w:tc>
        <w:tc>
          <w:tcPr>
            <w:tcW w:w="284" w:type="pct"/>
            <w:vMerge w:val="restart"/>
            <w:vAlign w:val="center"/>
          </w:tcPr>
          <w:p w14:paraId="2099E9C8">
            <w:pPr>
              <w:pStyle w:val="55"/>
              <w:bidi w:val="0"/>
              <w:jc w:val="center"/>
              <w:rPr>
                <w:rFonts w:hint="eastAsia"/>
                <w:color w:val="000000" w:themeColor="text1"/>
                <w:sz w:val="24"/>
                <w:szCs w:val="24"/>
                <w:lang w:val="en-US" w:eastAsia="zh-CN"/>
                <w14:textFill>
                  <w14:solidFill>
                    <w14:schemeClr w14:val="tx1"/>
                  </w14:solidFill>
                </w14:textFill>
              </w:rPr>
            </w:pPr>
            <w:r>
              <w:rPr>
                <w:rFonts w:hint="eastAsia" w:ascii="Times New Roman" w:hAnsi="Times New Roman" w:eastAsia="楷体" w:cs="Times New Roman"/>
                <w:sz w:val="24"/>
                <w:szCs w:val="24"/>
                <w:lang w:val="en-US" w:eastAsia="zh-CN"/>
              </w:rPr>
              <w:t>投料</w:t>
            </w:r>
            <w:r>
              <w:rPr>
                <w:rFonts w:hint="eastAsia" w:ascii="Times New Roman" w:hAnsi="Times New Roman" w:cs="Times New Roman"/>
                <w:sz w:val="24"/>
                <w:szCs w:val="24"/>
                <w:lang w:val="en-US" w:eastAsia="zh-CN"/>
              </w:rPr>
              <w:t>、</w:t>
            </w:r>
            <w:r>
              <w:rPr>
                <w:rFonts w:hint="eastAsia" w:ascii="Times New Roman" w:hAnsi="Times New Roman" w:eastAsia="楷体" w:cs="Times New Roman"/>
                <w:sz w:val="24"/>
                <w:szCs w:val="24"/>
                <w:lang w:val="en-US" w:eastAsia="zh-CN"/>
              </w:rPr>
              <w:t>搅拌</w:t>
            </w:r>
            <w:r>
              <w:rPr>
                <w:rFonts w:hint="eastAsia" w:ascii="Times New Roman" w:hAnsi="Times New Roman" w:cs="Times New Roman"/>
                <w:sz w:val="24"/>
                <w:szCs w:val="24"/>
                <w:lang w:val="en-US" w:eastAsia="zh-CN"/>
              </w:rPr>
              <w:t>，挤出</w:t>
            </w:r>
            <w:r>
              <w:rPr>
                <w:rFonts w:hint="default" w:ascii="Times New Roman" w:hAnsi="Times New Roman" w:eastAsia="楷体" w:cs="Times New Roman"/>
                <w:sz w:val="24"/>
                <w:szCs w:val="24"/>
                <w:lang w:val="en-US" w:eastAsia="zh-CN"/>
              </w:rPr>
              <w:t>工序</w:t>
            </w:r>
          </w:p>
        </w:tc>
        <w:tc>
          <w:tcPr>
            <w:tcW w:w="483" w:type="pct"/>
            <w:shd w:val="clear" w:color="auto" w:fill="auto"/>
            <w:vAlign w:val="center"/>
          </w:tcPr>
          <w:p w14:paraId="5AF1E0BE">
            <w:pPr>
              <w:pStyle w:val="55"/>
              <w:rPr>
                <w:rFonts w:hint="eastAsia" w:eastAsia="宋体"/>
                <w:color w:val="000000" w:themeColor="text1"/>
                <w:sz w:val="24"/>
                <w:szCs w:val="24"/>
                <w:lang w:val="en-US" w:eastAsia="zh-CN"/>
                <w14:textFill>
                  <w14:solidFill>
                    <w14:schemeClr w14:val="tx1"/>
                  </w14:solidFill>
                </w14:textFill>
              </w:rPr>
            </w:pPr>
            <w:r>
              <w:rPr>
                <w:rFonts w:hint="eastAsia"/>
                <w:sz w:val="24"/>
                <w:szCs w:val="24"/>
                <w:lang w:val="en-US" w:eastAsia="zh-CN"/>
              </w:rPr>
              <w:t>颗粒物</w:t>
            </w:r>
          </w:p>
        </w:tc>
        <w:tc>
          <w:tcPr>
            <w:tcW w:w="282" w:type="pct"/>
            <w:vMerge w:val="restart"/>
            <w:vAlign w:val="center"/>
          </w:tcPr>
          <w:p w14:paraId="734F6CF1">
            <w:pPr>
              <w:pStyle w:val="55"/>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15</w:t>
            </w:r>
          </w:p>
        </w:tc>
        <w:tc>
          <w:tcPr>
            <w:tcW w:w="262" w:type="pct"/>
            <w:vMerge w:val="restart"/>
            <w:vAlign w:val="center"/>
          </w:tcPr>
          <w:p w14:paraId="3156DD35">
            <w:pPr>
              <w:pStyle w:val="55"/>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0.8</w:t>
            </w:r>
          </w:p>
        </w:tc>
        <w:tc>
          <w:tcPr>
            <w:tcW w:w="330" w:type="pct"/>
            <w:vMerge w:val="restart"/>
            <w:vAlign w:val="center"/>
          </w:tcPr>
          <w:p w14:paraId="16B4255B">
            <w:pPr>
              <w:pStyle w:val="55"/>
              <w:rPr>
                <w:rFonts w:hint="default" w:eastAsia="宋体"/>
                <w:color w:val="000000" w:themeColor="text1"/>
                <w:sz w:val="24"/>
                <w:szCs w:val="24"/>
                <w:lang w:val="en-US" w:eastAsia="zh-CN"/>
                <w14:textFill>
                  <w14:solidFill>
                    <w14:schemeClr w14:val="tx1"/>
                  </w14:solidFill>
                </w14:textFill>
              </w:rPr>
            </w:pPr>
            <w:r>
              <w:rPr>
                <w:rFonts w:hint="eastAsia" w:eastAsia="宋体"/>
                <w:color w:val="000000" w:themeColor="text1"/>
                <w:sz w:val="24"/>
                <w:szCs w:val="24"/>
                <w:lang w:val="en-US" w:eastAsia="zh-CN"/>
                <w14:textFill>
                  <w14:solidFill>
                    <w14:schemeClr w14:val="tx1"/>
                  </w14:solidFill>
                </w14:textFill>
              </w:rPr>
              <w:t>30000</w:t>
            </w:r>
          </w:p>
        </w:tc>
        <w:tc>
          <w:tcPr>
            <w:tcW w:w="321" w:type="pct"/>
            <w:shd w:val="clear" w:color="auto" w:fill="auto"/>
            <w:vAlign w:val="center"/>
          </w:tcPr>
          <w:p w14:paraId="1C1852D2">
            <w:pPr>
              <w:pStyle w:val="55"/>
              <w:bidi w:val="0"/>
              <w:rPr>
                <w:rFonts w:hint="default"/>
                <w:color w:val="000000" w:themeColor="text1"/>
                <w:sz w:val="24"/>
                <w:szCs w:val="24"/>
                <w:lang w:val="en-US"/>
                <w14:textFill>
                  <w14:solidFill>
                    <w14:schemeClr w14:val="tx1"/>
                  </w14:solidFill>
                </w14:textFill>
              </w:rPr>
            </w:pPr>
            <w:r>
              <w:rPr>
                <w:rFonts w:hint="eastAsia" w:ascii="Times New Roman" w:hAnsi="Times New Roman"/>
                <w:sz w:val="24"/>
                <w:szCs w:val="24"/>
                <w:lang w:val="en-US" w:eastAsia="zh-CN"/>
              </w:rPr>
              <w:t>0.189</w:t>
            </w:r>
          </w:p>
        </w:tc>
        <w:tc>
          <w:tcPr>
            <w:tcW w:w="394" w:type="pct"/>
            <w:vAlign w:val="center"/>
          </w:tcPr>
          <w:p w14:paraId="644AA7DE">
            <w:pPr>
              <w:pStyle w:val="55"/>
              <w:bidi w:val="0"/>
              <w:rPr>
                <w:color w:val="000000" w:themeColor="text1"/>
                <w:sz w:val="24"/>
                <w:szCs w:val="24"/>
                <w14:textFill>
                  <w14:solidFill>
                    <w14:schemeClr w14:val="tx1"/>
                  </w14:solidFill>
                </w14:textFill>
              </w:rPr>
            </w:pPr>
            <w:r>
              <w:rPr>
                <w:rFonts w:hint="eastAsia" w:ascii="Times New Roman" w:hAnsi="Times New Roman"/>
                <w:sz w:val="24"/>
                <w:szCs w:val="24"/>
                <w:lang w:val="en-US" w:eastAsia="zh-CN"/>
              </w:rPr>
              <w:t>6.284</w:t>
            </w:r>
          </w:p>
        </w:tc>
        <w:tc>
          <w:tcPr>
            <w:tcW w:w="307" w:type="pct"/>
            <w:vAlign w:val="center"/>
          </w:tcPr>
          <w:p w14:paraId="6CD6B76F">
            <w:pPr>
              <w:pStyle w:val="55"/>
              <w:rPr>
                <w:rFonts w:hint="default" w:eastAsia="宋体"/>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w:t>
            </w:r>
          </w:p>
        </w:tc>
        <w:tc>
          <w:tcPr>
            <w:tcW w:w="426" w:type="pct"/>
            <w:vAlign w:val="center"/>
          </w:tcPr>
          <w:p w14:paraId="413F0EC5">
            <w:pPr>
              <w:pStyle w:val="55"/>
              <w:rPr>
                <w:rFonts w:hint="default" w:eastAsia="宋体"/>
                <w:color w:val="000000" w:themeColor="text1"/>
                <w:sz w:val="24"/>
                <w:szCs w:val="24"/>
                <w:lang w:val="en-US" w:eastAsia="zh-CN"/>
                <w14:textFill>
                  <w14:solidFill>
                    <w14:schemeClr w14:val="tx1"/>
                  </w14:solidFill>
                </w14:textFill>
              </w:rPr>
            </w:pPr>
            <w:r>
              <w:rPr>
                <w:rFonts w:hint="eastAsia" w:eastAsia="宋体"/>
                <w:color w:val="000000" w:themeColor="text1"/>
                <w:sz w:val="24"/>
                <w:szCs w:val="24"/>
                <w:lang w:val="en-US" w:eastAsia="zh-CN"/>
                <w14:textFill>
                  <w14:solidFill>
                    <w14:schemeClr w14:val="tx1"/>
                  </w14:solidFill>
                </w14:textFill>
              </w:rPr>
              <w:t>20</w:t>
            </w:r>
          </w:p>
        </w:tc>
        <w:tc>
          <w:tcPr>
            <w:tcW w:w="1289" w:type="pct"/>
            <w:vAlign w:val="center"/>
          </w:tcPr>
          <w:p w14:paraId="1313DEF1">
            <w:pPr>
              <w:pStyle w:val="55"/>
              <w:bidi w:val="0"/>
              <w:rPr>
                <w:color w:val="000000" w:themeColor="text1"/>
                <w:sz w:val="24"/>
                <w:szCs w:val="24"/>
                <w14:textFill>
                  <w14:solidFill>
                    <w14:schemeClr w14:val="tx1"/>
                  </w14:solidFill>
                </w14:textFill>
              </w:rPr>
            </w:pPr>
            <w:r>
              <w:rPr>
                <w:rFonts w:hint="eastAsia"/>
                <w:sz w:val="24"/>
                <w:szCs w:val="24"/>
                <w:lang w:val="en-US" w:eastAsia="zh-CN"/>
              </w:rPr>
              <w:t>《合成树脂工业污染物排放标准》（GB31572-2015）及修改单表5大气污染物特别排放限值</w:t>
            </w:r>
          </w:p>
        </w:tc>
        <w:tc>
          <w:tcPr>
            <w:tcW w:w="219" w:type="pct"/>
            <w:vMerge w:val="restart"/>
            <w:vAlign w:val="center"/>
          </w:tcPr>
          <w:p w14:paraId="47409790">
            <w:pPr>
              <w:pStyle w:val="55"/>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达标</w:t>
            </w:r>
          </w:p>
        </w:tc>
      </w:tr>
      <w:tr w14:paraId="1C7C0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33" w:hRule="atLeast"/>
          <w:jc w:val="center"/>
        </w:trPr>
        <w:tc>
          <w:tcPr>
            <w:tcW w:w="178" w:type="pct"/>
            <w:vMerge w:val="continue"/>
            <w:vAlign w:val="center"/>
          </w:tcPr>
          <w:p w14:paraId="0F00696A">
            <w:pPr>
              <w:pStyle w:val="55"/>
              <w:rPr>
                <w:rFonts w:hint="eastAsia"/>
                <w:color w:val="000000" w:themeColor="text1"/>
                <w:sz w:val="24"/>
                <w:szCs w:val="24"/>
                <w14:textFill>
                  <w14:solidFill>
                    <w14:schemeClr w14:val="tx1"/>
                  </w14:solidFill>
                </w14:textFill>
              </w:rPr>
            </w:pPr>
          </w:p>
        </w:tc>
        <w:tc>
          <w:tcPr>
            <w:tcW w:w="220" w:type="pct"/>
            <w:vMerge w:val="continue"/>
            <w:vAlign w:val="center"/>
          </w:tcPr>
          <w:p w14:paraId="33DF1DF9">
            <w:pPr>
              <w:pStyle w:val="55"/>
              <w:bidi w:val="0"/>
              <w:jc w:val="center"/>
              <w:rPr>
                <w:rFonts w:hint="eastAsia"/>
                <w:color w:val="000000" w:themeColor="text1"/>
                <w:sz w:val="24"/>
                <w:szCs w:val="24"/>
                <w:lang w:val="en-US" w:eastAsia="zh-CN"/>
                <w14:textFill>
                  <w14:solidFill>
                    <w14:schemeClr w14:val="tx1"/>
                  </w14:solidFill>
                </w14:textFill>
              </w:rPr>
            </w:pPr>
          </w:p>
        </w:tc>
        <w:tc>
          <w:tcPr>
            <w:tcW w:w="284" w:type="pct"/>
            <w:vMerge w:val="continue"/>
            <w:vAlign w:val="center"/>
          </w:tcPr>
          <w:p w14:paraId="7079CE6E">
            <w:pPr>
              <w:pStyle w:val="55"/>
              <w:bidi w:val="0"/>
              <w:jc w:val="center"/>
              <w:rPr>
                <w:rFonts w:hint="eastAsia"/>
                <w:color w:val="000000" w:themeColor="text1"/>
                <w:sz w:val="24"/>
                <w:szCs w:val="24"/>
                <w:lang w:val="en-US" w:eastAsia="zh-CN"/>
                <w14:textFill>
                  <w14:solidFill>
                    <w14:schemeClr w14:val="tx1"/>
                  </w14:solidFill>
                </w14:textFill>
              </w:rPr>
            </w:pPr>
          </w:p>
        </w:tc>
        <w:tc>
          <w:tcPr>
            <w:tcW w:w="483" w:type="pct"/>
            <w:shd w:val="clear" w:color="auto" w:fill="auto"/>
            <w:vAlign w:val="center"/>
          </w:tcPr>
          <w:p w14:paraId="7DC728E4">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eastAsia"/>
                <w:color w:val="000000" w:themeColor="text1"/>
                <w:sz w:val="24"/>
                <w:szCs w:val="24"/>
                <w:lang w:val="en-US" w:eastAsia="zh-CN"/>
                <w14:textFill>
                  <w14:solidFill>
                    <w14:schemeClr w14:val="tx1"/>
                  </w14:solidFill>
                </w14:textFill>
              </w:rPr>
            </w:pPr>
            <w:r>
              <w:rPr>
                <w:rFonts w:hint="eastAsia" w:ascii="Times New Roman" w:hAnsi="Times New Roman" w:eastAsia="楷体" w:cs="Times New Roman"/>
                <w:sz w:val="24"/>
                <w:szCs w:val="24"/>
                <w:lang w:val="en-US" w:eastAsia="zh-CN"/>
              </w:rPr>
              <w:t>非甲烷总烃</w:t>
            </w:r>
          </w:p>
        </w:tc>
        <w:tc>
          <w:tcPr>
            <w:tcW w:w="282" w:type="pct"/>
            <w:vMerge w:val="continue"/>
            <w:vAlign w:val="center"/>
          </w:tcPr>
          <w:p w14:paraId="63F204EB">
            <w:pPr>
              <w:pStyle w:val="55"/>
              <w:rPr>
                <w:rFonts w:hint="eastAsia"/>
                <w:color w:val="000000" w:themeColor="text1"/>
                <w:sz w:val="24"/>
                <w:szCs w:val="24"/>
                <w:highlight w:val="none"/>
                <w:lang w:val="en-US" w:eastAsia="zh-CN"/>
                <w14:textFill>
                  <w14:solidFill>
                    <w14:schemeClr w14:val="tx1"/>
                  </w14:solidFill>
                </w14:textFill>
              </w:rPr>
            </w:pPr>
          </w:p>
        </w:tc>
        <w:tc>
          <w:tcPr>
            <w:tcW w:w="262" w:type="pct"/>
            <w:vMerge w:val="continue"/>
            <w:vAlign w:val="center"/>
          </w:tcPr>
          <w:p w14:paraId="7AA3FB81">
            <w:pPr>
              <w:pStyle w:val="55"/>
              <w:rPr>
                <w:rFonts w:hint="eastAsia"/>
                <w:color w:val="000000" w:themeColor="text1"/>
                <w:sz w:val="24"/>
                <w:szCs w:val="24"/>
                <w:highlight w:val="none"/>
                <w:lang w:val="en-US" w:eastAsia="zh-CN"/>
                <w14:textFill>
                  <w14:solidFill>
                    <w14:schemeClr w14:val="tx1"/>
                  </w14:solidFill>
                </w14:textFill>
              </w:rPr>
            </w:pPr>
          </w:p>
        </w:tc>
        <w:tc>
          <w:tcPr>
            <w:tcW w:w="330" w:type="pct"/>
            <w:vMerge w:val="continue"/>
            <w:vAlign w:val="center"/>
          </w:tcPr>
          <w:p w14:paraId="7E2CAB8C">
            <w:pPr>
              <w:pStyle w:val="55"/>
              <w:rPr>
                <w:rFonts w:hint="eastAsia"/>
                <w:color w:val="000000" w:themeColor="text1"/>
                <w:sz w:val="24"/>
                <w:szCs w:val="24"/>
                <w:lang w:val="en-US" w:eastAsia="zh-CN"/>
                <w14:textFill>
                  <w14:solidFill>
                    <w14:schemeClr w14:val="tx1"/>
                  </w14:solidFill>
                </w14:textFill>
              </w:rPr>
            </w:pPr>
          </w:p>
        </w:tc>
        <w:tc>
          <w:tcPr>
            <w:tcW w:w="321" w:type="pct"/>
            <w:shd w:val="clear" w:color="auto" w:fill="auto"/>
            <w:vAlign w:val="center"/>
          </w:tcPr>
          <w:p w14:paraId="3AF3EB30">
            <w:pPr>
              <w:pStyle w:val="55"/>
              <w:bidi w:val="0"/>
              <w:rPr>
                <w:rFonts w:hint="default"/>
                <w:color w:val="000000" w:themeColor="text1"/>
                <w:sz w:val="24"/>
                <w:szCs w:val="24"/>
                <w:lang w:val="en-US" w:eastAsia="zh-CN"/>
                <w14:textFill>
                  <w14:solidFill>
                    <w14:schemeClr w14:val="tx1"/>
                  </w14:solidFill>
                </w14:textFill>
              </w:rPr>
            </w:pPr>
            <w:r>
              <w:rPr>
                <w:rFonts w:hint="eastAsia" w:ascii="Times New Roman" w:hAnsi="Times New Roman"/>
                <w:sz w:val="24"/>
                <w:szCs w:val="24"/>
                <w:lang w:val="en-US" w:eastAsia="zh-CN"/>
              </w:rPr>
              <w:t>0.316</w:t>
            </w:r>
          </w:p>
        </w:tc>
        <w:tc>
          <w:tcPr>
            <w:tcW w:w="394" w:type="pct"/>
            <w:vAlign w:val="center"/>
          </w:tcPr>
          <w:p w14:paraId="53E87EF8">
            <w:pPr>
              <w:pStyle w:val="55"/>
              <w:bidi w:val="0"/>
              <w:rPr>
                <w:rFonts w:hint="eastAsia"/>
                <w:color w:val="000000" w:themeColor="text1"/>
                <w:sz w:val="24"/>
                <w:szCs w:val="24"/>
                <w:lang w:val="en-US" w:eastAsia="zh-CN"/>
                <w14:textFill>
                  <w14:solidFill>
                    <w14:schemeClr w14:val="tx1"/>
                  </w14:solidFill>
                </w14:textFill>
              </w:rPr>
            </w:pPr>
            <w:r>
              <w:rPr>
                <w:rFonts w:hint="eastAsia" w:ascii="Times New Roman" w:hAnsi="Times New Roman"/>
                <w:sz w:val="24"/>
                <w:szCs w:val="24"/>
                <w:lang w:val="en-US" w:eastAsia="zh-CN"/>
              </w:rPr>
              <w:t>10.5</w:t>
            </w:r>
          </w:p>
        </w:tc>
        <w:tc>
          <w:tcPr>
            <w:tcW w:w="307" w:type="pct"/>
            <w:vAlign w:val="center"/>
          </w:tcPr>
          <w:p w14:paraId="19C53BF0">
            <w:pPr>
              <w:pStyle w:val="55"/>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w:t>
            </w:r>
          </w:p>
        </w:tc>
        <w:tc>
          <w:tcPr>
            <w:tcW w:w="426" w:type="pct"/>
            <w:vAlign w:val="center"/>
          </w:tcPr>
          <w:p w14:paraId="401F0DCB">
            <w:pPr>
              <w:pStyle w:val="55"/>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40</w:t>
            </w:r>
          </w:p>
        </w:tc>
        <w:tc>
          <w:tcPr>
            <w:tcW w:w="1289" w:type="pct"/>
            <w:vAlign w:val="center"/>
          </w:tcPr>
          <w:p w14:paraId="41F7CB34">
            <w:pPr>
              <w:pStyle w:val="55"/>
              <w:bidi w:val="0"/>
              <w:rPr>
                <w:color w:val="000000" w:themeColor="text1"/>
                <w:sz w:val="24"/>
                <w:szCs w:val="24"/>
                <w14:textFill>
                  <w14:solidFill>
                    <w14:schemeClr w14:val="tx1"/>
                  </w14:solidFill>
                </w14:textFill>
              </w:rPr>
            </w:pPr>
            <w:r>
              <w:rPr>
                <w:rFonts w:hint="eastAsia"/>
                <w:sz w:val="24"/>
                <w:szCs w:val="24"/>
                <w:lang w:val="en-US" w:eastAsia="zh-CN"/>
              </w:rPr>
              <w:t>河北省地方标准</w:t>
            </w:r>
            <w:r>
              <w:rPr>
                <w:rFonts w:hint="eastAsia"/>
                <w:color w:val="auto"/>
                <w:kern w:val="0"/>
                <w:sz w:val="24"/>
                <w:szCs w:val="24"/>
              </w:rPr>
              <w:t>《工业企业挥发性有机物排放控制标准》（DB13/2322-2016）原排放限值的50%</w:t>
            </w:r>
          </w:p>
        </w:tc>
        <w:tc>
          <w:tcPr>
            <w:tcW w:w="219" w:type="pct"/>
            <w:vMerge w:val="continue"/>
            <w:vAlign w:val="center"/>
          </w:tcPr>
          <w:p w14:paraId="1B968481">
            <w:pPr>
              <w:pStyle w:val="55"/>
              <w:rPr>
                <w:color w:val="000000" w:themeColor="text1"/>
                <w:sz w:val="24"/>
                <w:szCs w:val="24"/>
                <w14:textFill>
                  <w14:solidFill>
                    <w14:schemeClr w14:val="tx1"/>
                  </w14:solidFill>
                </w14:textFill>
              </w:rPr>
            </w:pPr>
          </w:p>
        </w:tc>
      </w:tr>
      <w:tr w14:paraId="3A66A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33" w:hRule="atLeast"/>
          <w:jc w:val="center"/>
        </w:trPr>
        <w:tc>
          <w:tcPr>
            <w:tcW w:w="178" w:type="pct"/>
            <w:vMerge w:val="continue"/>
            <w:vAlign w:val="center"/>
          </w:tcPr>
          <w:p w14:paraId="0343EA7F">
            <w:pPr>
              <w:pStyle w:val="55"/>
              <w:rPr>
                <w:rFonts w:hint="eastAsia"/>
                <w:color w:val="000000" w:themeColor="text1"/>
                <w:sz w:val="24"/>
                <w:szCs w:val="24"/>
                <w14:textFill>
                  <w14:solidFill>
                    <w14:schemeClr w14:val="tx1"/>
                  </w14:solidFill>
                </w14:textFill>
              </w:rPr>
            </w:pPr>
          </w:p>
        </w:tc>
        <w:tc>
          <w:tcPr>
            <w:tcW w:w="220" w:type="pct"/>
            <w:vMerge w:val="continue"/>
            <w:vAlign w:val="center"/>
          </w:tcPr>
          <w:p w14:paraId="2E3D5346">
            <w:pPr>
              <w:pStyle w:val="55"/>
              <w:bidi w:val="0"/>
              <w:jc w:val="center"/>
              <w:rPr>
                <w:rFonts w:hint="eastAsia"/>
                <w:color w:val="000000" w:themeColor="text1"/>
                <w:sz w:val="24"/>
                <w:szCs w:val="24"/>
                <w:lang w:val="en-US" w:eastAsia="zh-CN"/>
                <w14:textFill>
                  <w14:solidFill>
                    <w14:schemeClr w14:val="tx1"/>
                  </w14:solidFill>
                </w14:textFill>
              </w:rPr>
            </w:pPr>
          </w:p>
        </w:tc>
        <w:tc>
          <w:tcPr>
            <w:tcW w:w="284" w:type="pct"/>
            <w:vMerge w:val="continue"/>
            <w:vAlign w:val="center"/>
          </w:tcPr>
          <w:p w14:paraId="6BB424DB">
            <w:pPr>
              <w:pStyle w:val="55"/>
              <w:bidi w:val="0"/>
              <w:jc w:val="center"/>
              <w:rPr>
                <w:rFonts w:hint="eastAsia"/>
                <w:color w:val="000000" w:themeColor="text1"/>
                <w:sz w:val="24"/>
                <w:szCs w:val="24"/>
                <w:lang w:val="en-US" w:eastAsia="zh-CN"/>
                <w14:textFill>
                  <w14:solidFill>
                    <w14:schemeClr w14:val="tx1"/>
                  </w14:solidFill>
                </w14:textFill>
              </w:rPr>
            </w:pPr>
          </w:p>
        </w:tc>
        <w:tc>
          <w:tcPr>
            <w:tcW w:w="483" w:type="pct"/>
            <w:shd w:val="clear" w:color="auto" w:fill="auto"/>
            <w:vAlign w:val="center"/>
          </w:tcPr>
          <w:p w14:paraId="167710A7">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eastAsia"/>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sz w:val="24"/>
                <w:szCs w:val="24"/>
                <w:lang w:val="en-US" w:eastAsia="zh-CN"/>
              </w:rPr>
              <w:t>氯化氢</w:t>
            </w:r>
          </w:p>
        </w:tc>
        <w:tc>
          <w:tcPr>
            <w:tcW w:w="282" w:type="pct"/>
            <w:vMerge w:val="continue"/>
            <w:vAlign w:val="center"/>
          </w:tcPr>
          <w:p w14:paraId="606918E6">
            <w:pPr>
              <w:pStyle w:val="55"/>
              <w:rPr>
                <w:rFonts w:hint="eastAsia"/>
                <w:color w:val="000000" w:themeColor="text1"/>
                <w:sz w:val="24"/>
                <w:szCs w:val="24"/>
                <w:highlight w:val="none"/>
                <w:lang w:val="en-US" w:eastAsia="zh-CN"/>
                <w14:textFill>
                  <w14:solidFill>
                    <w14:schemeClr w14:val="tx1"/>
                  </w14:solidFill>
                </w14:textFill>
              </w:rPr>
            </w:pPr>
          </w:p>
        </w:tc>
        <w:tc>
          <w:tcPr>
            <w:tcW w:w="262" w:type="pct"/>
            <w:vMerge w:val="continue"/>
            <w:vAlign w:val="center"/>
          </w:tcPr>
          <w:p w14:paraId="425BA814">
            <w:pPr>
              <w:pStyle w:val="55"/>
              <w:rPr>
                <w:rFonts w:hint="eastAsia"/>
                <w:color w:val="000000" w:themeColor="text1"/>
                <w:sz w:val="24"/>
                <w:szCs w:val="24"/>
                <w:highlight w:val="none"/>
                <w:lang w:val="en-US" w:eastAsia="zh-CN"/>
                <w14:textFill>
                  <w14:solidFill>
                    <w14:schemeClr w14:val="tx1"/>
                  </w14:solidFill>
                </w14:textFill>
              </w:rPr>
            </w:pPr>
          </w:p>
        </w:tc>
        <w:tc>
          <w:tcPr>
            <w:tcW w:w="330" w:type="pct"/>
            <w:vMerge w:val="continue"/>
            <w:vAlign w:val="center"/>
          </w:tcPr>
          <w:p w14:paraId="6E0DBFF5">
            <w:pPr>
              <w:pStyle w:val="55"/>
              <w:rPr>
                <w:rFonts w:hint="eastAsia"/>
                <w:color w:val="000000" w:themeColor="text1"/>
                <w:sz w:val="24"/>
                <w:szCs w:val="24"/>
                <w:lang w:val="en-US" w:eastAsia="zh-CN"/>
                <w14:textFill>
                  <w14:solidFill>
                    <w14:schemeClr w14:val="tx1"/>
                  </w14:solidFill>
                </w14:textFill>
              </w:rPr>
            </w:pPr>
          </w:p>
        </w:tc>
        <w:tc>
          <w:tcPr>
            <w:tcW w:w="321" w:type="pct"/>
            <w:shd w:val="clear" w:color="auto" w:fill="auto"/>
            <w:vAlign w:val="center"/>
          </w:tcPr>
          <w:p w14:paraId="7FFDADA4">
            <w:pPr>
              <w:pStyle w:val="55"/>
              <w:bidi w:val="0"/>
              <w:rPr>
                <w:rFonts w:hint="default"/>
                <w:color w:val="000000" w:themeColor="text1"/>
                <w:sz w:val="24"/>
                <w:szCs w:val="24"/>
                <w:lang w:val="en-US" w:eastAsia="zh-CN"/>
                <w14:textFill>
                  <w14:solidFill>
                    <w14:schemeClr w14:val="tx1"/>
                  </w14:solidFill>
                </w14:textFill>
              </w:rPr>
            </w:pPr>
            <w:r>
              <w:rPr>
                <w:rFonts w:hint="eastAsia" w:ascii="Times New Roman" w:hAnsi="Times New Roman"/>
                <w:sz w:val="24"/>
                <w:szCs w:val="24"/>
                <w:lang w:val="en-US" w:eastAsia="zh-CN"/>
              </w:rPr>
              <w:t>0.0002</w:t>
            </w:r>
          </w:p>
        </w:tc>
        <w:tc>
          <w:tcPr>
            <w:tcW w:w="394" w:type="pct"/>
            <w:vAlign w:val="center"/>
          </w:tcPr>
          <w:p w14:paraId="1FB39D32">
            <w:pPr>
              <w:pStyle w:val="55"/>
              <w:bidi w:val="0"/>
              <w:rPr>
                <w:rFonts w:hint="eastAsia"/>
                <w:color w:val="000000" w:themeColor="text1"/>
                <w:sz w:val="24"/>
                <w:szCs w:val="24"/>
                <w:lang w:val="en-US" w:eastAsia="zh-CN"/>
                <w14:textFill>
                  <w14:solidFill>
                    <w14:schemeClr w14:val="tx1"/>
                  </w14:solidFill>
                </w14:textFill>
              </w:rPr>
            </w:pPr>
            <w:r>
              <w:rPr>
                <w:rFonts w:hint="eastAsia" w:ascii="Times New Roman" w:hAnsi="Times New Roman"/>
                <w:sz w:val="24"/>
                <w:szCs w:val="24"/>
                <w:lang w:val="en-US" w:eastAsia="zh-CN"/>
              </w:rPr>
              <w:t>0.007</w:t>
            </w:r>
          </w:p>
        </w:tc>
        <w:tc>
          <w:tcPr>
            <w:tcW w:w="307" w:type="pct"/>
            <w:vAlign w:val="center"/>
          </w:tcPr>
          <w:p w14:paraId="0DF2A2C7">
            <w:pPr>
              <w:pStyle w:val="55"/>
              <w:rPr>
                <w:rFonts w:hint="default"/>
                <w:color w:val="000000" w:themeColor="text1"/>
                <w:sz w:val="24"/>
                <w:szCs w:val="24"/>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0.26</w:t>
            </w:r>
          </w:p>
        </w:tc>
        <w:tc>
          <w:tcPr>
            <w:tcW w:w="426" w:type="pct"/>
            <w:vAlign w:val="center"/>
          </w:tcPr>
          <w:p w14:paraId="3FE75B72">
            <w:pPr>
              <w:pStyle w:val="55"/>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100</w:t>
            </w:r>
          </w:p>
        </w:tc>
        <w:tc>
          <w:tcPr>
            <w:tcW w:w="1289" w:type="pct"/>
            <w:vAlign w:val="center"/>
          </w:tcPr>
          <w:p w14:paraId="67D99190">
            <w:pPr>
              <w:pStyle w:val="55"/>
              <w:bidi w:val="0"/>
              <w:rPr>
                <w:rFonts w:hint="default"/>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《大气污染物综合排放标准》</w:t>
            </w:r>
          </w:p>
          <w:p w14:paraId="2F9BBD3F">
            <w:pPr>
              <w:pStyle w:val="55"/>
              <w:bidi w:val="0"/>
              <w:rPr>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（GB16297-1996）表2中的二级标准</w:t>
            </w:r>
          </w:p>
        </w:tc>
        <w:tc>
          <w:tcPr>
            <w:tcW w:w="219" w:type="pct"/>
            <w:vMerge w:val="continue"/>
            <w:vAlign w:val="center"/>
          </w:tcPr>
          <w:p w14:paraId="74DB436F">
            <w:pPr>
              <w:pStyle w:val="55"/>
              <w:rPr>
                <w:color w:val="000000" w:themeColor="text1"/>
                <w:sz w:val="24"/>
                <w:szCs w:val="24"/>
                <w14:textFill>
                  <w14:solidFill>
                    <w14:schemeClr w14:val="tx1"/>
                  </w14:solidFill>
                </w14:textFill>
              </w:rPr>
            </w:pPr>
          </w:p>
        </w:tc>
      </w:tr>
      <w:tr w14:paraId="695B5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24" w:hRule="atLeast"/>
          <w:jc w:val="center"/>
        </w:trPr>
        <w:tc>
          <w:tcPr>
            <w:tcW w:w="178" w:type="pct"/>
            <w:vMerge w:val="continue"/>
            <w:vAlign w:val="center"/>
          </w:tcPr>
          <w:p w14:paraId="4FF8D9B0">
            <w:pPr>
              <w:pStyle w:val="55"/>
              <w:rPr>
                <w:rFonts w:hint="eastAsia"/>
                <w:color w:val="000000" w:themeColor="text1"/>
                <w:sz w:val="24"/>
                <w:szCs w:val="24"/>
                <w14:textFill>
                  <w14:solidFill>
                    <w14:schemeClr w14:val="tx1"/>
                  </w14:solidFill>
                </w14:textFill>
              </w:rPr>
            </w:pPr>
          </w:p>
        </w:tc>
        <w:tc>
          <w:tcPr>
            <w:tcW w:w="220" w:type="pct"/>
            <w:vMerge w:val="continue"/>
            <w:vAlign w:val="center"/>
          </w:tcPr>
          <w:p w14:paraId="54F6EEA4">
            <w:pPr>
              <w:pStyle w:val="55"/>
              <w:bidi w:val="0"/>
              <w:jc w:val="center"/>
              <w:rPr>
                <w:rFonts w:hint="eastAsia"/>
                <w:color w:val="000000" w:themeColor="text1"/>
                <w:sz w:val="24"/>
                <w:szCs w:val="24"/>
                <w:lang w:val="en-US" w:eastAsia="zh-CN"/>
                <w14:textFill>
                  <w14:solidFill>
                    <w14:schemeClr w14:val="tx1"/>
                  </w14:solidFill>
                </w14:textFill>
              </w:rPr>
            </w:pPr>
          </w:p>
        </w:tc>
        <w:tc>
          <w:tcPr>
            <w:tcW w:w="284" w:type="pct"/>
            <w:vMerge w:val="continue"/>
            <w:vAlign w:val="center"/>
          </w:tcPr>
          <w:p w14:paraId="43A8C5CF">
            <w:pPr>
              <w:pStyle w:val="55"/>
              <w:bidi w:val="0"/>
              <w:jc w:val="center"/>
              <w:rPr>
                <w:rFonts w:hint="eastAsia"/>
                <w:color w:val="000000" w:themeColor="text1"/>
                <w:sz w:val="24"/>
                <w:szCs w:val="24"/>
                <w:lang w:val="en-US" w:eastAsia="zh-CN"/>
                <w14:textFill>
                  <w14:solidFill>
                    <w14:schemeClr w14:val="tx1"/>
                  </w14:solidFill>
                </w14:textFill>
              </w:rPr>
            </w:pPr>
          </w:p>
        </w:tc>
        <w:tc>
          <w:tcPr>
            <w:tcW w:w="483" w:type="pct"/>
            <w:shd w:val="clear" w:color="auto" w:fill="auto"/>
            <w:vAlign w:val="center"/>
          </w:tcPr>
          <w:p w14:paraId="024ECC87">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eastAsia"/>
                <w:color w:val="000000" w:themeColor="text1"/>
                <w:sz w:val="24"/>
                <w:szCs w:val="24"/>
                <w:lang w:val="en-US" w:eastAsia="zh-CN"/>
                <w14:textFill>
                  <w14:solidFill>
                    <w14:schemeClr w14:val="tx1"/>
                  </w14:solidFill>
                </w14:textFill>
              </w:rPr>
            </w:pPr>
            <w:r>
              <w:rPr>
                <w:rFonts w:hint="eastAsia" w:ascii="Times New Roman" w:hAnsi="Times New Roman" w:eastAsia="楷体" w:cs="Times New Roman"/>
                <w:sz w:val="24"/>
                <w:szCs w:val="24"/>
                <w:vertAlign w:val="baseline"/>
                <w:lang w:val="en-US" w:eastAsia="zh-CN"/>
              </w:rPr>
              <w:t>臭气浓度</w:t>
            </w:r>
          </w:p>
        </w:tc>
        <w:tc>
          <w:tcPr>
            <w:tcW w:w="282" w:type="pct"/>
            <w:vMerge w:val="continue"/>
            <w:vAlign w:val="center"/>
          </w:tcPr>
          <w:p w14:paraId="2672ACE0">
            <w:pPr>
              <w:pStyle w:val="55"/>
              <w:rPr>
                <w:rFonts w:hint="eastAsia"/>
                <w:color w:val="000000" w:themeColor="text1"/>
                <w:sz w:val="24"/>
                <w:szCs w:val="24"/>
                <w:highlight w:val="none"/>
                <w:lang w:val="en-US" w:eastAsia="zh-CN"/>
                <w14:textFill>
                  <w14:solidFill>
                    <w14:schemeClr w14:val="tx1"/>
                  </w14:solidFill>
                </w14:textFill>
              </w:rPr>
            </w:pPr>
          </w:p>
        </w:tc>
        <w:tc>
          <w:tcPr>
            <w:tcW w:w="262" w:type="pct"/>
            <w:vMerge w:val="continue"/>
            <w:vAlign w:val="center"/>
          </w:tcPr>
          <w:p w14:paraId="5AD8CF00">
            <w:pPr>
              <w:pStyle w:val="55"/>
              <w:rPr>
                <w:rFonts w:hint="eastAsia"/>
                <w:color w:val="000000" w:themeColor="text1"/>
                <w:sz w:val="24"/>
                <w:szCs w:val="24"/>
                <w:highlight w:val="none"/>
                <w:lang w:val="en-US" w:eastAsia="zh-CN"/>
                <w14:textFill>
                  <w14:solidFill>
                    <w14:schemeClr w14:val="tx1"/>
                  </w14:solidFill>
                </w14:textFill>
              </w:rPr>
            </w:pPr>
          </w:p>
        </w:tc>
        <w:tc>
          <w:tcPr>
            <w:tcW w:w="330" w:type="pct"/>
            <w:vMerge w:val="continue"/>
            <w:vAlign w:val="center"/>
          </w:tcPr>
          <w:p w14:paraId="1725CF86">
            <w:pPr>
              <w:pStyle w:val="55"/>
              <w:rPr>
                <w:rFonts w:hint="eastAsia"/>
                <w:color w:val="000000" w:themeColor="text1"/>
                <w:sz w:val="24"/>
                <w:szCs w:val="24"/>
                <w:lang w:val="en-US" w:eastAsia="zh-CN"/>
                <w14:textFill>
                  <w14:solidFill>
                    <w14:schemeClr w14:val="tx1"/>
                  </w14:solidFill>
                </w14:textFill>
              </w:rPr>
            </w:pPr>
          </w:p>
        </w:tc>
        <w:tc>
          <w:tcPr>
            <w:tcW w:w="321" w:type="pct"/>
            <w:shd w:val="clear" w:color="auto" w:fill="auto"/>
            <w:vAlign w:val="center"/>
          </w:tcPr>
          <w:p w14:paraId="3B2BA12A">
            <w:pPr>
              <w:pStyle w:val="55"/>
              <w:bidi w:val="0"/>
              <w:rPr>
                <w:rFonts w:hint="default"/>
                <w:color w:val="000000" w:themeColor="text1"/>
                <w:sz w:val="24"/>
                <w:szCs w:val="24"/>
                <w:lang w:val="en-US" w:eastAsia="zh-CN"/>
                <w14:textFill>
                  <w14:solidFill>
                    <w14:schemeClr w14:val="tx1"/>
                  </w14:solidFill>
                </w14:textFill>
              </w:rPr>
            </w:pPr>
            <w:r>
              <w:rPr>
                <w:rFonts w:hint="eastAsia"/>
                <w:sz w:val="24"/>
                <w:szCs w:val="24"/>
                <w:lang w:val="en-US" w:eastAsia="zh-CN"/>
              </w:rPr>
              <w:t>/</w:t>
            </w:r>
          </w:p>
        </w:tc>
        <w:tc>
          <w:tcPr>
            <w:tcW w:w="394" w:type="pct"/>
            <w:vAlign w:val="center"/>
          </w:tcPr>
          <w:p w14:paraId="06E8193B">
            <w:pPr>
              <w:pStyle w:val="55"/>
              <w:bidi w:val="0"/>
              <w:rPr>
                <w:rFonts w:hint="eastAsia"/>
                <w:color w:val="000000" w:themeColor="text1"/>
                <w:sz w:val="24"/>
                <w:szCs w:val="24"/>
                <w:lang w:val="en-US" w:eastAsia="zh-CN"/>
                <w14:textFill>
                  <w14:solidFill>
                    <w14:schemeClr w14:val="tx1"/>
                  </w14:solidFill>
                </w14:textFill>
              </w:rPr>
            </w:pPr>
            <w:r>
              <w:rPr>
                <w:rFonts w:hint="eastAsia"/>
                <w:sz w:val="24"/>
                <w:szCs w:val="24"/>
                <w:lang w:val="en-US" w:eastAsia="zh-CN"/>
              </w:rPr>
              <w:t>/</w:t>
            </w:r>
          </w:p>
        </w:tc>
        <w:tc>
          <w:tcPr>
            <w:tcW w:w="307" w:type="pct"/>
            <w:vAlign w:val="center"/>
          </w:tcPr>
          <w:p w14:paraId="110F4B4E">
            <w:pPr>
              <w:pStyle w:val="55"/>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w:t>
            </w:r>
          </w:p>
        </w:tc>
        <w:tc>
          <w:tcPr>
            <w:tcW w:w="426" w:type="pct"/>
            <w:vAlign w:val="center"/>
          </w:tcPr>
          <w:p w14:paraId="2147DF54">
            <w:pPr>
              <w:pStyle w:val="55"/>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2000</w:t>
            </w:r>
          </w:p>
          <w:p w14:paraId="6EA28CB6">
            <w:pPr>
              <w:pStyle w:val="55"/>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（无量纲）</w:t>
            </w:r>
          </w:p>
        </w:tc>
        <w:tc>
          <w:tcPr>
            <w:tcW w:w="1289" w:type="pct"/>
            <w:vAlign w:val="center"/>
          </w:tcPr>
          <w:p w14:paraId="447E6ED8">
            <w:pPr>
              <w:pStyle w:val="55"/>
              <w:bidi w:val="0"/>
              <w:rPr>
                <w:rFonts w:hint="default"/>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《恶臭污染物排放标准》（GB14554-1993）</w:t>
            </w:r>
          </w:p>
          <w:p w14:paraId="6B24FAC8">
            <w:pPr>
              <w:pStyle w:val="55"/>
              <w:bidi w:val="0"/>
              <w:rPr>
                <w:color w:val="000000" w:themeColor="text1"/>
                <w:sz w:val="24"/>
                <w:szCs w:val="24"/>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表2恶臭污染物排放标准值</w:t>
            </w:r>
          </w:p>
        </w:tc>
        <w:tc>
          <w:tcPr>
            <w:tcW w:w="219" w:type="pct"/>
            <w:vMerge w:val="continue"/>
            <w:vAlign w:val="center"/>
          </w:tcPr>
          <w:p w14:paraId="159CD686">
            <w:pPr>
              <w:pStyle w:val="55"/>
              <w:rPr>
                <w:color w:val="000000" w:themeColor="text1"/>
                <w:sz w:val="24"/>
                <w:szCs w:val="24"/>
                <w14:textFill>
                  <w14:solidFill>
                    <w14:schemeClr w14:val="tx1"/>
                  </w14:solidFill>
                </w14:textFill>
              </w:rPr>
            </w:pPr>
          </w:p>
        </w:tc>
      </w:tr>
      <w:tr w14:paraId="14243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20" w:hRule="atLeast"/>
          <w:jc w:val="center"/>
        </w:trPr>
        <w:tc>
          <w:tcPr>
            <w:tcW w:w="178" w:type="pct"/>
            <w:vMerge w:val="restart"/>
            <w:vAlign w:val="center"/>
          </w:tcPr>
          <w:p w14:paraId="719F765D">
            <w:pPr>
              <w:pStyle w:val="55"/>
              <w:rPr>
                <w:rFonts w:hint="eastAsia" w:eastAsia="宋体"/>
                <w:color w:val="000000" w:themeColor="text1"/>
                <w:sz w:val="24"/>
                <w:szCs w:val="24"/>
                <w:lang w:val="en-US" w:eastAsia="zh-CN"/>
                <w14:textFill>
                  <w14:solidFill>
                    <w14:schemeClr w14:val="tx1"/>
                  </w14:solidFill>
                </w14:textFill>
              </w:rPr>
            </w:pPr>
            <w:r>
              <w:rPr>
                <w:rFonts w:hint="eastAsia" w:eastAsia="宋体"/>
                <w:color w:val="000000" w:themeColor="text1"/>
                <w:sz w:val="24"/>
                <w:szCs w:val="24"/>
                <w:lang w:val="en-US" w:eastAsia="zh-CN"/>
                <w14:textFill>
                  <w14:solidFill>
                    <w14:schemeClr w14:val="tx1"/>
                  </w14:solidFill>
                </w14:textFill>
              </w:rPr>
              <w:t>DA002</w:t>
            </w:r>
          </w:p>
        </w:tc>
        <w:tc>
          <w:tcPr>
            <w:tcW w:w="220" w:type="pct"/>
            <w:vMerge w:val="restart"/>
            <w:vAlign w:val="center"/>
          </w:tcPr>
          <w:p w14:paraId="163E033C">
            <w:pPr>
              <w:pStyle w:val="55"/>
              <w:rPr>
                <w:color w:val="000000" w:themeColor="text1"/>
                <w:sz w:val="24"/>
                <w:szCs w:val="24"/>
                <w14:textFill>
                  <w14:solidFill>
                    <w14:schemeClr w14:val="tx1"/>
                  </w14:solidFill>
                </w14:textFill>
              </w:rPr>
            </w:pPr>
            <w:r>
              <w:rPr>
                <w:rFonts w:hint="eastAsia"/>
                <w:sz w:val="24"/>
                <w:szCs w:val="24"/>
                <w:lang w:val="en-US" w:eastAsia="zh-CN"/>
              </w:rPr>
              <w:t>2</w:t>
            </w:r>
            <w:r>
              <w:rPr>
                <w:rFonts w:hint="eastAsia"/>
                <w:sz w:val="24"/>
                <w:szCs w:val="24"/>
              </w:rPr>
              <w:t>#生产车间</w:t>
            </w:r>
          </w:p>
        </w:tc>
        <w:tc>
          <w:tcPr>
            <w:tcW w:w="284" w:type="pct"/>
            <w:vMerge w:val="restart"/>
            <w:vAlign w:val="center"/>
          </w:tcPr>
          <w:p w14:paraId="15B80481">
            <w:pPr>
              <w:pStyle w:val="55"/>
              <w:bidi w:val="0"/>
              <w:jc w:val="center"/>
              <w:rPr>
                <w:rFonts w:hint="default"/>
                <w:color w:val="000000" w:themeColor="text1"/>
                <w:sz w:val="24"/>
                <w:szCs w:val="24"/>
                <w:lang w:val="en-US" w:eastAsia="zh-CN"/>
                <w14:textFill>
                  <w14:solidFill>
                    <w14:schemeClr w14:val="tx1"/>
                  </w14:solidFill>
                </w14:textFill>
              </w:rPr>
            </w:pPr>
            <w:r>
              <w:rPr>
                <w:rFonts w:hint="eastAsia" w:ascii="Times New Roman" w:hAnsi="Times New Roman" w:eastAsia="楷体" w:cs="Times New Roman"/>
                <w:sz w:val="24"/>
                <w:szCs w:val="24"/>
                <w:lang w:val="en-US" w:eastAsia="zh-CN"/>
              </w:rPr>
              <w:t>投料</w:t>
            </w:r>
            <w:r>
              <w:rPr>
                <w:rFonts w:hint="eastAsia" w:ascii="Times New Roman" w:hAnsi="Times New Roman" w:cs="Times New Roman"/>
                <w:sz w:val="24"/>
                <w:szCs w:val="24"/>
                <w:lang w:val="en-US" w:eastAsia="zh-CN"/>
              </w:rPr>
              <w:t>、</w:t>
            </w:r>
            <w:r>
              <w:rPr>
                <w:rFonts w:hint="eastAsia" w:ascii="Times New Roman" w:hAnsi="Times New Roman" w:eastAsia="楷体" w:cs="Times New Roman"/>
                <w:sz w:val="24"/>
                <w:szCs w:val="24"/>
                <w:lang w:val="en-US" w:eastAsia="zh-CN"/>
              </w:rPr>
              <w:t>搅拌</w:t>
            </w:r>
            <w:r>
              <w:rPr>
                <w:rFonts w:hint="eastAsia" w:ascii="Times New Roman" w:hAnsi="Times New Roman" w:cs="Times New Roman"/>
                <w:sz w:val="24"/>
                <w:szCs w:val="24"/>
                <w:lang w:val="en-US" w:eastAsia="zh-CN"/>
              </w:rPr>
              <w:t>，挤出</w:t>
            </w:r>
            <w:r>
              <w:rPr>
                <w:rFonts w:hint="default" w:ascii="Times New Roman" w:hAnsi="Times New Roman" w:eastAsia="楷体" w:cs="Times New Roman"/>
                <w:sz w:val="24"/>
                <w:szCs w:val="24"/>
                <w:lang w:val="en-US" w:eastAsia="zh-CN"/>
              </w:rPr>
              <w:t>工序</w:t>
            </w:r>
          </w:p>
        </w:tc>
        <w:tc>
          <w:tcPr>
            <w:tcW w:w="483" w:type="pct"/>
            <w:shd w:val="clear" w:color="auto" w:fill="auto"/>
            <w:vAlign w:val="center"/>
          </w:tcPr>
          <w:p w14:paraId="68F8973B">
            <w:pPr>
              <w:pStyle w:val="55"/>
              <w:rPr>
                <w:color w:val="000000" w:themeColor="text1"/>
                <w:kern w:val="24"/>
                <w:sz w:val="24"/>
                <w:szCs w:val="24"/>
                <w14:textFill>
                  <w14:solidFill>
                    <w14:schemeClr w14:val="tx1"/>
                  </w14:solidFill>
                </w14:textFill>
              </w:rPr>
            </w:pPr>
            <w:r>
              <w:rPr>
                <w:rFonts w:hint="eastAsia"/>
                <w:sz w:val="24"/>
                <w:szCs w:val="24"/>
                <w:lang w:val="en-US" w:eastAsia="zh-CN"/>
              </w:rPr>
              <w:t>颗粒物</w:t>
            </w:r>
          </w:p>
        </w:tc>
        <w:tc>
          <w:tcPr>
            <w:tcW w:w="282" w:type="pct"/>
            <w:vMerge w:val="restart"/>
            <w:vAlign w:val="center"/>
          </w:tcPr>
          <w:p w14:paraId="1EA55C3D">
            <w:pPr>
              <w:pStyle w:val="55"/>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15</w:t>
            </w:r>
          </w:p>
        </w:tc>
        <w:tc>
          <w:tcPr>
            <w:tcW w:w="262" w:type="pct"/>
            <w:vMerge w:val="restart"/>
            <w:vAlign w:val="center"/>
          </w:tcPr>
          <w:p w14:paraId="2DE0C899">
            <w:pPr>
              <w:pStyle w:val="55"/>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0.8</w:t>
            </w:r>
          </w:p>
        </w:tc>
        <w:tc>
          <w:tcPr>
            <w:tcW w:w="330" w:type="pct"/>
            <w:vMerge w:val="restart"/>
            <w:vAlign w:val="center"/>
          </w:tcPr>
          <w:p w14:paraId="00493B34">
            <w:pPr>
              <w:pStyle w:val="55"/>
              <w:rPr>
                <w:rFonts w:hint="default" w:eastAsia="宋体"/>
                <w:color w:val="000000" w:themeColor="text1"/>
                <w:sz w:val="24"/>
                <w:szCs w:val="24"/>
                <w:lang w:val="en-US" w:eastAsia="zh-CN"/>
                <w14:textFill>
                  <w14:solidFill>
                    <w14:schemeClr w14:val="tx1"/>
                  </w14:solidFill>
                </w14:textFill>
              </w:rPr>
            </w:pPr>
            <w:r>
              <w:rPr>
                <w:rFonts w:hint="eastAsia" w:eastAsia="宋体"/>
                <w:color w:val="000000" w:themeColor="text1"/>
                <w:sz w:val="24"/>
                <w:szCs w:val="24"/>
                <w:lang w:val="en-US" w:eastAsia="zh-CN"/>
                <w14:textFill>
                  <w14:solidFill>
                    <w14:schemeClr w14:val="tx1"/>
                  </w14:solidFill>
                </w14:textFill>
              </w:rPr>
              <w:t>30000</w:t>
            </w:r>
          </w:p>
        </w:tc>
        <w:tc>
          <w:tcPr>
            <w:tcW w:w="321" w:type="pct"/>
            <w:shd w:val="clear" w:color="auto" w:fill="auto"/>
            <w:vAlign w:val="center"/>
          </w:tcPr>
          <w:p w14:paraId="25077AA0">
            <w:pPr>
              <w:pStyle w:val="55"/>
              <w:bidi w:val="0"/>
              <w:rPr>
                <w:color w:val="000000" w:themeColor="text1"/>
                <w:sz w:val="24"/>
                <w:szCs w:val="24"/>
                <w14:textFill>
                  <w14:solidFill>
                    <w14:schemeClr w14:val="tx1"/>
                  </w14:solidFill>
                </w14:textFill>
              </w:rPr>
            </w:pPr>
            <w:r>
              <w:rPr>
                <w:rFonts w:hint="eastAsia" w:ascii="Times New Roman" w:hAnsi="Times New Roman"/>
                <w:sz w:val="24"/>
                <w:szCs w:val="24"/>
                <w:lang w:val="en-US" w:eastAsia="zh-CN"/>
              </w:rPr>
              <w:t>0.189</w:t>
            </w:r>
          </w:p>
        </w:tc>
        <w:tc>
          <w:tcPr>
            <w:tcW w:w="394" w:type="pct"/>
            <w:vAlign w:val="center"/>
          </w:tcPr>
          <w:p w14:paraId="3557314A">
            <w:pPr>
              <w:pStyle w:val="55"/>
              <w:bidi w:val="0"/>
              <w:rPr>
                <w:color w:val="000000" w:themeColor="text1"/>
                <w:sz w:val="24"/>
                <w:szCs w:val="24"/>
                <w14:textFill>
                  <w14:solidFill>
                    <w14:schemeClr w14:val="tx1"/>
                  </w14:solidFill>
                </w14:textFill>
              </w:rPr>
            </w:pPr>
            <w:r>
              <w:rPr>
                <w:rFonts w:hint="eastAsia" w:ascii="Times New Roman" w:hAnsi="Times New Roman"/>
                <w:sz w:val="24"/>
                <w:szCs w:val="24"/>
                <w:lang w:val="en-US" w:eastAsia="zh-CN"/>
              </w:rPr>
              <w:t>6.284</w:t>
            </w:r>
          </w:p>
        </w:tc>
        <w:tc>
          <w:tcPr>
            <w:tcW w:w="307" w:type="pct"/>
            <w:vAlign w:val="center"/>
          </w:tcPr>
          <w:p w14:paraId="2CB8C736">
            <w:pPr>
              <w:pStyle w:val="55"/>
              <w:rPr>
                <w:rFonts w:hint="default" w:eastAsia="宋体"/>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w:t>
            </w:r>
          </w:p>
        </w:tc>
        <w:tc>
          <w:tcPr>
            <w:tcW w:w="426" w:type="pct"/>
            <w:vAlign w:val="center"/>
          </w:tcPr>
          <w:p w14:paraId="6BA0E892">
            <w:pPr>
              <w:pStyle w:val="55"/>
              <w:rPr>
                <w:rFonts w:hint="default" w:eastAsia="宋体"/>
                <w:color w:val="000000" w:themeColor="text1"/>
                <w:sz w:val="24"/>
                <w:szCs w:val="24"/>
                <w:lang w:val="en-US" w:eastAsia="zh-CN"/>
                <w14:textFill>
                  <w14:solidFill>
                    <w14:schemeClr w14:val="tx1"/>
                  </w14:solidFill>
                </w14:textFill>
              </w:rPr>
            </w:pPr>
            <w:r>
              <w:rPr>
                <w:rFonts w:hint="eastAsia" w:eastAsia="宋体"/>
                <w:color w:val="000000" w:themeColor="text1"/>
                <w:sz w:val="24"/>
                <w:szCs w:val="24"/>
                <w:lang w:val="en-US" w:eastAsia="zh-CN"/>
                <w14:textFill>
                  <w14:solidFill>
                    <w14:schemeClr w14:val="tx1"/>
                  </w14:solidFill>
                </w14:textFill>
              </w:rPr>
              <w:t>20</w:t>
            </w:r>
          </w:p>
        </w:tc>
        <w:tc>
          <w:tcPr>
            <w:tcW w:w="1289" w:type="pct"/>
            <w:vAlign w:val="center"/>
          </w:tcPr>
          <w:p w14:paraId="4BC90C7E">
            <w:pPr>
              <w:pStyle w:val="55"/>
              <w:bidi w:val="0"/>
              <w:rPr>
                <w:color w:val="000000" w:themeColor="text1"/>
                <w:sz w:val="24"/>
                <w:szCs w:val="24"/>
                <w14:textFill>
                  <w14:solidFill>
                    <w14:schemeClr w14:val="tx1"/>
                  </w14:solidFill>
                </w14:textFill>
              </w:rPr>
            </w:pPr>
            <w:r>
              <w:rPr>
                <w:rFonts w:hint="eastAsia"/>
                <w:sz w:val="24"/>
                <w:szCs w:val="24"/>
                <w:lang w:val="en-US" w:eastAsia="zh-CN"/>
              </w:rPr>
              <w:t>《合成树脂工业污染物排放标准》（GB31572-2015）及修改单表5大气污染物特别排放限值</w:t>
            </w:r>
          </w:p>
        </w:tc>
        <w:tc>
          <w:tcPr>
            <w:tcW w:w="219" w:type="pct"/>
            <w:vMerge w:val="restart"/>
            <w:vAlign w:val="center"/>
          </w:tcPr>
          <w:p w14:paraId="6297384A">
            <w:pPr>
              <w:pStyle w:val="55"/>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达标</w:t>
            </w:r>
          </w:p>
        </w:tc>
      </w:tr>
      <w:tr w14:paraId="5B616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29" w:hRule="atLeast"/>
          <w:jc w:val="center"/>
        </w:trPr>
        <w:tc>
          <w:tcPr>
            <w:tcW w:w="178" w:type="pct"/>
            <w:vMerge w:val="continue"/>
            <w:vAlign w:val="center"/>
          </w:tcPr>
          <w:p w14:paraId="3D49194D">
            <w:pPr>
              <w:pStyle w:val="55"/>
              <w:rPr>
                <w:rFonts w:hint="eastAsia"/>
                <w:color w:val="000000" w:themeColor="text1"/>
                <w:sz w:val="24"/>
                <w:szCs w:val="24"/>
                <w14:textFill>
                  <w14:solidFill>
                    <w14:schemeClr w14:val="tx1"/>
                  </w14:solidFill>
                </w14:textFill>
              </w:rPr>
            </w:pPr>
          </w:p>
        </w:tc>
        <w:tc>
          <w:tcPr>
            <w:tcW w:w="220" w:type="pct"/>
            <w:vMerge w:val="continue"/>
            <w:vAlign w:val="center"/>
          </w:tcPr>
          <w:p w14:paraId="30FFE7A9">
            <w:pPr>
              <w:pStyle w:val="55"/>
              <w:bidi w:val="0"/>
              <w:jc w:val="center"/>
              <w:rPr>
                <w:color w:val="000000" w:themeColor="text1"/>
                <w:sz w:val="24"/>
                <w:szCs w:val="24"/>
                <w14:textFill>
                  <w14:solidFill>
                    <w14:schemeClr w14:val="tx1"/>
                  </w14:solidFill>
                </w14:textFill>
              </w:rPr>
            </w:pPr>
          </w:p>
        </w:tc>
        <w:tc>
          <w:tcPr>
            <w:tcW w:w="284" w:type="pct"/>
            <w:vMerge w:val="continue"/>
            <w:vAlign w:val="center"/>
          </w:tcPr>
          <w:p w14:paraId="28AF93AC">
            <w:pPr>
              <w:pStyle w:val="55"/>
              <w:bidi w:val="0"/>
              <w:jc w:val="center"/>
              <w:rPr>
                <w:rFonts w:hint="eastAsia"/>
                <w:color w:val="000000" w:themeColor="text1"/>
                <w:sz w:val="24"/>
                <w:szCs w:val="24"/>
                <w:lang w:val="en-US" w:eastAsia="zh-CN"/>
                <w14:textFill>
                  <w14:solidFill>
                    <w14:schemeClr w14:val="tx1"/>
                  </w14:solidFill>
                </w14:textFill>
              </w:rPr>
            </w:pPr>
          </w:p>
        </w:tc>
        <w:tc>
          <w:tcPr>
            <w:tcW w:w="483" w:type="pct"/>
            <w:shd w:val="clear" w:color="auto" w:fill="auto"/>
            <w:vAlign w:val="center"/>
          </w:tcPr>
          <w:p w14:paraId="5D3B2C4E">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eastAsia"/>
                <w:color w:val="000000" w:themeColor="text1"/>
                <w:sz w:val="24"/>
                <w:szCs w:val="24"/>
                <w:lang w:val="en-US" w:eastAsia="zh-CN"/>
                <w14:textFill>
                  <w14:solidFill>
                    <w14:schemeClr w14:val="tx1"/>
                  </w14:solidFill>
                </w14:textFill>
              </w:rPr>
            </w:pPr>
            <w:r>
              <w:rPr>
                <w:rFonts w:hint="eastAsia" w:ascii="Times New Roman" w:hAnsi="Times New Roman" w:eastAsia="楷体" w:cs="Times New Roman"/>
                <w:sz w:val="24"/>
                <w:szCs w:val="24"/>
                <w:lang w:val="en-US" w:eastAsia="zh-CN"/>
              </w:rPr>
              <w:t>非甲烷总烃</w:t>
            </w:r>
          </w:p>
        </w:tc>
        <w:tc>
          <w:tcPr>
            <w:tcW w:w="282" w:type="pct"/>
            <w:vMerge w:val="continue"/>
            <w:vAlign w:val="center"/>
          </w:tcPr>
          <w:p w14:paraId="626396C3">
            <w:pPr>
              <w:pStyle w:val="55"/>
              <w:rPr>
                <w:rFonts w:hint="eastAsia"/>
                <w:color w:val="000000" w:themeColor="text1"/>
                <w:sz w:val="24"/>
                <w:szCs w:val="24"/>
                <w:highlight w:val="none"/>
                <w:lang w:val="en-US" w:eastAsia="zh-CN"/>
                <w14:textFill>
                  <w14:solidFill>
                    <w14:schemeClr w14:val="tx1"/>
                  </w14:solidFill>
                </w14:textFill>
              </w:rPr>
            </w:pPr>
          </w:p>
        </w:tc>
        <w:tc>
          <w:tcPr>
            <w:tcW w:w="262" w:type="pct"/>
            <w:vMerge w:val="continue"/>
            <w:vAlign w:val="center"/>
          </w:tcPr>
          <w:p w14:paraId="60000461">
            <w:pPr>
              <w:pStyle w:val="55"/>
              <w:rPr>
                <w:rFonts w:hint="eastAsia"/>
                <w:color w:val="000000" w:themeColor="text1"/>
                <w:sz w:val="24"/>
                <w:szCs w:val="24"/>
                <w:highlight w:val="none"/>
                <w:lang w:val="en-US" w:eastAsia="zh-CN"/>
                <w14:textFill>
                  <w14:solidFill>
                    <w14:schemeClr w14:val="tx1"/>
                  </w14:solidFill>
                </w14:textFill>
              </w:rPr>
            </w:pPr>
          </w:p>
        </w:tc>
        <w:tc>
          <w:tcPr>
            <w:tcW w:w="330" w:type="pct"/>
            <w:vMerge w:val="continue"/>
            <w:vAlign w:val="center"/>
          </w:tcPr>
          <w:p w14:paraId="1369D335">
            <w:pPr>
              <w:pStyle w:val="55"/>
              <w:rPr>
                <w:rFonts w:hint="eastAsia"/>
                <w:color w:val="000000" w:themeColor="text1"/>
                <w:sz w:val="24"/>
                <w:szCs w:val="24"/>
                <w:lang w:val="en-US" w:eastAsia="zh-CN"/>
                <w14:textFill>
                  <w14:solidFill>
                    <w14:schemeClr w14:val="tx1"/>
                  </w14:solidFill>
                </w14:textFill>
              </w:rPr>
            </w:pPr>
          </w:p>
        </w:tc>
        <w:tc>
          <w:tcPr>
            <w:tcW w:w="321" w:type="pct"/>
            <w:shd w:val="clear" w:color="auto" w:fill="auto"/>
            <w:vAlign w:val="center"/>
          </w:tcPr>
          <w:p w14:paraId="1561ACBE">
            <w:pPr>
              <w:pStyle w:val="55"/>
              <w:bidi w:val="0"/>
              <w:rPr>
                <w:rFonts w:hint="eastAsia"/>
                <w:color w:val="000000" w:themeColor="text1"/>
                <w:sz w:val="24"/>
                <w:szCs w:val="24"/>
                <w:lang w:val="en-US" w:eastAsia="zh-CN"/>
                <w14:textFill>
                  <w14:solidFill>
                    <w14:schemeClr w14:val="tx1"/>
                  </w14:solidFill>
                </w14:textFill>
              </w:rPr>
            </w:pPr>
            <w:r>
              <w:rPr>
                <w:rFonts w:hint="eastAsia" w:ascii="Times New Roman" w:hAnsi="Times New Roman"/>
                <w:sz w:val="24"/>
                <w:szCs w:val="24"/>
                <w:lang w:val="en-US" w:eastAsia="zh-CN"/>
              </w:rPr>
              <w:t>0.316</w:t>
            </w:r>
          </w:p>
        </w:tc>
        <w:tc>
          <w:tcPr>
            <w:tcW w:w="394" w:type="pct"/>
            <w:vAlign w:val="center"/>
          </w:tcPr>
          <w:p w14:paraId="24F3F532">
            <w:pPr>
              <w:pStyle w:val="55"/>
              <w:bidi w:val="0"/>
              <w:rPr>
                <w:rFonts w:hint="eastAsia"/>
                <w:color w:val="000000" w:themeColor="text1"/>
                <w:sz w:val="24"/>
                <w:szCs w:val="24"/>
                <w:lang w:val="en-US" w:eastAsia="zh-CN"/>
                <w14:textFill>
                  <w14:solidFill>
                    <w14:schemeClr w14:val="tx1"/>
                  </w14:solidFill>
                </w14:textFill>
              </w:rPr>
            </w:pPr>
            <w:r>
              <w:rPr>
                <w:rFonts w:hint="eastAsia" w:ascii="Times New Roman" w:hAnsi="Times New Roman"/>
                <w:sz w:val="24"/>
                <w:szCs w:val="24"/>
                <w:lang w:val="en-US" w:eastAsia="zh-CN"/>
              </w:rPr>
              <w:t>10.5</w:t>
            </w:r>
          </w:p>
        </w:tc>
        <w:tc>
          <w:tcPr>
            <w:tcW w:w="307" w:type="pct"/>
            <w:vAlign w:val="center"/>
          </w:tcPr>
          <w:p w14:paraId="42845287">
            <w:pPr>
              <w:pStyle w:val="55"/>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w:t>
            </w:r>
          </w:p>
        </w:tc>
        <w:tc>
          <w:tcPr>
            <w:tcW w:w="426" w:type="pct"/>
            <w:vAlign w:val="center"/>
          </w:tcPr>
          <w:p w14:paraId="663A4820">
            <w:pPr>
              <w:pStyle w:val="55"/>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40</w:t>
            </w:r>
          </w:p>
        </w:tc>
        <w:tc>
          <w:tcPr>
            <w:tcW w:w="1289" w:type="pct"/>
            <w:vAlign w:val="center"/>
          </w:tcPr>
          <w:p w14:paraId="51C7C4F2">
            <w:pPr>
              <w:pStyle w:val="55"/>
              <w:bidi w:val="0"/>
              <w:rPr>
                <w:color w:val="000000" w:themeColor="text1"/>
                <w:sz w:val="24"/>
                <w:szCs w:val="24"/>
                <w14:textFill>
                  <w14:solidFill>
                    <w14:schemeClr w14:val="tx1"/>
                  </w14:solidFill>
                </w14:textFill>
              </w:rPr>
            </w:pPr>
            <w:r>
              <w:rPr>
                <w:rFonts w:hint="eastAsia"/>
                <w:sz w:val="24"/>
                <w:szCs w:val="24"/>
                <w:lang w:val="en-US" w:eastAsia="zh-CN"/>
              </w:rPr>
              <w:t>河北省地方标准</w:t>
            </w:r>
            <w:r>
              <w:rPr>
                <w:rFonts w:hint="eastAsia"/>
                <w:color w:val="auto"/>
                <w:kern w:val="0"/>
                <w:sz w:val="24"/>
                <w:szCs w:val="24"/>
              </w:rPr>
              <w:t>《工业企业挥发性有机物排放控制标准》（DB13/2322-2016）原排放限值的50%</w:t>
            </w:r>
          </w:p>
        </w:tc>
        <w:tc>
          <w:tcPr>
            <w:tcW w:w="219" w:type="pct"/>
            <w:vMerge w:val="continue"/>
            <w:vAlign w:val="center"/>
          </w:tcPr>
          <w:p w14:paraId="1A59C9A1">
            <w:pPr>
              <w:pStyle w:val="55"/>
              <w:rPr>
                <w:color w:val="000000" w:themeColor="text1"/>
                <w:sz w:val="24"/>
                <w:szCs w:val="24"/>
                <w14:textFill>
                  <w14:solidFill>
                    <w14:schemeClr w14:val="tx1"/>
                  </w14:solidFill>
                </w14:textFill>
              </w:rPr>
            </w:pPr>
          </w:p>
        </w:tc>
      </w:tr>
      <w:tr w14:paraId="771EC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37" w:hRule="atLeast"/>
          <w:jc w:val="center"/>
        </w:trPr>
        <w:tc>
          <w:tcPr>
            <w:tcW w:w="178" w:type="pct"/>
            <w:vMerge w:val="continue"/>
            <w:vAlign w:val="center"/>
          </w:tcPr>
          <w:p w14:paraId="53295383">
            <w:pPr>
              <w:pStyle w:val="55"/>
              <w:rPr>
                <w:rFonts w:hint="eastAsia"/>
                <w:color w:val="000000" w:themeColor="text1"/>
                <w:sz w:val="24"/>
                <w:szCs w:val="24"/>
                <w14:textFill>
                  <w14:solidFill>
                    <w14:schemeClr w14:val="tx1"/>
                  </w14:solidFill>
                </w14:textFill>
              </w:rPr>
            </w:pPr>
          </w:p>
        </w:tc>
        <w:tc>
          <w:tcPr>
            <w:tcW w:w="220" w:type="pct"/>
            <w:vMerge w:val="continue"/>
            <w:vAlign w:val="center"/>
          </w:tcPr>
          <w:p w14:paraId="5C298555">
            <w:pPr>
              <w:pStyle w:val="55"/>
              <w:bidi w:val="0"/>
              <w:jc w:val="center"/>
              <w:rPr>
                <w:color w:val="000000" w:themeColor="text1"/>
                <w:sz w:val="24"/>
                <w:szCs w:val="24"/>
                <w14:textFill>
                  <w14:solidFill>
                    <w14:schemeClr w14:val="tx1"/>
                  </w14:solidFill>
                </w14:textFill>
              </w:rPr>
            </w:pPr>
          </w:p>
        </w:tc>
        <w:tc>
          <w:tcPr>
            <w:tcW w:w="284" w:type="pct"/>
            <w:vMerge w:val="continue"/>
            <w:vAlign w:val="center"/>
          </w:tcPr>
          <w:p w14:paraId="4F11C513">
            <w:pPr>
              <w:pStyle w:val="55"/>
              <w:bidi w:val="0"/>
              <w:jc w:val="center"/>
              <w:rPr>
                <w:rFonts w:hint="eastAsia"/>
                <w:color w:val="000000" w:themeColor="text1"/>
                <w:sz w:val="24"/>
                <w:szCs w:val="24"/>
                <w:lang w:val="en-US" w:eastAsia="zh-CN"/>
                <w14:textFill>
                  <w14:solidFill>
                    <w14:schemeClr w14:val="tx1"/>
                  </w14:solidFill>
                </w14:textFill>
              </w:rPr>
            </w:pPr>
          </w:p>
        </w:tc>
        <w:tc>
          <w:tcPr>
            <w:tcW w:w="483" w:type="pct"/>
            <w:shd w:val="clear" w:color="auto" w:fill="auto"/>
            <w:vAlign w:val="center"/>
          </w:tcPr>
          <w:p w14:paraId="6EB78D57">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eastAsia"/>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sz w:val="24"/>
                <w:szCs w:val="24"/>
                <w:lang w:val="en-US" w:eastAsia="zh-CN"/>
              </w:rPr>
              <w:t>氯化氢</w:t>
            </w:r>
          </w:p>
        </w:tc>
        <w:tc>
          <w:tcPr>
            <w:tcW w:w="282" w:type="pct"/>
            <w:vMerge w:val="continue"/>
            <w:vAlign w:val="center"/>
          </w:tcPr>
          <w:p w14:paraId="28A484B4">
            <w:pPr>
              <w:pStyle w:val="55"/>
              <w:rPr>
                <w:rFonts w:hint="eastAsia"/>
                <w:color w:val="000000" w:themeColor="text1"/>
                <w:sz w:val="24"/>
                <w:szCs w:val="24"/>
                <w:highlight w:val="none"/>
                <w:lang w:val="en-US" w:eastAsia="zh-CN"/>
                <w14:textFill>
                  <w14:solidFill>
                    <w14:schemeClr w14:val="tx1"/>
                  </w14:solidFill>
                </w14:textFill>
              </w:rPr>
            </w:pPr>
          </w:p>
        </w:tc>
        <w:tc>
          <w:tcPr>
            <w:tcW w:w="262" w:type="pct"/>
            <w:vMerge w:val="continue"/>
            <w:vAlign w:val="center"/>
          </w:tcPr>
          <w:p w14:paraId="73E3B8F0">
            <w:pPr>
              <w:pStyle w:val="55"/>
              <w:rPr>
                <w:rFonts w:hint="eastAsia"/>
                <w:color w:val="000000" w:themeColor="text1"/>
                <w:sz w:val="24"/>
                <w:szCs w:val="24"/>
                <w:highlight w:val="none"/>
                <w:lang w:val="en-US" w:eastAsia="zh-CN"/>
                <w14:textFill>
                  <w14:solidFill>
                    <w14:schemeClr w14:val="tx1"/>
                  </w14:solidFill>
                </w14:textFill>
              </w:rPr>
            </w:pPr>
          </w:p>
        </w:tc>
        <w:tc>
          <w:tcPr>
            <w:tcW w:w="330" w:type="pct"/>
            <w:vMerge w:val="continue"/>
            <w:vAlign w:val="center"/>
          </w:tcPr>
          <w:p w14:paraId="3754B5D3">
            <w:pPr>
              <w:pStyle w:val="55"/>
              <w:rPr>
                <w:rFonts w:hint="eastAsia"/>
                <w:color w:val="000000" w:themeColor="text1"/>
                <w:sz w:val="24"/>
                <w:szCs w:val="24"/>
                <w:lang w:val="en-US" w:eastAsia="zh-CN"/>
                <w14:textFill>
                  <w14:solidFill>
                    <w14:schemeClr w14:val="tx1"/>
                  </w14:solidFill>
                </w14:textFill>
              </w:rPr>
            </w:pPr>
          </w:p>
        </w:tc>
        <w:tc>
          <w:tcPr>
            <w:tcW w:w="321" w:type="pct"/>
            <w:shd w:val="clear" w:color="auto" w:fill="auto"/>
            <w:vAlign w:val="center"/>
          </w:tcPr>
          <w:p w14:paraId="02AF40F7">
            <w:pPr>
              <w:pStyle w:val="55"/>
              <w:bidi w:val="0"/>
              <w:rPr>
                <w:rFonts w:hint="eastAsia"/>
                <w:color w:val="000000" w:themeColor="text1"/>
                <w:sz w:val="24"/>
                <w:szCs w:val="24"/>
                <w:lang w:val="en-US" w:eastAsia="zh-CN"/>
                <w14:textFill>
                  <w14:solidFill>
                    <w14:schemeClr w14:val="tx1"/>
                  </w14:solidFill>
                </w14:textFill>
              </w:rPr>
            </w:pPr>
            <w:r>
              <w:rPr>
                <w:rFonts w:hint="eastAsia" w:ascii="Times New Roman" w:hAnsi="Times New Roman"/>
                <w:sz w:val="24"/>
                <w:szCs w:val="24"/>
                <w:lang w:val="en-US" w:eastAsia="zh-CN"/>
              </w:rPr>
              <w:t>0.0002</w:t>
            </w:r>
          </w:p>
        </w:tc>
        <w:tc>
          <w:tcPr>
            <w:tcW w:w="394" w:type="pct"/>
            <w:vAlign w:val="center"/>
          </w:tcPr>
          <w:p w14:paraId="6DACD56A">
            <w:pPr>
              <w:pStyle w:val="55"/>
              <w:bidi w:val="0"/>
              <w:rPr>
                <w:rFonts w:hint="eastAsia"/>
                <w:color w:val="000000" w:themeColor="text1"/>
                <w:sz w:val="24"/>
                <w:szCs w:val="24"/>
                <w:lang w:val="en-US" w:eastAsia="zh-CN"/>
                <w14:textFill>
                  <w14:solidFill>
                    <w14:schemeClr w14:val="tx1"/>
                  </w14:solidFill>
                </w14:textFill>
              </w:rPr>
            </w:pPr>
            <w:r>
              <w:rPr>
                <w:rFonts w:hint="eastAsia" w:ascii="Times New Roman" w:hAnsi="Times New Roman"/>
                <w:sz w:val="24"/>
                <w:szCs w:val="24"/>
                <w:lang w:val="en-US" w:eastAsia="zh-CN"/>
              </w:rPr>
              <w:t>0.007</w:t>
            </w:r>
          </w:p>
        </w:tc>
        <w:tc>
          <w:tcPr>
            <w:tcW w:w="307" w:type="pct"/>
            <w:vAlign w:val="center"/>
          </w:tcPr>
          <w:p w14:paraId="12ABB513">
            <w:pPr>
              <w:pStyle w:val="55"/>
              <w:rPr>
                <w:rFonts w:hint="eastAsia"/>
                <w:color w:val="000000" w:themeColor="text1"/>
                <w:sz w:val="24"/>
                <w:szCs w:val="24"/>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0.26</w:t>
            </w:r>
          </w:p>
        </w:tc>
        <w:tc>
          <w:tcPr>
            <w:tcW w:w="426" w:type="pct"/>
            <w:vAlign w:val="center"/>
          </w:tcPr>
          <w:p w14:paraId="74961A4B">
            <w:pPr>
              <w:pStyle w:val="55"/>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100</w:t>
            </w:r>
          </w:p>
        </w:tc>
        <w:tc>
          <w:tcPr>
            <w:tcW w:w="1289" w:type="pct"/>
            <w:vAlign w:val="center"/>
          </w:tcPr>
          <w:p w14:paraId="5B3F221A">
            <w:pPr>
              <w:pStyle w:val="55"/>
              <w:bidi w:val="0"/>
              <w:rPr>
                <w:rFonts w:hint="default"/>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《大气污染物综合排放标准》</w:t>
            </w:r>
          </w:p>
          <w:p w14:paraId="0223B47E">
            <w:pPr>
              <w:pStyle w:val="55"/>
              <w:bidi w:val="0"/>
              <w:rPr>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（GB16297-1996）表2中的二级标准</w:t>
            </w:r>
          </w:p>
        </w:tc>
        <w:tc>
          <w:tcPr>
            <w:tcW w:w="219" w:type="pct"/>
            <w:vMerge w:val="continue"/>
            <w:vAlign w:val="center"/>
          </w:tcPr>
          <w:p w14:paraId="09DF880C">
            <w:pPr>
              <w:pStyle w:val="55"/>
              <w:rPr>
                <w:color w:val="000000" w:themeColor="text1"/>
                <w:sz w:val="24"/>
                <w:szCs w:val="24"/>
                <w14:textFill>
                  <w14:solidFill>
                    <w14:schemeClr w14:val="tx1"/>
                  </w14:solidFill>
                </w14:textFill>
              </w:rPr>
            </w:pPr>
          </w:p>
        </w:tc>
      </w:tr>
      <w:tr w14:paraId="04567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73" w:hRule="atLeast"/>
          <w:jc w:val="center"/>
        </w:trPr>
        <w:tc>
          <w:tcPr>
            <w:tcW w:w="178" w:type="pct"/>
            <w:vMerge w:val="continue"/>
            <w:vAlign w:val="center"/>
          </w:tcPr>
          <w:p w14:paraId="6267C799">
            <w:pPr>
              <w:pStyle w:val="55"/>
              <w:rPr>
                <w:rFonts w:hint="eastAsia"/>
                <w:color w:val="000000" w:themeColor="text1"/>
                <w:sz w:val="24"/>
                <w:szCs w:val="24"/>
                <w14:textFill>
                  <w14:solidFill>
                    <w14:schemeClr w14:val="tx1"/>
                  </w14:solidFill>
                </w14:textFill>
              </w:rPr>
            </w:pPr>
          </w:p>
        </w:tc>
        <w:tc>
          <w:tcPr>
            <w:tcW w:w="220" w:type="pct"/>
            <w:vMerge w:val="continue"/>
            <w:vAlign w:val="center"/>
          </w:tcPr>
          <w:p w14:paraId="1358A0AF">
            <w:pPr>
              <w:pStyle w:val="55"/>
              <w:bidi w:val="0"/>
              <w:jc w:val="center"/>
              <w:rPr>
                <w:color w:val="000000" w:themeColor="text1"/>
                <w:sz w:val="24"/>
                <w:szCs w:val="24"/>
                <w14:textFill>
                  <w14:solidFill>
                    <w14:schemeClr w14:val="tx1"/>
                  </w14:solidFill>
                </w14:textFill>
              </w:rPr>
            </w:pPr>
          </w:p>
        </w:tc>
        <w:tc>
          <w:tcPr>
            <w:tcW w:w="284" w:type="pct"/>
            <w:vMerge w:val="continue"/>
            <w:vAlign w:val="center"/>
          </w:tcPr>
          <w:p w14:paraId="47E0C7F7">
            <w:pPr>
              <w:pStyle w:val="55"/>
              <w:bidi w:val="0"/>
              <w:jc w:val="center"/>
              <w:rPr>
                <w:rFonts w:hint="eastAsia"/>
                <w:color w:val="000000" w:themeColor="text1"/>
                <w:sz w:val="24"/>
                <w:szCs w:val="24"/>
                <w:lang w:val="en-US" w:eastAsia="zh-CN"/>
                <w14:textFill>
                  <w14:solidFill>
                    <w14:schemeClr w14:val="tx1"/>
                  </w14:solidFill>
                </w14:textFill>
              </w:rPr>
            </w:pPr>
          </w:p>
        </w:tc>
        <w:tc>
          <w:tcPr>
            <w:tcW w:w="483" w:type="pct"/>
            <w:shd w:val="clear" w:color="auto" w:fill="auto"/>
            <w:vAlign w:val="center"/>
          </w:tcPr>
          <w:p w14:paraId="11345CB3">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eastAsia"/>
                <w:color w:val="000000" w:themeColor="text1"/>
                <w:sz w:val="24"/>
                <w:szCs w:val="24"/>
                <w:lang w:val="en-US" w:eastAsia="zh-CN"/>
                <w14:textFill>
                  <w14:solidFill>
                    <w14:schemeClr w14:val="tx1"/>
                  </w14:solidFill>
                </w14:textFill>
              </w:rPr>
            </w:pPr>
            <w:r>
              <w:rPr>
                <w:rFonts w:hint="eastAsia" w:ascii="Times New Roman" w:hAnsi="Times New Roman" w:eastAsia="楷体" w:cs="Times New Roman"/>
                <w:sz w:val="24"/>
                <w:szCs w:val="24"/>
                <w:vertAlign w:val="baseline"/>
                <w:lang w:val="en-US" w:eastAsia="zh-CN"/>
              </w:rPr>
              <w:t>臭气浓度</w:t>
            </w:r>
          </w:p>
        </w:tc>
        <w:tc>
          <w:tcPr>
            <w:tcW w:w="282" w:type="pct"/>
            <w:vMerge w:val="continue"/>
            <w:vAlign w:val="center"/>
          </w:tcPr>
          <w:p w14:paraId="570579C6">
            <w:pPr>
              <w:pStyle w:val="55"/>
              <w:rPr>
                <w:rFonts w:hint="eastAsia"/>
                <w:color w:val="000000" w:themeColor="text1"/>
                <w:sz w:val="24"/>
                <w:szCs w:val="24"/>
                <w:highlight w:val="none"/>
                <w:lang w:val="en-US" w:eastAsia="zh-CN"/>
                <w14:textFill>
                  <w14:solidFill>
                    <w14:schemeClr w14:val="tx1"/>
                  </w14:solidFill>
                </w14:textFill>
              </w:rPr>
            </w:pPr>
          </w:p>
        </w:tc>
        <w:tc>
          <w:tcPr>
            <w:tcW w:w="262" w:type="pct"/>
            <w:vMerge w:val="continue"/>
            <w:vAlign w:val="center"/>
          </w:tcPr>
          <w:p w14:paraId="608612FD">
            <w:pPr>
              <w:pStyle w:val="55"/>
              <w:rPr>
                <w:rFonts w:hint="eastAsia"/>
                <w:color w:val="000000" w:themeColor="text1"/>
                <w:sz w:val="24"/>
                <w:szCs w:val="24"/>
                <w:highlight w:val="none"/>
                <w:lang w:val="en-US" w:eastAsia="zh-CN"/>
                <w14:textFill>
                  <w14:solidFill>
                    <w14:schemeClr w14:val="tx1"/>
                  </w14:solidFill>
                </w14:textFill>
              </w:rPr>
            </w:pPr>
          </w:p>
        </w:tc>
        <w:tc>
          <w:tcPr>
            <w:tcW w:w="330" w:type="pct"/>
            <w:vMerge w:val="continue"/>
            <w:vAlign w:val="center"/>
          </w:tcPr>
          <w:p w14:paraId="01F8A02E">
            <w:pPr>
              <w:pStyle w:val="55"/>
              <w:rPr>
                <w:rFonts w:hint="eastAsia"/>
                <w:color w:val="000000" w:themeColor="text1"/>
                <w:sz w:val="24"/>
                <w:szCs w:val="24"/>
                <w:lang w:val="en-US" w:eastAsia="zh-CN"/>
                <w14:textFill>
                  <w14:solidFill>
                    <w14:schemeClr w14:val="tx1"/>
                  </w14:solidFill>
                </w14:textFill>
              </w:rPr>
            </w:pPr>
          </w:p>
        </w:tc>
        <w:tc>
          <w:tcPr>
            <w:tcW w:w="321" w:type="pct"/>
            <w:shd w:val="clear" w:color="auto" w:fill="auto"/>
            <w:vAlign w:val="center"/>
          </w:tcPr>
          <w:p w14:paraId="1B4ED3D2">
            <w:pPr>
              <w:pStyle w:val="55"/>
              <w:bidi w:val="0"/>
              <w:rPr>
                <w:rFonts w:hint="eastAsia"/>
                <w:color w:val="000000" w:themeColor="text1"/>
                <w:sz w:val="24"/>
                <w:szCs w:val="24"/>
                <w:lang w:val="en-US" w:eastAsia="zh-CN"/>
                <w14:textFill>
                  <w14:solidFill>
                    <w14:schemeClr w14:val="tx1"/>
                  </w14:solidFill>
                </w14:textFill>
              </w:rPr>
            </w:pPr>
            <w:r>
              <w:rPr>
                <w:rFonts w:hint="eastAsia"/>
                <w:sz w:val="24"/>
                <w:szCs w:val="24"/>
                <w:lang w:val="en-US" w:eastAsia="zh-CN"/>
              </w:rPr>
              <w:t>/</w:t>
            </w:r>
          </w:p>
        </w:tc>
        <w:tc>
          <w:tcPr>
            <w:tcW w:w="394" w:type="pct"/>
            <w:vAlign w:val="center"/>
          </w:tcPr>
          <w:p w14:paraId="5B49CFDF">
            <w:pPr>
              <w:pStyle w:val="55"/>
              <w:bidi w:val="0"/>
              <w:rPr>
                <w:rFonts w:hint="eastAsia"/>
                <w:color w:val="000000" w:themeColor="text1"/>
                <w:sz w:val="24"/>
                <w:szCs w:val="24"/>
                <w:lang w:val="en-US" w:eastAsia="zh-CN"/>
                <w14:textFill>
                  <w14:solidFill>
                    <w14:schemeClr w14:val="tx1"/>
                  </w14:solidFill>
                </w14:textFill>
              </w:rPr>
            </w:pPr>
            <w:r>
              <w:rPr>
                <w:rFonts w:hint="eastAsia"/>
                <w:sz w:val="24"/>
                <w:szCs w:val="24"/>
                <w:lang w:val="en-US" w:eastAsia="zh-CN"/>
              </w:rPr>
              <w:t>/</w:t>
            </w:r>
          </w:p>
        </w:tc>
        <w:tc>
          <w:tcPr>
            <w:tcW w:w="307" w:type="pct"/>
            <w:vAlign w:val="center"/>
          </w:tcPr>
          <w:p w14:paraId="1DE45E5B">
            <w:pPr>
              <w:pStyle w:val="55"/>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w:t>
            </w:r>
          </w:p>
        </w:tc>
        <w:tc>
          <w:tcPr>
            <w:tcW w:w="426" w:type="pct"/>
            <w:vAlign w:val="center"/>
          </w:tcPr>
          <w:p w14:paraId="7D70903E">
            <w:pPr>
              <w:pStyle w:val="55"/>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2000</w:t>
            </w:r>
          </w:p>
          <w:p w14:paraId="1CBB230A">
            <w:pPr>
              <w:pStyle w:val="55"/>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（无量纲）</w:t>
            </w:r>
          </w:p>
        </w:tc>
        <w:tc>
          <w:tcPr>
            <w:tcW w:w="1289" w:type="pct"/>
            <w:vAlign w:val="center"/>
          </w:tcPr>
          <w:p w14:paraId="24709EF1">
            <w:pPr>
              <w:pStyle w:val="55"/>
              <w:bidi w:val="0"/>
              <w:rPr>
                <w:rFonts w:hint="default"/>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《恶臭污染物排放标准》（GB14554-1993）</w:t>
            </w:r>
          </w:p>
          <w:p w14:paraId="58B5B5E9">
            <w:pPr>
              <w:pStyle w:val="55"/>
              <w:bidi w:val="0"/>
              <w:rPr>
                <w:color w:val="000000" w:themeColor="text1"/>
                <w:sz w:val="24"/>
                <w:szCs w:val="24"/>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表2恶臭污染物排放标准值</w:t>
            </w:r>
          </w:p>
        </w:tc>
        <w:tc>
          <w:tcPr>
            <w:tcW w:w="219" w:type="pct"/>
            <w:vMerge w:val="continue"/>
            <w:vAlign w:val="center"/>
          </w:tcPr>
          <w:p w14:paraId="30398618">
            <w:pPr>
              <w:pStyle w:val="55"/>
              <w:rPr>
                <w:color w:val="000000" w:themeColor="text1"/>
                <w:sz w:val="24"/>
                <w:szCs w:val="24"/>
                <w14:textFill>
                  <w14:solidFill>
                    <w14:schemeClr w14:val="tx1"/>
                  </w14:solidFill>
                </w14:textFill>
              </w:rPr>
            </w:pPr>
          </w:p>
        </w:tc>
      </w:tr>
      <w:tr w14:paraId="40EA1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0" w:hRule="atLeast"/>
          <w:jc w:val="center"/>
        </w:trPr>
        <w:tc>
          <w:tcPr>
            <w:tcW w:w="178" w:type="pct"/>
            <w:vMerge w:val="restart"/>
            <w:vAlign w:val="center"/>
          </w:tcPr>
          <w:p w14:paraId="50048B0B">
            <w:pPr>
              <w:pStyle w:val="55"/>
              <w:rPr>
                <w:rFonts w:hint="eastAsia" w:eastAsia="宋体"/>
                <w:color w:val="000000" w:themeColor="text1"/>
                <w:sz w:val="24"/>
                <w:szCs w:val="24"/>
                <w:lang w:val="en-US" w:eastAsia="zh-CN"/>
                <w14:textFill>
                  <w14:solidFill>
                    <w14:schemeClr w14:val="tx1"/>
                  </w14:solidFill>
                </w14:textFill>
              </w:rPr>
            </w:pPr>
            <w:r>
              <w:rPr>
                <w:rFonts w:hint="eastAsia" w:eastAsia="宋体"/>
                <w:color w:val="000000" w:themeColor="text1"/>
                <w:sz w:val="24"/>
                <w:szCs w:val="24"/>
                <w:lang w:val="en-US" w:eastAsia="zh-CN"/>
                <w14:textFill>
                  <w14:solidFill>
                    <w14:schemeClr w14:val="tx1"/>
                  </w14:solidFill>
                </w14:textFill>
              </w:rPr>
              <w:t>DA003</w:t>
            </w:r>
          </w:p>
        </w:tc>
        <w:tc>
          <w:tcPr>
            <w:tcW w:w="220" w:type="pct"/>
            <w:vMerge w:val="restart"/>
            <w:vAlign w:val="center"/>
          </w:tcPr>
          <w:p w14:paraId="1FF2834C">
            <w:pPr>
              <w:pStyle w:val="55"/>
              <w:rPr>
                <w:color w:val="000000" w:themeColor="text1"/>
                <w:sz w:val="24"/>
                <w:szCs w:val="24"/>
                <w14:textFill>
                  <w14:solidFill>
                    <w14:schemeClr w14:val="tx1"/>
                  </w14:solidFill>
                </w14:textFill>
              </w:rPr>
            </w:pPr>
            <w:r>
              <w:rPr>
                <w:rFonts w:hint="eastAsia"/>
                <w:sz w:val="24"/>
                <w:szCs w:val="24"/>
                <w:lang w:val="en-US" w:eastAsia="zh-CN"/>
              </w:rPr>
              <w:t>3</w:t>
            </w:r>
            <w:r>
              <w:rPr>
                <w:rFonts w:hint="eastAsia"/>
                <w:sz w:val="24"/>
                <w:szCs w:val="24"/>
              </w:rPr>
              <w:t>#生产车间</w:t>
            </w:r>
          </w:p>
        </w:tc>
        <w:tc>
          <w:tcPr>
            <w:tcW w:w="284" w:type="pct"/>
            <w:vMerge w:val="restart"/>
            <w:vAlign w:val="center"/>
          </w:tcPr>
          <w:p w14:paraId="7E0603B4">
            <w:pPr>
              <w:pStyle w:val="55"/>
              <w:bidi w:val="0"/>
              <w:jc w:val="center"/>
              <w:rPr>
                <w:rFonts w:hint="default"/>
                <w:color w:val="000000" w:themeColor="text1"/>
                <w:sz w:val="24"/>
                <w:szCs w:val="24"/>
                <w:lang w:val="en-US" w:eastAsia="zh-CN"/>
                <w14:textFill>
                  <w14:solidFill>
                    <w14:schemeClr w14:val="tx1"/>
                  </w14:solidFill>
                </w14:textFill>
              </w:rPr>
            </w:pPr>
            <w:r>
              <w:rPr>
                <w:rFonts w:hint="eastAsia" w:ascii="Times New Roman" w:hAnsi="Times New Roman" w:eastAsia="楷体" w:cs="Times New Roman"/>
                <w:sz w:val="24"/>
                <w:szCs w:val="24"/>
                <w:lang w:val="en-US" w:eastAsia="zh-CN"/>
              </w:rPr>
              <w:t>投料</w:t>
            </w:r>
            <w:r>
              <w:rPr>
                <w:rFonts w:hint="eastAsia" w:ascii="Times New Roman" w:hAnsi="Times New Roman" w:cs="Times New Roman"/>
                <w:sz w:val="24"/>
                <w:szCs w:val="24"/>
                <w:lang w:val="en-US" w:eastAsia="zh-CN"/>
              </w:rPr>
              <w:t>、</w:t>
            </w:r>
            <w:r>
              <w:rPr>
                <w:rFonts w:hint="eastAsia" w:ascii="Times New Roman" w:hAnsi="Times New Roman" w:eastAsia="楷体" w:cs="Times New Roman"/>
                <w:sz w:val="24"/>
                <w:szCs w:val="24"/>
                <w:lang w:val="en-US" w:eastAsia="zh-CN"/>
              </w:rPr>
              <w:t>搅拌</w:t>
            </w:r>
            <w:r>
              <w:rPr>
                <w:rFonts w:hint="eastAsia" w:ascii="Times New Roman" w:hAnsi="Times New Roman" w:cs="Times New Roman"/>
                <w:sz w:val="24"/>
                <w:szCs w:val="24"/>
                <w:lang w:val="en-US" w:eastAsia="zh-CN"/>
              </w:rPr>
              <w:t>，挤出</w:t>
            </w:r>
            <w:r>
              <w:rPr>
                <w:rFonts w:hint="default" w:ascii="Times New Roman" w:hAnsi="Times New Roman" w:eastAsia="楷体" w:cs="Times New Roman"/>
                <w:sz w:val="24"/>
                <w:szCs w:val="24"/>
                <w:lang w:val="en-US" w:eastAsia="zh-CN"/>
              </w:rPr>
              <w:t>工序</w:t>
            </w:r>
          </w:p>
        </w:tc>
        <w:tc>
          <w:tcPr>
            <w:tcW w:w="483" w:type="pct"/>
            <w:shd w:val="clear" w:color="auto" w:fill="auto"/>
            <w:vAlign w:val="center"/>
          </w:tcPr>
          <w:p w14:paraId="13C875B1">
            <w:pPr>
              <w:pStyle w:val="55"/>
              <w:rPr>
                <w:color w:val="000000" w:themeColor="text1"/>
                <w:kern w:val="24"/>
                <w:sz w:val="24"/>
                <w:szCs w:val="24"/>
                <w14:textFill>
                  <w14:solidFill>
                    <w14:schemeClr w14:val="tx1"/>
                  </w14:solidFill>
                </w14:textFill>
              </w:rPr>
            </w:pPr>
            <w:r>
              <w:rPr>
                <w:rFonts w:hint="eastAsia"/>
                <w:sz w:val="24"/>
                <w:szCs w:val="24"/>
                <w:lang w:val="en-US" w:eastAsia="zh-CN"/>
              </w:rPr>
              <w:t>颗粒物</w:t>
            </w:r>
          </w:p>
        </w:tc>
        <w:tc>
          <w:tcPr>
            <w:tcW w:w="282" w:type="pct"/>
            <w:vMerge w:val="restart"/>
            <w:vAlign w:val="center"/>
          </w:tcPr>
          <w:p w14:paraId="41959CBC">
            <w:pPr>
              <w:pStyle w:val="55"/>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15</w:t>
            </w:r>
          </w:p>
        </w:tc>
        <w:tc>
          <w:tcPr>
            <w:tcW w:w="262" w:type="pct"/>
            <w:vMerge w:val="restart"/>
            <w:vAlign w:val="center"/>
          </w:tcPr>
          <w:p w14:paraId="69536686">
            <w:pPr>
              <w:pStyle w:val="55"/>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0.8</w:t>
            </w:r>
          </w:p>
        </w:tc>
        <w:tc>
          <w:tcPr>
            <w:tcW w:w="330" w:type="pct"/>
            <w:vMerge w:val="restart"/>
            <w:vAlign w:val="center"/>
          </w:tcPr>
          <w:p w14:paraId="1BC304EA">
            <w:pPr>
              <w:pStyle w:val="55"/>
              <w:rPr>
                <w:rFonts w:hint="default" w:eastAsia="宋体"/>
                <w:color w:val="000000" w:themeColor="text1"/>
                <w:sz w:val="24"/>
                <w:szCs w:val="24"/>
                <w:lang w:val="en-US" w:eastAsia="zh-CN"/>
                <w14:textFill>
                  <w14:solidFill>
                    <w14:schemeClr w14:val="tx1"/>
                  </w14:solidFill>
                </w14:textFill>
              </w:rPr>
            </w:pPr>
            <w:r>
              <w:rPr>
                <w:rFonts w:hint="eastAsia" w:eastAsia="宋体"/>
                <w:color w:val="000000" w:themeColor="text1"/>
                <w:sz w:val="24"/>
                <w:szCs w:val="24"/>
                <w:lang w:val="en-US" w:eastAsia="zh-CN"/>
                <w14:textFill>
                  <w14:solidFill>
                    <w14:schemeClr w14:val="tx1"/>
                  </w14:solidFill>
                </w14:textFill>
              </w:rPr>
              <w:t>30000</w:t>
            </w:r>
          </w:p>
        </w:tc>
        <w:tc>
          <w:tcPr>
            <w:tcW w:w="321" w:type="pct"/>
            <w:shd w:val="clear" w:color="auto" w:fill="auto"/>
            <w:vAlign w:val="center"/>
          </w:tcPr>
          <w:p w14:paraId="7AA7D193">
            <w:pPr>
              <w:pStyle w:val="55"/>
              <w:bidi w:val="0"/>
              <w:rPr>
                <w:rFonts w:hint="default" w:eastAsia="楷体"/>
                <w:color w:val="000000" w:themeColor="text1"/>
                <w:sz w:val="24"/>
                <w:szCs w:val="24"/>
                <w:lang w:val="en-US" w:eastAsia="zh-CN"/>
                <w14:textFill>
                  <w14:solidFill>
                    <w14:schemeClr w14:val="tx1"/>
                  </w14:solidFill>
                </w14:textFill>
              </w:rPr>
            </w:pPr>
            <w:r>
              <w:rPr>
                <w:rFonts w:hint="eastAsia"/>
                <w:sz w:val="24"/>
                <w:szCs w:val="24"/>
                <w:lang w:val="en-US" w:eastAsia="zh-CN"/>
              </w:rPr>
              <w:t>0.094</w:t>
            </w:r>
          </w:p>
        </w:tc>
        <w:tc>
          <w:tcPr>
            <w:tcW w:w="394" w:type="pct"/>
            <w:vAlign w:val="center"/>
          </w:tcPr>
          <w:p w14:paraId="27CCCC3C">
            <w:pPr>
              <w:pStyle w:val="55"/>
              <w:bidi w:val="0"/>
              <w:rPr>
                <w:color w:val="000000" w:themeColor="text1"/>
                <w:sz w:val="24"/>
                <w:szCs w:val="24"/>
                <w14:textFill>
                  <w14:solidFill>
                    <w14:schemeClr w14:val="tx1"/>
                  </w14:solidFill>
                </w14:textFill>
              </w:rPr>
            </w:pPr>
            <w:r>
              <w:rPr>
                <w:rFonts w:hint="eastAsia"/>
                <w:sz w:val="24"/>
                <w:szCs w:val="24"/>
                <w:lang w:val="en-US" w:eastAsia="zh-CN"/>
              </w:rPr>
              <w:t>3.142</w:t>
            </w:r>
          </w:p>
        </w:tc>
        <w:tc>
          <w:tcPr>
            <w:tcW w:w="307" w:type="pct"/>
            <w:vAlign w:val="center"/>
          </w:tcPr>
          <w:p w14:paraId="09D8B28C">
            <w:pPr>
              <w:pStyle w:val="55"/>
              <w:rPr>
                <w:rFonts w:hint="eastAsia" w:eastAsia="宋体"/>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w:t>
            </w:r>
          </w:p>
        </w:tc>
        <w:tc>
          <w:tcPr>
            <w:tcW w:w="426" w:type="pct"/>
            <w:vAlign w:val="center"/>
          </w:tcPr>
          <w:p w14:paraId="52699521">
            <w:pPr>
              <w:pStyle w:val="55"/>
              <w:rPr>
                <w:rFonts w:hint="default" w:eastAsia="宋体"/>
                <w:color w:val="000000" w:themeColor="text1"/>
                <w:sz w:val="24"/>
                <w:szCs w:val="24"/>
                <w:lang w:val="en-US" w:eastAsia="zh-CN"/>
                <w14:textFill>
                  <w14:solidFill>
                    <w14:schemeClr w14:val="tx1"/>
                  </w14:solidFill>
                </w14:textFill>
              </w:rPr>
            </w:pPr>
            <w:r>
              <w:rPr>
                <w:rFonts w:hint="eastAsia" w:eastAsia="宋体"/>
                <w:color w:val="000000" w:themeColor="text1"/>
                <w:sz w:val="24"/>
                <w:szCs w:val="24"/>
                <w:lang w:val="en-US" w:eastAsia="zh-CN"/>
                <w14:textFill>
                  <w14:solidFill>
                    <w14:schemeClr w14:val="tx1"/>
                  </w14:solidFill>
                </w14:textFill>
              </w:rPr>
              <w:t>20</w:t>
            </w:r>
          </w:p>
        </w:tc>
        <w:tc>
          <w:tcPr>
            <w:tcW w:w="1289" w:type="pct"/>
            <w:vAlign w:val="center"/>
          </w:tcPr>
          <w:p w14:paraId="7FE8D417">
            <w:pPr>
              <w:pStyle w:val="55"/>
              <w:bidi w:val="0"/>
              <w:rPr>
                <w:color w:val="000000" w:themeColor="text1"/>
                <w:sz w:val="24"/>
                <w:szCs w:val="24"/>
                <w14:textFill>
                  <w14:solidFill>
                    <w14:schemeClr w14:val="tx1"/>
                  </w14:solidFill>
                </w14:textFill>
              </w:rPr>
            </w:pPr>
            <w:r>
              <w:rPr>
                <w:rFonts w:hint="eastAsia"/>
                <w:sz w:val="24"/>
                <w:szCs w:val="24"/>
                <w:lang w:val="en-US" w:eastAsia="zh-CN"/>
              </w:rPr>
              <w:t>《合成树脂工业污染物排放标准》（GB31572-2015）及修改单表5大气污染物特别排放限值</w:t>
            </w:r>
          </w:p>
        </w:tc>
        <w:tc>
          <w:tcPr>
            <w:tcW w:w="219" w:type="pct"/>
            <w:vMerge w:val="restart"/>
            <w:vAlign w:val="center"/>
          </w:tcPr>
          <w:p w14:paraId="77B33FA6">
            <w:pPr>
              <w:pStyle w:val="55"/>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达标</w:t>
            </w:r>
          </w:p>
        </w:tc>
      </w:tr>
      <w:tr w14:paraId="5956E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30" w:hRule="atLeast"/>
          <w:jc w:val="center"/>
        </w:trPr>
        <w:tc>
          <w:tcPr>
            <w:tcW w:w="178" w:type="pct"/>
            <w:vMerge w:val="continue"/>
            <w:vAlign w:val="center"/>
          </w:tcPr>
          <w:p w14:paraId="51220B1C">
            <w:pPr>
              <w:pStyle w:val="55"/>
              <w:rPr>
                <w:rFonts w:hint="eastAsia"/>
                <w:color w:val="000000" w:themeColor="text1"/>
                <w:sz w:val="24"/>
                <w:szCs w:val="24"/>
                <w14:textFill>
                  <w14:solidFill>
                    <w14:schemeClr w14:val="tx1"/>
                  </w14:solidFill>
                </w14:textFill>
              </w:rPr>
            </w:pPr>
          </w:p>
        </w:tc>
        <w:tc>
          <w:tcPr>
            <w:tcW w:w="220" w:type="pct"/>
            <w:vMerge w:val="continue"/>
            <w:vAlign w:val="center"/>
          </w:tcPr>
          <w:p w14:paraId="50711444">
            <w:pPr>
              <w:pStyle w:val="55"/>
              <w:bidi w:val="0"/>
              <w:jc w:val="center"/>
              <w:rPr>
                <w:color w:val="000000" w:themeColor="text1"/>
                <w:sz w:val="24"/>
                <w:szCs w:val="24"/>
                <w14:textFill>
                  <w14:solidFill>
                    <w14:schemeClr w14:val="tx1"/>
                  </w14:solidFill>
                </w14:textFill>
              </w:rPr>
            </w:pPr>
          </w:p>
        </w:tc>
        <w:tc>
          <w:tcPr>
            <w:tcW w:w="284" w:type="pct"/>
            <w:vMerge w:val="continue"/>
            <w:vAlign w:val="center"/>
          </w:tcPr>
          <w:p w14:paraId="084EAF61">
            <w:pPr>
              <w:pStyle w:val="55"/>
              <w:bidi w:val="0"/>
              <w:jc w:val="center"/>
              <w:rPr>
                <w:rFonts w:hint="eastAsia"/>
                <w:color w:val="000000" w:themeColor="text1"/>
                <w:sz w:val="24"/>
                <w:szCs w:val="24"/>
                <w:lang w:val="en-US" w:eastAsia="zh-CN"/>
                <w14:textFill>
                  <w14:solidFill>
                    <w14:schemeClr w14:val="tx1"/>
                  </w14:solidFill>
                </w14:textFill>
              </w:rPr>
            </w:pPr>
          </w:p>
        </w:tc>
        <w:tc>
          <w:tcPr>
            <w:tcW w:w="483" w:type="pct"/>
            <w:shd w:val="clear" w:color="auto" w:fill="auto"/>
            <w:vAlign w:val="center"/>
          </w:tcPr>
          <w:p w14:paraId="5A2CC331">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default" w:ascii="Times New Roman" w:hAnsi="Times New Roman" w:eastAsia="宋体" w:cstheme="minorBidi"/>
                <w:snapToGrid w:val="0"/>
                <w:color w:val="000000" w:themeColor="text1"/>
                <w:kern w:val="24"/>
                <w:sz w:val="24"/>
                <w:szCs w:val="24"/>
                <w:lang w:val="en-US" w:eastAsia="zh-CN" w:bidi="ar-SA"/>
                <w14:textFill>
                  <w14:solidFill>
                    <w14:schemeClr w14:val="tx1"/>
                  </w14:solidFill>
                </w14:textFill>
              </w:rPr>
            </w:pPr>
            <w:r>
              <w:rPr>
                <w:rFonts w:hint="eastAsia" w:ascii="Times New Roman" w:hAnsi="Times New Roman" w:eastAsia="楷体" w:cs="Times New Roman"/>
                <w:sz w:val="24"/>
                <w:szCs w:val="24"/>
                <w:lang w:val="en-US" w:eastAsia="zh-CN"/>
              </w:rPr>
              <w:t>非甲烷总烃</w:t>
            </w:r>
          </w:p>
        </w:tc>
        <w:tc>
          <w:tcPr>
            <w:tcW w:w="282" w:type="pct"/>
            <w:vMerge w:val="continue"/>
            <w:vAlign w:val="center"/>
          </w:tcPr>
          <w:p w14:paraId="718CCE7F">
            <w:pPr>
              <w:pStyle w:val="55"/>
              <w:rPr>
                <w:color w:val="000000" w:themeColor="text1"/>
                <w:sz w:val="24"/>
                <w:szCs w:val="24"/>
                <w14:textFill>
                  <w14:solidFill>
                    <w14:schemeClr w14:val="tx1"/>
                  </w14:solidFill>
                </w14:textFill>
              </w:rPr>
            </w:pPr>
          </w:p>
        </w:tc>
        <w:tc>
          <w:tcPr>
            <w:tcW w:w="262" w:type="pct"/>
            <w:vMerge w:val="continue"/>
            <w:vAlign w:val="center"/>
          </w:tcPr>
          <w:p w14:paraId="3CE006A3">
            <w:pPr>
              <w:pStyle w:val="55"/>
              <w:rPr>
                <w:color w:val="000000" w:themeColor="text1"/>
                <w:sz w:val="24"/>
                <w:szCs w:val="24"/>
                <w14:textFill>
                  <w14:solidFill>
                    <w14:schemeClr w14:val="tx1"/>
                  </w14:solidFill>
                </w14:textFill>
              </w:rPr>
            </w:pPr>
          </w:p>
        </w:tc>
        <w:tc>
          <w:tcPr>
            <w:tcW w:w="330" w:type="pct"/>
            <w:vMerge w:val="continue"/>
            <w:vAlign w:val="center"/>
          </w:tcPr>
          <w:p w14:paraId="1B0BED1B">
            <w:pPr>
              <w:pStyle w:val="55"/>
              <w:rPr>
                <w:color w:val="000000" w:themeColor="text1"/>
                <w:sz w:val="24"/>
                <w:szCs w:val="24"/>
                <w14:textFill>
                  <w14:solidFill>
                    <w14:schemeClr w14:val="tx1"/>
                  </w14:solidFill>
                </w14:textFill>
              </w:rPr>
            </w:pPr>
          </w:p>
        </w:tc>
        <w:tc>
          <w:tcPr>
            <w:tcW w:w="321" w:type="pct"/>
            <w:shd w:val="clear" w:color="auto" w:fill="auto"/>
            <w:vAlign w:val="center"/>
          </w:tcPr>
          <w:p w14:paraId="08ED8295">
            <w:pPr>
              <w:pStyle w:val="55"/>
              <w:bidi w:val="0"/>
              <w:rPr>
                <w:rFonts w:hint="default" w:eastAsia="楷体"/>
                <w:color w:val="000000" w:themeColor="text1"/>
                <w:sz w:val="24"/>
                <w:szCs w:val="24"/>
                <w:lang w:val="en-US" w:eastAsia="zh-CN"/>
                <w14:textFill>
                  <w14:solidFill>
                    <w14:schemeClr w14:val="tx1"/>
                  </w14:solidFill>
                </w14:textFill>
              </w:rPr>
            </w:pPr>
            <w:r>
              <w:rPr>
                <w:rFonts w:hint="eastAsia" w:ascii="Times New Roman" w:hAnsi="Times New Roman"/>
                <w:sz w:val="24"/>
                <w:szCs w:val="24"/>
                <w:lang w:val="en-US" w:eastAsia="zh-CN"/>
              </w:rPr>
              <w:t>0.158</w:t>
            </w:r>
          </w:p>
        </w:tc>
        <w:tc>
          <w:tcPr>
            <w:tcW w:w="394" w:type="pct"/>
            <w:vAlign w:val="center"/>
          </w:tcPr>
          <w:p w14:paraId="468FC80D">
            <w:pPr>
              <w:pStyle w:val="55"/>
              <w:bidi w:val="0"/>
              <w:rPr>
                <w:color w:val="000000" w:themeColor="text1"/>
                <w:sz w:val="24"/>
                <w:szCs w:val="24"/>
                <w14:textFill>
                  <w14:solidFill>
                    <w14:schemeClr w14:val="tx1"/>
                  </w14:solidFill>
                </w14:textFill>
              </w:rPr>
            </w:pPr>
            <w:r>
              <w:rPr>
                <w:rFonts w:hint="eastAsia" w:ascii="Times New Roman" w:hAnsi="Times New Roman"/>
                <w:sz w:val="24"/>
                <w:szCs w:val="24"/>
                <w:lang w:val="en-US" w:eastAsia="zh-CN"/>
              </w:rPr>
              <w:t>5.271</w:t>
            </w:r>
          </w:p>
        </w:tc>
        <w:tc>
          <w:tcPr>
            <w:tcW w:w="307" w:type="pct"/>
            <w:vAlign w:val="center"/>
          </w:tcPr>
          <w:p w14:paraId="4053C9F2">
            <w:pPr>
              <w:pStyle w:val="55"/>
              <w:rPr>
                <w:rFonts w:hint="eastAsia" w:eastAsia="宋体"/>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w:t>
            </w:r>
          </w:p>
        </w:tc>
        <w:tc>
          <w:tcPr>
            <w:tcW w:w="426" w:type="pct"/>
            <w:vAlign w:val="center"/>
          </w:tcPr>
          <w:p w14:paraId="323141E6">
            <w:pPr>
              <w:pStyle w:val="55"/>
              <w:rPr>
                <w:rFonts w:hint="default" w:eastAsia="宋体"/>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40</w:t>
            </w:r>
          </w:p>
        </w:tc>
        <w:tc>
          <w:tcPr>
            <w:tcW w:w="1289" w:type="pct"/>
            <w:vAlign w:val="center"/>
          </w:tcPr>
          <w:p w14:paraId="25A14A07">
            <w:pPr>
              <w:pStyle w:val="55"/>
              <w:bidi w:val="0"/>
              <w:rPr>
                <w:color w:val="000000" w:themeColor="text1"/>
                <w:sz w:val="24"/>
                <w:szCs w:val="24"/>
                <w14:textFill>
                  <w14:solidFill>
                    <w14:schemeClr w14:val="tx1"/>
                  </w14:solidFill>
                </w14:textFill>
              </w:rPr>
            </w:pPr>
            <w:r>
              <w:rPr>
                <w:rFonts w:hint="eastAsia"/>
                <w:sz w:val="24"/>
                <w:szCs w:val="24"/>
                <w:lang w:val="en-US" w:eastAsia="zh-CN"/>
              </w:rPr>
              <w:t>河北省地方标准</w:t>
            </w:r>
            <w:r>
              <w:rPr>
                <w:rFonts w:hint="eastAsia"/>
                <w:color w:val="auto"/>
                <w:kern w:val="0"/>
                <w:sz w:val="24"/>
                <w:szCs w:val="24"/>
              </w:rPr>
              <w:t>《工业企业挥发性有机物排放控制标准》（DB13/2322-2016）原排放限值的50%</w:t>
            </w:r>
          </w:p>
        </w:tc>
        <w:tc>
          <w:tcPr>
            <w:tcW w:w="219" w:type="pct"/>
            <w:vMerge w:val="continue"/>
            <w:vAlign w:val="center"/>
          </w:tcPr>
          <w:p w14:paraId="57E9DDB0">
            <w:pPr>
              <w:pStyle w:val="55"/>
              <w:rPr>
                <w:color w:val="000000" w:themeColor="text1"/>
                <w:sz w:val="24"/>
                <w:szCs w:val="24"/>
                <w14:textFill>
                  <w14:solidFill>
                    <w14:schemeClr w14:val="tx1"/>
                  </w14:solidFill>
                </w14:textFill>
              </w:rPr>
            </w:pPr>
          </w:p>
        </w:tc>
      </w:tr>
      <w:tr w14:paraId="18E9A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1" w:hRule="atLeast"/>
          <w:jc w:val="center"/>
        </w:trPr>
        <w:tc>
          <w:tcPr>
            <w:tcW w:w="178" w:type="pct"/>
            <w:vMerge w:val="continue"/>
            <w:vAlign w:val="center"/>
          </w:tcPr>
          <w:p w14:paraId="1972AFC8">
            <w:pPr>
              <w:pStyle w:val="55"/>
              <w:rPr>
                <w:rFonts w:hint="eastAsia"/>
                <w:color w:val="000000" w:themeColor="text1"/>
                <w:sz w:val="24"/>
                <w:szCs w:val="24"/>
                <w14:textFill>
                  <w14:solidFill>
                    <w14:schemeClr w14:val="tx1"/>
                  </w14:solidFill>
                </w14:textFill>
              </w:rPr>
            </w:pPr>
          </w:p>
        </w:tc>
        <w:tc>
          <w:tcPr>
            <w:tcW w:w="220" w:type="pct"/>
            <w:vMerge w:val="continue"/>
            <w:vAlign w:val="center"/>
          </w:tcPr>
          <w:p w14:paraId="4E8E4360">
            <w:pPr>
              <w:pStyle w:val="55"/>
              <w:bidi w:val="0"/>
              <w:jc w:val="center"/>
              <w:rPr>
                <w:color w:val="000000" w:themeColor="text1"/>
                <w:sz w:val="24"/>
                <w:szCs w:val="24"/>
                <w14:textFill>
                  <w14:solidFill>
                    <w14:schemeClr w14:val="tx1"/>
                  </w14:solidFill>
                </w14:textFill>
              </w:rPr>
            </w:pPr>
          </w:p>
        </w:tc>
        <w:tc>
          <w:tcPr>
            <w:tcW w:w="284" w:type="pct"/>
            <w:vMerge w:val="continue"/>
            <w:vAlign w:val="center"/>
          </w:tcPr>
          <w:p w14:paraId="5C6BB288">
            <w:pPr>
              <w:pStyle w:val="55"/>
              <w:bidi w:val="0"/>
              <w:jc w:val="center"/>
              <w:rPr>
                <w:rFonts w:hint="eastAsia"/>
                <w:color w:val="000000" w:themeColor="text1"/>
                <w:sz w:val="24"/>
                <w:szCs w:val="24"/>
                <w:lang w:val="en-US" w:eastAsia="zh-CN"/>
                <w14:textFill>
                  <w14:solidFill>
                    <w14:schemeClr w14:val="tx1"/>
                  </w14:solidFill>
                </w14:textFill>
              </w:rPr>
            </w:pPr>
          </w:p>
        </w:tc>
        <w:tc>
          <w:tcPr>
            <w:tcW w:w="483" w:type="pct"/>
            <w:shd w:val="clear" w:color="auto" w:fill="auto"/>
            <w:vAlign w:val="center"/>
          </w:tcPr>
          <w:p w14:paraId="46285B29">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eastAsia" w:ascii="Times New Roman" w:hAnsi="Times New Roman" w:eastAsia="宋体" w:cstheme="minorBidi"/>
                <w:snapToGrid w:val="0"/>
                <w:color w:val="000000" w:themeColor="text1"/>
                <w:kern w:val="24"/>
                <w:sz w:val="24"/>
                <w:szCs w:val="24"/>
                <w:lang w:val="en-US" w:eastAsia="zh-CN" w:bidi="ar-SA"/>
                <w14:textFill>
                  <w14:solidFill>
                    <w14:schemeClr w14:val="tx1"/>
                  </w14:solidFill>
                </w14:textFill>
              </w:rPr>
            </w:pPr>
            <w:r>
              <w:rPr>
                <w:rFonts w:hint="default" w:ascii="Times New Roman" w:hAnsi="Times New Roman" w:eastAsia="楷体" w:cs="Times New Roman"/>
                <w:sz w:val="24"/>
                <w:szCs w:val="24"/>
                <w:lang w:val="en-US" w:eastAsia="zh-CN"/>
              </w:rPr>
              <w:t>氯化氢</w:t>
            </w:r>
          </w:p>
        </w:tc>
        <w:tc>
          <w:tcPr>
            <w:tcW w:w="282" w:type="pct"/>
            <w:vMerge w:val="continue"/>
            <w:vAlign w:val="center"/>
          </w:tcPr>
          <w:p w14:paraId="04A66B02">
            <w:pPr>
              <w:pStyle w:val="55"/>
              <w:rPr>
                <w:color w:val="000000" w:themeColor="text1"/>
                <w:sz w:val="24"/>
                <w:szCs w:val="24"/>
                <w14:textFill>
                  <w14:solidFill>
                    <w14:schemeClr w14:val="tx1"/>
                  </w14:solidFill>
                </w14:textFill>
              </w:rPr>
            </w:pPr>
          </w:p>
        </w:tc>
        <w:tc>
          <w:tcPr>
            <w:tcW w:w="262" w:type="pct"/>
            <w:vMerge w:val="continue"/>
            <w:vAlign w:val="center"/>
          </w:tcPr>
          <w:p w14:paraId="4ED0878E">
            <w:pPr>
              <w:pStyle w:val="55"/>
              <w:rPr>
                <w:color w:val="000000" w:themeColor="text1"/>
                <w:sz w:val="24"/>
                <w:szCs w:val="24"/>
                <w14:textFill>
                  <w14:solidFill>
                    <w14:schemeClr w14:val="tx1"/>
                  </w14:solidFill>
                </w14:textFill>
              </w:rPr>
            </w:pPr>
          </w:p>
        </w:tc>
        <w:tc>
          <w:tcPr>
            <w:tcW w:w="330" w:type="pct"/>
            <w:vMerge w:val="continue"/>
            <w:vAlign w:val="center"/>
          </w:tcPr>
          <w:p w14:paraId="0F9E3CB7">
            <w:pPr>
              <w:pStyle w:val="55"/>
              <w:rPr>
                <w:color w:val="000000" w:themeColor="text1"/>
                <w:sz w:val="24"/>
                <w:szCs w:val="24"/>
                <w14:textFill>
                  <w14:solidFill>
                    <w14:schemeClr w14:val="tx1"/>
                  </w14:solidFill>
                </w14:textFill>
              </w:rPr>
            </w:pPr>
          </w:p>
        </w:tc>
        <w:tc>
          <w:tcPr>
            <w:tcW w:w="321" w:type="pct"/>
            <w:shd w:val="clear" w:color="auto" w:fill="auto"/>
            <w:vAlign w:val="center"/>
          </w:tcPr>
          <w:p w14:paraId="2942F0F3">
            <w:pPr>
              <w:pStyle w:val="55"/>
              <w:bidi w:val="0"/>
              <w:rPr>
                <w:rFonts w:hint="default" w:eastAsia="楷体"/>
                <w:color w:val="000000" w:themeColor="text1"/>
                <w:sz w:val="24"/>
                <w:szCs w:val="24"/>
                <w:lang w:val="en-US" w:eastAsia="zh-CN"/>
                <w14:textFill>
                  <w14:solidFill>
                    <w14:schemeClr w14:val="tx1"/>
                  </w14:solidFill>
                </w14:textFill>
              </w:rPr>
            </w:pPr>
            <w:r>
              <w:rPr>
                <w:rFonts w:hint="eastAsia" w:ascii="Times New Roman" w:hAnsi="Times New Roman"/>
                <w:sz w:val="24"/>
                <w:szCs w:val="24"/>
                <w:lang w:val="en-US" w:eastAsia="zh-CN"/>
              </w:rPr>
              <w:t>0.0001</w:t>
            </w:r>
          </w:p>
        </w:tc>
        <w:tc>
          <w:tcPr>
            <w:tcW w:w="394" w:type="pct"/>
            <w:vAlign w:val="center"/>
          </w:tcPr>
          <w:p w14:paraId="779C73AE">
            <w:pPr>
              <w:pStyle w:val="55"/>
              <w:bidi w:val="0"/>
              <w:rPr>
                <w:color w:val="000000" w:themeColor="text1"/>
                <w:sz w:val="24"/>
                <w:szCs w:val="24"/>
                <w14:textFill>
                  <w14:solidFill>
                    <w14:schemeClr w14:val="tx1"/>
                  </w14:solidFill>
                </w14:textFill>
              </w:rPr>
            </w:pPr>
            <w:r>
              <w:rPr>
                <w:rFonts w:hint="eastAsia" w:ascii="Times New Roman" w:hAnsi="Times New Roman"/>
                <w:sz w:val="24"/>
                <w:szCs w:val="24"/>
                <w:lang w:val="en-US" w:eastAsia="zh-CN"/>
              </w:rPr>
              <w:t>0.0034</w:t>
            </w:r>
          </w:p>
        </w:tc>
        <w:tc>
          <w:tcPr>
            <w:tcW w:w="307" w:type="pct"/>
            <w:vAlign w:val="center"/>
          </w:tcPr>
          <w:p w14:paraId="08166A02">
            <w:pPr>
              <w:pStyle w:val="55"/>
              <w:rPr>
                <w:rFonts w:hint="eastAsia" w:eastAsia="宋体"/>
                <w:color w:val="000000" w:themeColor="text1"/>
                <w:sz w:val="24"/>
                <w:szCs w:val="24"/>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0.26</w:t>
            </w:r>
          </w:p>
        </w:tc>
        <w:tc>
          <w:tcPr>
            <w:tcW w:w="426" w:type="pct"/>
            <w:vAlign w:val="center"/>
          </w:tcPr>
          <w:p w14:paraId="22857D02">
            <w:pPr>
              <w:pStyle w:val="55"/>
              <w:rPr>
                <w:rFonts w:hint="default" w:eastAsia="宋体"/>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100</w:t>
            </w:r>
          </w:p>
        </w:tc>
        <w:tc>
          <w:tcPr>
            <w:tcW w:w="1289" w:type="pct"/>
            <w:vAlign w:val="center"/>
          </w:tcPr>
          <w:p w14:paraId="45F14E78">
            <w:pPr>
              <w:pStyle w:val="55"/>
              <w:bidi w:val="0"/>
              <w:rPr>
                <w:rFonts w:hint="default"/>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《大气污染物综合排放标准》</w:t>
            </w:r>
          </w:p>
          <w:p w14:paraId="64F7DFAB">
            <w:pPr>
              <w:pStyle w:val="55"/>
              <w:bidi w:val="0"/>
              <w:rPr>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（GB16297-1996）表2中的二级标准</w:t>
            </w:r>
          </w:p>
        </w:tc>
        <w:tc>
          <w:tcPr>
            <w:tcW w:w="219" w:type="pct"/>
            <w:vMerge w:val="continue"/>
            <w:vAlign w:val="center"/>
          </w:tcPr>
          <w:p w14:paraId="0CAB26E5">
            <w:pPr>
              <w:pStyle w:val="55"/>
              <w:rPr>
                <w:color w:val="000000" w:themeColor="text1"/>
                <w:sz w:val="24"/>
                <w:szCs w:val="24"/>
                <w14:textFill>
                  <w14:solidFill>
                    <w14:schemeClr w14:val="tx1"/>
                  </w14:solidFill>
                </w14:textFill>
              </w:rPr>
            </w:pPr>
          </w:p>
        </w:tc>
      </w:tr>
      <w:tr w14:paraId="32E78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0" w:hRule="atLeast"/>
          <w:jc w:val="center"/>
        </w:trPr>
        <w:tc>
          <w:tcPr>
            <w:tcW w:w="178" w:type="pct"/>
            <w:vMerge w:val="continue"/>
            <w:vAlign w:val="center"/>
          </w:tcPr>
          <w:p w14:paraId="388860E2">
            <w:pPr>
              <w:pStyle w:val="55"/>
              <w:rPr>
                <w:rFonts w:hint="eastAsia"/>
                <w:color w:val="000000" w:themeColor="text1"/>
                <w:sz w:val="24"/>
                <w:szCs w:val="24"/>
                <w14:textFill>
                  <w14:solidFill>
                    <w14:schemeClr w14:val="tx1"/>
                  </w14:solidFill>
                </w14:textFill>
              </w:rPr>
            </w:pPr>
          </w:p>
        </w:tc>
        <w:tc>
          <w:tcPr>
            <w:tcW w:w="220" w:type="pct"/>
            <w:vMerge w:val="continue"/>
            <w:vAlign w:val="center"/>
          </w:tcPr>
          <w:p w14:paraId="2516E403">
            <w:pPr>
              <w:pStyle w:val="55"/>
              <w:bidi w:val="0"/>
              <w:jc w:val="center"/>
              <w:rPr>
                <w:color w:val="000000" w:themeColor="text1"/>
                <w:sz w:val="24"/>
                <w:szCs w:val="24"/>
                <w14:textFill>
                  <w14:solidFill>
                    <w14:schemeClr w14:val="tx1"/>
                  </w14:solidFill>
                </w14:textFill>
              </w:rPr>
            </w:pPr>
          </w:p>
        </w:tc>
        <w:tc>
          <w:tcPr>
            <w:tcW w:w="284" w:type="pct"/>
            <w:vMerge w:val="continue"/>
            <w:vAlign w:val="center"/>
          </w:tcPr>
          <w:p w14:paraId="5EBFF693">
            <w:pPr>
              <w:pStyle w:val="55"/>
              <w:bidi w:val="0"/>
              <w:jc w:val="center"/>
              <w:rPr>
                <w:rFonts w:hint="eastAsia"/>
                <w:color w:val="000000" w:themeColor="text1"/>
                <w:sz w:val="24"/>
                <w:szCs w:val="24"/>
                <w:lang w:val="en-US" w:eastAsia="zh-CN"/>
                <w14:textFill>
                  <w14:solidFill>
                    <w14:schemeClr w14:val="tx1"/>
                  </w14:solidFill>
                </w14:textFill>
              </w:rPr>
            </w:pPr>
          </w:p>
        </w:tc>
        <w:tc>
          <w:tcPr>
            <w:tcW w:w="483" w:type="pct"/>
            <w:shd w:val="clear" w:color="auto" w:fill="auto"/>
            <w:vAlign w:val="center"/>
          </w:tcPr>
          <w:p w14:paraId="05760313">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eastAsia" w:ascii="Times New Roman" w:hAnsi="Times New Roman" w:eastAsia="宋体" w:cstheme="minorBidi"/>
                <w:snapToGrid w:val="0"/>
                <w:color w:val="000000" w:themeColor="text1"/>
                <w:kern w:val="24"/>
                <w:sz w:val="24"/>
                <w:szCs w:val="24"/>
                <w:lang w:val="en-US" w:eastAsia="zh-CN" w:bidi="ar-SA"/>
                <w14:textFill>
                  <w14:solidFill>
                    <w14:schemeClr w14:val="tx1"/>
                  </w14:solidFill>
                </w14:textFill>
              </w:rPr>
            </w:pPr>
            <w:r>
              <w:rPr>
                <w:rFonts w:hint="eastAsia" w:ascii="Times New Roman" w:hAnsi="Times New Roman" w:eastAsia="楷体" w:cs="Times New Roman"/>
                <w:sz w:val="24"/>
                <w:szCs w:val="24"/>
                <w:vertAlign w:val="baseline"/>
                <w:lang w:val="en-US" w:eastAsia="zh-CN"/>
              </w:rPr>
              <w:t>臭气浓度</w:t>
            </w:r>
          </w:p>
        </w:tc>
        <w:tc>
          <w:tcPr>
            <w:tcW w:w="282" w:type="pct"/>
            <w:vMerge w:val="continue"/>
            <w:vAlign w:val="center"/>
          </w:tcPr>
          <w:p w14:paraId="07CB8718">
            <w:pPr>
              <w:pStyle w:val="55"/>
              <w:rPr>
                <w:color w:val="000000" w:themeColor="text1"/>
                <w:sz w:val="24"/>
                <w:szCs w:val="24"/>
                <w14:textFill>
                  <w14:solidFill>
                    <w14:schemeClr w14:val="tx1"/>
                  </w14:solidFill>
                </w14:textFill>
              </w:rPr>
            </w:pPr>
          </w:p>
        </w:tc>
        <w:tc>
          <w:tcPr>
            <w:tcW w:w="262" w:type="pct"/>
            <w:vMerge w:val="continue"/>
            <w:vAlign w:val="center"/>
          </w:tcPr>
          <w:p w14:paraId="2D961A4C">
            <w:pPr>
              <w:pStyle w:val="55"/>
              <w:rPr>
                <w:color w:val="000000" w:themeColor="text1"/>
                <w:sz w:val="24"/>
                <w:szCs w:val="24"/>
                <w14:textFill>
                  <w14:solidFill>
                    <w14:schemeClr w14:val="tx1"/>
                  </w14:solidFill>
                </w14:textFill>
              </w:rPr>
            </w:pPr>
          </w:p>
        </w:tc>
        <w:tc>
          <w:tcPr>
            <w:tcW w:w="330" w:type="pct"/>
            <w:vMerge w:val="continue"/>
            <w:vAlign w:val="center"/>
          </w:tcPr>
          <w:p w14:paraId="3D8730E8">
            <w:pPr>
              <w:pStyle w:val="55"/>
              <w:rPr>
                <w:color w:val="000000" w:themeColor="text1"/>
                <w:sz w:val="24"/>
                <w:szCs w:val="24"/>
                <w14:textFill>
                  <w14:solidFill>
                    <w14:schemeClr w14:val="tx1"/>
                  </w14:solidFill>
                </w14:textFill>
              </w:rPr>
            </w:pPr>
          </w:p>
        </w:tc>
        <w:tc>
          <w:tcPr>
            <w:tcW w:w="321" w:type="pct"/>
            <w:shd w:val="clear" w:color="auto" w:fill="auto"/>
            <w:vAlign w:val="center"/>
          </w:tcPr>
          <w:p w14:paraId="14BE9BD6">
            <w:pPr>
              <w:pStyle w:val="55"/>
              <w:bidi w:val="0"/>
              <w:rPr>
                <w:rFonts w:hint="eastAsia"/>
                <w:color w:val="000000" w:themeColor="text1"/>
                <w:sz w:val="24"/>
                <w:szCs w:val="24"/>
                <w:lang w:val="en-US" w:eastAsia="zh-CN"/>
                <w14:textFill>
                  <w14:solidFill>
                    <w14:schemeClr w14:val="tx1"/>
                  </w14:solidFill>
                </w14:textFill>
              </w:rPr>
            </w:pPr>
            <w:r>
              <w:rPr>
                <w:rFonts w:hint="eastAsia"/>
                <w:sz w:val="24"/>
                <w:szCs w:val="24"/>
                <w:lang w:val="en-US" w:eastAsia="zh-CN"/>
              </w:rPr>
              <w:t>/</w:t>
            </w:r>
          </w:p>
        </w:tc>
        <w:tc>
          <w:tcPr>
            <w:tcW w:w="394" w:type="pct"/>
            <w:vAlign w:val="center"/>
          </w:tcPr>
          <w:p w14:paraId="5DE8E62E">
            <w:pPr>
              <w:pStyle w:val="55"/>
              <w:bidi w:val="0"/>
              <w:rPr>
                <w:rFonts w:hint="eastAsia"/>
                <w:color w:val="000000" w:themeColor="text1"/>
                <w:sz w:val="24"/>
                <w:szCs w:val="24"/>
                <w:lang w:val="en-US" w:eastAsia="zh-CN"/>
                <w14:textFill>
                  <w14:solidFill>
                    <w14:schemeClr w14:val="tx1"/>
                  </w14:solidFill>
                </w14:textFill>
              </w:rPr>
            </w:pPr>
            <w:r>
              <w:rPr>
                <w:rFonts w:hint="eastAsia"/>
                <w:sz w:val="24"/>
                <w:szCs w:val="24"/>
                <w:lang w:val="en-US" w:eastAsia="zh-CN"/>
              </w:rPr>
              <w:t>/</w:t>
            </w:r>
          </w:p>
        </w:tc>
        <w:tc>
          <w:tcPr>
            <w:tcW w:w="307" w:type="pct"/>
            <w:vAlign w:val="center"/>
          </w:tcPr>
          <w:p w14:paraId="10B210D1">
            <w:pPr>
              <w:pStyle w:val="55"/>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w:t>
            </w:r>
          </w:p>
        </w:tc>
        <w:tc>
          <w:tcPr>
            <w:tcW w:w="426" w:type="pct"/>
            <w:vAlign w:val="center"/>
          </w:tcPr>
          <w:p w14:paraId="46017E82">
            <w:pPr>
              <w:pStyle w:val="55"/>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2000</w:t>
            </w:r>
          </w:p>
          <w:p w14:paraId="381FF57E">
            <w:pPr>
              <w:pStyle w:val="55"/>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（无量纲）</w:t>
            </w:r>
          </w:p>
        </w:tc>
        <w:tc>
          <w:tcPr>
            <w:tcW w:w="1289" w:type="pct"/>
            <w:vAlign w:val="center"/>
          </w:tcPr>
          <w:p w14:paraId="3B47ADA5">
            <w:pPr>
              <w:pStyle w:val="55"/>
              <w:bidi w:val="0"/>
              <w:rPr>
                <w:rFonts w:hint="default"/>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《恶臭污染物排放标准》（GB14554-1993）</w:t>
            </w:r>
          </w:p>
          <w:p w14:paraId="37236A34">
            <w:pPr>
              <w:pStyle w:val="55"/>
              <w:bidi w:val="0"/>
              <w:rPr>
                <w:color w:val="000000" w:themeColor="text1"/>
                <w:sz w:val="24"/>
                <w:szCs w:val="24"/>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表2恶臭污染物排放标准值</w:t>
            </w:r>
          </w:p>
        </w:tc>
        <w:tc>
          <w:tcPr>
            <w:tcW w:w="219" w:type="pct"/>
            <w:vMerge w:val="continue"/>
            <w:vAlign w:val="center"/>
          </w:tcPr>
          <w:p w14:paraId="5BDDE477">
            <w:pPr>
              <w:pStyle w:val="55"/>
              <w:rPr>
                <w:color w:val="000000" w:themeColor="text1"/>
                <w:sz w:val="24"/>
                <w:szCs w:val="24"/>
                <w14:textFill>
                  <w14:solidFill>
                    <w14:schemeClr w14:val="tx1"/>
                  </w14:solidFill>
                </w14:textFill>
              </w:rPr>
            </w:pPr>
          </w:p>
        </w:tc>
      </w:tr>
    </w:tbl>
    <w:p w14:paraId="192AA043">
      <w:pPr>
        <w:pStyle w:val="47"/>
        <w:ind w:firstLine="482"/>
        <w:rPr>
          <w:rFonts w:hint="eastAsia"/>
          <w:color w:val="000000" w:themeColor="text1"/>
          <w14:textFill>
            <w14:solidFill>
              <w14:schemeClr w14:val="tx1"/>
            </w14:solidFill>
          </w14:textFill>
        </w:rPr>
        <w:sectPr>
          <w:pgSz w:w="16838" w:h="11906" w:orient="landscape"/>
          <w:pgMar w:top="1800" w:right="1440" w:bottom="1800" w:left="1440" w:header="851" w:footer="680" w:gutter="0"/>
          <w:pgBorders>
            <w:top w:val="none" w:sz="0" w:space="0"/>
            <w:left w:val="none" w:sz="0" w:space="0"/>
            <w:bottom w:val="none" w:sz="0" w:space="0"/>
            <w:right w:val="none" w:sz="0" w:space="0"/>
          </w:pgBorders>
          <w:cols w:space="425" w:num="1"/>
          <w:docGrid w:type="linesAndChars" w:linePitch="326" w:charSpace="190"/>
        </w:sectPr>
      </w:pPr>
    </w:p>
    <w:p w14:paraId="7285BDC0">
      <w:pPr>
        <w:pStyle w:val="47"/>
        <w:bidi w:val="0"/>
        <w:rPr>
          <w:rFonts w:hint="eastAsia"/>
          <w:lang w:val="en-GB" w:eastAsia="zh-CN"/>
        </w:rPr>
      </w:pPr>
      <w:r>
        <w:rPr>
          <w:rFonts w:hint="eastAsia"/>
          <w:lang w:val="en-GB" w:eastAsia="zh-CN"/>
        </w:rPr>
        <w:t>（</w:t>
      </w:r>
      <w:r>
        <w:rPr>
          <w:rFonts w:hint="eastAsia"/>
          <w:lang w:val="en-US" w:eastAsia="zh-CN"/>
        </w:rPr>
        <w:t>2</w:t>
      </w:r>
      <w:r>
        <w:rPr>
          <w:rFonts w:hint="eastAsia"/>
          <w:lang w:val="en-GB" w:eastAsia="zh-CN"/>
        </w:rPr>
        <w:t>）无组织排放分析达标排放论证</w:t>
      </w:r>
    </w:p>
    <w:p w14:paraId="479DE57E">
      <w:pPr>
        <w:pStyle w:val="47"/>
        <w:ind w:firstLine="48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本次</w:t>
      </w:r>
      <w:r>
        <w:rPr>
          <w:color w:val="000000" w:themeColor="text1"/>
          <w14:textFill>
            <w14:solidFill>
              <w14:schemeClr w14:val="tx1"/>
            </w14:solidFill>
          </w14:textFill>
        </w:rPr>
        <w:t>评价</w:t>
      </w:r>
      <w:r>
        <w:rPr>
          <w:rFonts w:hint="eastAsia"/>
          <w:color w:val="000000" w:themeColor="text1"/>
          <w14:textFill>
            <w14:solidFill>
              <w14:schemeClr w14:val="tx1"/>
            </w14:solidFill>
          </w14:textFill>
        </w:rPr>
        <w:t>采用《环境影响评价技术导则</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大气环境》（HJ</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2.2-2018）推荐的估算模型AERSCREEN，对无组织面源的厂界最大落地浓度进行估算。</w:t>
      </w:r>
      <w:r>
        <w:rPr>
          <w:color w:val="000000" w:themeColor="text1"/>
          <w14:textFill>
            <w14:solidFill>
              <w14:schemeClr w14:val="tx1"/>
            </w14:solidFill>
          </w14:textFill>
        </w:rPr>
        <w:t>无组织排放</w:t>
      </w:r>
      <w:r>
        <w:rPr>
          <w:rFonts w:hint="eastAsia"/>
          <w:color w:val="000000" w:themeColor="text1"/>
          <w14:textFill>
            <w14:solidFill>
              <w14:schemeClr w14:val="tx1"/>
            </w14:solidFill>
          </w14:textFill>
        </w:rPr>
        <w:t>达标</w:t>
      </w:r>
      <w:r>
        <w:rPr>
          <w:color w:val="000000" w:themeColor="text1"/>
          <w14:textFill>
            <w14:solidFill>
              <w14:schemeClr w14:val="tx1"/>
            </w14:solidFill>
          </w14:textFill>
        </w:rPr>
        <w:t>论证</w:t>
      </w:r>
      <w:r>
        <w:rPr>
          <w:rFonts w:hint="eastAsia"/>
          <w:color w:val="000000" w:themeColor="text1"/>
          <w14:textFill>
            <w14:solidFill>
              <w14:schemeClr w14:val="tx1"/>
            </w14:solidFill>
          </w14:textFill>
        </w:rPr>
        <w:t>结果</w:t>
      </w:r>
      <w:r>
        <w:rPr>
          <w:color w:val="000000" w:themeColor="text1"/>
          <w14:textFill>
            <w14:solidFill>
              <w14:schemeClr w14:val="tx1"/>
            </w14:solidFill>
          </w14:textFill>
        </w:rPr>
        <w:t>见下表</w:t>
      </w:r>
      <w:r>
        <w:rPr>
          <w:rFonts w:hint="eastAsia"/>
          <w:color w:val="000000" w:themeColor="text1"/>
          <w14:textFill>
            <w14:solidFill>
              <w14:schemeClr w14:val="tx1"/>
            </w14:solidFill>
          </w14:textFill>
        </w:rPr>
        <w:t>。</w:t>
      </w:r>
    </w:p>
    <w:p w14:paraId="01268C81">
      <w:pPr>
        <w:pStyle w:val="94"/>
        <w:bidi w:val="0"/>
        <w:ind w:left="0" w:leftChars="0" w:firstLine="0" w:firstLineChars="0"/>
      </w:pPr>
      <w:r>
        <w:t>无组织面源距</w:t>
      </w:r>
      <w:r>
        <w:rPr>
          <w:rFonts w:hint="eastAsia"/>
        </w:rPr>
        <w:t>厂</w:t>
      </w:r>
      <w:r>
        <w:t>界的最近</w:t>
      </w:r>
      <w:r>
        <w:rPr>
          <w:rFonts w:hint="eastAsia"/>
        </w:rPr>
        <w:t>距离一览</w:t>
      </w:r>
      <w:r>
        <w:t>表</w:t>
      </w:r>
    </w:p>
    <w:tbl>
      <w:tblPr>
        <w:tblStyle w:val="32"/>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364"/>
        <w:gridCol w:w="1580"/>
        <w:gridCol w:w="1580"/>
        <w:gridCol w:w="1580"/>
        <w:gridCol w:w="1987"/>
      </w:tblGrid>
      <w:tr w14:paraId="48BDA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blHeader/>
          <w:jc w:val="center"/>
        </w:trPr>
        <w:tc>
          <w:tcPr>
            <w:tcW w:w="1300" w:type="pct"/>
            <w:vMerge w:val="restart"/>
            <w:vAlign w:val="center"/>
          </w:tcPr>
          <w:p w14:paraId="2FE994F7">
            <w:pPr>
              <w:pStyle w:val="55"/>
              <w:rPr>
                <w:color w:val="000000" w:themeColor="text1"/>
                <w14:textFill>
                  <w14:solidFill>
                    <w14:schemeClr w14:val="tx1"/>
                  </w14:solidFill>
                </w14:textFill>
              </w:rPr>
            </w:pPr>
            <w:r>
              <w:rPr>
                <w:color w:val="000000" w:themeColor="text1"/>
                <w14:textFill>
                  <w14:solidFill>
                    <w14:schemeClr w14:val="tx1"/>
                  </w14:solidFill>
                </w14:textFill>
              </w:rPr>
              <w:t>污染源</w:t>
            </w:r>
          </w:p>
        </w:tc>
        <w:tc>
          <w:tcPr>
            <w:tcW w:w="3699" w:type="pct"/>
            <w:gridSpan w:val="4"/>
            <w:vAlign w:val="center"/>
          </w:tcPr>
          <w:p w14:paraId="56AB583E">
            <w:pPr>
              <w:pStyle w:val="55"/>
              <w:rPr>
                <w:color w:val="000000" w:themeColor="text1"/>
                <w14:textFill>
                  <w14:solidFill>
                    <w14:schemeClr w14:val="tx1"/>
                  </w14:solidFill>
                </w14:textFill>
              </w:rPr>
            </w:pPr>
            <w:r>
              <w:rPr>
                <w:rFonts w:hint="eastAsia"/>
                <w:color w:val="000000" w:themeColor="text1"/>
                <w14:textFill>
                  <w14:solidFill>
                    <w14:schemeClr w14:val="tx1"/>
                  </w14:solidFill>
                </w14:textFill>
              </w:rPr>
              <w:t>跟厂界最近距离/m</w:t>
            </w:r>
          </w:p>
        </w:tc>
      </w:tr>
      <w:tr w14:paraId="41AC9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blHeader/>
          <w:jc w:val="center"/>
        </w:trPr>
        <w:tc>
          <w:tcPr>
            <w:tcW w:w="1300" w:type="pct"/>
            <w:vMerge w:val="continue"/>
            <w:vAlign w:val="center"/>
          </w:tcPr>
          <w:p w14:paraId="5B8BE21C">
            <w:pPr>
              <w:pStyle w:val="55"/>
              <w:rPr>
                <w:color w:val="000000" w:themeColor="text1"/>
                <w14:textFill>
                  <w14:solidFill>
                    <w14:schemeClr w14:val="tx1"/>
                  </w14:solidFill>
                </w14:textFill>
              </w:rPr>
            </w:pPr>
          </w:p>
        </w:tc>
        <w:tc>
          <w:tcPr>
            <w:tcW w:w="869" w:type="pct"/>
            <w:vAlign w:val="center"/>
          </w:tcPr>
          <w:p w14:paraId="2A08831E">
            <w:pPr>
              <w:pStyle w:val="55"/>
              <w:rPr>
                <w:color w:val="000000" w:themeColor="text1"/>
                <w14:textFill>
                  <w14:solidFill>
                    <w14:schemeClr w14:val="tx1"/>
                  </w14:solidFill>
                </w14:textFill>
              </w:rPr>
            </w:pPr>
            <w:r>
              <w:rPr>
                <w:rFonts w:hint="eastAsia"/>
                <w:color w:val="000000" w:themeColor="text1"/>
                <w14:textFill>
                  <w14:solidFill>
                    <w14:schemeClr w14:val="tx1"/>
                  </w14:solidFill>
                </w14:textFill>
              </w:rPr>
              <w:t>东厂界</w:t>
            </w:r>
          </w:p>
        </w:tc>
        <w:tc>
          <w:tcPr>
            <w:tcW w:w="869" w:type="pct"/>
            <w:vAlign w:val="center"/>
          </w:tcPr>
          <w:p w14:paraId="6D8E3238">
            <w:pPr>
              <w:pStyle w:val="55"/>
              <w:rPr>
                <w:color w:val="000000" w:themeColor="text1"/>
                <w14:textFill>
                  <w14:solidFill>
                    <w14:schemeClr w14:val="tx1"/>
                  </w14:solidFill>
                </w14:textFill>
              </w:rPr>
            </w:pPr>
            <w:r>
              <w:rPr>
                <w:rFonts w:hint="eastAsia"/>
                <w:color w:val="000000" w:themeColor="text1"/>
                <w14:textFill>
                  <w14:solidFill>
                    <w14:schemeClr w14:val="tx1"/>
                  </w14:solidFill>
                </w14:textFill>
              </w:rPr>
              <w:t>南厂界</w:t>
            </w:r>
          </w:p>
        </w:tc>
        <w:tc>
          <w:tcPr>
            <w:tcW w:w="869" w:type="pct"/>
            <w:vAlign w:val="center"/>
          </w:tcPr>
          <w:p w14:paraId="0C31878D">
            <w:pPr>
              <w:pStyle w:val="55"/>
              <w:rPr>
                <w:color w:val="000000" w:themeColor="text1"/>
                <w14:textFill>
                  <w14:solidFill>
                    <w14:schemeClr w14:val="tx1"/>
                  </w14:solidFill>
                </w14:textFill>
              </w:rPr>
            </w:pPr>
            <w:r>
              <w:rPr>
                <w:rFonts w:hint="eastAsia"/>
                <w:color w:val="000000" w:themeColor="text1"/>
                <w14:textFill>
                  <w14:solidFill>
                    <w14:schemeClr w14:val="tx1"/>
                  </w14:solidFill>
                </w14:textFill>
              </w:rPr>
              <w:t>西厂界</w:t>
            </w:r>
          </w:p>
        </w:tc>
        <w:tc>
          <w:tcPr>
            <w:tcW w:w="1089" w:type="pct"/>
            <w:vAlign w:val="center"/>
          </w:tcPr>
          <w:p w14:paraId="7C1A336E">
            <w:pPr>
              <w:pStyle w:val="55"/>
              <w:rPr>
                <w:color w:val="000000" w:themeColor="text1"/>
                <w14:textFill>
                  <w14:solidFill>
                    <w14:schemeClr w14:val="tx1"/>
                  </w14:solidFill>
                </w14:textFill>
              </w:rPr>
            </w:pPr>
            <w:r>
              <w:rPr>
                <w:rFonts w:hint="eastAsia"/>
                <w:color w:val="000000" w:themeColor="text1"/>
                <w14:textFill>
                  <w14:solidFill>
                    <w14:schemeClr w14:val="tx1"/>
                  </w14:solidFill>
                </w14:textFill>
              </w:rPr>
              <w:t>北厂界</w:t>
            </w:r>
          </w:p>
        </w:tc>
      </w:tr>
      <w:tr w14:paraId="43805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363" w:type="dxa"/>
            <w:vAlign w:val="center"/>
          </w:tcPr>
          <w:p w14:paraId="24FE6B35">
            <w:pPr>
              <w:pStyle w:val="55"/>
              <w:rPr>
                <w:color w:val="000000" w:themeColor="text1"/>
                <w14:textFill>
                  <w14:solidFill>
                    <w14:schemeClr w14:val="tx1"/>
                  </w14:solidFill>
                </w14:textFill>
              </w:rPr>
            </w:pPr>
            <w:r>
              <w:rPr>
                <w:rFonts w:hint="eastAsia"/>
                <w:lang w:val="en-US" w:eastAsia="zh-CN"/>
              </w:rPr>
              <w:t>1</w:t>
            </w:r>
            <w:r>
              <w:rPr>
                <w:rFonts w:hint="eastAsia"/>
              </w:rPr>
              <w:t>#生产车间</w:t>
            </w:r>
          </w:p>
        </w:tc>
        <w:tc>
          <w:tcPr>
            <w:tcW w:w="869" w:type="pct"/>
            <w:vAlign w:val="center"/>
          </w:tcPr>
          <w:p w14:paraId="58530E4B">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15</w:t>
            </w:r>
          </w:p>
        </w:tc>
        <w:tc>
          <w:tcPr>
            <w:tcW w:w="869" w:type="pct"/>
            <w:vAlign w:val="center"/>
          </w:tcPr>
          <w:p w14:paraId="20981400">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90</w:t>
            </w:r>
          </w:p>
        </w:tc>
        <w:tc>
          <w:tcPr>
            <w:tcW w:w="869" w:type="pct"/>
            <w:vAlign w:val="center"/>
          </w:tcPr>
          <w:p w14:paraId="0A318DBF">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10</w:t>
            </w:r>
          </w:p>
        </w:tc>
        <w:tc>
          <w:tcPr>
            <w:tcW w:w="1089" w:type="pct"/>
            <w:vAlign w:val="center"/>
          </w:tcPr>
          <w:p w14:paraId="78CA6E8E">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10</w:t>
            </w:r>
          </w:p>
        </w:tc>
      </w:tr>
      <w:tr w14:paraId="11735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363" w:type="dxa"/>
            <w:vAlign w:val="center"/>
          </w:tcPr>
          <w:p w14:paraId="3001689E">
            <w:pPr>
              <w:pStyle w:val="55"/>
              <w:rPr>
                <w:color w:val="000000" w:themeColor="text1"/>
                <w14:textFill>
                  <w14:solidFill>
                    <w14:schemeClr w14:val="tx1"/>
                  </w14:solidFill>
                </w14:textFill>
              </w:rPr>
            </w:pPr>
            <w:r>
              <w:rPr>
                <w:rFonts w:hint="eastAsia"/>
                <w:lang w:val="en-US" w:eastAsia="zh-CN"/>
              </w:rPr>
              <w:t>2</w:t>
            </w:r>
            <w:r>
              <w:rPr>
                <w:rFonts w:hint="eastAsia"/>
              </w:rPr>
              <w:t>#生产车间</w:t>
            </w:r>
          </w:p>
        </w:tc>
        <w:tc>
          <w:tcPr>
            <w:tcW w:w="869" w:type="pct"/>
            <w:vAlign w:val="center"/>
          </w:tcPr>
          <w:p w14:paraId="58F4D672">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51</w:t>
            </w:r>
          </w:p>
        </w:tc>
        <w:tc>
          <w:tcPr>
            <w:tcW w:w="869" w:type="pct"/>
            <w:vAlign w:val="center"/>
          </w:tcPr>
          <w:p w14:paraId="6B525307">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49</w:t>
            </w:r>
          </w:p>
        </w:tc>
        <w:tc>
          <w:tcPr>
            <w:tcW w:w="869" w:type="pct"/>
            <w:vAlign w:val="center"/>
          </w:tcPr>
          <w:p w14:paraId="1215E4FD">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10</w:t>
            </w:r>
          </w:p>
        </w:tc>
        <w:tc>
          <w:tcPr>
            <w:tcW w:w="1089" w:type="pct"/>
            <w:vAlign w:val="center"/>
          </w:tcPr>
          <w:p w14:paraId="375E399E">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25</w:t>
            </w:r>
          </w:p>
        </w:tc>
      </w:tr>
      <w:tr w14:paraId="40822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363" w:type="dxa"/>
            <w:vAlign w:val="center"/>
          </w:tcPr>
          <w:p w14:paraId="46C79850">
            <w:pPr>
              <w:pStyle w:val="55"/>
              <w:rPr>
                <w:color w:val="000000" w:themeColor="text1"/>
                <w14:textFill>
                  <w14:solidFill>
                    <w14:schemeClr w14:val="tx1"/>
                  </w14:solidFill>
                </w14:textFill>
              </w:rPr>
            </w:pPr>
            <w:r>
              <w:rPr>
                <w:rFonts w:hint="eastAsia"/>
                <w:lang w:val="en-US" w:eastAsia="zh-CN"/>
              </w:rPr>
              <w:t>3</w:t>
            </w:r>
            <w:r>
              <w:rPr>
                <w:rFonts w:hint="eastAsia"/>
              </w:rPr>
              <w:t>#生产车间</w:t>
            </w:r>
          </w:p>
        </w:tc>
        <w:tc>
          <w:tcPr>
            <w:tcW w:w="869" w:type="pct"/>
            <w:vAlign w:val="center"/>
          </w:tcPr>
          <w:p w14:paraId="0031BBD7">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10</w:t>
            </w:r>
          </w:p>
        </w:tc>
        <w:tc>
          <w:tcPr>
            <w:tcW w:w="869" w:type="pct"/>
            <w:vAlign w:val="center"/>
          </w:tcPr>
          <w:p w14:paraId="314D4142">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30</w:t>
            </w:r>
          </w:p>
        </w:tc>
        <w:tc>
          <w:tcPr>
            <w:tcW w:w="869" w:type="pct"/>
            <w:vAlign w:val="center"/>
          </w:tcPr>
          <w:p w14:paraId="3C933E04">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37</w:t>
            </w:r>
          </w:p>
        </w:tc>
        <w:tc>
          <w:tcPr>
            <w:tcW w:w="1089" w:type="pct"/>
            <w:vAlign w:val="center"/>
          </w:tcPr>
          <w:p w14:paraId="21A2EFCF">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84</w:t>
            </w:r>
          </w:p>
        </w:tc>
      </w:tr>
    </w:tbl>
    <w:p w14:paraId="06010B6F">
      <w:pPr>
        <w:pStyle w:val="94"/>
        <w:bidi w:val="0"/>
        <w:ind w:left="0" w:leftChars="0" w:firstLine="0" w:firstLineChars="0"/>
      </w:pPr>
      <w:r>
        <w:rPr>
          <w:rFonts w:hint="eastAsia"/>
        </w:rPr>
        <w:t>面源排放参数一览表</w:t>
      </w:r>
    </w:p>
    <w:tbl>
      <w:tblPr>
        <w:tblStyle w:val="32"/>
        <w:tblW w:w="4997" w:type="pct"/>
        <w:jc w:val="center"/>
        <w:tblBorders>
          <w:top w:val="single" w:color="auto" w:sz="6" w:space="0"/>
          <w:left w:val="single" w:color="auto" w:sz="6" w:space="0"/>
          <w:bottom w:val="single" w:color="auto" w:sz="6" w:space="0"/>
          <w:right w:val="single" w:color="auto" w:sz="6" w:space="0"/>
          <w:insideH w:val="single" w:color="auto" w:sz="4" w:space="0"/>
          <w:insideV w:val="single" w:color="auto" w:sz="6" w:space="0"/>
        </w:tblBorders>
        <w:tblLayout w:type="autofit"/>
        <w:tblCellMar>
          <w:top w:w="0" w:type="dxa"/>
          <w:left w:w="28" w:type="dxa"/>
          <w:bottom w:w="0" w:type="dxa"/>
          <w:right w:w="28" w:type="dxa"/>
        </w:tblCellMar>
      </w:tblPr>
      <w:tblGrid>
        <w:gridCol w:w="734"/>
        <w:gridCol w:w="1353"/>
        <w:gridCol w:w="781"/>
        <w:gridCol w:w="606"/>
        <w:gridCol w:w="668"/>
        <w:gridCol w:w="896"/>
        <w:gridCol w:w="1245"/>
        <w:gridCol w:w="1353"/>
        <w:gridCol w:w="1487"/>
      </w:tblGrid>
      <w:tr w14:paraId="475C82D5">
        <w:tblPrEx>
          <w:tblBorders>
            <w:top w:val="single" w:color="auto" w:sz="6" w:space="0"/>
            <w:left w:val="single" w:color="auto" w:sz="6" w:space="0"/>
            <w:bottom w:val="single" w:color="auto" w:sz="6" w:space="0"/>
            <w:right w:val="single" w:color="auto" w:sz="6" w:space="0"/>
            <w:insideH w:val="single" w:color="auto" w:sz="4" w:space="0"/>
            <w:insideV w:val="single" w:color="auto" w:sz="6" w:space="0"/>
          </w:tblBorders>
        </w:tblPrEx>
        <w:trPr>
          <w:trHeight w:val="397" w:hRule="atLeast"/>
          <w:jc w:val="center"/>
        </w:trPr>
        <w:tc>
          <w:tcPr>
            <w:tcW w:w="402" w:type="pct"/>
            <w:vMerge w:val="restart"/>
            <w:tcBorders>
              <w:right w:val="single" w:color="auto" w:sz="4" w:space="0"/>
            </w:tcBorders>
            <w:noWrap w:val="0"/>
            <w:vAlign w:val="center"/>
          </w:tcPr>
          <w:p w14:paraId="323AD4F9">
            <w:pPr>
              <w:pStyle w:val="55"/>
              <w:bidi w:val="0"/>
              <w:rPr>
                <w:rFonts w:hint="default"/>
                <w:lang w:val="en-US" w:eastAsia="zh-CN"/>
              </w:rPr>
            </w:pPr>
            <w:r>
              <w:rPr>
                <w:rFonts w:hint="default"/>
                <w:lang w:val="en-US" w:eastAsia="zh-CN"/>
              </w:rPr>
              <w:t>车间</w:t>
            </w:r>
          </w:p>
        </w:tc>
        <w:tc>
          <w:tcPr>
            <w:tcW w:w="741" w:type="pct"/>
            <w:vMerge w:val="restart"/>
            <w:tcBorders>
              <w:left w:val="single" w:color="auto" w:sz="4" w:space="0"/>
            </w:tcBorders>
            <w:noWrap w:val="0"/>
            <w:vAlign w:val="center"/>
          </w:tcPr>
          <w:p w14:paraId="6B310766">
            <w:pPr>
              <w:pStyle w:val="55"/>
              <w:bidi w:val="0"/>
              <w:rPr>
                <w:rFonts w:hint="default"/>
                <w:lang w:val="en-US" w:eastAsia="zh-CN"/>
              </w:rPr>
            </w:pPr>
            <w:r>
              <w:rPr>
                <w:rFonts w:hint="eastAsia"/>
                <w:lang w:val="en-US" w:eastAsia="zh-CN"/>
              </w:rPr>
              <w:t>污染因子</w:t>
            </w:r>
          </w:p>
        </w:tc>
        <w:tc>
          <w:tcPr>
            <w:tcW w:w="428" w:type="pct"/>
            <w:tcBorders>
              <w:right w:val="single" w:color="auto" w:sz="4" w:space="0"/>
            </w:tcBorders>
            <w:noWrap w:val="0"/>
            <w:vAlign w:val="center"/>
          </w:tcPr>
          <w:p w14:paraId="095D8D89">
            <w:pPr>
              <w:pStyle w:val="55"/>
              <w:bidi w:val="0"/>
              <w:rPr>
                <w:rFonts w:hint="eastAsia"/>
                <w:lang w:eastAsia="zh-CN"/>
              </w:rPr>
            </w:pPr>
            <w:r>
              <w:rPr>
                <w:rFonts w:hint="eastAsia"/>
                <w:lang w:val="en-US" w:eastAsia="zh-CN"/>
              </w:rPr>
              <w:t>面积</w:t>
            </w:r>
          </w:p>
        </w:tc>
        <w:tc>
          <w:tcPr>
            <w:tcW w:w="332" w:type="pct"/>
            <w:tcBorders>
              <w:left w:val="single" w:color="auto" w:sz="4" w:space="0"/>
            </w:tcBorders>
            <w:noWrap w:val="0"/>
            <w:vAlign w:val="center"/>
          </w:tcPr>
          <w:p w14:paraId="29B34679">
            <w:pPr>
              <w:pStyle w:val="55"/>
              <w:bidi w:val="0"/>
              <w:rPr>
                <w:rFonts w:hint="default"/>
              </w:rPr>
            </w:pPr>
            <w:r>
              <w:rPr>
                <w:rFonts w:hint="default"/>
              </w:rPr>
              <w:t>长度</w:t>
            </w:r>
          </w:p>
        </w:tc>
        <w:tc>
          <w:tcPr>
            <w:tcW w:w="366" w:type="pct"/>
            <w:noWrap w:val="0"/>
            <w:vAlign w:val="center"/>
          </w:tcPr>
          <w:p w14:paraId="5BE6C970">
            <w:pPr>
              <w:pStyle w:val="55"/>
              <w:bidi w:val="0"/>
              <w:rPr>
                <w:rFonts w:hint="default"/>
              </w:rPr>
            </w:pPr>
            <w:r>
              <w:rPr>
                <w:rFonts w:hint="default"/>
              </w:rPr>
              <w:t>宽度</w:t>
            </w:r>
          </w:p>
        </w:tc>
        <w:tc>
          <w:tcPr>
            <w:tcW w:w="491" w:type="pct"/>
            <w:noWrap w:val="0"/>
            <w:vAlign w:val="center"/>
          </w:tcPr>
          <w:p w14:paraId="5D9FEB8C">
            <w:pPr>
              <w:pStyle w:val="55"/>
              <w:bidi w:val="0"/>
              <w:rPr>
                <w:rFonts w:hint="default"/>
              </w:rPr>
            </w:pPr>
            <w:r>
              <w:rPr>
                <w:rFonts w:hint="default"/>
              </w:rPr>
              <w:t>源高</w:t>
            </w:r>
          </w:p>
        </w:tc>
        <w:tc>
          <w:tcPr>
            <w:tcW w:w="682" w:type="pct"/>
            <w:noWrap w:val="0"/>
            <w:vAlign w:val="center"/>
          </w:tcPr>
          <w:p w14:paraId="2D323EE0">
            <w:pPr>
              <w:pStyle w:val="55"/>
              <w:bidi w:val="0"/>
              <w:rPr>
                <w:rFonts w:hint="default"/>
              </w:rPr>
            </w:pPr>
            <w:r>
              <w:rPr>
                <w:rFonts w:hint="default"/>
              </w:rPr>
              <w:t>排放历时</w:t>
            </w:r>
          </w:p>
        </w:tc>
        <w:tc>
          <w:tcPr>
            <w:tcW w:w="741" w:type="pct"/>
            <w:vMerge w:val="restart"/>
            <w:noWrap w:val="0"/>
            <w:vAlign w:val="center"/>
          </w:tcPr>
          <w:p w14:paraId="45BBDF6C">
            <w:pPr>
              <w:pStyle w:val="55"/>
              <w:bidi w:val="0"/>
              <w:rPr>
                <w:rFonts w:hint="default"/>
              </w:rPr>
            </w:pPr>
            <w:r>
              <w:rPr>
                <w:rFonts w:hint="default"/>
              </w:rPr>
              <w:t>排放工况</w:t>
            </w:r>
          </w:p>
        </w:tc>
        <w:tc>
          <w:tcPr>
            <w:tcW w:w="814" w:type="pct"/>
            <w:noWrap w:val="0"/>
            <w:vAlign w:val="center"/>
          </w:tcPr>
          <w:p w14:paraId="442A6885">
            <w:pPr>
              <w:pStyle w:val="55"/>
              <w:bidi w:val="0"/>
              <w:rPr>
                <w:rFonts w:hint="default"/>
                <w:lang w:val="en-US" w:eastAsia="zh-CN"/>
              </w:rPr>
            </w:pPr>
            <w:r>
              <w:rPr>
                <w:rFonts w:hint="default"/>
                <w:lang w:val="en-US" w:eastAsia="zh-CN"/>
              </w:rPr>
              <w:t>排放速率</w:t>
            </w:r>
          </w:p>
        </w:tc>
      </w:tr>
      <w:tr w14:paraId="5EF3B70E">
        <w:tblPrEx>
          <w:tblBorders>
            <w:top w:val="single" w:color="auto" w:sz="6" w:space="0"/>
            <w:left w:val="single" w:color="auto" w:sz="6" w:space="0"/>
            <w:bottom w:val="single" w:color="auto" w:sz="6" w:space="0"/>
            <w:right w:val="single" w:color="auto" w:sz="6" w:space="0"/>
            <w:insideH w:val="single" w:color="auto" w:sz="4" w:space="0"/>
            <w:insideV w:val="single" w:color="auto" w:sz="6" w:space="0"/>
          </w:tblBorders>
          <w:tblCellMar>
            <w:top w:w="0" w:type="dxa"/>
            <w:left w:w="28" w:type="dxa"/>
            <w:bottom w:w="0" w:type="dxa"/>
            <w:right w:w="28" w:type="dxa"/>
          </w:tblCellMar>
        </w:tblPrEx>
        <w:trPr>
          <w:trHeight w:val="397" w:hRule="atLeast"/>
          <w:jc w:val="center"/>
        </w:trPr>
        <w:tc>
          <w:tcPr>
            <w:tcW w:w="402" w:type="pct"/>
            <w:vMerge w:val="continue"/>
            <w:tcBorders>
              <w:right w:val="single" w:color="auto" w:sz="4" w:space="0"/>
            </w:tcBorders>
            <w:noWrap w:val="0"/>
            <w:vAlign w:val="center"/>
          </w:tcPr>
          <w:p w14:paraId="1D6F3A93">
            <w:pPr>
              <w:pStyle w:val="55"/>
              <w:bidi w:val="0"/>
              <w:rPr>
                <w:rFonts w:hint="default"/>
              </w:rPr>
            </w:pPr>
          </w:p>
        </w:tc>
        <w:tc>
          <w:tcPr>
            <w:tcW w:w="741" w:type="pct"/>
            <w:vMerge w:val="continue"/>
            <w:tcBorders>
              <w:left w:val="single" w:color="auto" w:sz="4" w:space="0"/>
            </w:tcBorders>
            <w:noWrap w:val="0"/>
            <w:vAlign w:val="center"/>
          </w:tcPr>
          <w:p w14:paraId="597150EA">
            <w:pPr>
              <w:pStyle w:val="55"/>
              <w:bidi w:val="0"/>
              <w:rPr>
                <w:rFonts w:hint="default"/>
              </w:rPr>
            </w:pPr>
          </w:p>
        </w:tc>
        <w:tc>
          <w:tcPr>
            <w:tcW w:w="428" w:type="pct"/>
            <w:tcBorders>
              <w:right w:val="single" w:color="auto" w:sz="4" w:space="0"/>
            </w:tcBorders>
            <w:noWrap w:val="0"/>
            <w:vAlign w:val="center"/>
          </w:tcPr>
          <w:p w14:paraId="3B111653">
            <w:pPr>
              <w:pStyle w:val="55"/>
              <w:bidi w:val="0"/>
              <w:rPr>
                <w:rFonts w:hint="eastAsia"/>
                <w:lang w:val="en-US" w:eastAsia="zh-CN"/>
              </w:rPr>
            </w:pPr>
            <w:r>
              <w:rPr>
                <w:rFonts w:hint="default"/>
              </w:rPr>
              <w:t>m</w:t>
            </w:r>
            <w:r>
              <w:rPr>
                <w:rFonts w:hint="eastAsia"/>
                <w:vertAlign w:val="superscript"/>
                <w:lang w:val="en-US" w:eastAsia="zh-CN"/>
              </w:rPr>
              <w:t>2</w:t>
            </w:r>
          </w:p>
        </w:tc>
        <w:tc>
          <w:tcPr>
            <w:tcW w:w="332" w:type="pct"/>
            <w:tcBorders>
              <w:left w:val="single" w:color="auto" w:sz="4" w:space="0"/>
            </w:tcBorders>
            <w:noWrap w:val="0"/>
            <w:vAlign w:val="center"/>
          </w:tcPr>
          <w:p w14:paraId="3B21F709">
            <w:pPr>
              <w:pStyle w:val="55"/>
              <w:bidi w:val="0"/>
              <w:rPr>
                <w:rFonts w:hint="default"/>
              </w:rPr>
            </w:pPr>
            <w:r>
              <w:rPr>
                <w:rFonts w:hint="default"/>
              </w:rPr>
              <w:t>m</w:t>
            </w:r>
          </w:p>
        </w:tc>
        <w:tc>
          <w:tcPr>
            <w:tcW w:w="366" w:type="pct"/>
            <w:noWrap w:val="0"/>
            <w:vAlign w:val="center"/>
          </w:tcPr>
          <w:p w14:paraId="1799139D">
            <w:pPr>
              <w:pStyle w:val="55"/>
              <w:bidi w:val="0"/>
              <w:rPr>
                <w:rFonts w:hint="default"/>
              </w:rPr>
            </w:pPr>
            <w:r>
              <w:rPr>
                <w:rFonts w:hint="default"/>
              </w:rPr>
              <w:t>m</w:t>
            </w:r>
          </w:p>
        </w:tc>
        <w:tc>
          <w:tcPr>
            <w:tcW w:w="491" w:type="pct"/>
            <w:noWrap w:val="0"/>
            <w:vAlign w:val="center"/>
          </w:tcPr>
          <w:p w14:paraId="465848D5">
            <w:pPr>
              <w:pStyle w:val="55"/>
              <w:bidi w:val="0"/>
              <w:rPr>
                <w:rFonts w:hint="default"/>
              </w:rPr>
            </w:pPr>
            <w:r>
              <w:rPr>
                <w:rFonts w:hint="default"/>
              </w:rPr>
              <w:t>m</w:t>
            </w:r>
          </w:p>
        </w:tc>
        <w:tc>
          <w:tcPr>
            <w:tcW w:w="682" w:type="pct"/>
            <w:noWrap w:val="0"/>
            <w:vAlign w:val="center"/>
          </w:tcPr>
          <w:p w14:paraId="07722BD9">
            <w:pPr>
              <w:pStyle w:val="55"/>
              <w:bidi w:val="0"/>
              <w:rPr>
                <w:rFonts w:hint="default"/>
              </w:rPr>
            </w:pPr>
            <w:r>
              <w:rPr>
                <w:rFonts w:hint="default"/>
              </w:rPr>
              <w:t>h/a</w:t>
            </w:r>
          </w:p>
        </w:tc>
        <w:tc>
          <w:tcPr>
            <w:tcW w:w="741" w:type="pct"/>
            <w:vMerge w:val="continue"/>
            <w:noWrap w:val="0"/>
            <w:vAlign w:val="center"/>
          </w:tcPr>
          <w:p w14:paraId="1A432C74">
            <w:pPr>
              <w:pStyle w:val="55"/>
              <w:bidi w:val="0"/>
              <w:rPr>
                <w:rFonts w:hint="default"/>
              </w:rPr>
            </w:pPr>
          </w:p>
        </w:tc>
        <w:tc>
          <w:tcPr>
            <w:tcW w:w="814" w:type="pct"/>
            <w:noWrap w:val="0"/>
            <w:vAlign w:val="center"/>
          </w:tcPr>
          <w:p w14:paraId="2F938CB2">
            <w:pPr>
              <w:pStyle w:val="55"/>
              <w:bidi w:val="0"/>
              <w:rPr>
                <w:rFonts w:hint="default"/>
              </w:rPr>
            </w:pPr>
            <w:r>
              <w:rPr>
                <w:rFonts w:hint="default"/>
              </w:rPr>
              <w:t>kg/h</w:t>
            </w:r>
          </w:p>
        </w:tc>
      </w:tr>
      <w:tr w14:paraId="15257707">
        <w:tblPrEx>
          <w:tblBorders>
            <w:top w:val="single" w:color="auto" w:sz="6" w:space="0"/>
            <w:left w:val="single" w:color="auto" w:sz="6" w:space="0"/>
            <w:bottom w:val="single" w:color="auto" w:sz="6" w:space="0"/>
            <w:right w:val="single" w:color="auto" w:sz="6" w:space="0"/>
            <w:insideH w:val="single" w:color="auto" w:sz="4" w:space="0"/>
            <w:insideV w:val="single" w:color="auto" w:sz="6" w:space="0"/>
          </w:tblBorders>
          <w:tblCellMar>
            <w:top w:w="0" w:type="dxa"/>
            <w:left w:w="28" w:type="dxa"/>
            <w:bottom w:w="0" w:type="dxa"/>
            <w:right w:w="28" w:type="dxa"/>
          </w:tblCellMar>
        </w:tblPrEx>
        <w:trPr>
          <w:trHeight w:val="397" w:hRule="atLeast"/>
          <w:jc w:val="center"/>
        </w:trPr>
        <w:tc>
          <w:tcPr>
            <w:tcW w:w="402" w:type="pct"/>
            <w:vMerge w:val="restart"/>
            <w:tcBorders>
              <w:right w:val="single" w:color="auto" w:sz="4" w:space="0"/>
            </w:tcBorders>
            <w:noWrap w:val="0"/>
            <w:vAlign w:val="center"/>
          </w:tcPr>
          <w:p w14:paraId="71339A4E">
            <w:pPr>
              <w:pStyle w:val="55"/>
              <w:bidi w:val="0"/>
              <w:rPr>
                <w:rFonts w:hint="default"/>
                <w:lang w:val="en-US" w:eastAsia="zh-CN"/>
              </w:rPr>
            </w:pPr>
            <w:r>
              <w:rPr>
                <w:rFonts w:hint="eastAsia"/>
                <w:lang w:val="en-US" w:eastAsia="zh-CN"/>
              </w:rPr>
              <w:t>1</w:t>
            </w:r>
            <w:r>
              <w:rPr>
                <w:rFonts w:hint="eastAsia"/>
              </w:rPr>
              <w:t>#生产车间</w:t>
            </w:r>
          </w:p>
        </w:tc>
        <w:tc>
          <w:tcPr>
            <w:tcW w:w="741" w:type="pct"/>
            <w:tcBorders>
              <w:left w:val="single" w:color="auto" w:sz="4" w:space="0"/>
            </w:tcBorders>
            <w:noWrap w:val="0"/>
            <w:vAlign w:val="center"/>
          </w:tcPr>
          <w:p w14:paraId="6E126752">
            <w:pPr>
              <w:pStyle w:val="55"/>
              <w:bidi w:val="0"/>
              <w:rPr>
                <w:rFonts w:hint="default"/>
                <w:lang w:val="en-US"/>
              </w:rPr>
            </w:pPr>
            <w:r>
              <w:rPr>
                <w:rFonts w:hint="default"/>
                <w:lang w:val="en-US" w:eastAsia="zh-CN"/>
              </w:rPr>
              <w:t>颗粒物</w:t>
            </w:r>
          </w:p>
        </w:tc>
        <w:tc>
          <w:tcPr>
            <w:tcW w:w="836" w:type="dxa"/>
            <w:vMerge w:val="restart"/>
            <w:tcBorders>
              <w:right w:val="single" w:color="auto" w:sz="4" w:space="0"/>
            </w:tcBorders>
            <w:noWrap w:val="0"/>
            <w:vAlign w:val="center"/>
          </w:tcPr>
          <w:p w14:paraId="21C36998">
            <w:pPr>
              <w:pStyle w:val="55"/>
              <w:bidi w:val="0"/>
              <w:rPr>
                <w:rFonts w:hint="default"/>
                <w:lang w:val="en-US" w:eastAsia="zh-CN"/>
              </w:rPr>
            </w:pPr>
            <w:r>
              <w:rPr>
                <w:rFonts w:hint="eastAsia"/>
                <w:lang w:val="en-US" w:eastAsia="zh-CN"/>
              </w:rPr>
              <w:t>1950</w:t>
            </w:r>
          </w:p>
        </w:tc>
        <w:tc>
          <w:tcPr>
            <w:tcW w:w="606" w:type="dxa"/>
            <w:vMerge w:val="restart"/>
            <w:tcBorders>
              <w:left w:val="single" w:color="auto" w:sz="4" w:space="0"/>
            </w:tcBorders>
            <w:noWrap w:val="0"/>
            <w:vAlign w:val="center"/>
          </w:tcPr>
          <w:p w14:paraId="48216405">
            <w:pPr>
              <w:pStyle w:val="55"/>
              <w:bidi w:val="0"/>
              <w:rPr>
                <w:rFonts w:hint="default"/>
                <w:lang w:val="en-US" w:eastAsia="zh-CN"/>
              </w:rPr>
            </w:pPr>
            <w:r>
              <w:rPr>
                <w:rFonts w:hint="default"/>
                <w:lang w:val="en-US" w:eastAsia="zh-CN"/>
              </w:rPr>
              <w:t>25</w:t>
            </w:r>
          </w:p>
        </w:tc>
        <w:tc>
          <w:tcPr>
            <w:tcW w:w="668" w:type="dxa"/>
            <w:vMerge w:val="restart"/>
            <w:noWrap w:val="0"/>
            <w:vAlign w:val="center"/>
          </w:tcPr>
          <w:p w14:paraId="6723A79F">
            <w:pPr>
              <w:pStyle w:val="55"/>
              <w:bidi w:val="0"/>
              <w:rPr>
                <w:rFonts w:hint="default"/>
                <w:lang w:val="en-US" w:eastAsia="zh-CN"/>
              </w:rPr>
            </w:pPr>
            <w:r>
              <w:rPr>
                <w:rFonts w:hint="default"/>
                <w:lang w:val="en-US" w:eastAsia="zh-CN"/>
              </w:rPr>
              <w:t>78</w:t>
            </w:r>
          </w:p>
        </w:tc>
        <w:tc>
          <w:tcPr>
            <w:tcW w:w="491" w:type="pct"/>
            <w:vMerge w:val="restart"/>
            <w:noWrap w:val="0"/>
            <w:vAlign w:val="center"/>
          </w:tcPr>
          <w:p w14:paraId="11213C5E">
            <w:pPr>
              <w:pStyle w:val="55"/>
              <w:bidi w:val="0"/>
              <w:rPr>
                <w:rFonts w:hint="default"/>
                <w:lang w:val="en-US" w:eastAsia="zh-CN"/>
              </w:rPr>
            </w:pPr>
            <w:r>
              <w:rPr>
                <w:rFonts w:hint="eastAsia"/>
                <w:lang w:val="en-US" w:eastAsia="zh-CN"/>
              </w:rPr>
              <w:t>10</w:t>
            </w:r>
          </w:p>
        </w:tc>
        <w:tc>
          <w:tcPr>
            <w:tcW w:w="682" w:type="pct"/>
            <w:vMerge w:val="restart"/>
            <w:noWrap w:val="0"/>
            <w:vAlign w:val="center"/>
          </w:tcPr>
          <w:p w14:paraId="7B4DEA4A">
            <w:pPr>
              <w:pStyle w:val="55"/>
              <w:bidi w:val="0"/>
              <w:rPr>
                <w:rFonts w:hint="default"/>
                <w:lang w:val="en-US" w:eastAsia="zh-CN"/>
              </w:rPr>
            </w:pPr>
            <w:r>
              <w:rPr>
                <w:rFonts w:hint="eastAsia"/>
                <w:lang w:val="en-US" w:eastAsia="zh-CN"/>
              </w:rPr>
              <w:t>7200</w:t>
            </w:r>
          </w:p>
        </w:tc>
        <w:tc>
          <w:tcPr>
            <w:tcW w:w="741" w:type="pct"/>
            <w:vMerge w:val="restart"/>
            <w:noWrap w:val="0"/>
            <w:vAlign w:val="center"/>
          </w:tcPr>
          <w:p w14:paraId="36C6EB9D">
            <w:pPr>
              <w:pStyle w:val="55"/>
              <w:bidi w:val="0"/>
              <w:rPr>
                <w:rFonts w:hint="default"/>
                <w:lang w:val="en-US" w:eastAsia="zh-CN"/>
              </w:rPr>
            </w:pPr>
            <w:r>
              <w:rPr>
                <w:rFonts w:hint="eastAsia"/>
                <w:lang w:val="en-US" w:eastAsia="zh-CN"/>
              </w:rPr>
              <w:t>正常</w:t>
            </w:r>
          </w:p>
        </w:tc>
        <w:tc>
          <w:tcPr>
            <w:tcW w:w="814" w:type="pct"/>
            <w:noWrap w:val="0"/>
            <w:vAlign w:val="center"/>
          </w:tcPr>
          <w:p w14:paraId="31147EAE">
            <w:pPr>
              <w:pStyle w:val="55"/>
              <w:bidi w:val="0"/>
              <w:rPr>
                <w:rFonts w:hint="default"/>
                <w:lang w:val="en-US" w:eastAsia="zh-CN"/>
              </w:rPr>
            </w:pPr>
            <w:r>
              <w:rPr>
                <w:rFonts w:hint="eastAsia"/>
                <w:lang w:val="en-US" w:eastAsia="zh-CN"/>
              </w:rPr>
              <w:t xml:space="preserve">0.063 </w:t>
            </w:r>
          </w:p>
        </w:tc>
      </w:tr>
      <w:tr w14:paraId="249FCEC4">
        <w:tblPrEx>
          <w:tblBorders>
            <w:top w:val="single" w:color="auto" w:sz="6" w:space="0"/>
            <w:left w:val="single" w:color="auto" w:sz="6" w:space="0"/>
            <w:bottom w:val="single" w:color="auto" w:sz="6" w:space="0"/>
            <w:right w:val="single" w:color="auto" w:sz="6" w:space="0"/>
            <w:insideH w:val="single" w:color="auto" w:sz="4" w:space="0"/>
            <w:insideV w:val="single" w:color="auto" w:sz="6" w:space="0"/>
          </w:tblBorders>
          <w:tblCellMar>
            <w:top w:w="0" w:type="dxa"/>
            <w:left w:w="28" w:type="dxa"/>
            <w:bottom w:w="0" w:type="dxa"/>
            <w:right w:w="28" w:type="dxa"/>
          </w:tblCellMar>
        </w:tblPrEx>
        <w:trPr>
          <w:trHeight w:val="397" w:hRule="atLeast"/>
          <w:jc w:val="center"/>
        </w:trPr>
        <w:tc>
          <w:tcPr>
            <w:tcW w:w="402" w:type="pct"/>
            <w:vMerge w:val="continue"/>
            <w:tcBorders>
              <w:right w:val="single" w:color="auto" w:sz="4" w:space="0"/>
            </w:tcBorders>
            <w:noWrap w:val="0"/>
            <w:vAlign w:val="center"/>
          </w:tcPr>
          <w:p w14:paraId="079F8CEF">
            <w:pPr>
              <w:pStyle w:val="55"/>
              <w:bidi w:val="0"/>
              <w:rPr>
                <w:rFonts w:hint="default"/>
              </w:rPr>
            </w:pPr>
          </w:p>
        </w:tc>
        <w:tc>
          <w:tcPr>
            <w:tcW w:w="741" w:type="pct"/>
            <w:tcBorders>
              <w:left w:val="single" w:color="auto" w:sz="4" w:space="0"/>
            </w:tcBorders>
            <w:noWrap w:val="0"/>
            <w:vAlign w:val="center"/>
          </w:tcPr>
          <w:p w14:paraId="7B83E2F8">
            <w:pPr>
              <w:pStyle w:val="55"/>
              <w:bidi w:val="0"/>
              <w:rPr>
                <w:rFonts w:hint="default"/>
              </w:rPr>
            </w:pPr>
            <w:r>
              <w:rPr>
                <w:rFonts w:hint="default"/>
                <w:lang w:val="en-US" w:eastAsia="zh-CN"/>
              </w:rPr>
              <w:t>非甲烷总烃</w:t>
            </w:r>
          </w:p>
        </w:tc>
        <w:tc>
          <w:tcPr>
            <w:tcW w:w="428" w:type="pct"/>
            <w:vMerge w:val="continue"/>
            <w:tcBorders>
              <w:right w:val="single" w:color="auto" w:sz="4" w:space="0"/>
            </w:tcBorders>
            <w:noWrap w:val="0"/>
            <w:vAlign w:val="center"/>
          </w:tcPr>
          <w:p w14:paraId="5724F0D0">
            <w:pPr>
              <w:pStyle w:val="55"/>
              <w:bidi w:val="0"/>
              <w:rPr>
                <w:rFonts w:hint="default"/>
                <w:lang w:val="en-US" w:eastAsia="zh-CN"/>
              </w:rPr>
            </w:pPr>
          </w:p>
        </w:tc>
        <w:tc>
          <w:tcPr>
            <w:tcW w:w="332" w:type="pct"/>
            <w:vMerge w:val="continue"/>
            <w:tcBorders>
              <w:left w:val="single" w:color="auto" w:sz="4" w:space="0"/>
            </w:tcBorders>
            <w:noWrap w:val="0"/>
            <w:vAlign w:val="center"/>
          </w:tcPr>
          <w:p w14:paraId="07A14F60">
            <w:pPr>
              <w:pStyle w:val="55"/>
              <w:bidi w:val="0"/>
              <w:rPr>
                <w:rFonts w:hint="default"/>
                <w:lang w:val="en-US" w:eastAsia="zh-CN"/>
              </w:rPr>
            </w:pPr>
          </w:p>
        </w:tc>
        <w:tc>
          <w:tcPr>
            <w:tcW w:w="366" w:type="pct"/>
            <w:vMerge w:val="continue"/>
            <w:noWrap w:val="0"/>
            <w:vAlign w:val="center"/>
          </w:tcPr>
          <w:p w14:paraId="0F63C5B0">
            <w:pPr>
              <w:pStyle w:val="55"/>
              <w:bidi w:val="0"/>
              <w:rPr>
                <w:rFonts w:hint="default"/>
                <w:lang w:val="en-US" w:eastAsia="zh-CN"/>
              </w:rPr>
            </w:pPr>
          </w:p>
        </w:tc>
        <w:tc>
          <w:tcPr>
            <w:tcW w:w="491" w:type="pct"/>
            <w:vMerge w:val="continue"/>
            <w:noWrap w:val="0"/>
            <w:vAlign w:val="center"/>
          </w:tcPr>
          <w:p w14:paraId="4515958E">
            <w:pPr>
              <w:pStyle w:val="55"/>
              <w:bidi w:val="0"/>
              <w:rPr>
                <w:rFonts w:hint="default"/>
                <w:lang w:val="en-US" w:eastAsia="zh-CN"/>
              </w:rPr>
            </w:pPr>
          </w:p>
        </w:tc>
        <w:tc>
          <w:tcPr>
            <w:tcW w:w="682" w:type="pct"/>
            <w:vMerge w:val="continue"/>
            <w:noWrap w:val="0"/>
            <w:vAlign w:val="center"/>
          </w:tcPr>
          <w:p w14:paraId="0EE7C6BC">
            <w:pPr>
              <w:pStyle w:val="55"/>
              <w:bidi w:val="0"/>
              <w:rPr>
                <w:rFonts w:hint="default"/>
                <w:lang w:val="en-US"/>
              </w:rPr>
            </w:pPr>
          </w:p>
        </w:tc>
        <w:tc>
          <w:tcPr>
            <w:tcW w:w="741" w:type="pct"/>
            <w:vMerge w:val="continue"/>
            <w:noWrap w:val="0"/>
            <w:vAlign w:val="center"/>
          </w:tcPr>
          <w:p w14:paraId="7951B79B">
            <w:pPr>
              <w:pStyle w:val="55"/>
              <w:bidi w:val="0"/>
              <w:rPr>
                <w:rFonts w:hint="default"/>
              </w:rPr>
            </w:pPr>
          </w:p>
        </w:tc>
        <w:tc>
          <w:tcPr>
            <w:tcW w:w="814" w:type="pct"/>
            <w:noWrap w:val="0"/>
            <w:vAlign w:val="center"/>
          </w:tcPr>
          <w:p w14:paraId="0DEE8307">
            <w:pPr>
              <w:pStyle w:val="55"/>
              <w:bidi w:val="0"/>
              <w:rPr>
                <w:rFonts w:hint="default"/>
                <w:lang w:val="en-US" w:eastAsia="zh-CN"/>
              </w:rPr>
            </w:pPr>
            <w:r>
              <w:rPr>
                <w:rFonts w:hint="eastAsia"/>
                <w:lang w:val="en-US" w:eastAsia="zh-CN"/>
              </w:rPr>
              <w:t xml:space="preserve">0.064 </w:t>
            </w:r>
          </w:p>
        </w:tc>
      </w:tr>
      <w:tr w14:paraId="59BD64B1">
        <w:tblPrEx>
          <w:tblBorders>
            <w:top w:val="single" w:color="auto" w:sz="6" w:space="0"/>
            <w:left w:val="single" w:color="auto" w:sz="6" w:space="0"/>
            <w:bottom w:val="single" w:color="auto" w:sz="6" w:space="0"/>
            <w:right w:val="single" w:color="auto" w:sz="6" w:space="0"/>
            <w:insideH w:val="single" w:color="auto" w:sz="4" w:space="0"/>
            <w:insideV w:val="single" w:color="auto" w:sz="6" w:space="0"/>
          </w:tblBorders>
          <w:tblCellMar>
            <w:top w:w="0" w:type="dxa"/>
            <w:left w:w="28" w:type="dxa"/>
            <w:bottom w:w="0" w:type="dxa"/>
            <w:right w:w="28" w:type="dxa"/>
          </w:tblCellMar>
        </w:tblPrEx>
        <w:trPr>
          <w:trHeight w:val="397" w:hRule="atLeast"/>
          <w:jc w:val="center"/>
        </w:trPr>
        <w:tc>
          <w:tcPr>
            <w:tcW w:w="402" w:type="pct"/>
            <w:vMerge w:val="continue"/>
            <w:tcBorders>
              <w:right w:val="single" w:color="auto" w:sz="4" w:space="0"/>
            </w:tcBorders>
            <w:noWrap w:val="0"/>
            <w:vAlign w:val="center"/>
          </w:tcPr>
          <w:p w14:paraId="48CF247A">
            <w:pPr>
              <w:pStyle w:val="55"/>
              <w:bidi w:val="0"/>
              <w:rPr>
                <w:rFonts w:hint="default"/>
              </w:rPr>
            </w:pPr>
          </w:p>
        </w:tc>
        <w:tc>
          <w:tcPr>
            <w:tcW w:w="741" w:type="pct"/>
            <w:tcBorders>
              <w:left w:val="single" w:color="auto" w:sz="4" w:space="0"/>
            </w:tcBorders>
            <w:noWrap w:val="0"/>
            <w:vAlign w:val="center"/>
          </w:tcPr>
          <w:p w14:paraId="309D543A">
            <w:pPr>
              <w:pStyle w:val="55"/>
              <w:bidi w:val="0"/>
              <w:rPr>
                <w:rFonts w:hint="default"/>
                <w:lang w:val="en-US" w:eastAsia="zh-CN"/>
              </w:rPr>
            </w:pPr>
            <w:r>
              <w:rPr>
                <w:rFonts w:hint="eastAsia"/>
                <w:lang w:val="en-US" w:eastAsia="zh-CN"/>
              </w:rPr>
              <w:t>HCl</w:t>
            </w:r>
          </w:p>
        </w:tc>
        <w:tc>
          <w:tcPr>
            <w:tcW w:w="428" w:type="pct"/>
            <w:vMerge w:val="continue"/>
            <w:tcBorders>
              <w:right w:val="single" w:color="auto" w:sz="4" w:space="0"/>
            </w:tcBorders>
            <w:noWrap w:val="0"/>
            <w:vAlign w:val="center"/>
          </w:tcPr>
          <w:p w14:paraId="0B10DF9E">
            <w:pPr>
              <w:pStyle w:val="55"/>
              <w:bidi w:val="0"/>
              <w:rPr>
                <w:rFonts w:hint="default"/>
                <w:lang w:val="en-US" w:eastAsia="zh-CN"/>
              </w:rPr>
            </w:pPr>
          </w:p>
        </w:tc>
        <w:tc>
          <w:tcPr>
            <w:tcW w:w="332" w:type="pct"/>
            <w:vMerge w:val="continue"/>
            <w:tcBorders>
              <w:left w:val="single" w:color="auto" w:sz="4" w:space="0"/>
            </w:tcBorders>
            <w:noWrap w:val="0"/>
            <w:vAlign w:val="center"/>
          </w:tcPr>
          <w:p w14:paraId="179C0092">
            <w:pPr>
              <w:pStyle w:val="55"/>
              <w:bidi w:val="0"/>
              <w:rPr>
                <w:rFonts w:hint="default"/>
                <w:lang w:val="en-US" w:eastAsia="zh-CN"/>
              </w:rPr>
            </w:pPr>
          </w:p>
        </w:tc>
        <w:tc>
          <w:tcPr>
            <w:tcW w:w="366" w:type="pct"/>
            <w:vMerge w:val="continue"/>
            <w:noWrap w:val="0"/>
            <w:vAlign w:val="center"/>
          </w:tcPr>
          <w:p w14:paraId="73BAA239">
            <w:pPr>
              <w:pStyle w:val="55"/>
              <w:bidi w:val="0"/>
              <w:rPr>
                <w:rFonts w:hint="default"/>
                <w:lang w:val="en-US" w:eastAsia="zh-CN"/>
              </w:rPr>
            </w:pPr>
          </w:p>
        </w:tc>
        <w:tc>
          <w:tcPr>
            <w:tcW w:w="491" w:type="pct"/>
            <w:vMerge w:val="continue"/>
            <w:noWrap w:val="0"/>
            <w:vAlign w:val="center"/>
          </w:tcPr>
          <w:p w14:paraId="31E9380E">
            <w:pPr>
              <w:pStyle w:val="55"/>
              <w:bidi w:val="0"/>
              <w:rPr>
                <w:rFonts w:hint="default"/>
                <w:lang w:val="en-US" w:eastAsia="zh-CN"/>
              </w:rPr>
            </w:pPr>
          </w:p>
        </w:tc>
        <w:tc>
          <w:tcPr>
            <w:tcW w:w="682" w:type="pct"/>
            <w:vMerge w:val="continue"/>
            <w:noWrap w:val="0"/>
            <w:vAlign w:val="center"/>
          </w:tcPr>
          <w:p w14:paraId="577CA631">
            <w:pPr>
              <w:pStyle w:val="55"/>
              <w:bidi w:val="0"/>
              <w:rPr>
                <w:rFonts w:hint="eastAsia"/>
                <w:lang w:val="en-US" w:eastAsia="zh-CN"/>
              </w:rPr>
            </w:pPr>
          </w:p>
        </w:tc>
        <w:tc>
          <w:tcPr>
            <w:tcW w:w="741" w:type="pct"/>
            <w:vMerge w:val="continue"/>
            <w:noWrap w:val="0"/>
            <w:vAlign w:val="center"/>
          </w:tcPr>
          <w:p w14:paraId="6D02ED92">
            <w:pPr>
              <w:pStyle w:val="55"/>
              <w:bidi w:val="0"/>
              <w:rPr>
                <w:rFonts w:hint="default"/>
              </w:rPr>
            </w:pPr>
          </w:p>
        </w:tc>
        <w:tc>
          <w:tcPr>
            <w:tcW w:w="814" w:type="pct"/>
            <w:noWrap w:val="0"/>
            <w:vAlign w:val="center"/>
          </w:tcPr>
          <w:p w14:paraId="652D79A6">
            <w:pPr>
              <w:pStyle w:val="55"/>
              <w:bidi w:val="0"/>
              <w:rPr>
                <w:rFonts w:hint="default"/>
                <w:lang w:val="en-US" w:eastAsia="zh-CN"/>
              </w:rPr>
            </w:pPr>
            <w:r>
              <w:rPr>
                <w:rFonts w:hint="eastAsia"/>
                <w:lang w:val="en-US" w:eastAsia="zh-CN"/>
              </w:rPr>
              <w:t xml:space="preserve">0.00004 </w:t>
            </w:r>
          </w:p>
        </w:tc>
      </w:tr>
      <w:tr w14:paraId="3F8897E7">
        <w:tblPrEx>
          <w:tblBorders>
            <w:top w:val="single" w:color="auto" w:sz="6" w:space="0"/>
            <w:left w:val="single" w:color="auto" w:sz="6" w:space="0"/>
            <w:bottom w:val="single" w:color="auto" w:sz="6" w:space="0"/>
            <w:right w:val="single" w:color="auto" w:sz="6" w:space="0"/>
            <w:insideH w:val="single" w:color="auto" w:sz="4" w:space="0"/>
            <w:insideV w:val="single" w:color="auto" w:sz="6" w:space="0"/>
          </w:tblBorders>
          <w:tblCellMar>
            <w:top w:w="0" w:type="dxa"/>
            <w:left w:w="28" w:type="dxa"/>
            <w:bottom w:w="0" w:type="dxa"/>
            <w:right w:w="28" w:type="dxa"/>
          </w:tblCellMar>
        </w:tblPrEx>
        <w:trPr>
          <w:trHeight w:val="397" w:hRule="atLeast"/>
          <w:jc w:val="center"/>
        </w:trPr>
        <w:tc>
          <w:tcPr>
            <w:tcW w:w="402" w:type="pct"/>
            <w:vMerge w:val="restart"/>
            <w:tcBorders>
              <w:right w:val="single" w:color="auto" w:sz="4" w:space="0"/>
            </w:tcBorders>
            <w:noWrap w:val="0"/>
            <w:vAlign w:val="center"/>
          </w:tcPr>
          <w:p w14:paraId="06361C85">
            <w:pPr>
              <w:pStyle w:val="55"/>
              <w:bidi w:val="0"/>
              <w:rPr>
                <w:rFonts w:hint="default"/>
              </w:rPr>
            </w:pPr>
            <w:r>
              <w:rPr>
                <w:rFonts w:hint="eastAsia"/>
                <w:lang w:val="en-US" w:eastAsia="zh-CN"/>
              </w:rPr>
              <w:t>2</w:t>
            </w:r>
            <w:r>
              <w:rPr>
                <w:rFonts w:hint="eastAsia"/>
              </w:rPr>
              <w:t>#生产车间</w:t>
            </w:r>
          </w:p>
        </w:tc>
        <w:tc>
          <w:tcPr>
            <w:tcW w:w="741" w:type="pct"/>
            <w:tcBorders>
              <w:left w:val="single" w:color="auto" w:sz="4" w:space="0"/>
            </w:tcBorders>
            <w:noWrap w:val="0"/>
            <w:vAlign w:val="center"/>
          </w:tcPr>
          <w:p w14:paraId="46F6CBEC">
            <w:pPr>
              <w:pStyle w:val="55"/>
              <w:bidi w:val="0"/>
              <w:rPr>
                <w:rFonts w:hint="default"/>
                <w:lang w:val="en-US" w:eastAsia="zh-CN"/>
              </w:rPr>
            </w:pPr>
            <w:r>
              <w:rPr>
                <w:rFonts w:hint="default"/>
                <w:lang w:val="en-US" w:eastAsia="zh-CN"/>
              </w:rPr>
              <w:t>颗粒物</w:t>
            </w:r>
          </w:p>
        </w:tc>
        <w:tc>
          <w:tcPr>
            <w:tcW w:w="836" w:type="dxa"/>
            <w:vMerge w:val="restart"/>
            <w:tcBorders>
              <w:right w:val="single" w:color="auto" w:sz="4" w:space="0"/>
            </w:tcBorders>
            <w:noWrap w:val="0"/>
            <w:vAlign w:val="center"/>
          </w:tcPr>
          <w:p w14:paraId="5AF939C4">
            <w:pPr>
              <w:pStyle w:val="55"/>
              <w:bidi w:val="0"/>
              <w:rPr>
                <w:rFonts w:hint="default"/>
                <w:lang w:val="en-US" w:eastAsia="zh-CN"/>
              </w:rPr>
            </w:pPr>
            <w:r>
              <w:rPr>
                <w:rFonts w:hint="eastAsia"/>
                <w:lang w:val="en-US" w:eastAsia="zh-CN"/>
              </w:rPr>
              <w:t>1035</w:t>
            </w:r>
          </w:p>
        </w:tc>
        <w:tc>
          <w:tcPr>
            <w:tcW w:w="606" w:type="dxa"/>
            <w:vMerge w:val="restart"/>
            <w:tcBorders>
              <w:left w:val="single" w:color="auto" w:sz="4" w:space="0"/>
            </w:tcBorders>
            <w:noWrap w:val="0"/>
            <w:vAlign w:val="center"/>
          </w:tcPr>
          <w:p w14:paraId="3BDFB53A">
            <w:pPr>
              <w:pStyle w:val="55"/>
              <w:bidi w:val="0"/>
              <w:rPr>
                <w:rFonts w:hint="default"/>
                <w:lang w:val="en-US" w:eastAsia="zh-CN"/>
              </w:rPr>
            </w:pPr>
            <w:r>
              <w:rPr>
                <w:rFonts w:hint="default"/>
                <w:lang w:val="en-US" w:eastAsia="zh-CN"/>
              </w:rPr>
              <w:t>45</w:t>
            </w:r>
          </w:p>
        </w:tc>
        <w:tc>
          <w:tcPr>
            <w:tcW w:w="668" w:type="dxa"/>
            <w:vMerge w:val="restart"/>
            <w:noWrap w:val="0"/>
            <w:vAlign w:val="center"/>
          </w:tcPr>
          <w:p w14:paraId="753532C5">
            <w:pPr>
              <w:pStyle w:val="55"/>
              <w:bidi w:val="0"/>
              <w:rPr>
                <w:rFonts w:hint="default"/>
                <w:lang w:val="en-US" w:eastAsia="zh-CN"/>
              </w:rPr>
            </w:pPr>
            <w:r>
              <w:rPr>
                <w:rFonts w:hint="default"/>
                <w:lang w:val="en-US" w:eastAsia="zh-CN"/>
              </w:rPr>
              <w:t>23</w:t>
            </w:r>
          </w:p>
        </w:tc>
        <w:tc>
          <w:tcPr>
            <w:tcW w:w="491" w:type="pct"/>
            <w:vMerge w:val="restart"/>
            <w:noWrap w:val="0"/>
            <w:vAlign w:val="center"/>
          </w:tcPr>
          <w:p w14:paraId="39B9B064">
            <w:pPr>
              <w:pStyle w:val="55"/>
              <w:bidi w:val="0"/>
              <w:rPr>
                <w:rFonts w:hint="default"/>
                <w:lang w:val="en-US" w:eastAsia="zh-CN"/>
              </w:rPr>
            </w:pPr>
            <w:r>
              <w:rPr>
                <w:rFonts w:hint="eastAsia"/>
                <w:lang w:val="en-US" w:eastAsia="zh-CN"/>
              </w:rPr>
              <w:t>10</w:t>
            </w:r>
          </w:p>
        </w:tc>
        <w:tc>
          <w:tcPr>
            <w:tcW w:w="682" w:type="pct"/>
            <w:vMerge w:val="restart"/>
            <w:noWrap w:val="0"/>
            <w:vAlign w:val="center"/>
          </w:tcPr>
          <w:p w14:paraId="3872B91A">
            <w:pPr>
              <w:pStyle w:val="55"/>
              <w:bidi w:val="0"/>
              <w:rPr>
                <w:rFonts w:hint="default"/>
                <w:lang w:val="en-US" w:eastAsia="zh-CN"/>
              </w:rPr>
            </w:pPr>
            <w:r>
              <w:rPr>
                <w:rFonts w:hint="eastAsia"/>
                <w:lang w:val="en-US" w:eastAsia="zh-CN"/>
              </w:rPr>
              <w:t>7200</w:t>
            </w:r>
          </w:p>
        </w:tc>
        <w:tc>
          <w:tcPr>
            <w:tcW w:w="741" w:type="pct"/>
            <w:vMerge w:val="restart"/>
            <w:noWrap w:val="0"/>
            <w:vAlign w:val="center"/>
          </w:tcPr>
          <w:p w14:paraId="22EFDB1A">
            <w:pPr>
              <w:pStyle w:val="55"/>
              <w:bidi w:val="0"/>
              <w:rPr>
                <w:rFonts w:hint="default"/>
              </w:rPr>
            </w:pPr>
            <w:r>
              <w:rPr>
                <w:rFonts w:hint="eastAsia"/>
                <w:lang w:val="en-US" w:eastAsia="zh-CN"/>
              </w:rPr>
              <w:t>正常</w:t>
            </w:r>
          </w:p>
        </w:tc>
        <w:tc>
          <w:tcPr>
            <w:tcW w:w="814" w:type="pct"/>
            <w:noWrap w:val="0"/>
            <w:vAlign w:val="center"/>
          </w:tcPr>
          <w:p w14:paraId="730E5428">
            <w:pPr>
              <w:pStyle w:val="55"/>
              <w:bidi w:val="0"/>
              <w:rPr>
                <w:rFonts w:hint="default"/>
                <w:lang w:val="en-US" w:eastAsia="zh-CN"/>
              </w:rPr>
            </w:pPr>
            <w:r>
              <w:rPr>
                <w:rFonts w:hint="eastAsia"/>
                <w:lang w:val="en-US" w:eastAsia="zh-CN"/>
              </w:rPr>
              <w:t xml:space="preserve">0.063 </w:t>
            </w:r>
          </w:p>
        </w:tc>
      </w:tr>
      <w:tr w14:paraId="4BEE5684">
        <w:tblPrEx>
          <w:tblBorders>
            <w:top w:val="single" w:color="auto" w:sz="6" w:space="0"/>
            <w:left w:val="single" w:color="auto" w:sz="6" w:space="0"/>
            <w:bottom w:val="single" w:color="auto" w:sz="6" w:space="0"/>
            <w:right w:val="single" w:color="auto" w:sz="6" w:space="0"/>
            <w:insideH w:val="single" w:color="auto" w:sz="4" w:space="0"/>
            <w:insideV w:val="single" w:color="auto" w:sz="6" w:space="0"/>
          </w:tblBorders>
          <w:tblCellMar>
            <w:top w:w="0" w:type="dxa"/>
            <w:left w:w="28" w:type="dxa"/>
            <w:bottom w:w="0" w:type="dxa"/>
            <w:right w:w="28" w:type="dxa"/>
          </w:tblCellMar>
        </w:tblPrEx>
        <w:trPr>
          <w:trHeight w:val="397" w:hRule="atLeast"/>
          <w:jc w:val="center"/>
        </w:trPr>
        <w:tc>
          <w:tcPr>
            <w:tcW w:w="402" w:type="pct"/>
            <w:vMerge w:val="continue"/>
            <w:tcBorders>
              <w:right w:val="single" w:color="auto" w:sz="4" w:space="0"/>
            </w:tcBorders>
            <w:noWrap w:val="0"/>
            <w:vAlign w:val="center"/>
          </w:tcPr>
          <w:p w14:paraId="7C87B4D9">
            <w:pPr>
              <w:pStyle w:val="55"/>
              <w:bidi w:val="0"/>
              <w:rPr>
                <w:rFonts w:hint="eastAsia"/>
                <w:lang w:val="en-US" w:eastAsia="zh-CN"/>
              </w:rPr>
            </w:pPr>
          </w:p>
        </w:tc>
        <w:tc>
          <w:tcPr>
            <w:tcW w:w="741" w:type="pct"/>
            <w:tcBorders>
              <w:left w:val="single" w:color="auto" w:sz="4" w:space="0"/>
            </w:tcBorders>
            <w:noWrap w:val="0"/>
            <w:vAlign w:val="center"/>
          </w:tcPr>
          <w:p w14:paraId="4947F20C">
            <w:pPr>
              <w:pStyle w:val="55"/>
              <w:bidi w:val="0"/>
              <w:rPr>
                <w:rFonts w:hint="default"/>
                <w:lang w:val="en-US" w:eastAsia="zh-CN"/>
              </w:rPr>
            </w:pPr>
            <w:r>
              <w:rPr>
                <w:rFonts w:hint="default"/>
                <w:lang w:val="en-US" w:eastAsia="zh-CN"/>
              </w:rPr>
              <w:t>非甲烷总烃</w:t>
            </w:r>
          </w:p>
        </w:tc>
        <w:tc>
          <w:tcPr>
            <w:tcW w:w="428" w:type="pct"/>
            <w:vMerge w:val="continue"/>
            <w:tcBorders>
              <w:right w:val="single" w:color="auto" w:sz="4" w:space="0"/>
            </w:tcBorders>
            <w:noWrap w:val="0"/>
            <w:vAlign w:val="center"/>
          </w:tcPr>
          <w:p w14:paraId="3757D616">
            <w:pPr>
              <w:pStyle w:val="55"/>
              <w:bidi w:val="0"/>
              <w:rPr>
                <w:rFonts w:hint="eastAsia"/>
                <w:lang w:val="en-US" w:eastAsia="zh-CN"/>
              </w:rPr>
            </w:pPr>
          </w:p>
        </w:tc>
        <w:tc>
          <w:tcPr>
            <w:tcW w:w="332" w:type="pct"/>
            <w:vMerge w:val="continue"/>
            <w:tcBorders>
              <w:left w:val="single" w:color="auto" w:sz="4" w:space="0"/>
            </w:tcBorders>
            <w:noWrap w:val="0"/>
            <w:vAlign w:val="center"/>
          </w:tcPr>
          <w:p w14:paraId="36F2D0D0">
            <w:pPr>
              <w:pStyle w:val="55"/>
              <w:bidi w:val="0"/>
              <w:rPr>
                <w:rFonts w:hint="eastAsia"/>
                <w:lang w:val="en-US" w:eastAsia="zh-CN"/>
              </w:rPr>
            </w:pPr>
          </w:p>
        </w:tc>
        <w:tc>
          <w:tcPr>
            <w:tcW w:w="366" w:type="pct"/>
            <w:vMerge w:val="continue"/>
            <w:noWrap w:val="0"/>
            <w:vAlign w:val="center"/>
          </w:tcPr>
          <w:p w14:paraId="0BDCE656">
            <w:pPr>
              <w:pStyle w:val="55"/>
              <w:bidi w:val="0"/>
              <w:rPr>
                <w:rFonts w:hint="eastAsia"/>
                <w:lang w:val="en-US" w:eastAsia="zh-CN"/>
              </w:rPr>
            </w:pPr>
          </w:p>
        </w:tc>
        <w:tc>
          <w:tcPr>
            <w:tcW w:w="491" w:type="pct"/>
            <w:vMerge w:val="continue"/>
            <w:noWrap w:val="0"/>
            <w:vAlign w:val="center"/>
          </w:tcPr>
          <w:p w14:paraId="2C7979B6">
            <w:pPr>
              <w:pStyle w:val="55"/>
              <w:bidi w:val="0"/>
              <w:rPr>
                <w:rFonts w:hint="default"/>
                <w:lang w:eastAsia="zh-CN"/>
              </w:rPr>
            </w:pPr>
          </w:p>
        </w:tc>
        <w:tc>
          <w:tcPr>
            <w:tcW w:w="682" w:type="pct"/>
            <w:vMerge w:val="continue"/>
            <w:noWrap w:val="0"/>
            <w:vAlign w:val="center"/>
          </w:tcPr>
          <w:p w14:paraId="091E871F">
            <w:pPr>
              <w:pStyle w:val="55"/>
              <w:bidi w:val="0"/>
              <w:rPr>
                <w:rFonts w:hint="eastAsia"/>
                <w:lang w:val="en-US" w:eastAsia="zh-CN"/>
              </w:rPr>
            </w:pPr>
          </w:p>
        </w:tc>
        <w:tc>
          <w:tcPr>
            <w:tcW w:w="741" w:type="pct"/>
            <w:vMerge w:val="continue"/>
            <w:noWrap w:val="0"/>
            <w:vAlign w:val="center"/>
          </w:tcPr>
          <w:p w14:paraId="34F2C630">
            <w:pPr>
              <w:pStyle w:val="55"/>
              <w:bidi w:val="0"/>
              <w:rPr>
                <w:rFonts w:hint="default"/>
              </w:rPr>
            </w:pPr>
          </w:p>
        </w:tc>
        <w:tc>
          <w:tcPr>
            <w:tcW w:w="814" w:type="pct"/>
            <w:noWrap w:val="0"/>
            <w:vAlign w:val="center"/>
          </w:tcPr>
          <w:p w14:paraId="54BB7EF3">
            <w:pPr>
              <w:pStyle w:val="55"/>
              <w:bidi w:val="0"/>
              <w:rPr>
                <w:rFonts w:hint="default"/>
                <w:lang w:val="en-US" w:eastAsia="zh-CN"/>
              </w:rPr>
            </w:pPr>
            <w:r>
              <w:rPr>
                <w:rFonts w:hint="eastAsia"/>
                <w:lang w:val="en-US" w:eastAsia="zh-CN"/>
              </w:rPr>
              <w:t xml:space="preserve">0.064 </w:t>
            </w:r>
          </w:p>
        </w:tc>
      </w:tr>
      <w:tr w14:paraId="614D7D94">
        <w:tblPrEx>
          <w:tblBorders>
            <w:top w:val="single" w:color="auto" w:sz="6" w:space="0"/>
            <w:left w:val="single" w:color="auto" w:sz="6" w:space="0"/>
            <w:bottom w:val="single" w:color="auto" w:sz="6" w:space="0"/>
            <w:right w:val="single" w:color="auto" w:sz="6" w:space="0"/>
            <w:insideH w:val="single" w:color="auto" w:sz="4" w:space="0"/>
            <w:insideV w:val="single" w:color="auto" w:sz="6" w:space="0"/>
          </w:tblBorders>
          <w:tblCellMar>
            <w:top w:w="0" w:type="dxa"/>
            <w:left w:w="28" w:type="dxa"/>
            <w:bottom w:w="0" w:type="dxa"/>
            <w:right w:w="28" w:type="dxa"/>
          </w:tblCellMar>
        </w:tblPrEx>
        <w:trPr>
          <w:trHeight w:val="397" w:hRule="atLeast"/>
          <w:jc w:val="center"/>
        </w:trPr>
        <w:tc>
          <w:tcPr>
            <w:tcW w:w="402" w:type="pct"/>
            <w:vMerge w:val="continue"/>
            <w:tcBorders>
              <w:right w:val="single" w:color="auto" w:sz="4" w:space="0"/>
            </w:tcBorders>
            <w:noWrap w:val="0"/>
            <w:vAlign w:val="center"/>
          </w:tcPr>
          <w:p w14:paraId="42F197FF">
            <w:pPr>
              <w:pStyle w:val="55"/>
              <w:bidi w:val="0"/>
              <w:rPr>
                <w:rFonts w:hint="eastAsia"/>
                <w:lang w:val="en-US" w:eastAsia="zh-CN"/>
              </w:rPr>
            </w:pPr>
          </w:p>
        </w:tc>
        <w:tc>
          <w:tcPr>
            <w:tcW w:w="741" w:type="pct"/>
            <w:tcBorders>
              <w:left w:val="single" w:color="auto" w:sz="4" w:space="0"/>
            </w:tcBorders>
            <w:noWrap w:val="0"/>
            <w:vAlign w:val="center"/>
          </w:tcPr>
          <w:p w14:paraId="1C439DAC">
            <w:pPr>
              <w:pStyle w:val="55"/>
              <w:bidi w:val="0"/>
              <w:rPr>
                <w:rFonts w:hint="eastAsia"/>
                <w:lang w:val="en-US" w:eastAsia="zh-CN"/>
              </w:rPr>
            </w:pPr>
            <w:r>
              <w:rPr>
                <w:rFonts w:hint="eastAsia"/>
                <w:lang w:val="en-US" w:eastAsia="zh-CN"/>
              </w:rPr>
              <w:t>HCl</w:t>
            </w:r>
          </w:p>
        </w:tc>
        <w:tc>
          <w:tcPr>
            <w:tcW w:w="428" w:type="pct"/>
            <w:vMerge w:val="continue"/>
            <w:tcBorders>
              <w:right w:val="single" w:color="auto" w:sz="4" w:space="0"/>
            </w:tcBorders>
            <w:noWrap w:val="0"/>
            <w:vAlign w:val="center"/>
          </w:tcPr>
          <w:p w14:paraId="667A72D2">
            <w:pPr>
              <w:pStyle w:val="55"/>
              <w:bidi w:val="0"/>
              <w:rPr>
                <w:rFonts w:hint="eastAsia"/>
                <w:lang w:val="en-US" w:eastAsia="zh-CN"/>
              </w:rPr>
            </w:pPr>
          </w:p>
        </w:tc>
        <w:tc>
          <w:tcPr>
            <w:tcW w:w="332" w:type="pct"/>
            <w:vMerge w:val="continue"/>
            <w:tcBorders>
              <w:left w:val="single" w:color="auto" w:sz="4" w:space="0"/>
            </w:tcBorders>
            <w:noWrap w:val="0"/>
            <w:vAlign w:val="center"/>
          </w:tcPr>
          <w:p w14:paraId="69CF4BED">
            <w:pPr>
              <w:pStyle w:val="55"/>
              <w:bidi w:val="0"/>
              <w:rPr>
                <w:rFonts w:hint="eastAsia"/>
                <w:lang w:val="en-US" w:eastAsia="zh-CN"/>
              </w:rPr>
            </w:pPr>
          </w:p>
        </w:tc>
        <w:tc>
          <w:tcPr>
            <w:tcW w:w="366" w:type="pct"/>
            <w:vMerge w:val="continue"/>
            <w:noWrap w:val="0"/>
            <w:vAlign w:val="center"/>
          </w:tcPr>
          <w:p w14:paraId="1DB45AFE">
            <w:pPr>
              <w:pStyle w:val="55"/>
              <w:bidi w:val="0"/>
              <w:rPr>
                <w:rFonts w:hint="eastAsia"/>
                <w:lang w:val="en-US" w:eastAsia="zh-CN"/>
              </w:rPr>
            </w:pPr>
          </w:p>
        </w:tc>
        <w:tc>
          <w:tcPr>
            <w:tcW w:w="491" w:type="pct"/>
            <w:vMerge w:val="continue"/>
            <w:noWrap w:val="0"/>
            <w:vAlign w:val="center"/>
          </w:tcPr>
          <w:p w14:paraId="3C04EC4B">
            <w:pPr>
              <w:pStyle w:val="55"/>
              <w:bidi w:val="0"/>
              <w:rPr>
                <w:rFonts w:hint="default"/>
                <w:lang w:eastAsia="zh-CN"/>
              </w:rPr>
            </w:pPr>
          </w:p>
        </w:tc>
        <w:tc>
          <w:tcPr>
            <w:tcW w:w="682" w:type="pct"/>
            <w:vMerge w:val="continue"/>
            <w:noWrap w:val="0"/>
            <w:vAlign w:val="center"/>
          </w:tcPr>
          <w:p w14:paraId="35F69B93">
            <w:pPr>
              <w:pStyle w:val="55"/>
              <w:bidi w:val="0"/>
              <w:rPr>
                <w:rFonts w:hint="eastAsia"/>
                <w:lang w:val="en-US" w:eastAsia="zh-CN"/>
              </w:rPr>
            </w:pPr>
          </w:p>
        </w:tc>
        <w:tc>
          <w:tcPr>
            <w:tcW w:w="741" w:type="pct"/>
            <w:vMerge w:val="continue"/>
            <w:noWrap w:val="0"/>
            <w:vAlign w:val="center"/>
          </w:tcPr>
          <w:p w14:paraId="420EA584">
            <w:pPr>
              <w:pStyle w:val="55"/>
              <w:bidi w:val="0"/>
              <w:rPr>
                <w:rFonts w:hint="default"/>
              </w:rPr>
            </w:pPr>
          </w:p>
        </w:tc>
        <w:tc>
          <w:tcPr>
            <w:tcW w:w="814" w:type="pct"/>
            <w:noWrap w:val="0"/>
            <w:vAlign w:val="center"/>
          </w:tcPr>
          <w:p w14:paraId="77B3D216">
            <w:pPr>
              <w:pStyle w:val="55"/>
              <w:bidi w:val="0"/>
              <w:rPr>
                <w:rFonts w:hint="eastAsia"/>
                <w:lang w:val="en-US" w:eastAsia="zh-CN"/>
              </w:rPr>
            </w:pPr>
            <w:r>
              <w:rPr>
                <w:rFonts w:hint="eastAsia"/>
                <w:lang w:val="en-US" w:eastAsia="zh-CN"/>
              </w:rPr>
              <w:t xml:space="preserve">0.00004 </w:t>
            </w:r>
          </w:p>
        </w:tc>
      </w:tr>
      <w:tr w14:paraId="04B2D588">
        <w:tblPrEx>
          <w:tblBorders>
            <w:top w:val="single" w:color="auto" w:sz="6" w:space="0"/>
            <w:left w:val="single" w:color="auto" w:sz="6" w:space="0"/>
            <w:bottom w:val="single" w:color="auto" w:sz="6" w:space="0"/>
            <w:right w:val="single" w:color="auto" w:sz="6" w:space="0"/>
            <w:insideH w:val="single" w:color="auto" w:sz="4" w:space="0"/>
            <w:insideV w:val="single" w:color="auto" w:sz="6" w:space="0"/>
          </w:tblBorders>
          <w:tblCellMar>
            <w:top w:w="0" w:type="dxa"/>
            <w:left w:w="28" w:type="dxa"/>
            <w:bottom w:w="0" w:type="dxa"/>
            <w:right w:w="28" w:type="dxa"/>
          </w:tblCellMar>
        </w:tblPrEx>
        <w:trPr>
          <w:trHeight w:val="397" w:hRule="atLeast"/>
          <w:jc w:val="center"/>
        </w:trPr>
        <w:tc>
          <w:tcPr>
            <w:tcW w:w="402" w:type="pct"/>
            <w:vMerge w:val="restart"/>
            <w:tcBorders>
              <w:right w:val="single" w:color="auto" w:sz="4" w:space="0"/>
            </w:tcBorders>
            <w:noWrap w:val="0"/>
            <w:vAlign w:val="center"/>
          </w:tcPr>
          <w:p w14:paraId="101230C7">
            <w:pPr>
              <w:pStyle w:val="55"/>
              <w:bidi w:val="0"/>
              <w:rPr>
                <w:rFonts w:hint="default"/>
              </w:rPr>
            </w:pPr>
            <w:r>
              <w:rPr>
                <w:rFonts w:hint="eastAsia"/>
                <w:lang w:val="en-US" w:eastAsia="zh-CN"/>
              </w:rPr>
              <w:t>3</w:t>
            </w:r>
            <w:r>
              <w:rPr>
                <w:rFonts w:hint="eastAsia"/>
              </w:rPr>
              <w:t>#生产车间</w:t>
            </w:r>
          </w:p>
        </w:tc>
        <w:tc>
          <w:tcPr>
            <w:tcW w:w="741" w:type="pct"/>
            <w:tcBorders>
              <w:left w:val="single" w:color="auto" w:sz="4" w:space="0"/>
            </w:tcBorders>
            <w:noWrap w:val="0"/>
            <w:vAlign w:val="center"/>
          </w:tcPr>
          <w:p w14:paraId="1B801DB2">
            <w:pPr>
              <w:pStyle w:val="55"/>
              <w:bidi w:val="0"/>
              <w:rPr>
                <w:rFonts w:hint="default"/>
                <w:lang w:val="en-US" w:eastAsia="zh-CN"/>
              </w:rPr>
            </w:pPr>
            <w:r>
              <w:rPr>
                <w:rFonts w:hint="default"/>
                <w:lang w:val="en-US" w:eastAsia="zh-CN"/>
              </w:rPr>
              <w:t>颗粒物</w:t>
            </w:r>
          </w:p>
        </w:tc>
        <w:tc>
          <w:tcPr>
            <w:tcW w:w="836" w:type="dxa"/>
            <w:vMerge w:val="restart"/>
            <w:tcBorders>
              <w:right w:val="single" w:color="auto" w:sz="4" w:space="0"/>
            </w:tcBorders>
            <w:noWrap w:val="0"/>
            <w:vAlign w:val="center"/>
          </w:tcPr>
          <w:p w14:paraId="7234F053">
            <w:pPr>
              <w:pStyle w:val="55"/>
              <w:bidi w:val="0"/>
              <w:rPr>
                <w:rFonts w:hint="default"/>
                <w:lang w:val="en-US" w:eastAsia="zh-CN"/>
              </w:rPr>
            </w:pPr>
            <w:r>
              <w:rPr>
                <w:rFonts w:hint="eastAsia"/>
                <w:lang w:val="en-US" w:eastAsia="zh-CN"/>
              </w:rPr>
              <w:t>1400</w:t>
            </w:r>
          </w:p>
        </w:tc>
        <w:tc>
          <w:tcPr>
            <w:tcW w:w="606" w:type="dxa"/>
            <w:vMerge w:val="restart"/>
            <w:tcBorders>
              <w:left w:val="single" w:color="auto" w:sz="4" w:space="0"/>
            </w:tcBorders>
            <w:noWrap w:val="0"/>
            <w:vAlign w:val="center"/>
          </w:tcPr>
          <w:p w14:paraId="7EF68087">
            <w:pPr>
              <w:pStyle w:val="55"/>
              <w:bidi w:val="0"/>
              <w:rPr>
                <w:rFonts w:hint="default"/>
                <w:lang w:val="en-US" w:eastAsia="zh-CN"/>
              </w:rPr>
            </w:pPr>
            <w:r>
              <w:rPr>
                <w:rFonts w:hint="default"/>
                <w:lang w:val="en-US" w:eastAsia="zh-CN"/>
              </w:rPr>
              <w:t>40</w:t>
            </w:r>
          </w:p>
        </w:tc>
        <w:tc>
          <w:tcPr>
            <w:tcW w:w="668" w:type="dxa"/>
            <w:vMerge w:val="restart"/>
            <w:noWrap w:val="0"/>
            <w:vAlign w:val="center"/>
          </w:tcPr>
          <w:p w14:paraId="2546C60F">
            <w:pPr>
              <w:pStyle w:val="55"/>
              <w:bidi w:val="0"/>
              <w:rPr>
                <w:rFonts w:hint="default"/>
                <w:lang w:val="en-US" w:eastAsia="zh-CN"/>
              </w:rPr>
            </w:pPr>
            <w:r>
              <w:rPr>
                <w:rFonts w:hint="default"/>
                <w:lang w:val="en-US" w:eastAsia="zh-CN"/>
              </w:rPr>
              <w:t>35</w:t>
            </w:r>
          </w:p>
        </w:tc>
        <w:tc>
          <w:tcPr>
            <w:tcW w:w="491" w:type="pct"/>
            <w:vMerge w:val="restart"/>
            <w:noWrap w:val="0"/>
            <w:vAlign w:val="center"/>
          </w:tcPr>
          <w:p w14:paraId="3D5AA33B">
            <w:pPr>
              <w:pStyle w:val="55"/>
              <w:bidi w:val="0"/>
              <w:rPr>
                <w:rFonts w:hint="default"/>
                <w:lang w:val="en-US" w:eastAsia="zh-CN"/>
              </w:rPr>
            </w:pPr>
            <w:r>
              <w:rPr>
                <w:rFonts w:hint="eastAsia"/>
                <w:lang w:val="en-US" w:eastAsia="zh-CN"/>
              </w:rPr>
              <w:t>10</w:t>
            </w:r>
          </w:p>
        </w:tc>
        <w:tc>
          <w:tcPr>
            <w:tcW w:w="682" w:type="pct"/>
            <w:vMerge w:val="restart"/>
            <w:noWrap w:val="0"/>
            <w:vAlign w:val="center"/>
          </w:tcPr>
          <w:p w14:paraId="653CE6AB">
            <w:pPr>
              <w:pStyle w:val="55"/>
              <w:bidi w:val="0"/>
              <w:rPr>
                <w:rFonts w:hint="default"/>
                <w:lang w:val="en-US" w:eastAsia="zh-CN"/>
              </w:rPr>
            </w:pPr>
            <w:r>
              <w:rPr>
                <w:rFonts w:hint="eastAsia"/>
                <w:lang w:val="en-US" w:eastAsia="zh-CN"/>
              </w:rPr>
              <w:t>7200</w:t>
            </w:r>
          </w:p>
        </w:tc>
        <w:tc>
          <w:tcPr>
            <w:tcW w:w="741" w:type="pct"/>
            <w:vMerge w:val="restart"/>
            <w:noWrap w:val="0"/>
            <w:vAlign w:val="center"/>
          </w:tcPr>
          <w:p w14:paraId="49B7BF9A">
            <w:pPr>
              <w:pStyle w:val="55"/>
              <w:bidi w:val="0"/>
              <w:rPr>
                <w:rFonts w:hint="default"/>
              </w:rPr>
            </w:pPr>
            <w:r>
              <w:rPr>
                <w:rFonts w:hint="eastAsia"/>
                <w:lang w:val="en-US" w:eastAsia="zh-CN"/>
              </w:rPr>
              <w:t>正常</w:t>
            </w:r>
          </w:p>
        </w:tc>
        <w:tc>
          <w:tcPr>
            <w:tcW w:w="814" w:type="pct"/>
            <w:noWrap w:val="0"/>
            <w:vAlign w:val="center"/>
          </w:tcPr>
          <w:p w14:paraId="17DC9EC9">
            <w:pPr>
              <w:pStyle w:val="55"/>
              <w:bidi w:val="0"/>
              <w:rPr>
                <w:rFonts w:hint="default"/>
                <w:lang w:val="en-US" w:eastAsia="zh-CN"/>
              </w:rPr>
            </w:pPr>
            <w:r>
              <w:rPr>
                <w:rFonts w:hint="eastAsia"/>
                <w:lang w:val="en-US" w:eastAsia="zh-CN"/>
              </w:rPr>
              <w:t xml:space="preserve">0.032 </w:t>
            </w:r>
          </w:p>
        </w:tc>
      </w:tr>
      <w:tr w14:paraId="4770DD93">
        <w:tblPrEx>
          <w:tblBorders>
            <w:top w:val="single" w:color="auto" w:sz="6" w:space="0"/>
            <w:left w:val="single" w:color="auto" w:sz="6" w:space="0"/>
            <w:bottom w:val="single" w:color="auto" w:sz="6" w:space="0"/>
            <w:right w:val="single" w:color="auto" w:sz="6" w:space="0"/>
            <w:insideH w:val="single" w:color="auto" w:sz="4" w:space="0"/>
            <w:insideV w:val="single" w:color="auto" w:sz="6" w:space="0"/>
          </w:tblBorders>
          <w:tblCellMar>
            <w:top w:w="0" w:type="dxa"/>
            <w:left w:w="28" w:type="dxa"/>
            <w:bottom w:w="0" w:type="dxa"/>
            <w:right w:w="28" w:type="dxa"/>
          </w:tblCellMar>
        </w:tblPrEx>
        <w:trPr>
          <w:trHeight w:val="397" w:hRule="atLeast"/>
          <w:jc w:val="center"/>
        </w:trPr>
        <w:tc>
          <w:tcPr>
            <w:tcW w:w="402" w:type="pct"/>
            <w:vMerge w:val="continue"/>
            <w:tcBorders>
              <w:right w:val="single" w:color="auto" w:sz="4" w:space="0"/>
            </w:tcBorders>
            <w:noWrap w:val="0"/>
            <w:vAlign w:val="center"/>
          </w:tcPr>
          <w:p w14:paraId="4A6B0F4F">
            <w:pPr>
              <w:pStyle w:val="55"/>
              <w:bidi w:val="0"/>
              <w:rPr>
                <w:rFonts w:hint="default"/>
              </w:rPr>
            </w:pPr>
          </w:p>
        </w:tc>
        <w:tc>
          <w:tcPr>
            <w:tcW w:w="741" w:type="pct"/>
            <w:tcBorders>
              <w:left w:val="single" w:color="auto" w:sz="4" w:space="0"/>
            </w:tcBorders>
            <w:noWrap w:val="0"/>
            <w:vAlign w:val="center"/>
          </w:tcPr>
          <w:p w14:paraId="33C8CFA4">
            <w:pPr>
              <w:pStyle w:val="55"/>
              <w:bidi w:val="0"/>
              <w:rPr>
                <w:rFonts w:hint="default"/>
                <w:lang w:val="en-US" w:eastAsia="zh-CN"/>
              </w:rPr>
            </w:pPr>
            <w:r>
              <w:rPr>
                <w:rFonts w:hint="default"/>
                <w:lang w:val="en-US" w:eastAsia="zh-CN"/>
              </w:rPr>
              <w:t>非甲烷总烃</w:t>
            </w:r>
          </w:p>
        </w:tc>
        <w:tc>
          <w:tcPr>
            <w:tcW w:w="428" w:type="pct"/>
            <w:vMerge w:val="continue"/>
            <w:tcBorders>
              <w:right w:val="single" w:color="auto" w:sz="4" w:space="0"/>
            </w:tcBorders>
            <w:noWrap w:val="0"/>
            <w:vAlign w:val="center"/>
          </w:tcPr>
          <w:p w14:paraId="520F1081">
            <w:pPr>
              <w:pStyle w:val="55"/>
              <w:bidi w:val="0"/>
              <w:rPr>
                <w:rFonts w:hint="eastAsia"/>
                <w:lang w:val="en-US" w:eastAsia="zh-CN"/>
              </w:rPr>
            </w:pPr>
          </w:p>
        </w:tc>
        <w:tc>
          <w:tcPr>
            <w:tcW w:w="332" w:type="pct"/>
            <w:vMerge w:val="continue"/>
            <w:tcBorders>
              <w:left w:val="single" w:color="auto" w:sz="4" w:space="0"/>
            </w:tcBorders>
            <w:noWrap w:val="0"/>
            <w:vAlign w:val="center"/>
          </w:tcPr>
          <w:p w14:paraId="202D0021">
            <w:pPr>
              <w:pStyle w:val="55"/>
              <w:bidi w:val="0"/>
              <w:rPr>
                <w:rFonts w:hint="default"/>
                <w:lang w:val="en-US" w:eastAsia="zh-CN"/>
              </w:rPr>
            </w:pPr>
          </w:p>
        </w:tc>
        <w:tc>
          <w:tcPr>
            <w:tcW w:w="366" w:type="pct"/>
            <w:vMerge w:val="continue"/>
            <w:noWrap w:val="0"/>
            <w:vAlign w:val="center"/>
          </w:tcPr>
          <w:p w14:paraId="6940900B">
            <w:pPr>
              <w:pStyle w:val="55"/>
              <w:bidi w:val="0"/>
              <w:rPr>
                <w:rFonts w:hint="default"/>
                <w:lang w:val="en-US" w:eastAsia="zh-CN"/>
              </w:rPr>
            </w:pPr>
          </w:p>
        </w:tc>
        <w:tc>
          <w:tcPr>
            <w:tcW w:w="491" w:type="pct"/>
            <w:vMerge w:val="continue"/>
            <w:noWrap w:val="0"/>
            <w:vAlign w:val="center"/>
          </w:tcPr>
          <w:p w14:paraId="7E774662">
            <w:pPr>
              <w:pStyle w:val="55"/>
              <w:bidi w:val="0"/>
              <w:rPr>
                <w:rFonts w:hint="default"/>
                <w:lang w:eastAsia="zh-CN"/>
              </w:rPr>
            </w:pPr>
          </w:p>
        </w:tc>
        <w:tc>
          <w:tcPr>
            <w:tcW w:w="682" w:type="pct"/>
            <w:vMerge w:val="continue"/>
            <w:noWrap w:val="0"/>
            <w:vAlign w:val="center"/>
          </w:tcPr>
          <w:p w14:paraId="3765E302">
            <w:pPr>
              <w:pStyle w:val="55"/>
              <w:bidi w:val="0"/>
              <w:rPr>
                <w:rFonts w:hint="eastAsia"/>
                <w:lang w:val="en-US" w:eastAsia="zh-CN"/>
              </w:rPr>
            </w:pPr>
          </w:p>
        </w:tc>
        <w:tc>
          <w:tcPr>
            <w:tcW w:w="741" w:type="pct"/>
            <w:vMerge w:val="continue"/>
            <w:noWrap w:val="0"/>
            <w:vAlign w:val="center"/>
          </w:tcPr>
          <w:p w14:paraId="173E150C">
            <w:pPr>
              <w:pStyle w:val="55"/>
              <w:bidi w:val="0"/>
              <w:rPr>
                <w:rFonts w:hint="default"/>
              </w:rPr>
            </w:pPr>
          </w:p>
        </w:tc>
        <w:tc>
          <w:tcPr>
            <w:tcW w:w="814" w:type="pct"/>
            <w:noWrap w:val="0"/>
            <w:vAlign w:val="center"/>
          </w:tcPr>
          <w:p w14:paraId="7410DACC">
            <w:pPr>
              <w:pStyle w:val="55"/>
              <w:bidi w:val="0"/>
              <w:rPr>
                <w:rFonts w:hint="default"/>
                <w:lang w:val="en-US" w:eastAsia="zh-CN"/>
              </w:rPr>
            </w:pPr>
            <w:r>
              <w:rPr>
                <w:rFonts w:hint="eastAsia"/>
                <w:lang w:val="en-US" w:eastAsia="zh-CN"/>
              </w:rPr>
              <w:t xml:space="preserve">0.032 </w:t>
            </w:r>
          </w:p>
        </w:tc>
      </w:tr>
      <w:tr w14:paraId="7AA29B54">
        <w:tblPrEx>
          <w:tblBorders>
            <w:top w:val="single" w:color="auto" w:sz="6" w:space="0"/>
            <w:left w:val="single" w:color="auto" w:sz="6" w:space="0"/>
            <w:bottom w:val="single" w:color="auto" w:sz="6" w:space="0"/>
            <w:right w:val="single" w:color="auto" w:sz="6" w:space="0"/>
            <w:insideH w:val="single" w:color="auto" w:sz="4" w:space="0"/>
            <w:insideV w:val="single" w:color="auto" w:sz="6" w:space="0"/>
          </w:tblBorders>
          <w:tblCellMar>
            <w:top w:w="0" w:type="dxa"/>
            <w:left w:w="28" w:type="dxa"/>
            <w:bottom w:w="0" w:type="dxa"/>
            <w:right w:w="28" w:type="dxa"/>
          </w:tblCellMar>
        </w:tblPrEx>
        <w:trPr>
          <w:trHeight w:val="397" w:hRule="atLeast"/>
          <w:jc w:val="center"/>
        </w:trPr>
        <w:tc>
          <w:tcPr>
            <w:tcW w:w="402" w:type="pct"/>
            <w:vMerge w:val="continue"/>
            <w:tcBorders>
              <w:right w:val="single" w:color="auto" w:sz="4" w:space="0"/>
            </w:tcBorders>
            <w:noWrap w:val="0"/>
            <w:vAlign w:val="center"/>
          </w:tcPr>
          <w:p w14:paraId="5B5A30E0">
            <w:pPr>
              <w:pStyle w:val="55"/>
              <w:bidi w:val="0"/>
              <w:rPr>
                <w:rFonts w:hint="default"/>
              </w:rPr>
            </w:pPr>
          </w:p>
        </w:tc>
        <w:tc>
          <w:tcPr>
            <w:tcW w:w="741" w:type="pct"/>
            <w:tcBorders>
              <w:left w:val="single" w:color="auto" w:sz="4" w:space="0"/>
            </w:tcBorders>
            <w:noWrap w:val="0"/>
            <w:vAlign w:val="center"/>
          </w:tcPr>
          <w:p w14:paraId="121AD266">
            <w:pPr>
              <w:pStyle w:val="55"/>
              <w:bidi w:val="0"/>
              <w:rPr>
                <w:rFonts w:hint="eastAsia"/>
                <w:lang w:val="en-US" w:eastAsia="zh-CN"/>
              </w:rPr>
            </w:pPr>
            <w:r>
              <w:rPr>
                <w:rFonts w:hint="eastAsia"/>
                <w:lang w:val="en-US" w:eastAsia="zh-CN"/>
              </w:rPr>
              <w:t>HCl</w:t>
            </w:r>
          </w:p>
        </w:tc>
        <w:tc>
          <w:tcPr>
            <w:tcW w:w="428" w:type="pct"/>
            <w:vMerge w:val="continue"/>
            <w:tcBorders>
              <w:right w:val="single" w:color="auto" w:sz="4" w:space="0"/>
            </w:tcBorders>
            <w:noWrap w:val="0"/>
            <w:vAlign w:val="center"/>
          </w:tcPr>
          <w:p w14:paraId="105A50E3">
            <w:pPr>
              <w:pStyle w:val="55"/>
              <w:bidi w:val="0"/>
              <w:rPr>
                <w:rFonts w:hint="eastAsia"/>
                <w:lang w:val="en-US" w:eastAsia="zh-CN"/>
              </w:rPr>
            </w:pPr>
          </w:p>
        </w:tc>
        <w:tc>
          <w:tcPr>
            <w:tcW w:w="332" w:type="pct"/>
            <w:vMerge w:val="continue"/>
            <w:tcBorders>
              <w:left w:val="single" w:color="auto" w:sz="4" w:space="0"/>
            </w:tcBorders>
            <w:noWrap w:val="0"/>
            <w:vAlign w:val="center"/>
          </w:tcPr>
          <w:p w14:paraId="026A4819">
            <w:pPr>
              <w:pStyle w:val="55"/>
              <w:bidi w:val="0"/>
              <w:rPr>
                <w:rFonts w:hint="default"/>
                <w:lang w:val="en-US" w:eastAsia="zh-CN"/>
              </w:rPr>
            </w:pPr>
          </w:p>
        </w:tc>
        <w:tc>
          <w:tcPr>
            <w:tcW w:w="366" w:type="pct"/>
            <w:vMerge w:val="continue"/>
            <w:noWrap w:val="0"/>
            <w:vAlign w:val="center"/>
          </w:tcPr>
          <w:p w14:paraId="407D3718">
            <w:pPr>
              <w:pStyle w:val="55"/>
              <w:bidi w:val="0"/>
              <w:rPr>
                <w:rFonts w:hint="default"/>
                <w:lang w:val="en-US" w:eastAsia="zh-CN"/>
              </w:rPr>
            </w:pPr>
          </w:p>
        </w:tc>
        <w:tc>
          <w:tcPr>
            <w:tcW w:w="491" w:type="pct"/>
            <w:vMerge w:val="continue"/>
            <w:noWrap w:val="0"/>
            <w:vAlign w:val="center"/>
          </w:tcPr>
          <w:p w14:paraId="54315181">
            <w:pPr>
              <w:pStyle w:val="55"/>
              <w:bidi w:val="0"/>
              <w:rPr>
                <w:rFonts w:hint="default"/>
                <w:lang w:eastAsia="zh-CN"/>
              </w:rPr>
            </w:pPr>
          </w:p>
        </w:tc>
        <w:tc>
          <w:tcPr>
            <w:tcW w:w="682" w:type="pct"/>
            <w:vMerge w:val="continue"/>
            <w:noWrap w:val="0"/>
            <w:vAlign w:val="center"/>
          </w:tcPr>
          <w:p w14:paraId="27CBF6BF">
            <w:pPr>
              <w:pStyle w:val="55"/>
              <w:bidi w:val="0"/>
              <w:rPr>
                <w:rFonts w:hint="eastAsia"/>
                <w:lang w:val="en-US" w:eastAsia="zh-CN"/>
              </w:rPr>
            </w:pPr>
          </w:p>
        </w:tc>
        <w:tc>
          <w:tcPr>
            <w:tcW w:w="741" w:type="pct"/>
            <w:vMerge w:val="continue"/>
            <w:noWrap w:val="0"/>
            <w:vAlign w:val="center"/>
          </w:tcPr>
          <w:p w14:paraId="4EE54CDC">
            <w:pPr>
              <w:pStyle w:val="55"/>
              <w:bidi w:val="0"/>
              <w:rPr>
                <w:rFonts w:hint="default"/>
              </w:rPr>
            </w:pPr>
          </w:p>
        </w:tc>
        <w:tc>
          <w:tcPr>
            <w:tcW w:w="814" w:type="pct"/>
            <w:noWrap w:val="0"/>
            <w:vAlign w:val="center"/>
          </w:tcPr>
          <w:p w14:paraId="2FA39D39">
            <w:pPr>
              <w:pStyle w:val="55"/>
              <w:bidi w:val="0"/>
              <w:rPr>
                <w:rFonts w:hint="eastAsia"/>
                <w:lang w:val="en-US" w:eastAsia="zh-CN"/>
              </w:rPr>
            </w:pPr>
            <w:r>
              <w:rPr>
                <w:rFonts w:hint="eastAsia"/>
                <w:lang w:val="en-US" w:eastAsia="zh-CN"/>
              </w:rPr>
              <w:t xml:space="preserve">0.00002 </w:t>
            </w:r>
          </w:p>
        </w:tc>
      </w:tr>
    </w:tbl>
    <w:p w14:paraId="5F483383">
      <w:pPr>
        <w:pStyle w:val="94"/>
        <w:bidi w:val="0"/>
        <w:ind w:left="0" w:leftChars="0" w:firstLine="0" w:firstLineChars="0"/>
      </w:pPr>
      <w:r>
        <w:rPr>
          <w:rFonts w:hint="eastAsia"/>
        </w:rPr>
        <w:t>废气无组织排放达标情况表</w:t>
      </w:r>
    </w:p>
    <w:tbl>
      <w:tblPr>
        <w:tblStyle w:val="32"/>
        <w:tblW w:w="49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405"/>
        <w:gridCol w:w="1485"/>
        <w:gridCol w:w="876"/>
        <w:gridCol w:w="891"/>
        <w:gridCol w:w="876"/>
        <w:gridCol w:w="876"/>
        <w:gridCol w:w="952"/>
        <w:gridCol w:w="1081"/>
        <w:gridCol w:w="683"/>
      </w:tblGrid>
      <w:tr w14:paraId="29B6B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397" w:hRule="atLeast"/>
          <w:tblHeader/>
          <w:jc w:val="center"/>
        </w:trPr>
        <w:tc>
          <w:tcPr>
            <w:tcW w:w="779" w:type="pct"/>
            <w:vMerge w:val="restart"/>
            <w:shd w:val="clear" w:color="auto" w:fill="auto"/>
            <w:vAlign w:val="center"/>
          </w:tcPr>
          <w:p w14:paraId="0C7002E4">
            <w:pPr>
              <w:pStyle w:val="55"/>
              <w:rPr>
                <w:color w:val="000000" w:themeColor="text1"/>
                <w14:textFill>
                  <w14:solidFill>
                    <w14:schemeClr w14:val="tx1"/>
                  </w14:solidFill>
                </w14:textFill>
              </w:rPr>
            </w:pPr>
            <w:r>
              <w:rPr>
                <w:rFonts w:hint="eastAsia"/>
                <w:color w:val="000000" w:themeColor="text1"/>
                <w14:textFill>
                  <w14:solidFill>
                    <w14:schemeClr w14:val="tx1"/>
                  </w14:solidFill>
                </w14:textFill>
              </w:rPr>
              <w:t>污染</w:t>
            </w:r>
          </w:p>
          <w:p w14:paraId="2E4F313B">
            <w:pPr>
              <w:pStyle w:val="55"/>
              <w:rPr>
                <w:color w:val="000000" w:themeColor="text1"/>
                <w14:textFill>
                  <w14:solidFill>
                    <w14:schemeClr w14:val="tx1"/>
                  </w14:solidFill>
                </w14:textFill>
              </w:rPr>
            </w:pPr>
            <w:r>
              <w:rPr>
                <w:color w:val="000000" w:themeColor="text1"/>
                <w14:textFill>
                  <w14:solidFill>
                    <w14:schemeClr w14:val="tx1"/>
                  </w14:solidFill>
                </w14:textFill>
              </w:rPr>
              <w:t>工序</w:t>
            </w:r>
          </w:p>
        </w:tc>
        <w:tc>
          <w:tcPr>
            <w:tcW w:w="822" w:type="pct"/>
            <w:vMerge w:val="restart"/>
            <w:shd w:val="clear" w:color="auto" w:fill="auto"/>
            <w:vAlign w:val="center"/>
          </w:tcPr>
          <w:p w14:paraId="500355F2">
            <w:pPr>
              <w:pStyle w:val="55"/>
              <w:rPr>
                <w:color w:val="000000" w:themeColor="text1"/>
                <w14:textFill>
                  <w14:solidFill>
                    <w14:schemeClr w14:val="tx1"/>
                  </w14:solidFill>
                </w14:textFill>
              </w:rPr>
            </w:pPr>
            <w:r>
              <w:rPr>
                <w:color w:val="000000" w:themeColor="text1"/>
                <w14:textFill>
                  <w14:solidFill>
                    <w14:schemeClr w14:val="tx1"/>
                  </w14:solidFill>
                </w14:textFill>
              </w:rPr>
              <w:t>污染</w:t>
            </w:r>
          </w:p>
          <w:p w14:paraId="31FB62B5">
            <w:pPr>
              <w:pStyle w:val="55"/>
              <w:rPr>
                <w:color w:val="000000" w:themeColor="text1"/>
                <w14:textFill>
                  <w14:solidFill>
                    <w14:schemeClr w14:val="tx1"/>
                  </w14:solidFill>
                </w14:textFill>
              </w:rPr>
            </w:pPr>
            <w:r>
              <w:rPr>
                <w:color w:val="000000" w:themeColor="text1"/>
                <w14:textFill>
                  <w14:solidFill>
                    <w14:schemeClr w14:val="tx1"/>
                  </w14:solidFill>
                </w14:textFill>
              </w:rPr>
              <w:t>因子</w:t>
            </w:r>
          </w:p>
        </w:tc>
        <w:tc>
          <w:tcPr>
            <w:tcW w:w="2447" w:type="pct"/>
            <w:gridSpan w:val="5"/>
            <w:shd w:val="clear" w:color="auto" w:fill="auto"/>
            <w:vAlign w:val="center"/>
          </w:tcPr>
          <w:p w14:paraId="1D0AA878">
            <w:pPr>
              <w:pStyle w:val="55"/>
              <w:rPr>
                <w:color w:val="000000" w:themeColor="text1"/>
                <w14:textFill>
                  <w14:solidFill>
                    <w14:schemeClr w14:val="tx1"/>
                  </w14:solidFill>
                </w14:textFill>
              </w:rPr>
            </w:pPr>
            <w:r>
              <w:rPr>
                <w:color w:val="000000" w:themeColor="text1"/>
                <w14:textFill>
                  <w14:solidFill>
                    <w14:schemeClr w14:val="tx1"/>
                  </w14:solidFill>
                </w14:textFill>
              </w:rPr>
              <w:t>计算结果</w:t>
            </w:r>
          </w:p>
        </w:tc>
        <w:tc>
          <w:tcPr>
            <w:tcW w:w="567" w:type="pct"/>
            <w:vMerge w:val="restart"/>
            <w:shd w:val="clear" w:color="auto" w:fill="auto"/>
            <w:vAlign w:val="center"/>
          </w:tcPr>
          <w:p w14:paraId="65CB4B77">
            <w:pPr>
              <w:pStyle w:val="55"/>
              <w:rPr>
                <w:color w:val="000000" w:themeColor="text1"/>
                <w14:textFill>
                  <w14:solidFill>
                    <w14:schemeClr w14:val="tx1"/>
                  </w14:solidFill>
                </w14:textFill>
              </w:rPr>
            </w:pPr>
            <w:r>
              <w:rPr>
                <w:color w:val="000000" w:themeColor="text1"/>
                <w14:textFill>
                  <w14:solidFill>
                    <w14:schemeClr w14:val="tx1"/>
                  </w14:solidFill>
                </w14:textFill>
              </w:rPr>
              <w:t>排放标准</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(mg/m</w:t>
            </w:r>
            <w:r>
              <w:rPr>
                <w:color w:val="000000" w:themeColor="text1"/>
                <w:vertAlign w:val="superscript"/>
                <w14:textFill>
                  <w14:solidFill>
                    <w14:schemeClr w14:val="tx1"/>
                  </w14:solidFill>
                </w14:textFill>
              </w:rPr>
              <w:t>3</w:t>
            </w:r>
            <w:r>
              <w:rPr>
                <w:rFonts w:hint="eastAsia"/>
                <w:color w:val="000000" w:themeColor="text1"/>
                <w14:textFill>
                  <w14:solidFill>
                    <w14:schemeClr w14:val="tx1"/>
                  </w14:solidFill>
                </w14:textFill>
              </w:rPr>
              <w:t>)</w:t>
            </w:r>
          </w:p>
        </w:tc>
        <w:tc>
          <w:tcPr>
            <w:tcW w:w="383" w:type="pct"/>
            <w:vMerge w:val="restart"/>
            <w:shd w:val="clear" w:color="auto" w:fill="auto"/>
            <w:vAlign w:val="center"/>
          </w:tcPr>
          <w:p w14:paraId="4004FF49">
            <w:pPr>
              <w:pStyle w:val="55"/>
              <w:rPr>
                <w:color w:val="000000" w:themeColor="text1"/>
                <w14:textFill>
                  <w14:solidFill>
                    <w14:schemeClr w14:val="tx1"/>
                  </w14:solidFill>
                </w14:textFill>
              </w:rPr>
            </w:pPr>
            <w:r>
              <w:rPr>
                <w:rFonts w:hint="eastAsia"/>
                <w:color w:val="000000" w:themeColor="text1"/>
                <w14:textFill>
                  <w14:solidFill>
                    <w14:schemeClr w14:val="tx1"/>
                  </w14:solidFill>
                </w14:textFill>
              </w:rPr>
              <w:t>是否</w:t>
            </w:r>
          </w:p>
          <w:p w14:paraId="04CC62E6">
            <w:pPr>
              <w:pStyle w:val="55"/>
              <w:rPr>
                <w:color w:val="000000" w:themeColor="text1"/>
                <w14:textFill>
                  <w14:solidFill>
                    <w14:schemeClr w14:val="tx1"/>
                  </w14:solidFill>
                </w14:textFill>
              </w:rPr>
            </w:pPr>
            <w:r>
              <w:rPr>
                <w:color w:val="000000" w:themeColor="text1"/>
                <w14:textFill>
                  <w14:solidFill>
                    <w14:schemeClr w14:val="tx1"/>
                  </w14:solidFill>
                </w14:textFill>
              </w:rPr>
              <w:t>达标</w:t>
            </w:r>
          </w:p>
        </w:tc>
      </w:tr>
      <w:tr w14:paraId="76E6E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779" w:type="pct"/>
            <w:vMerge w:val="continue"/>
            <w:shd w:val="clear" w:color="auto" w:fill="auto"/>
            <w:vAlign w:val="center"/>
          </w:tcPr>
          <w:p w14:paraId="0F225B18">
            <w:pPr>
              <w:pStyle w:val="55"/>
              <w:rPr>
                <w:color w:val="000000" w:themeColor="text1"/>
                <w14:textFill>
                  <w14:solidFill>
                    <w14:schemeClr w14:val="tx1"/>
                  </w14:solidFill>
                </w14:textFill>
              </w:rPr>
            </w:pPr>
          </w:p>
        </w:tc>
        <w:tc>
          <w:tcPr>
            <w:tcW w:w="822" w:type="pct"/>
            <w:vMerge w:val="continue"/>
            <w:shd w:val="clear" w:color="auto" w:fill="auto"/>
            <w:vAlign w:val="center"/>
          </w:tcPr>
          <w:p w14:paraId="23C975B1">
            <w:pPr>
              <w:pStyle w:val="55"/>
              <w:rPr>
                <w:color w:val="000000" w:themeColor="text1"/>
                <w14:textFill>
                  <w14:solidFill>
                    <w14:schemeClr w14:val="tx1"/>
                  </w14:solidFill>
                </w14:textFill>
              </w:rPr>
            </w:pPr>
          </w:p>
        </w:tc>
        <w:tc>
          <w:tcPr>
            <w:tcW w:w="473" w:type="pct"/>
            <w:shd w:val="clear" w:color="auto" w:fill="auto"/>
            <w:vAlign w:val="center"/>
          </w:tcPr>
          <w:p w14:paraId="59C4A9C0">
            <w:pPr>
              <w:pStyle w:val="55"/>
              <w:rPr>
                <w:color w:val="000000" w:themeColor="text1"/>
                <w14:textFill>
                  <w14:solidFill>
                    <w14:schemeClr w14:val="tx1"/>
                  </w14:solidFill>
                </w14:textFill>
              </w:rPr>
            </w:pPr>
            <w:r>
              <w:rPr>
                <w:rFonts w:hint="eastAsia"/>
                <w:color w:val="000000" w:themeColor="text1"/>
                <w14:textFill>
                  <w14:solidFill>
                    <w14:schemeClr w14:val="tx1"/>
                  </w14:solidFill>
                </w14:textFill>
              </w:rPr>
              <w:t>东厂界</w:t>
            </w:r>
          </w:p>
        </w:tc>
        <w:tc>
          <w:tcPr>
            <w:tcW w:w="497" w:type="pct"/>
            <w:shd w:val="clear" w:color="auto" w:fill="auto"/>
            <w:vAlign w:val="center"/>
          </w:tcPr>
          <w:p w14:paraId="6C848ABA">
            <w:pPr>
              <w:pStyle w:val="55"/>
              <w:rPr>
                <w:color w:val="000000" w:themeColor="text1"/>
                <w14:textFill>
                  <w14:solidFill>
                    <w14:schemeClr w14:val="tx1"/>
                  </w14:solidFill>
                </w14:textFill>
              </w:rPr>
            </w:pPr>
            <w:r>
              <w:rPr>
                <w:rFonts w:hint="eastAsia"/>
                <w:color w:val="000000" w:themeColor="text1"/>
                <w14:textFill>
                  <w14:solidFill>
                    <w14:schemeClr w14:val="tx1"/>
                  </w14:solidFill>
                </w14:textFill>
              </w:rPr>
              <w:t>南厂界</w:t>
            </w:r>
          </w:p>
        </w:tc>
        <w:tc>
          <w:tcPr>
            <w:tcW w:w="473" w:type="pct"/>
            <w:shd w:val="clear" w:color="auto" w:fill="auto"/>
            <w:vAlign w:val="center"/>
          </w:tcPr>
          <w:p w14:paraId="4D6D8E5C">
            <w:pPr>
              <w:pStyle w:val="55"/>
              <w:rPr>
                <w:color w:val="000000" w:themeColor="text1"/>
                <w14:textFill>
                  <w14:solidFill>
                    <w14:schemeClr w14:val="tx1"/>
                  </w14:solidFill>
                </w14:textFill>
              </w:rPr>
            </w:pPr>
            <w:r>
              <w:rPr>
                <w:rFonts w:hint="eastAsia"/>
                <w:color w:val="000000" w:themeColor="text1"/>
                <w14:textFill>
                  <w14:solidFill>
                    <w14:schemeClr w14:val="tx1"/>
                  </w14:solidFill>
                </w14:textFill>
              </w:rPr>
              <w:t>西厂界</w:t>
            </w:r>
          </w:p>
        </w:tc>
        <w:tc>
          <w:tcPr>
            <w:tcW w:w="474" w:type="pct"/>
            <w:shd w:val="clear" w:color="auto" w:fill="auto"/>
            <w:vAlign w:val="center"/>
          </w:tcPr>
          <w:p w14:paraId="32A69147">
            <w:pPr>
              <w:pStyle w:val="55"/>
              <w:rPr>
                <w:color w:val="000000" w:themeColor="text1"/>
                <w14:textFill>
                  <w14:solidFill>
                    <w14:schemeClr w14:val="tx1"/>
                  </w14:solidFill>
                </w14:textFill>
              </w:rPr>
            </w:pPr>
            <w:r>
              <w:rPr>
                <w:rFonts w:hint="eastAsia"/>
                <w:color w:val="000000" w:themeColor="text1"/>
                <w14:textFill>
                  <w14:solidFill>
                    <w14:schemeClr w14:val="tx1"/>
                  </w14:solidFill>
                </w14:textFill>
              </w:rPr>
              <w:t>北厂界</w:t>
            </w:r>
          </w:p>
        </w:tc>
        <w:tc>
          <w:tcPr>
            <w:tcW w:w="529" w:type="pct"/>
            <w:shd w:val="clear" w:color="auto" w:fill="auto"/>
            <w:vAlign w:val="center"/>
          </w:tcPr>
          <w:p w14:paraId="16E36652">
            <w:pPr>
              <w:pStyle w:val="55"/>
              <w:rPr>
                <w:color w:val="000000" w:themeColor="text1"/>
                <w14:textFill>
                  <w14:solidFill>
                    <w14:schemeClr w14:val="tx1"/>
                  </w14:solidFill>
                </w14:textFill>
              </w:rPr>
            </w:pPr>
            <w:r>
              <w:rPr>
                <w:rFonts w:hint="eastAsia"/>
                <w:color w:val="000000" w:themeColor="text1"/>
                <w14:textFill>
                  <w14:solidFill>
                    <w14:schemeClr w14:val="tx1"/>
                  </w14:solidFill>
                </w14:textFill>
              </w:rPr>
              <w:t>浓度</w:t>
            </w:r>
          </w:p>
          <w:p w14:paraId="26504712">
            <w:pPr>
              <w:pStyle w:val="55"/>
              <w:rPr>
                <w:color w:val="000000" w:themeColor="text1"/>
                <w14:textFill>
                  <w14:solidFill>
                    <w14:schemeClr w14:val="tx1"/>
                  </w14:solidFill>
                </w14:textFill>
              </w:rPr>
            </w:pPr>
            <w:r>
              <w:rPr>
                <w:rFonts w:hint="eastAsia"/>
                <w:color w:val="000000" w:themeColor="text1"/>
                <w14:textFill>
                  <w14:solidFill>
                    <w14:schemeClr w14:val="tx1"/>
                  </w14:solidFill>
                </w14:textFill>
              </w:rPr>
              <w:t>最高点</w:t>
            </w:r>
          </w:p>
        </w:tc>
        <w:tc>
          <w:tcPr>
            <w:tcW w:w="567" w:type="pct"/>
            <w:vMerge w:val="continue"/>
            <w:shd w:val="clear" w:color="auto" w:fill="auto"/>
            <w:vAlign w:val="center"/>
          </w:tcPr>
          <w:p w14:paraId="57890FFD">
            <w:pPr>
              <w:pStyle w:val="55"/>
              <w:rPr>
                <w:color w:val="000000" w:themeColor="text1"/>
                <w14:textFill>
                  <w14:solidFill>
                    <w14:schemeClr w14:val="tx1"/>
                  </w14:solidFill>
                </w14:textFill>
              </w:rPr>
            </w:pPr>
          </w:p>
        </w:tc>
        <w:tc>
          <w:tcPr>
            <w:tcW w:w="383" w:type="pct"/>
            <w:vMerge w:val="continue"/>
            <w:shd w:val="clear" w:color="auto" w:fill="auto"/>
            <w:vAlign w:val="center"/>
          </w:tcPr>
          <w:p w14:paraId="6E2EC576">
            <w:pPr>
              <w:pStyle w:val="55"/>
              <w:rPr>
                <w:color w:val="000000" w:themeColor="text1"/>
                <w14:textFill>
                  <w14:solidFill>
                    <w14:schemeClr w14:val="tx1"/>
                  </w14:solidFill>
                </w14:textFill>
              </w:rPr>
            </w:pPr>
          </w:p>
        </w:tc>
      </w:tr>
      <w:tr w14:paraId="7D198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779" w:type="pct"/>
            <w:vMerge w:val="restart"/>
            <w:shd w:val="clear" w:color="auto" w:fill="auto"/>
            <w:vAlign w:val="center"/>
          </w:tcPr>
          <w:p w14:paraId="6F3F8F12">
            <w:pPr>
              <w:pStyle w:val="55"/>
              <w:rPr>
                <w:color w:val="000000" w:themeColor="text1"/>
                <w14:textFill>
                  <w14:solidFill>
                    <w14:schemeClr w14:val="tx1"/>
                  </w14:solidFill>
                </w14:textFill>
              </w:rPr>
            </w:pPr>
            <w:r>
              <w:rPr>
                <w:rFonts w:hint="eastAsia"/>
                <w:lang w:val="en-US" w:eastAsia="zh-CN"/>
              </w:rPr>
              <w:t>1</w:t>
            </w:r>
            <w:r>
              <w:rPr>
                <w:rFonts w:hint="eastAsia"/>
              </w:rPr>
              <w:t>#生产车间</w:t>
            </w:r>
          </w:p>
        </w:tc>
        <w:tc>
          <w:tcPr>
            <w:tcW w:w="822" w:type="pct"/>
            <w:shd w:val="clear" w:color="auto" w:fill="auto"/>
            <w:vAlign w:val="center"/>
          </w:tcPr>
          <w:p w14:paraId="51D84451">
            <w:pPr>
              <w:pStyle w:val="55"/>
              <w:bidi w:val="0"/>
              <w:rPr>
                <w:rFonts w:hint="eastAsia" w:ascii="Times New Roman" w:hAnsi="Times New Roman" w:eastAsia="宋体" w:cs="Times New Roman"/>
                <w:b w:val="0"/>
                <w:bCs/>
                <w:snapToGrid w:val="0"/>
                <w:color w:val="000000" w:themeColor="text1"/>
                <w:kern w:val="0"/>
                <w:sz w:val="21"/>
                <w:szCs w:val="21"/>
                <w:highlight w:val="none"/>
                <w:lang w:val="en-US" w:eastAsia="zh-CN" w:bidi="ar-SA"/>
                <w14:textFill>
                  <w14:solidFill>
                    <w14:schemeClr w14:val="tx1"/>
                  </w14:solidFill>
                </w14:textFill>
              </w:rPr>
            </w:pPr>
            <w:r>
              <w:rPr>
                <w:rFonts w:hint="default"/>
                <w:color w:val="000000" w:themeColor="text1"/>
                <w:lang w:val="en-US" w:eastAsia="zh-CN"/>
                <w14:textFill>
                  <w14:solidFill>
                    <w14:schemeClr w14:val="tx1"/>
                  </w14:solidFill>
                </w14:textFill>
              </w:rPr>
              <w:t>颗粒物</w:t>
            </w:r>
          </w:p>
        </w:tc>
        <w:tc>
          <w:tcPr>
            <w:tcW w:w="473" w:type="pct"/>
            <w:shd w:val="clear" w:color="auto" w:fill="auto"/>
            <w:vAlign w:val="center"/>
          </w:tcPr>
          <w:p w14:paraId="1D96E58B">
            <w:pPr>
              <w:pStyle w:val="55"/>
              <w:rPr>
                <w:rFonts w:hint="default" w:eastAsia="宋体"/>
                <w:color w:val="000000" w:themeColor="text1"/>
                <w:lang w:val="en-US" w:eastAsia="zh-CN"/>
                <w14:textFill>
                  <w14:solidFill>
                    <w14:schemeClr w14:val="tx1"/>
                  </w14:solidFill>
                </w14:textFill>
              </w:rPr>
            </w:pPr>
            <w:r>
              <w:rPr>
                <w:rFonts w:hint="default" w:eastAsia="宋体"/>
                <w:color w:val="000000" w:themeColor="text1"/>
                <w:lang w:val="en-US" w:eastAsia="zh-CN"/>
                <w14:textFill>
                  <w14:solidFill>
                    <w14:schemeClr w14:val="tx1"/>
                  </w14:solidFill>
                </w14:textFill>
              </w:rPr>
              <w:t>0.0</w:t>
            </w:r>
            <w:r>
              <w:rPr>
                <w:rFonts w:hint="eastAsia" w:eastAsia="宋体"/>
                <w:color w:val="000000" w:themeColor="text1"/>
                <w:lang w:val="en-US" w:eastAsia="zh-CN"/>
                <w14:textFill>
                  <w14:solidFill>
                    <w14:schemeClr w14:val="tx1"/>
                  </w14:solidFill>
                </w14:textFill>
              </w:rPr>
              <w:t>431</w:t>
            </w:r>
          </w:p>
        </w:tc>
        <w:tc>
          <w:tcPr>
            <w:tcW w:w="497" w:type="pct"/>
            <w:shd w:val="clear" w:color="auto" w:fill="auto"/>
            <w:vAlign w:val="center"/>
          </w:tcPr>
          <w:p w14:paraId="14E04D8F">
            <w:pPr>
              <w:pStyle w:val="55"/>
              <w:rPr>
                <w:rFonts w:hint="default" w:eastAsia="宋体"/>
                <w:color w:val="000000" w:themeColor="text1"/>
                <w:lang w:val="en-US" w:eastAsia="zh-CN"/>
                <w14:textFill>
                  <w14:solidFill>
                    <w14:schemeClr w14:val="tx1"/>
                  </w14:solidFill>
                </w14:textFill>
              </w:rPr>
            </w:pPr>
            <w:r>
              <w:rPr>
                <w:rFonts w:hint="default" w:eastAsia="宋体"/>
                <w:color w:val="000000" w:themeColor="text1"/>
                <w:lang w:val="en-US" w:eastAsia="zh-CN"/>
                <w14:textFill>
                  <w14:solidFill>
                    <w14:schemeClr w14:val="tx1"/>
                  </w14:solidFill>
                </w14:textFill>
              </w:rPr>
              <w:t>0.0</w:t>
            </w:r>
            <w:r>
              <w:rPr>
                <w:rFonts w:hint="eastAsia" w:eastAsia="宋体"/>
                <w:color w:val="000000" w:themeColor="text1"/>
                <w:lang w:val="en-US" w:eastAsia="zh-CN"/>
                <w14:textFill>
                  <w14:solidFill>
                    <w14:schemeClr w14:val="tx1"/>
                  </w14:solidFill>
                </w14:textFill>
              </w:rPr>
              <w:t>274</w:t>
            </w:r>
          </w:p>
        </w:tc>
        <w:tc>
          <w:tcPr>
            <w:tcW w:w="473" w:type="pct"/>
            <w:shd w:val="clear" w:color="auto" w:fill="auto"/>
            <w:vAlign w:val="center"/>
          </w:tcPr>
          <w:p w14:paraId="049F1A89">
            <w:pPr>
              <w:pStyle w:val="55"/>
              <w:rPr>
                <w:rFonts w:hint="default" w:eastAsia="宋体"/>
                <w:color w:val="000000" w:themeColor="text1"/>
                <w:lang w:val="en-US" w:eastAsia="zh-CN"/>
                <w14:textFill>
                  <w14:solidFill>
                    <w14:schemeClr w14:val="tx1"/>
                  </w14:solidFill>
                </w14:textFill>
              </w:rPr>
            </w:pPr>
            <w:r>
              <w:rPr>
                <w:rFonts w:hint="default" w:eastAsia="宋体"/>
                <w:color w:val="000000" w:themeColor="text1"/>
                <w:lang w:val="en-US" w:eastAsia="zh-CN"/>
                <w14:textFill>
                  <w14:solidFill>
                    <w14:schemeClr w14:val="tx1"/>
                  </w14:solidFill>
                </w14:textFill>
              </w:rPr>
              <w:t>0.0</w:t>
            </w:r>
            <w:r>
              <w:rPr>
                <w:rFonts w:hint="eastAsia" w:eastAsia="宋体"/>
                <w:color w:val="000000" w:themeColor="text1"/>
                <w:lang w:val="en-US" w:eastAsia="zh-CN"/>
                <w14:textFill>
                  <w14:solidFill>
                    <w14:schemeClr w14:val="tx1"/>
                  </w14:solidFill>
                </w14:textFill>
              </w:rPr>
              <w:t>401</w:t>
            </w:r>
          </w:p>
        </w:tc>
        <w:tc>
          <w:tcPr>
            <w:tcW w:w="474" w:type="pct"/>
            <w:shd w:val="clear" w:color="auto" w:fill="auto"/>
            <w:vAlign w:val="center"/>
          </w:tcPr>
          <w:p w14:paraId="1C322075">
            <w:pPr>
              <w:pStyle w:val="55"/>
              <w:rPr>
                <w:rFonts w:hint="default" w:eastAsia="宋体"/>
                <w:color w:val="000000" w:themeColor="text1"/>
                <w:lang w:val="en-US" w:eastAsia="zh-CN"/>
                <w14:textFill>
                  <w14:solidFill>
                    <w14:schemeClr w14:val="tx1"/>
                  </w14:solidFill>
                </w14:textFill>
              </w:rPr>
            </w:pPr>
            <w:r>
              <w:rPr>
                <w:rFonts w:hint="default" w:eastAsia="宋体"/>
                <w:color w:val="000000" w:themeColor="text1"/>
                <w:lang w:val="en-US" w:eastAsia="zh-CN"/>
                <w14:textFill>
                  <w14:solidFill>
                    <w14:schemeClr w14:val="tx1"/>
                  </w14:solidFill>
                </w14:textFill>
              </w:rPr>
              <w:t>0.0</w:t>
            </w:r>
            <w:r>
              <w:rPr>
                <w:rFonts w:hint="eastAsia" w:eastAsia="宋体"/>
                <w:color w:val="000000" w:themeColor="text1"/>
                <w:lang w:val="en-US" w:eastAsia="zh-CN"/>
                <w14:textFill>
                  <w14:solidFill>
                    <w14:schemeClr w14:val="tx1"/>
                  </w14:solidFill>
                </w14:textFill>
              </w:rPr>
              <w:t>401</w:t>
            </w:r>
          </w:p>
        </w:tc>
        <w:tc>
          <w:tcPr>
            <w:tcW w:w="529" w:type="pct"/>
            <w:shd w:val="clear" w:color="auto" w:fill="auto"/>
            <w:vAlign w:val="center"/>
          </w:tcPr>
          <w:p w14:paraId="03FDB5DE">
            <w:pPr>
              <w:pStyle w:val="55"/>
              <w:rPr>
                <w:rFonts w:hint="default" w:eastAsia="宋体"/>
                <w:color w:val="000000" w:themeColor="text1"/>
                <w:lang w:val="en-US" w:eastAsia="zh-CN"/>
                <w14:textFill>
                  <w14:solidFill>
                    <w14:schemeClr w14:val="tx1"/>
                  </w14:solidFill>
                </w14:textFill>
              </w:rPr>
            </w:pPr>
            <w:r>
              <w:rPr>
                <w:rFonts w:hint="default" w:eastAsia="宋体"/>
                <w:color w:val="000000" w:themeColor="text1"/>
                <w:lang w:val="en-US" w:eastAsia="zh-CN"/>
                <w14:textFill>
                  <w14:solidFill>
                    <w14:schemeClr w14:val="tx1"/>
                  </w14:solidFill>
                </w14:textFill>
              </w:rPr>
              <w:t>0.0</w:t>
            </w:r>
            <w:r>
              <w:rPr>
                <w:rFonts w:hint="eastAsia" w:eastAsia="宋体"/>
                <w:color w:val="000000" w:themeColor="text1"/>
                <w:lang w:val="en-US" w:eastAsia="zh-CN"/>
                <w14:textFill>
                  <w14:solidFill>
                    <w14:schemeClr w14:val="tx1"/>
                  </w14:solidFill>
                </w14:textFill>
              </w:rPr>
              <w:t>431</w:t>
            </w:r>
          </w:p>
        </w:tc>
        <w:tc>
          <w:tcPr>
            <w:tcW w:w="567" w:type="pct"/>
            <w:shd w:val="clear" w:color="auto" w:fill="auto"/>
            <w:vAlign w:val="center"/>
          </w:tcPr>
          <w:p w14:paraId="6E9CD423">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1.0</w:t>
            </w:r>
          </w:p>
        </w:tc>
        <w:tc>
          <w:tcPr>
            <w:tcW w:w="383" w:type="pct"/>
            <w:vMerge w:val="restart"/>
            <w:shd w:val="clear" w:color="auto" w:fill="auto"/>
            <w:vAlign w:val="center"/>
          </w:tcPr>
          <w:p w14:paraId="25A219E9">
            <w:pPr>
              <w:pStyle w:val="55"/>
              <w:rPr>
                <w:rFonts w:hint="eastAsia"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达标</w:t>
            </w:r>
          </w:p>
        </w:tc>
      </w:tr>
      <w:tr w14:paraId="7B86B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9" w:type="pct"/>
            <w:vMerge w:val="continue"/>
            <w:shd w:val="clear" w:color="auto" w:fill="auto"/>
            <w:vAlign w:val="center"/>
          </w:tcPr>
          <w:p w14:paraId="0CC5D8F5">
            <w:pPr>
              <w:pStyle w:val="55"/>
              <w:bidi w:val="0"/>
              <w:jc w:val="center"/>
              <w:rPr>
                <w:rFonts w:hint="eastAsia"/>
                <w:color w:val="000000" w:themeColor="text1"/>
                <w:lang w:val="en-US" w:eastAsia="zh-CN"/>
                <w14:textFill>
                  <w14:solidFill>
                    <w14:schemeClr w14:val="tx1"/>
                  </w14:solidFill>
                </w14:textFill>
              </w:rPr>
            </w:pPr>
          </w:p>
        </w:tc>
        <w:tc>
          <w:tcPr>
            <w:tcW w:w="822" w:type="pct"/>
            <w:shd w:val="clear" w:color="auto" w:fill="auto"/>
            <w:vAlign w:val="center"/>
          </w:tcPr>
          <w:p w14:paraId="53D6D1A9">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非甲烷总烃</w:t>
            </w:r>
          </w:p>
        </w:tc>
        <w:tc>
          <w:tcPr>
            <w:tcW w:w="473" w:type="pct"/>
            <w:shd w:val="clear" w:color="auto" w:fill="auto"/>
            <w:vAlign w:val="center"/>
          </w:tcPr>
          <w:p w14:paraId="53C9B860">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0.0437</w:t>
            </w:r>
          </w:p>
        </w:tc>
        <w:tc>
          <w:tcPr>
            <w:tcW w:w="497" w:type="pct"/>
            <w:shd w:val="clear" w:color="auto" w:fill="auto"/>
            <w:vAlign w:val="center"/>
          </w:tcPr>
          <w:p w14:paraId="42CF1542">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0.0279</w:t>
            </w:r>
          </w:p>
        </w:tc>
        <w:tc>
          <w:tcPr>
            <w:tcW w:w="473" w:type="pct"/>
            <w:shd w:val="clear" w:color="auto" w:fill="auto"/>
            <w:vAlign w:val="center"/>
          </w:tcPr>
          <w:p w14:paraId="572D111D">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0.0407</w:t>
            </w:r>
          </w:p>
        </w:tc>
        <w:tc>
          <w:tcPr>
            <w:tcW w:w="474" w:type="pct"/>
            <w:shd w:val="clear" w:color="auto" w:fill="auto"/>
            <w:vAlign w:val="center"/>
          </w:tcPr>
          <w:p w14:paraId="75B5856D">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0.0407</w:t>
            </w:r>
          </w:p>
        </w:tc>
        <w:tc>
          <w:tcPr>
            <w:tcW w:w="529" w:type="pct"/>
            <w:shd w:val="clear" w:color="auto" w:fill="auto"/>
            <w:vAlign w:val="center"/>
          </w:tcPr>
          <w:p w14:paraId="213D0F4A">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0.0437</w:t>
            </w:r>
          </w:p>
        </w:tc>
        <w:tc>
          <w:tcPr>
            <w:tcW w:w="567" w:type="pct"/>
            <w:shd w:val="clear" w:color="auto" w:fill="auto"/>
            <w:vAlign w:val="center"/>
          </w:tcPr>
          <w:p w14:paraId="426FE22D">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2.0</w:t>
            </w:r>
          </w:p>
        </w:tc>
        <w:tc>
          <w:tcPr>
            <w:tcW w:w="383" w:type="pct"/>
            <w:vMerge w:val="continue"/>
            <w:shd w:val="clear" w:color="auto" w:fill="auto"/>
            <w:vAlign w:val="center"/>
          </w:tcPr>
          <w:p w14:paraId="220C689D">
            <w:pPr>
              <w:pStyle w:val="55"/>
              <w:rPr>
                <w:color w:val="000000" w:themeColor="text1"/>
                <w14:textFill>
                  <w14:solidFill>
                    <w14:schemeClr w14:val="tx1"/>
                  </w14:solidFill>
                </w14:textFill>
              </w:rPr>
            </w:pPr>
          </w:p>
        </w:tc>
      </w:tr>
      <w:tr w14:paraId="140D4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9" w:type="pct"/>
            <w:vMerge w:val="continue"/>
            <w:shd w:val="clear" w:color="auto" w:fill="auto"/>
            <w:vAlign w:val="center"/>
          </w:tcPr>
          <w:p w14:paraId="56FD3F87">
            <w:pPr>
              <w:pStyle w:val="55"/>
              <w:bidi w:val="0"/>
              <w:jc w:val="center"/>
              <w:rPr>
                <w:rFonts w:hint="eastAsia"/>
                <w:color w:val="000000" w:themeColor="text1"/>
                <w:lang w:val="en-US" w:eastAsia="zh-CN"/>
                <w14:textFill>
                  <w14:solidFill>
                    <w14:schemeClr w14:val="tx1"/>
                  </w14:solidFill>
                </w14:textFill>
              </w:rPr>
            </w:pPr>
          </w:p>
        </w:tc>
        <w:tc>
          <w:tcPr>
            <w:tcW w:w="822" w:type="pct"/>
            <w:shd w:val="clear" w:color="auto" w:fill="auto"/>
            <w:vAlign w:val="center"/>
          </w:tcPr>
          <w:p w14:paraId="630F0073">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HCl</w:t>
            </w:r>
          </w:p>
        </w:tc>
        <w:tc>
          <w:tcPr>
            <w:tcW w:w="473" w:type="pct"/>
            <w:shd w:val="clear" w:color="auto" w:fill="auto"/>
            <w:vAlign w:val="center"/>
          </w:tcPr>
          <w:p w14:paraId="6F53CF5B">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0.0000</w:t>
            </w:r>
          </w:p>
        </w:tc>
        <w:tc>
          <w:tcPr>
            <w:tcW w:w="497" w:type="pct"/>
            <w:shd w:val="clear" w:color="auto" w:fill="auto"/>
            <w:vAlign w:val="center"/>
          </w:tcPr>
          <w:p w14:paraId="1B8DD3C4">
            <w:pPr>
              <w:pStyle w:val="55"/>
              <w:rPr>
                <w:rFonts w:hint="eastAsia" w:ascii="Times New Roman" w:hAnsi="Times New Roman" w:eastAsia="宋体"/>
                <w:color w:val="000000" w:themeColor="text1"/>
                <w:lang w:val="en-US" w:eastAsia="zh-CN"/>
                <w14:textFill>
                  <w14:solidFill>
                    <w14:schemeClr w14:val="tx1"/>
                  </w14:solidFill>
                </w14:textFill>
              </w:rPr>
            </w:pPr>
            <w:r>
              <w:rPr>
                <w:rFonts w:hint="eastAsia" w:ascii="Times New Roman" w:hAnsi="Times New Roman" w:eastAsia="宋体"/>
                <w:color w:val="000000" w:themeColor="text1"/>
                <w:lang w:val="en-US" w:eastAsia="zh-CN"/>
                <w14:textFill>
                  <w14:solidFill>
                    <w14:schemeClr w14:val="tx1"/>
                  </w14:solidFill>
                </w14:textFill>
              </w:rPr>
              <w:t>0.0000</w:t>
            </w:r>
          </w:p>
        </w:tc>
        <w:tc>
          <w:tcPr>
            <w:tcW w:w="473" w:type="pct"/>
            <w:shd w:val="clear" w:color="auto" w:fill="auto"/>
            <w:vAlign w:val="center"/>
          </w:tcPr>
          <w:p w14:paraId="4AAA0656">
            <w:pPr>
              <w:pStyle w:val="55"/>
              <w:rPr>
                <w:rFonts w:hint="eastAsia" w:ascii="Times New Roman" w:hAnsi="Times New Roman" w:eastAsia="宋体"/>
                <w:color w:val="000000" w:themeColor="text1"/>
                <w:lang w:val="en-US" w:eastAsia="zh-CN"/>
                <w14:textFill>
                  <w14:solidFill>
                    <w14:schemeClr w14:val="tx1"/>
                  </w14:solidFill>
                </w14:textFill>
              </w:rPr>
            </w:pPr>
            <w:r>
              <w:rPr>
                <w:rFonts w:hint="eastAsia" w:ascii="Times New Roman" w:hAnsi="Times New Roman" w:eastAsia="宋体"/>
                <w:color w:val="000000" w:themeColor="text1"/>
                <w:lang w:val="en-US" w:eastAsia="zh-CN"/>
                <w14:textFill>
                  <w14:solidFill>
                    <w14:schemeClr w14:val="tx1"/>
                  </w14:solidFill>
                </w14:textFill>
              </w:rPr>
              <w:t>0.0000</w:t>
            </w:r>
          </w:p>
        </w:tc>
        <w:tc>
          <w:tcPr>
            <w:tcW w:w="474" w:type="pct"/>
            <w:shd w:val="clear" w:color="auto" w:fill="auto"/>
            <w:vAlign w:val="center"/>
          </w:tcPr>
          <w:p w14:paraId="4E8062C7">
            <w:pPr>
              <w:pStyle w:val="55"/>
              <w:rPr>
                <w:rFonts w:hint="eastAsia" w:ascii="Times New Roman" w:hAnsi="Times New Roman" w:eastAsia="宋体"/>
                <w:color w:val="000000" w:themeColor="text1"/>
                <w:lang w:val="en-US" w:eastAsia="zh-CN"/>
                <w14:textFill>
                  <w14:solidFill>
                    <w14:schemeClr w14:val="tx1"/>
                  </w14:solidFill>
                </w14:textFill>
              </w:rPr>
            </w:pPr>
            <w:r>
              <w:rPr>
                <w:rFonts w:hint="eastAsia" w:ascii="Times New Roman" w:hAnsi="Times New Roman" w:eastAsia="宋体"/>
                <w:color w:val="000000" w:themeColor="text1"/>
                <w:lang w:val="en-US" w:eastAsia="zh-CN"/>
                <w14:textFill>
                  <w14:solidFill>
                    <w14:schemeClr w14:val="tx1"/>
                  </w14:solidFill>
                </w14:textFill>
              </w:rPr>
              <w:t>0.0000</w:t>
            </w:r>
          </w:p>
        </w:tc>
        <w:tc>
          <w:tcPr>
            <w:tcW w:w="529" w:type="pct"/>
            <w:shd w:val="clear" w:color="auto" w:fill="auto"/>
            <w:vAlign w:val="center"/>
          </w:tcPr>
          <w:p w14:paraId="36C1A0F1">
            <w:pPr>
              <w:pStyle w:val="55"/>
              <w:rPr>
                <w:rFonts w:hint="eastAsia" w:ascii="Times New Roman" w:hAnsi="Times New Roman" w:eastAsia="宋体"/>
                <w:color w:val="000000" w:themeColor="text1"/>
                <w:lang w:val="en-US" w:eastAsia="zh-CN"/>
                <w14:textFill>
                  <w14:solidFill>
                    <w14:schemeClr w14:val="tx1"/>
                  </w14:solidFill>
                </w14:textFill>
              </w:rPr>
            </w:pPr>
            <w:r>
              <w:rPr>
                <w:rFonts w:hint="eastAsia" w:ascii="Times New Roman" w:hAnsi="Times New Roman" w:eastAsia="宋体"/>
                <w:color w:val="000000" w:themeColor="text1"/>
                <w:lang w:val="en-US" w:eastAsia="zh-CN"/>
                <w14:textFill>
                  <w14:solidFill>
                    <w14:schemeClr w14:val="tx1"/>
                  </w14:solidFill>
                </w14:textFill>
              </w:rPr>
              <w:t>0.0000</w:t>
            </w:r>
          </w:p>
        </w:tc>
        <w:tc>
          <w:tcPr>
            <w:tcW w:w="567" w:type="pct"/>
            <w:shd w:val="clear" w:color="auto" w:fill="auto"/>
            <w:vAlign w:val="center"/>
          </w:tcPr>
          <w:p w14:paraId="23C0F104">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0.06</w:t>
            </w:r>
          </w:p>
        </w:tc>
        <w:tc>
          <w:tcPr>
            <w:tcW w:w="383" w:type="pct"/>
            <w:vMerge w:val="continue"/>
            <w:shd w:val="clear" w:color="auto" w:fill="auto"/>
            <w:vAlign w:val="center"/>
          </w:tcPr>
          <w:p w14:paraId="17B87F1D">
            <w:pPr>
              <w:pStyle w:val="55"/>
              <w:rPr>
                <w:color w:val="000000" w:themeColor="text1"/>
                <w14:textFill>
                  <w14:solidFill>
                    <w14:schemeClr w14:val="tx1"/>
                  </w14:solidFill>
                </w14:textFill>
              </w:rPr>
            </w:pPr>
          </w:p>
        </w:tc>
      </w:tr>
      <w:tr w14:paraId="4C0D7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9" w:type="pct"/>
            <w:vMerge w:val="restart"/>
            <w:shd w:val="clear" w:color="auto" w:fill="auto"/>
            <w:vAlign w:val="center"/>
          </w:tcPr>
          <w:p w14:paraId="170C1CE3">
            <w:pPr>
              <w:pStyle w:val="55"/>
              <w:rPr>
                <w:color w:val="000000" w:themeColor="text1"/>
                <w14:textFill>
                  <w14:solidFill>
                    <w14:schemeClr w14:val="tx1"/>
                  </w14:solidFill>
                </w14:textFill>
              </w:rPr>
            </w:pPr>
            <w:r>
              <w:rPr>
                <w:rFonts w:hint="eastAsia"/>
                <w:lang w:val="en-US" w:eastAsia="zh-CN"/>
              </w:rPr>
              <w:t>2</w:t>
            </w:r>
            <w:r>
              <w:rPr>
                <w:rFonts w:hint="eastAsia"/>
              </w:rPr>
              <w:t>#生产车间</w:t>
            </w:r>
          </w:p>
        </w:tc>
        <w:tc>
          <w:tcPr>
            <w:tcW w:w="822" w:type="pct"/>
            <w:shd w:val="clear" w:color="auto" w:fill="auto"/>
            <w:vAlign w:val="center"/>
          </w:tcPr>
          <w:p w14:paraId="5B3C214C">
            <w:pPr>
              <w:pStyle w:val="55"/>
              <w:bidi w:val="0"/>
              <w:rPr>
                <w:color w:val="000000" w:themeColor="text1"/>
                <w14:textFill>
                  <w14:solidFill>
                    <w14:schemeClr w14:val="tx1"/>
                  </w14:solidFill>
                </w14:textFill>
              </w:rPr>
            </w:pPr>
            <w:r>
              <w:rPr>
                <w:rFonts w:hint="default"/>
                <w:color w:val="000000" w:themeColor="text1"/>
                <w:lang w:val="en-US" w:eastAsia="zh-CN"/>
                <w14:textFill>
                  <w14:solidFill>
                    <w14:schemeClr w14:val="tx1"/>
                  </w14:solidFill>
                </w14:textFill>
              </w:rPr>
              <w:t>颗粒物</w:t>
            </w:r>
          </w:p>
        </w:tc>
        <w:tc>
          <w:tcPr>
            <w:tcW w:w="473" w:type="pct"/>
            <w:shd w:val="clear" w:color="auto" w:fill="auto"/>
            <w:vAlign w:val="center"/>
          </w:tcPr>
          <w:p w14:paraId="676B40FC">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0.0475</w:t>
            </w:r>
          </w:p>
        </w:tc>
        <w:tc>
          <w:tcPr>
            <w:tcW w:w="497" w:type="pct"/>
            <w:shd w:val="clear" w:color="auto" w:fill="auto"/>
            <w:vAlign w:val="center"/>
          </w:tcPr>
          <w:p w14:paraId="43304E9A">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0.0482</w:t>
            </w:r>
          </w:p>
        </w:tc>
        <w:tc>
          <w:tcPr>
            <w:tcW w:w="473" w:type="pct"/>
            <w:shd w:val="clear" w:color="auto" w:fill="auto"/>
            <w:vAlign w:val="center"/>
          </w:tcPr>
          <w:p w14:paraId="4FCD2398">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0.0486</w:t>
            </w:r>
          </w:p>
        </w:tc>
        <w:tc>
          <w:tcPr>
            <w:tcW w:w="474" w:type="pct"/>
            <w:shd w:val="clear" w:color="auto" w:fill="auto"/>
            <w:vAlign w:val="center"/>
          </w:tcPr>
          <w:p w14:paraId="4811DFA9">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0.0621</w:t>
            </w:r>
          </w:p>
        </w:tc>
        <w:tc>
          <w:tcPr>
            <w:tcW w:w="952" w:type="dxa"/>
            <w:shd w:val="clear" w:color="auto" w:fill="auto"/>
            <w:vAlign w:val="center"/>
          </w:tcPr>
          <w:p w14:paraId="25DFB428">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0.0621</w:t>
            </w:r>
          </w:p>
        </w:tc>
        <w:tc>
          <w:tcPr>
            <w:tcW w:w="567" w:type="pct"/>
            <w:shd w:val="clear" w:color="auto" w:fill="auto"/>
            <w:vAlign w:val="center"/>
          </w:tcPr>
          <w:p w14:paraId="312396DD">
            <w:pPr>
              <w:pStyle w:val="55"/>
              <w:rPr>
                <w:color w:val="000000" w:themeColor="text1"/>
                <w14:textFill>
                  <w14:solidFill>
                    <w14:schemeClr w14:val="tx1"/>
                  </w14:solidFill>
                </w14:textFill>
              </w:rPr>
            </w:pPr>
            <w:r>
              <w:rPr>
                <w:rFonts w:hint="eastAsia" w:eastAsia="宋体"/>
                <w:color w:val="000000" w:themeColor="text1"/>
                <w:lang w:val="en-US" w:eastAsia="zh-CN"/>
                <w14:textFill>
                  <w14:solidFill>
                    <w14:schemeClr w14:val="tx1"/>
                  </w14:solidFill>
                </w14:textFill>
              </w:rPr>
              <w:t>1.0</w:t>
            </w:r>
          </w:p>
        </w:tc>
        <w:tc>
          <w:tcPr>
            <w:tcW w:w="383" w:type="pct"/>
            <w:vMerge w:val="restart"/>
            <w:shd w:val="clear" w:color="auto" w:fill="auto"/>
            <w:vAlign w:val="center"/>
          </w:tcPr>
          <w:p w14:paraId="4EE89A44">
            <w:pPr>
              <w:pStyle w:val="55"/>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达标</w:t>
            </w:r>
          </w:p>
        </w:tc>
      </w:tr>
      <w:tr w14:paraId="3CD70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9" w:type="pct"/>
            <w:vMerge w:val="continue"/>
            <w:shd w:val="clear" w:color="auto" w:fill="auto"/>
            <w:vAlign w:val="center"/>
          </w:tcPr>
          <w:p w14:paraId="64DAFD2D">
            <w:pPr>
              <w:pStyle w:val="55"/>
              <w:bidi w:val="0"/>
              <w:jc w:val="center"/>
              <w:rPr>
                <w:rFonts w:hint="eastAsia"/>
                <w:color w:val="000000" w:themeColor="text1"/>
                <w:lang w:val="en-US" w:eastAsia="zh-CN"/>
                <w14:textFill>
                  <w14:solidFill>
                    <w14:schemeClr w14:val="tx1"/>
                  </w14:solidFill>
                </w14:textFill>
              </w:rPr>
            </w:pPr>
          </w:p>
        </w:tc>
        <w:tc>
          <w:tcPr>
            <w:tcW w:w="822" w:type="pct"/>
            <w:shd w:val="clear" w:color="auto" w:fill="auto"/>
            <w:vAlign w:val="center"/>
          </w:tcPr>
          <w:p w14:paraId="194842B4">
            <w:pPr>
              <w:pStyle w:val="55"/>
              <w:bidi w:val="0"/>
              <w:rPr>
                <w:color w:val="000000" w:themeColor="text1"/>
                <w14:textFill>
                  <w14:solidFill>
                    <w14:schemeClr w14:val="tx1"/>
                  </w14:solidFill>
                </w14:textFill>
              </w:rPr>
            </w:pPr>
            <w:r>
              <w:rPr>
                <w:rFonts w:hint="default"/>
                <w:color w:val="000000" w:themeColor="text1"/>
                <w:lang w:val="en-US" w:eastAsia="zh-CN"/>
                <w14:textFill>
                  <w14:solidFill>
                    <w14:schemeClr w14:val="tx1"/>
                  </w14:solidFill>
                </w14:textFill>
              </w:rPr>
              <w:t>非甲烷总烃</w:t>
            </w:r>
          </w:p>
        </w:tc>
        <w:tc>
          <w:tcPr>
            <w:tcW w:w="473" w:type="pct"/>
            <w:shd w:val="clear" w:color="auto" w:fill="auto"/>
            <w:vAlign w:val="center"/>
          </w:tcPr>
          <w:p w14:paraId="79E0F1BB">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0.0482</w:t>
            </w:r>
          </w:p>
        </w:tc>
        <w:tc>
          <w:tcPr>
            <w:tcW w:w="497" w:type="pct"/>
            <w:shd w:val="clear" w:color="auto" w:fill="auto"/>
            <w:vAlign w:val="center"/>
          </w:tcPr>
          <w:p w14:paraId="2E2CD631">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0.0490</w:t>
            </w:r>
          </w:p>
        </w:tc>
        <w:tc>
          <w:tcPr>
            <w:tcW w:w="473" w:type="pct"/>
            <w:shd w:val="clear" w:color="auto" w:fill="auto"/>
            <w:vAlign w:val="center"/>
          </w:tcPr>
          <w:p w14:paraId="793C27FA">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0.0494</w:t>
            </w:r>
          </w:p>
        </w:tc>
        <w:tc>
          <w:tcPr>
            <w:tcW w:w="474" w:type="pct"/>
            <w:shd w:val="clear" w:color="auto" w:fill="auto"/>
            <w:vAlign w:val="center"/>
          </w:tcPr>
          <w:p w14:paraId="26468D44">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0.0631</w:t>
            </w:r>
          </w:p>
        </w:tc>
        <w:tc>
          <w:tcPr>
            <w:tcW w:w="952" w:type="dxa"/>
            <w:shd w:val="clear" w:color="auto" w:fill="auto"/>
            <w:vAlign w:val="center"/>
          </w:tcPr>
          <w:p w14:paraId="15C5FE06">
            <w:pPr>
              <w:pStyle w:val="55"/>
              <w:rPr>
                <w:rFonts w:hint="eastAsia"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0.0631</w:t>
            </w:r>
          </w:p>
        </w:tc>
        <w:tc>
          <w:tcPr>
            <w:tcW w:w="567" w:type="pct"/>
            <w:shd w:val="clear" w:color="auto" w:fill="auto"/>
            <w:vAlign w:val="center"/>
          </w:tcPr>
          <w:p w14:paraId="084B6EFC">
            <w:pPr>
              <w:pStyle w:val="55"/>
              <w:rPr>
                <w:color w:val="000000" w:themeColor="text1"/>
                <w14:textFill>
                  <w14:solidFill>
                    <w14:schemeClr w14:val="tx1"/>
                  </w14:solidFill>
                </w14:textFill>
              </w:rPr>
            </w:pPr>
            <w:r>
              <w:rPr>
                <w:rFonts w:hint="eastAsia" w:eastAsia="宋体"/>
                <w:color w:val="000000" w:themeColor="text1"/>
                <w:lang w:val="en-US" w:eastAsia="zh-CN"/>
                <w14:textFill>
                  <w14:solidFill>
                    <w14:schemeClr w14:val="tx1"/>
                  </w14:solidFill>
                </w14:textFill>
              </w:rPr>
              <w:t>2.0</w:t>
            </w:r>
          </w:p>
        </w:tc>
        <w:tc>
          <w:tcPr>
            <w:tcW w:w="383" w:type="pct"/>
            <w:vMerge w:val="continue"/>
            <w:shd w:val="clear" w:color="auto" w:fill="auto"/>
            <w:vAlign w:val="center"/>
          </w:tcPr>
          <w:p w14:paraId="5F33FFC0">
            <w:pPr>
              <w:pStyle w:val="55"/>
              <w:rPr>
                <w:color w:val="000000" w:themeColor="text1"/>
                <w14:textFill>
                  <w14:solidFill>
                    <w14:schemeClr w14:val="tx1"/>
                  </w14:solidFill>
                </w14:textFill>
              </w:rPr>
            </w:pPr>
          </w:p>
        </w:tc>
      </w:tr>
      <w:tr w14:paraId="4CFA6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9" w:type="pct"/>
            <w:vMerge w:val="continue"/>
            <w:shd w:val="clear" w:color="auto" w:fill="auto"/>
            <w:vAlign w:val="center"/>
          </w:tcPr>
          <w:p w14:paraId="5F4EBC01">
            <w:pPr>
              <w:pStyle w:val="55"/>
              <w:bidi w:val="0"/>
              <w:jc w:val="center"/>
              <w:rPr>
                <w:rFonts w:hint="eastAsia"/>
                <w:color w:val="000000" w:themeColor="text1"/>
                <w:lang w:val="en-US" w:eastAsia="zh-CN"/>
                <w14:textFill>
                  <w14:solidFill>
                    <w14:schemeClr w14:val="tx1"/>
                  </w14:solidFill>
                </w14:textFill>
              </w:rPr>
            </w:pPr>
          </w:p>
        </w:tc>
        <w:tc>
          <w:tcPr>
            <w:tcW w:w="822" w:type="pct"/>
            <w:shd w:val="clear" w:color="auto" w:fill="auto"/>
            <w:vAlign w:val="center"/>
          </w:tcPr>
          <w:p w14:paraId="6C59BC87">
            <w:pPr>
              <w:pStyle w:val="55"/>
              <w:bidi w:val="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HCl</w:t>
            </w:r>
          </w:p>
        </w:tc>
        <w:tc>
          <w:tcPr>
            <w:tcW w:w="473" w:type="pct"/>
            <w:shd w:val="clear" w:color="auto" w:fill="auto"/>
            <w:vAlign w:val="center"/>
          </w:tcPr>
          <w:p w14:paraId="4C587F41">
            <w:pPr>
              <w:pStyle w:val="55"/>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0.0000</w:t>
            </w:r>
          </w:p>
        </w:tc>
        <w:tc>
          <w:tcPr>
            <w:tcW w:w="497" w:type="pct"/>
            <w:shd w:val="clear" w:color="auto" w:fill="auto"/>
            <w:vAlign w:val="center"/>
          </w:tcPr>
          <w:p w14:paraId="4D3B11F2">
            <w:pPr>
              <w:pStyle w:val="55"/>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0.0000</w:t>
            </w:r>
          </w:p>
        </w:tc>
        <w:tc>
          <w:tcPr>
            <w:tcW w:w="473" w:type="pct"/>
            <w:shd w:val="clear" w:color="auto" w:fill="auto"/>
            <w:vAlign w:val="center"/>
          </w:tcPr>
          <w:p w14:paraId="5260E488">
            <w:pPr>
              <w:pStyle w:val="55"/>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0.0000</w:t>
            </w:r>
          </w:p>
        </w:tc>
        <w:tc>
          <w:tcPr>
            <w:tcW w:w="474" w:type="pct"/>
            <w:shd w:val="clear" w:color="auto" w:fill="auto"/>
            <w:vAlign w:val="center"/>
          </w:tcPr>
          <w:p w14:paraId="420D04BB">
            <w:pPr>
              <w:pStyle w:val="55"/>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0.0000</w:t>
            </w:r>
          </w:p>
        </w:tc>
        <w:tc>
          <w:tcPr>
            <w:tcW w:w="952" w:type="dxa"/>
            <w:shd w:val="clear" w:color="auto" w:fill="auto"/>
            <w:vAlign w:val="center"/>
          </w:tcPr>
          <w:p w14:paraId="2C7A06F8">
            <w:pPr>
              <w:pStyle w:val="55"/>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0.0000</w:t>
            </w:r>
          </w:p>
        </w:tc>
        <w:tc>
          <w:tcPr>
            <w:tcW w:w="567" w:type="pct"/>
            <w:shd w:val="clear" w:color="auto" w:fill="auto"/>
            <w:vAlign w:val="center"/>
          </w:tcPr>
          <w:p w14:paraId="2533D4ED">
            <w:pPr>
              <w:pStyle w:val="55"/>
              <w:rPr>
                <w:rFonts w:hint="eastAsia"/>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0.06</w:t>
            </w:r>
          </w:p>
        </w:tc>
        <w:tc>
          <w:tcPr>
            <w:tcW w:w="383" w:type="pct"/>
            <w:vMerge w:val="continue"/>
            <w:shd w:val="clear" w:color="auto" w:fill="auto"/>
            <w:vAlign w:val="center"/>
          </w:tcPr>
          <w:p w14:paraId="32DFFADF">
            <w:pPr>
              <w:pStyle w:val="55"/>
              <w:rPr>
                <w:color w:val="000000" w:themeColor="text1"/>
                <w14:textFill>
                  <w14:solidFill>
                    <w14:schemeClr w14:val="tx1"/>
                  </w14:solidFill>
                </w14:textFill>
              </w:rPr>
            </w:pPr>
          </w:p>
        </w:tc>
      </w:tr>
      <w:tr w14:paraId="4CE60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779" w:type="pct"/>
            <w:vMerge w:val="restart"/>
            <w:shd w:val="clear" w:color="auto" w:fill="auto"/>
            <w:vAlign w:val="center"/>
          </w:tcPr>
          <w:p w14:paraId="554C02BE">
            <w:pPr>
              <w:pStyle w:val="55"/>
              <w:rPr>
                <w:color w:val="000000" w:themeColor="text1"/>
                <w14:textFill>
                  <w14:solidFill>
                    <w14:schemeClr w14:val="tx1"/>
                  </w14:solidFill>
                </w14:textFill>
              </w:rPr>
            </w:pPr>
            <w:r>
              <w:rPr>
                <w:rFonts w:hint="eastAsia"/>
                <w:lang w:val="en-US" w:eastAsia="zh-CN"/>
              </w:rPr>
              <w:t>3</w:t>
            </w:r>
            <w:r>
              <w:rPr>
                <w:rFonts w:hint="eastAsia"/>
              </w:rPr>
              <w:t>#生产车间</w:t>
            </w:r>
          </w:p>
        </w:tc>
        <w:tc>
          <w:tcPr>
            <w:tcW w:w="822" w:type="pct"/>
            <w:shd w:val="clear" w:color="auto" w:fill="auto"/>
            <w:vAlign w:val="center"/>
          </w:tcPr>
          <w:p w14:paraId="1197AB8C">
            <w:pPr>
              <w:pStyle w:val="55"/>
              <w:bidi w:val="0"/>
              <w:rPr>
                <w:color w:val="000000" w:themeColor="text1"/>
                <w14:textFill>
                  <w14:solidFill>
                    <w14:schemeClr w14:val="tx1"/>
                  </w14:solidFill>
                </w14:textFill>
              </w:rPr>
            </w:pPr>
            <w:r>
              <w:rPr>
                <w:rFonts w:hint="default"/>
                <w:color w:val="000000" w:themeColor="text1"/>
                <w:lang w:val="en-US" w:eastAsia="zh-CN"/>
                <w14:textFill>
                  <w14:solidFill>
                    <w14:schemeClr w14:val="tx1"/>
                  </w14:solidFill>
                </w14:textFill>
              </w:rPr>
              <w:t>颗粒物</w:t>
            </w:r>
          </w:p>
        </w:tc>
        <w:tc>
          <w:tcPr>
            <w:tcW w:w="473" w:type="pct"/>
            <w:shd w:val="clear" w:color="auto" w:fill="auto"/>
            <w:vAlign w:val="center"/>
          </w:tcPr>
          <w:p w14:paraId="6C5A6348">
            <w:pPr>
              <w:pStyle w:val="55"/>
              <w:bidi w:val="0"/>
              <w:rPr>
                <w:rFonts w:hint="default"/>
                <w:lang w:val="en-US" w:eastAsia="zh-CN"/>
              </w:rPr>
            </w:pPr>
            <w:r>
              <w:rPr>
                <w:rFonts w:hint="eastAsia"/>
                <w:lang w:val="en-US" w:eastAsia="zh-CN"/>
              </w:rPr>
              <w:t>0.0093</w:t>
            </w:r>
          </w:p>
        </w:tc>
        <w:tc>
          <w:tcPr>
            <w:tcW w:w="497" w:type="pct"/>
            <w:shd w:val="clear" w:color="auto" w:fill="auto"/>
            <w:vAlign w:val="center"/>
          </w:tcPr>
          <w:p w14:paraId="1F60FD6E">
            <w:pPr>
              <w:pStyle w:val="55"/>
              <w:bidi w:val="0"/>
              <w:rPr>
                <w:rFonts w:hint="default"/>
                <w:lang w:val="en-US" w:eastAsia="zh-CN"/>
              </w:rPr>
            </w:pPr>
            <w:r>
              <w:rPr>
                <w:rFonts w:hint="eastAsia"/>
                <w:lang w:val="en-US" w:eastAsia="zh-CN"/>
              </w:rPr>
              <w:t>0.0147</w:t>
            </w:r>
          </w:p>
        </w:tc>
        <w:tc>
          <w:tcPr>
            <w:tcW w:w="473" w:type="pct"/>
            <w:shd w:val="clear" w:color="auto" w:fill="auto"/>
            <w:vAlign w:val="center"/>
          </w:tcPr>
          <w:p w14:paraId="48C85AB4">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0.0140</w:t>
            </w:r>
          </w:p>
        </w:tc>
        <w:tc>
          <w:tcPr>
            <w:tcW w:w="474" w:type="pct"/>
            <w:shd w:val="clear" w:color="auto" w:fill="auto"/>
            <w:vAlign w:val="center"/>
          </w:tcPr>
          <w:p w14:paraId="426DE067">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0.0080</w:t>
            </w:r>
          </w:p>
        </w:tc>
        <w:tc>
          <w:tcPr>
            <w:tcW w:w="952" w:type="dxa"/>
            <w:shd w:val="clear" w:color="auto" w:fill="auto"/>
            <w:vAlign w:val="center"/>
          </w:tcPr>
          <w:p w14:paraId="1E4A5CA2">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0.0140</w:t>
            </w:r>
          </w:p>
        </w:tc>
        <w:tc>
          <w:tcPr>
            <w:tcW w:w="567" w:type="pct"/>
            <w:shd w:val="clear" w:color="auto" w:fill="auto"/>
            <w:vAlign w:val="center"/>
          </w:tcPr>
          <w:p w14:paraId="4265F756">
            <w:pPr>
              <w:pStyle w:val="55"/>
              <w:rPr>
                <w:color w:val="000000" w:themeColor="text1"/>
                <w14:textFill>
                  <w14:solidFill>
                    <w14:schemeClr w14:val="tx1"/>
                  </w14:solidFill>
                </w14:textFill>
              </w:rPr>
            </w:pPr>
            <w:r>
              <w:rPr>
                <w:rFonts w:hint="eastAsia" w:eastAsia="宋体"/>
                <w:color w:val="000000" w:themeColor="text1"/>
                <w:lang w:val="en-US" w:eastAsia="zh-CN"/>
                <w14:textFill>
                  <w14:solidFill>
                    <w14:schemeClr w14:val="tx1"/>
                  </w14:solidFill>
                </w14:textFill>
              </w:rPr>
              <w:t>1.0</w:t>
            </w:r>
          </w:p>
        </w:tc>
        <w:tc>
          <w:tcPr>
            <w:tcW w:w="383" w:type="pct"/>
            <w:vMerge w:val="restart"/>
            <w:shd w:val="clear" w:color="auto" w:fill="auto"/>
            <w:vAlign w:val="center"/>
          </w:tcPr>
          <w:p w14:paraId="01E53165">
            <w:pPr>
              <w:pStyle w:val="55"/>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达标</w:t>
            </w:r>
          </w:p>
        </w:tc>
      </w:tr>
      <w:tr w14:paraId="3B9BA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779" w:type="pct"/>
            <w:vMerge w:val="continue"/>
            <w:shd w:val="clear" w:color="auto" w:fill="auto"/>
            <w:vAlign w:val="center"/>
          </w:tcPr>
          <w:p w14:paraId="11AECE96">
            <w:pPr>
              <w:pStyle w:val="55"/>
              <w:bidi w:val="0"/>
              <w:jc w:val="center"/>
              <w:rPr>
                <w:rFonts w:hint="eastAsia"/>
                <w:color w:val="000000" w:themeColor="text1"/>
                <w:lang w:val="en-US" w:eastAsia="zh-CN"/>
                <w14:textFill>
                  <w14:solidFill>
                    <w14:schemeClr w14:val="tx1"/>
                  </w14:solidFill>
                </w14:textFill>
              </w:rPr>
            </w:pPr>
          </w:p>
        </w:tc>
        <w:tc>
          <w:tcPr>
            <w:tcW w:w="822" w:type="pct"/>
            <w:shd w:val="clear" w:color="auto" w:fill="auto"/>
            <w:vAlign w:val="center"/>
          </w:tcPr>
          <w:p w14:paraId="0E9F8BAE">
            <w:pPr>
              <w:pStyle w:val="55"/>
              <w:bidi w:val="0"/>
              <w:rPr>
                <w:color w:val="000000" w:themeColor="text1"/>
                <w14:textFill>
                  <w14:solidFill>
                    <w14:schemeClr w14:val="tx1"/>
                  </w14:solidFill>
                </w14:textFill>
              </w:rPr>
            </w:pPr>
            <w:r>
              <w:rPr>
                <w:rFonts w:hint="default"/>
                <w:color w:val="000000" w:themeColor="text1"/>
                <w:lang w:val="en-US" w:eastAsia="zh-CN"/>
                <w14:textFill>
                  <w14:solidFill>
                    <w14:schemeClr w14:val="tx1"/>
                  </w14:solidFill>
                </w14:textFill>
              </w:rPr>
              <w:t>非甲烷总烃</w:t>
            </w:r>
          </w:p>
        </w:tc>
        <w:tc>
          <w:tcPr>
            <w:tcW w:w="473" w:type="pct"/>
            <w:shd w:val="clear" w:color="auto" w:fill="auto"/>
            <w:vAlign w:val="center"/>
          </w:tcPr>
          <w:p w14:paraId="3FDEA267">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0.0093</w:t>
            </w:r>
          </w:p>
        </w:tc>
        <w:tc>
          <w:tcPr>
            <w:tcW w:w="497" w:type="pct"/>
            <w:shd w:val="clear" w:color="auto" w:fill="auto"/>
            <w:vAlign w:val="center"/>
          </w:tcPr>
          <w:p w14:paraId="317A6708">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0.0147</w:t>
            </w:r>
          </w:p>
        </w:tc>
        <w:tc>
          <w:tcPr>
            <w:tcW w:w="473" w:type="pct"/>
            <w:shd w:val="clear" w:color="auto" w:fill="auto"/>
            <w:vAlign w:val="center"/>
          </w:tcPr>
          <w:p w14:paraId="407B58C6">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0.0140</w:t>
            </w:r>
          </w:p>
        </w:tc>
        <w:tc>
          <w:tcPr>
            <w:tcW w:w="474" w:type="pct"/>
            <w:shd w:val="clear" w:color="auto" w:fill="auto"/>
            <w:vAlign w:val="center"/>
          </w:tcPr>
          <w:p w14:paraId="1B4593C9">
            <w:pPr>
              <w:pStyle w:val="55"/>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0.0080</w:t>
            </w:r>
          </w:p>
        </w:tc>
        <w:tc>
          <w:tcPr>
            <w:tcW w:w="952" w:type="dxa"/>
            <w:shd w:val="clear" w:color="auto" w:fill="auto"/>
            <w:vAlign w:val="center"/>
          </w:tcPr>
          <w:p w14:paraId="186F3A08">
            <w:pPr>
              <w:pStyle w:val="55"/>
              <w:rPr>
                <w:rFonts w:hint="eastAsia"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0.0140</w:t>
            </w:r>
          </w:p>
        </w:tc>
        <w:tc>
          <w:tcPr>
            <w:tcW w:w="567" w:type="pct"/>
            <w:shd w:val="clear" w:color="auto" w:fill="auto"/>
            <w:vAlign w:val="center"/>
          </w:tcPr>
          <w:p w14:paraId="0ECF848B">
            <w:pPr>
              <w:pStyle w:val="55"/>
              <w:rPr>
                <w:color w:val="000000" w:themeColor="text1"/>
                <w14:textFill>
                  <w14:solidFill>
                    <w14:schemeClr w14:val="tx1"/>
                  </w14:solidFill>
                </w14:textFill>
              </w:rPr>
            </w:pPr>
            <w:r>
              <w:rPr>
                <w:rFonts w:hint="eastAsia" w:eastAsia="宋体"/>
                <w:color w:val="000000" w:themeColor="text1"/>
                <w:lang w:val="en-US" w:eastAsia="zh-CN"/>
                <w14:textFill>
                  <w14:solidFill>
                    <w14:schemeClr w14:val="tx1"/>
                  </w14:solidFill>
                </w14:textFill>
              </w:rPr>
              <w:t>2.0</w:t>
            </w:r>
          </w:p>
        </w:tc>
        <w:tc>
          <w:tcPr>
            <w:tcW w:w="383" w:type="pct"/>
            <w:vMerge w:val="continue"/>
            <w:shd w:val="clear" w:color="auto" w:fill="auto"/>
            <w:vAlign w:val="center"/>
          </w:tcPr>
          <w:p w14:paraId="6E605F2D">
            <w:pPr>
              <w:pStyle w:val="55"/>
              <w:rPr>
                <w:color w:val="000000" w:themeColor="text1"/>
                <w14:textFill>
                  <w14:solidFill>
                    <w14:schemeClr w14:val="tx1"/>
                  </w14:solidFill>
                </w14:textFill>
              </w:rPr>
            </w:pPr>
          </w:p>
        </w:tc>
      </w:tr>
      <w:tr w14:paraId="5881E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79" w:type="pct"/>
            <w:vMerge w:val="continue"/>
            <w:shd w:val="clear" w:color="auto" w:fill="auto"/>
            <w:vAlign w:val="center"/>
          </w:tcPr>
          <w:p w14:paraId="0F6CA430">
            <w:pPr>
              <w:pStyle w:val="55"/>
              <w:bidi w:val="0"/>
              <w:jc w:val="center"/>
              <w:rPr>
                <w:rFonts w:hint="eastAsia"/>
                <w:color w:val="000000" w:themeColor="text1"/>
                <w:lang w:val="en-US" w:eastAsia="zh-CN"/>
                <w14:textFill>
                  <w14:solidFill>
                    <w14:schemeClr w14:val="tx1"/>
                  </w14:solidFill>
                </w14:textFill>
              </w:rPr>
            </w:pPr>
          </w:p>
        </w:tc>
        <w:tc>
          <w:tcPr>
            <w:tcW w:w="822" w:type="pct"/>
            <w:shd w:val="clear" w:color="auto" w:fill="auto"/>
            <w:vAlign w:val="center"/>
          </w:tcPr>
          <w:p w14:paraId="52693100">
            <w:pPr>
              <w:pStyle w:val="55"/>
              <w:bidi w:val="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HCl</w:t>
            </w:r>
          </w:p>
        </w:tc>
        <w:tc>
          <w:tcPr>
            <w:tcW w:w="473" w:type="pct"/>
            <w:shd w:val="clear" w:color="auto" w:fill="auto"/>
            <w:vAlign w:val="center"/>
          </w:tcPr>
          <w:p w14:paraId="6CD5ECC5">
            <w:pPr>
              <w:pStyle w:val="55"/>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0.0000</w:t>
            </w:r>
          </w:p>
        </w:tc>
        <w:tc>
          <w:tcPr>
            <w:tcW w:w="497" w:type="pct"/>
            <w:shd w:val="clear" w:color="auto" w:fill="auto"/>
            <w:vAlign w:val="center"/>
          </w:tcPr>
          <w:p w14:paraId="157BE3F5">
            <w:pPr>
              <w:pStyle w:val="55"/>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0.0000</w:t>
            </w:r>
          </w:p>
        </w:tc>
        <w:tc>
          <w:tcPr>
            <w:tcW w:w="473" w:type="pct"/>
            <w:shd w:val="clear" w:color="auto" w:fill="auto"/>
            <w:vAlign w:val="center"/>
          </w:tcPr>
          <w:p w14:paraId="39F9C539">
            <w:pPr>
              <w:pStyle w:val="55"/>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0.0000</w:t>
            </w:r>
          </w:p>
        </w:tc>
        <w:tc>
          <w:tcPr>
            <w:tcW w:w="474" w:type="pct"/>
            <w:shd w:val="clear" w:color="auto" w:fill="auto"/>
            <w:vAlign w:val="center"/>
          </w:tcPr>
          <w:p w14:paraId="747726FE">
            <w:pPr>
              <w:pStyle w:val="55"/>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0.0000</w:t>
            </w:r>
          </w:p>
        </w:tc>
        <w:tc>
          <w:tcPr>
            <w:tcW w:w="952" w:type="dxa"/>
            <w:shd w:val="clear" w:color="auto" w:fill="auto"/>
            <w:vAlign w:val="center"/>
          </w:tcPr>
          <w:p w14:paraId="674DE00C">
            <w:pPr>
              <w:pStyle w:val="55"/>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0.0000</w:t>
            </w:r>
          </w:p>
        </w:tc>
        <w:tc>
          <w:tcPr>
            <w:tcW w:w="567" w:type="pct"/>
            <w:shd w:val="clear" w:color="auto" w:fill="auto"/>
            <w:vAlign w:val="center"/>
          </w:tcPr>
          <w:p w14:paraId="1278D49B">
            <w:pPr>
              <w:pStyle w:val="55"/>
              <w:rPr>
                <w:rFonts w:hint="eastAsia"/>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0.06</w:t>
            </w:r>
          </w:p>
        </w:tc>
        <w:tc>
          <w:tcPr>
            <w:tcW w:w="383" w:type="pct"/>
            <w:vMerge w:val="continue"/>
            <w:shd w:val="clear" w:color="auto" w:fill="auto"/>
            <w:vAlign w:val="center"/>
          </w:tcPr>
          <w:p w14:paraId="6F58A160">
            <w:pPr>
              <w:pStyle w:val="55"/>
              <w:rPr>
                <w:color w:val="000000" w:themeColor="text1"/>
                <w14:textFill>
                  <w14:solidFill>
                    <w14:schemeClr w14:val="tx1"/>
                  </w14:solidFill>
                </w14:textFill>
              </w:rPr>
            </w:pPr>
          </w:p>
        </w:tc>
      </w:tr>
    </w:tbl>
    <w:p w14:paraId="60A849EC">
      <w:pPr>
        <w:pStyle w:val="47"/>
        <w:bidi w:val="0"/>
        <w:rPr>
          <w:rFonts w:hint="default"/>
          <w:lang w:val="en-US" w:eastAsia="zh-CN"/>
        </w:rPr>
      </w:pPr>
      <w:r>
        <w:rPr>
          <w:rFonts w:hint="eastAsia"/>
          <w:lang w:val="en-US" w:eastAsia="zh-CN"/>
        </w:rPr>
        <w:t>（3）非正常工况</w:t>
      </w:r>
    </w:p>
    <w:p w14:paraId="739ADDFF">
      <w:pPr>
        <w:pStyle w:val="47"/>
        <w:bidi w:val="0"/>
        <w:rPr>
          <w:rFonts w:hint="eastAsia"/>
          <w:lang w:val="en-US" w:eastAsia="zh-CN"/>
        </w:rPr>
      </w:pPr>
      <w:r>
        <w:rPr>
          <w:rFonts w:hint="eastAsia"/>
          <w:lang w:val="en-US" w:eastAsia="zh-CN"/>
        </w:rPr>
        <w:t>项目非正常工况主要考虑废气处理装置失效时的情况。非正常工况下，项目排放的废气源强见下表。</w:t>
      </w:r>
    </w:p>
    <w:p w14:paraId="2EBF09CC">
      <w:pPr>
        <w:pStyle w:val="94"/>
        <w:bidi w:val="0"/>
        <w:ind w:left="0" w:leftChars="0" w:firstLine="0" w:firstLineChars="0"/>
        <w:rPr>
          <w:rFonts w:hint="eastAsia"/>
          <w:lang w:eastAsia="zh-CN"/>
        </w:rPr>
      </w:pPr>
      <w:r>
        <w:rPr>
          <w:lang w:eastAsia="zh-CN"/>
        </w:rPr>
        <w:t>非正常情况下</w:t>
      </w:r>
      <w:r>
        <w:rPr>
          <w:rFonts w:hint="eastAsia"/>
          <w:lang w:eastAsia="zh-CN"/>
        </w:rPr>
        <w:t>点源参数表</w:t>
      </w:r>
    </w:p>
    <w:tbl>
      <w:tblPr>
        <w:tblStyle w:val="32"/>
        <w:tblW w:w="50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87"/>
        <w:gridCol w:w="1240"/>
        <w:gridCol w:w="1389"/>
        <w:gridCol w:w="1489"/>
        <w:gridCol w:w="1520"/>
        <w:gridCol w:w="749"/>
        <w:gridCol w:w="751"/>
        <w:gridCol w:w="993"/>
      </w:tblGrid>
      <w:tr w14:paraId="5CAB8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590" w:type="pct"/>
            <w:vMerge w:val="restart"/>
            <w:tcBorders>
              <w:tl2br w:val="nil"/>
              <w:tr2bl w:val="nil"/>
            </w:tcBorders>
            <w:noWrap w:val="0"/>
            <w:vAlign w:val="center"/>
          </w:tcPr>
          <w:p w14:paraId="66485205">
            <w:pPr>
              <w:pStyle w:val="55"/>
              <w:bidi w:val="0"/>
              <w:rPr>
                <w:sz w:val="24"/>
                <w:szCs w:val="24"/>
              </w:rPr>
            </w:pPr>
            <w:r>
              <w:rPr>
                <w:sz w:val="24"/>
                <w:szCs w:val="24"/>
              </w:rPr>
              <w:t>污染源</w:t>
            </w:r>
          </w:p>
        </w:tc>
        <w:tc>
          <w:tcPr>
            <w:tcW w:w="672" w:type="pct"/>
            <w:vMerge w:val="restart"/>
            <w:tcBorders>
              <w:tl2br w:val="nil"/>
              <w:tr2bl w:val="nil"/>
            </w:tcBorders>
            <w:noWrap w:val="0"/>
            <w:vAlign w:val="center"/>
          </w:tcPr>
          <w:p w14:paraId="2908DF7A">
            <w:pPr>
              <w:pStyle w:val="55"/>
              <w:bidi w:val="0"/>
              <w:rPr>
                <w:sz w:val="24"/>
                <w:szCs w:val="24"/>
              </w:rPr>
            </w:pPr>
            <w:r>
              <w:rPr>
                <w:sz w:val="24"/>
                <w:szCs w:val="24"/>
              </w:rPr>
              <w:t>污染物</w:t>
            </w:r>
          </w:p>
        </w:tc>
        <w:tc>
          <w:tcPr>
            <w:tcW w:w="753" w:type="pct"/>
            <w:vMerge w:val="restart"/>
            <w:tcBorders>
              <w:tl2br w:val="nil"/>
              <w:tr2bl w:val="nil"/>
            </w:tcBorders>
            <w:noWrap w:val="0"/>
            <w:vAlign w:val="center"/>
          </w:tcPr>
          <w:p w14:paraId="2DA9171A">
            <w:pPr>
              <w:pStyle w:val="55"/>
              <w:bidi w:val="0"/>
              <w:rPr>
                <w:sz w:val="24"/>
                <w:szCs w:val="24"/>
              </w:rPr>
            </w:pPr>
            <w:r>
              <w:rPr>
                <w:sz w:val="24"/>
                <w:szCs w:val="24"/>
              </w:rPr>
              <w:t>废气量</w:t>
            </w:r>
            <w:r>
              <w:rPr>
                <w:rFonts w:hint="eastAsia"/>
                <w:sz w:val="24"/>
                <w:szCs w:val="24"/>
                <w:lang w:val="en-US" w:eastAsia="zh-CN"/>
              </w:rPr>
              <w:t>m³</w:t>
            </w:r>
            <w:r>
              <w:rPr>
                <w:sz w:val="24"/>
                <w:szCs w:val="24"/>
              </w:rPr>
              <w:t>/h</w:t>
            </w:r>
          </w:p>
        </w:tc>
        <w:tc>
          <w:tcPr>
            <w:tcW w:w="807" w:type="pct"/>
            <w:vMerge w:val="restart"/>
            <w:tcBorders>
              <w:tl2br w:val="nil"/>
              <w:tr2bl w:val="nil"/>
            </w:tcBorders>
            <w:noWrap w:val="0"/>
            <w:vAlign w:val="center"/>
          </w:tcPr>
          <w:p w14:paraId="41204E71">
            <w:pPr>
              <w:pStyle w:val="55"/>
              <w:bidi w:val="0"/>
              <w:rPr>
                <w:sz w:val="24"/>
                <w:szCs w:val="24"/>
              </w:rPr>
            </w:pPr>
            <w:r>
              <w:rPr>
                <w:sz w:val="24"/>
                <w:szCs w:val="24"/>
              </w:rPr>
              <w:t>排放速率kg/h</w:t>
            </w:r>
          </w:p>
        </w:tc>
        <w:tc>
          <w:tcPr>
            <w:tcW w:w="824" w:type="pct"/>
            <w:vMerge w:val="restart"/>
            <w:tcBorders>
              <w:tl2br w:val="nil"/>
              <w:tr2bl w:val="nil"/>
            </w:tcBorders>
            <w:noWrap w:val="0"/>
            <w:vAlign w:val="center"/>
          </w:tcPr>
          <w:p w14:paraId="44216EEB">
            <w:pPr>
              <w:pStyle w:val="55"/>
              <w:bidi w:val="0"/>
              <w:rPr>
                <w:sz w:val="24"/>
                <w:szCs w:val="24"/>
              </w:rPr>
            </w:pPr>
            <w:r>
              <w:rPr>
                <w:sz w:val="24"/>
                <w:szCs w:val="24"/>
              </w:rPr>
              <w:t>排气温度（℃）</w:t>
            </w:r>
          </w:p>
        </w:tc>
        <w:tc>
          <w:tcPr>
            <w:tcW w:w="813" w:type="pct"/>
            <w:gridSpan w:val="2"/>
            <w:tcBorders>
              <w:tl2br w:val="nil"/>
              <w:tr2bl w:val="nil"/>
            </w:tcBorders>
            <w:noWrap w:val="0"/>
            <w:vAlign w:val="center"/>
          </w:tcPr>
          <w:p w14:paraId="691963D1">
            <w:pPr>
              <w:pStyle w:val="55"/>
              <w:bidi w:val="0"/>
              <w:rPr>
                <w:sz w:val="24"/>
                <w:szCs w:val="24"/>
              </w:rPr>
            </w:pPr>
            <w:r>
              <w:rPr>
                <w:sz w:val="24"/>
                <w:szCs w:val="24"/>
              </w:rPr>
              <w:t>排气筒（m）</w:t>
            </w:r>
          </w:p>
        </w:tc>
        <w:tc>
          <w:tcPr>
            <w:tcW w:w="538" w:type="pct"/>
            <w:vMerge w:val="restart"/>
            <w:tcBorders>
              <w:tl2br w:val="nil"/>
              <w:tr2bl w:val="nil"/>
            </w:tcBorders>
            <w:noWrap w:val="0"/>
            <w:vAlign w:val="center"/>
          </w:tcPr>
          <w:p w14:paraId="6A70B415">
            <w:pPr>
              <w:pStyle w:val="55"/>
              <w:bidi w:val="0"/>
              <w:rPr>
                <w:sz w:val="24"/>
                <w:szCs w:val="24"/>
              </w:rPr>
            </w:pPr>
            <w:r>
              <w:rPr>
                <w:sz w:val="24"/>
                <w:szCs w:val="24"/>
              </w:rPr>
              <w:t>污染源性质</w:t>
            </w:r>
          </w:p>
        </w:tc>
      </w:tr>
      <w:tr w14:paraId="50441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590" w:type="pct"/>
            <w:vMerge w:val="continue"/>
            <w:tcBorders>
              <w:tl2br w:val="nil"/>
              <w:tr2bl w:val="nil"/>
            </w:tcBorders>
            <w:noWrap w:val="0"/>
            <w:vAlign w:val="center"/>
          </w:tcPr>
          <w:p w14:paraId="0FF57329">
            <w:pPr>
              <w:pStyle w:val="55"/>
              <w:bidi w:val="0"/>
              <w:rPr>
                <w:sz w:val="24"/>
                <w:szCs w:val="24"/>
              </w:rPr>
            </w:pPr>
          </w:p>
        </w:tc>
        <w:tc>
          <w:tcPr>
            <w:tcW w:w="672" w:type="pct"/>
            <w:vMerge w:val="continue"/>
            <w:tcBorders>
              <w:tl2br w:val="nil"/>
              <w:tr2bl w:val="nil"/>
            </w:tcBorders>
            <w:noWrap w:val="0"/>
            <w:vAlign w:val="center"/>
          </w:tcPr>
          <w:p w14:paraId="45C69F6E">
            <w:pPr>
              <w:pStyle w:val="55"/>
              <w:bidi w:val="0"/>
              <w:rPr>
                <w:sz w:val="24"/>
                <w:szCs w:val="24"/>
              </w:rPr>
            </w:pPr>
          </w:p>
        </w:tc>
        <w:tc>
          <w:tcPr>
            <w:tcW w:w="753" w:type="pct"/>
            <w:vMerge w:val="continue"/>
            <w:tcBorders>
              <w:tl2br w:val="nil"/>
              <w:tr2bl w:val="nil"/>
            </w:tcBorders>
            <w:noWrap w:val="0"/>
            <w:vAlign w:val="center"/>
          </w:tcPr>
          <w:p w14:paraId="6733B08B">
            <w:pPr>
              <w:pStyle w:val="55"/>
              <w:bidi w:val="0"/>
              <w:rPr>
                <w:sz w:val="24"/>
                <w:szCs w:val="24"/>
              </w:rPr>
            </w:pPr>
          </w:p>
        </w:tc>
        <w:tc>
          <w:tcPr>
            <w:tcW w:w="807" w:type="pct"/>
            <w:vMerge w:val="continue"/>
            <w:tcBorders>
              <w:tl2br w:val="nil"/>
              <w:tr2bl w:val="nil"/>
            </w:tcBorders>
            <w:noWrap w:val="0"/>
            <w:vAlign w:val="center"/>
          </w:tcPr>
          <w:p w14:paraId="63CDE3B8">
            <w:pPr>
              <w:pStyle w:val="55"/>
              <w:bidi w:val="0"/>
              <w:rPr>
                <w:sz w:val="24"/>
                <w:szCs w:val="24"/>
              </w:rPr>
            </w:pPr>
          </w:p>
        </w:tc>
        <w:tc>
          <w:tcPr>
            <w:tcW w:w="824" w:type="pct"/>
            <w:vMerge w:val="continue"/>
            <w:tcBorders>
              <w:tl2br w:val="nil"/>
              <w:tr2bl w:val="nil"/>
            </w:tcBorders>
            <w:noWrap w:val="0"/>
            <w:vAlign w:val="center"/>
          </w:tcPr>
          <w:p w14:paraId="5A4E390C">
            <w:pPr>
              <w:pStyle w:val="55"/>
              <w:bidi w:val="0"/>
              <w:rPr>
                <w:sz w:val="24"/>
                <w:szCs w:val="24"/>
              </w:rPr>
            </w:pPr>
          </w:p>
        </w:tc>
        <w:tc>
          <w:tcPr>
            <w:tcW w:w="406" w:type="pct"/>
            <w:tcBorders>
              <w:tl2br w:val="nil"/>
              <w:tr2bl w:val="nil"/>
            </w:tcBorders>
            <w:noWrap w:val="0"/>
            <w:vAlign w:val="center"/>
          </w:tcPr>
          <w:p w14:paraId="4905426C">
            <w:pPr>
              <w:pStyle w:val="55"/>
              <w:bidi w:val="0"/>
              <w:rPr>
                <w:sz w:val="24"/>
                <w:szCs w:val="24"/>
              </w:rPr>
            </w:pPr>
            <w:r>
              <w:rPr>
                <w:sz w:val="24"/>
                <w:szCs w:val="24"/>
              </w:rPr>
              <w:t>高度</w:t>
            </w:r>
          </w:p>
        </w:tc>
        <w:tc>
          <w:tcPr>
            <w:tcW w:w="407" w:type="pct"/>
            <w:tcBorders>
              <w:tl2br w:val="nil"/>
              <w:tr2bl w:val="nil"/>
            </w:tcBorders>
            <w:noWrap w:val="0"/>
            <w:vAlign w:val="center"/>
          </w:tcPr>
          <w:p w14:paraId="525EF855">
            <w:pPr>
              <w:pStyle w:val="55"/>
              <w:bidi w:val="0"/>
              <w:rPr>
                <w:sz w:val="24"/>
                <w:szCs w:val="24"/>
              </w:rPr>
            </w:pPr>
            <w:r>
              <w:rPr>
                <w:sz w:val="24"/>
                <w:szCs w:val="24"/>
              </w:rPr>
              <w:t>内径</w:t>
            </w:r>
          </w:p>
        </w:tc>
        <w:tc>
          <w:tcPr>
            <w:tcW w:w="538" w:type="pct"/>
            <w:vMerge w:val="continue"/>
            <w:tcBorders>
              <w:tl2br w:val="nil"/>
              <w:tr2bl w:val="nil"/>
            </w:tcBorders>
            <w:noWrap w:val="0"/>
            <w:vAlign w:val="center"/>
          </w:tcPr>
          <w:p w14:paraId="47D30D9F">
            <w:pPr>
              <w:pStyle w:val="55"/>
              <w:bidi w:val="0"/>
              <w:rPr>
                <w:sz w:val="24"/>
                <w:szCs w:val="24"/>
              </w:rPr>
            </w:pPr>
          </w:p>
        </w:tc>
      </w:tr>
      <w:tr w14:paraId="309D7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590" w:type="pct"/>
            <w:vMerge w:val="restart"/>
            <w:tcBorders>
              <w:tl2br w:val="nil"/>
              <w:tr2bl w:val="nil"/>
            </w:tcBorders>
            <w:noWrap w:val="0"/>
            <w:vAlign w:val="center"/>
          </w:tcPr>
          <w:p w14:paraId="670DB01F">
            <w:pPr>
              <w:pStyle w:val="55"/>
              <w:bidi w:val="0"/>
              <w:rPr>
                <w:sz w:val="24"/>
                <w:szCs w:val="24"/>
              </w:rPr>
            </w:pPr>
            <w:r>
              <w:rPr>
                <w:rFonts w:hint="default"/>
                <w:sz w:val="24"/>
                <w:szCs w:val="24"/>
                <w:lang w:val="en-US" w:eastAsia="zh-CN"/>
              </w:rPr>
              <w:t>DA001</w:t>
            </w:r>
          </w:p>
        </w:tc>
        <w:tc>
          <w:tcPr>
            <w:tcW w:w="672" w:type="pct"/>
            <w:tcBorders>
              <w:bottom w:val="single" w:color="000000" w:sz="4" w:space="0"/>
              <w:tl2br w:val="nil"/>
              <w:tr2bl w:val="nil"/>
            </w:tcBorders>
            <w:noWrap w:val="0"/>
            <w:vAlign w:val="center"/>
          </w:tcPr>
          <w:p w14:paraId="2B2B181E">
            <w:pPr>
              <w:pStyle w:val="55"/>
              <w:bidi w:val="0"/>
              <w:rPr>
                <w:rFonts w:hint="eastAsia" w:eastAsia="楷体"/>
                <w:sz w:val="24"/>
                <w:szCs w:val="24"/>
                <w:lang w:eastAsia="zh-CN"/>
              </w:rPr>
            </w:pPr>
            <w:r>
              <w:rPr>
                <w:rFonts w:hint="eastAsia"/>
                <w:sz w:val="24"/>
                <w:szCs w:val="24"/>
                <w:lang w:val="en-US" w:eastAsia="zh-CN"/>
              </w:rPr>
              <w:t>颗粒物</w:t>
            </w:r>
          </w:p>
        </w:tc>
        <w:tc>
          <w:tcPr>
            <w:tcW w:w="753" w:type="pct"/>
            <w:vMerge w:val="restart"/>
            <w:tcBorders>
              <w:tl2br w:val="nil"/>
              <w:tr2bl w:val="nil"/>
            </w:tcBorders>
            <w:noWrap w:val="0"/>
            <w:vAlign w:val="center"/>
          </w:tcPr>
          <w:p w14:paraId="325498AE">
            <w:pPr>
              <w:pStyle w:val="55"/>
              <w:bidi w:val="0"/>
              <w:rPr>
                <w:rFonts w:hint="default"/>
                <w:sz w:val="24"/>
                <w:szCs w:val="24"/>
                <w:lang w:val="en-US"/>
              </w:rPr>
            </w:pPr>
            <w:r>
              <w:rPr>
                <w:rFonts w:hint="eastAsia"/>
                <w:sz w:val="24"/>
                <w:szCs w:val="24"/>
                <w:lang w:val="en-US" w:eastAsia="zh-CN"/>
              </w:rPr>
              <w:t>30000</w:t>
            </w:r>
          </w:p>
        </w:tc>
        <w:tc>
          <w:tcPr>
            <w:tcW w:w="1489" w:type="dxa"/>
            <w:tcBorders>
              <w:bottom w:val="single" w:color="000000" w:sz="4" w:space="0"/>
              <w:tl2br w:val="nil"/>
              <w:tr2bl w:val="nil"/>
            </w:tcBorders>
            <w:noWrap w:val="0"/>
            <w:vAlign w:val="center"/>
          </w:tcPr>
          <w:p w14:paraId="78040AD0">
            <w:pPr>
              <w:pStyle w:val="55"/>
              <w:bidi w:val="0"/>
              <w:rPr>
                <w:rFonts w:hint="default"/>
                <w:sz w:val="24"/>
                <w:szCs w:val="24"/>
                <w:lang w:val="en-US" w:eastAsia="zh-CN"/>
              </w:rPr>
            </w:pPr>
            <w:r>
              <w:rPr>
                <w:rFonts w:hint="eastAsia"/>
                <w:sz w:val="24"/>
                <w:szCs w:val="24"/>
                <w:lang w:val="en-US" w:eastAsia="zh-CN"/>
              </w:rPr>
              <w:t>6.347</w:t>
            </w:r>
          </w:p>
        </w:tc>
        <w:tc>
          <w:tcPr>
            <w:tcW w:w="824" w:type="pct"/>
            <w:vMerge w:val="restart"/>
            <w:tcBorders>
              <w:tl2br w:val="nil"/>
              <w:tr2bl w:val="nil"/>
            </w:tcBorders>
            <w:noWrap w:val="0"/>
            <w:vAlign w:val="center"/>
          </w:tcPr>
          <w:p w14:paraId="21C9C8A7">
            <w:pPr>
              <w:pStyle w:val="55"/>
              <w:bidi w:val="0"/>
              <w:rPr>
                <w:rFonts w:hint="default" w:eastAsia="楷体"/>
                <w:sz w:val="24"/>
                <w:szCs w:val="24"/>
                <w:lang w:val="en-US" w:eastAsia="zh-CN"/>
              </w:rPr>
            </w:pPr>
            <w:r>
              <w:rPr>
                <w:rFonts w:hint="eastAsia"/>
                <w:sz w:val="24"/>
                <w:szCs w:val="24"/>
                <w:lang w:val="en-US" w:eastAsia="zh-CN"/>
              </w:rPr>
              <w:t>30</w:t>
            </w:r>
          </w:p>
        </w:tc>
        <w:tc>
          <w:tcPr>
            <w:tcW w:w="406" w:type="pct"/>
            <w:vMerge w:val="restart"/>
            <w:tcBorders>
              <w:tl2br w:val="nil"/>
              <w:tr2bl w:val="nil"/>
            </w:tcBorders>
            <w:noWrap w:val="0"/>
            <w:vAlign w:val="center"/>
          </w:tcPr>
          <w:p w14:paraId="13961C5E">
            <w:pPr>
              <w:pStyle w:val="55"/>
              <w:bidi w:val="0"/>
              <w:rPr>
                <w:sz w:val="24"/>
                <w:szCs w:val="24"/>
              </w:rPr>
            </w:pPr>
            <w:r>
              <w:rPr>
                <w:sz w:val="24"/>
                <w:szCs w:val="24"/>
              </w:rPr>
              <w:t>15</w:t>
            </w:r>
          </w:p>
        </w:tc>
        <w:tc>
          <w:tcPr>
            <w:tcW w:w="407" w:type="pct"/>
            <w:vMerge w:val="restart"/>
            <w:tcBorders>
              <w:tl2br w:val="nil"/>
              <w:tr2bl w:val="nil"/>
            </w:tcBorders>
            <w:noWrap w:val="0"/>
            <w:vAlign w:val="center"/>
          </w:tcPr>
          <w:p w14:paraId="128539A6">
            <w:pPr>
              <w:pStyle w:val="55"/>
              <w:bidi w:val="0"/>
              <w:rPr>
                <w:rFonts w:hint="default" w:eastAsia="楷体"/>
                <w:sz w:val="24"/>
                <w:szCs w:val="24"/>
                <w:lang w:val="en-US" w:eastAsia="zh-CN"/>
              </w:rPr>
            </w:pPr>
            <w:r>
              <w:rPr>
                <w:rFonts w:hint="eastAsia"/>
                <w:sz w:val="24"/>
                <w:szCs w:val="24"/>
                <w:lang w:val="en-US" w:eastAsia="zh-CN"/>
              </w:rPr>
              <w:t>0.8</w:t>
            </w:r>
          </w:p>
        </w:tc>
        <w:tc>
          <w:tcPr>
            <w:tcW w:w="538" w:type="pct"/>
            <w:vMerge w:val="restart"/>
            <w:tcBorders>
              <w:tl2br w:val="nil"/>
              <w:tr2bl w:val="nil"/>
            </w:tcBorders>
            <w:noWrap w:val="0"/>
            <w:vAlign w:val="center"/>
          </w:tcPr>
          <w:p w14:paraId="093A645A">
            <w:pPr>
              <w:pStyle w:val="55"/>
              <w:bidi w:val="0"/>
              <w:rPr>
                <w:sz w:val="24"/>
                <w:szCs w:val="24"/>
              </w:rPr>
            </w:pPr>
            <w:r>
              <w:rPr>
                <w:sz w:val="24"/>
                <w:szCs w:val="24"/>
              </w:rPr>
              <w:t>点源</w:t>
            </w:r>
          </w:p>
        </w:tc>
      </w:tr>
      <w:tr w14:paraId="21174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590" w:type="pct"/>
            <w:vMerge w:val="continue"/>
            <w:tcBorders>
              <w:tl2br w:val="nil"/>
              <w:tr2bl w:val="nil"/>
            </w:tcBorders>
            <w:noWrap w:val="0"/>
            <w:vAlign w:val="center"/>
          </w:tcPr>
          <w:p w14:paraId="5581F2DF">
            <w:pPr>
              <w:pStyle w:val="55"/>
              <w:bidi w:val="0"/>
              <w:rPr>
                <w:rFonts w:hint="default"/>
                <w:sz w:val="24"/>
                <w:szCs w:val="24"/>
                <w:lang w:val="en-US" w:eastAsia="zh-CN"/>
              </w:rPr>
            </w:pPr>
          </w:p>
        </w:tc>
        <w:tc>
          <w:tcPr>
            <w:tcW w:w="672" w:type="pct"/>
            <w:tcBorders>
              <w:top w:val="single" w:color="000000" w:sz="4" w:space="0"/>
              <w:bottom w:val="single" w:color="000000" w:sz="4" w:space="0"/>
              <w:tl2br w:val="nil"/>
              <w:tr2bl w:val="nil"/>
            </w:tcBorders>
            <w:noWrap w:val="0"/>
            <w:vAlign w:val="center"/>
          </w:tcPr>
          <w:p w14:paraId="620436B0">
            <w:pPr>
              <w:pStyle w:val="55"/>
              <w:bidi w:val="0"/>
              <w:rPr>
                <w:rFonts w:hint="default" w:eastAsia="楷体"/>
                <w:sz w:val="24"/>
                <w:szCs w:val="24"/>
                <w:lang w:val="en-US" w:eastAsia="zh-CN"/>
              </w:rPr>
            </w:pPr>
            <w:r>
              <w:rPr>
                <w:rFonts w:hint="eastAsia"/>
                <w:sz w:val="24"/>
                <w:szCs w:val="24"/>
                <w:lang w:val="en-US" w:eastAsia="zh-CN"/>
              </w:rPr>
              <w:t>非甲烷总烃</w:t>
            </w:r>
          </w:p>
        </w:tc>
        <w:tc>
          <w:tcPr>
            <w:tcW w:w="753" w:type="pct"/>
            <w:vMerge w:val="continue"/>
            <w:tcBorders>
              <w:tl2br w:val="nil"/>
              <w:tr2bl w:val="nil"/>
            </w:tcBorders>
            <w:noWrap w:val="0"/>
            <w:vAlign w:val="center"/>
          </w:tcPr>
          <w:p w14:paraId="60929272">
            <w:pPr>
              <w:pStyle w:val="55"/>
              <w:bidi w:val="0"/>
              <w:rPr>
                <w:rFonts w:hint="eastAsia"/>
                <w:sz w:val="24"/>
                <w:szCs w:val="24"/>
                <w:lang w:val="en-US" w:eastAsia="zh-CN"/>
              </w:rPr>
            </w:pPr>
          </w:p>
        </w:tc>
        <w:tc>
          <w:tcPr>
            <w:tcW w:w="1489" w:type="dxa"/>
            <w:tcBorders>
              <w:top w:val="single" w:color="000000" w:sz="4" w:space="0"/>
              <w:bottom w:val="single" w:color="000000" w:sz="4" w:space="0"/>
              <w:tl2br w:val="nil"/>
              <w:tr2bl w:val="nil"/>
            </w:tcBorders>
            <w:noWrap w:val="0"/>
            <w:vAlign w:val="center"/>
          </w:tcPr>
          <w:p w14:paraId="051205FC">
            <w:pPr>
              <w:pStyle w:val="55"/>
              <w:bidi w:val="0"/>
              <w:rPr>
                <w:rFonts w:hint="default"/>
                <w:sz w:val="24"/>
                <w:szCs w:val="24"/>
                <w:lang w:val="en-US" w:eastAsia="zh-CN"/>
              </w:rPr>
            </w:pPr>
            <w:r>
              <w:rPr>
                <w:rFonts w:hint="eastAsia"/>
                <w:sz w:val="24"/>
                <w:szCs w:val="24"/>
                <w:lang w:val="en-US" w:eastAsia="zh-CN"/>
              </w:rPr>
              <w:t>6.389</w:t>
            </w:r>
          </w:p>
        </w:tc>
        <w:tc>
          <w:tcPr>
            <w:tcW w:w="824" w:type="pct"/>
            <w:vMerge w:val="continue"/>
            <w:tcBorders>
              <w:tl2br w:val="nil"/>
              <w:tr2bl w:val="nil"/>
            </w:tcBorders>
            <w:noWrap w:val="0"/>
            <w:vAlign w:val="center"/>
          </w:tcPr>
          <w:p w14:paraId="2FF5F45B">
            <w:pPr>
              <w:pStyle w:val="55"/>
              <w:bidi w:val="0"/>
              <w:rPr>
                <w:rFonts w:hint="eastAsia"/>
                <w:sz w:val="24"/>
                <w:szCs w:val="24"/>
              </w:rPr>
            </w:pPr>
          </w:p>
        </w:tc>
        <w:tc>
          <w:tcPr>
            <w:tcW w:w="406" w:type="pct"/>
            <w:vMerge w:val="continue"/>
            <w:tcBorders>
              <w:tl2br w:val="nil"/>
              <w:tr2bl w:val="nil"/>
            </w:tcBorders>
            <w:noWrap w:val="0"/>
            <w:vAlign w:val="center"/>
          </w:tcPr>
          <w:p w14:paraId="73323725">
            <w:pPr>
              <w:pStyle w:val="55"/>
              <w:bidi w:val="0"/>
              <w:rPr>
                <w:sz w:val="24"/>
                <w:szCs w:val="24"/>
              </w:rPr>
            </w:pPr>
          </w:p>
        </w:tc>
        <w:tc>
          <w:tcPr>
            <w:tcW w:w="407" w:type="pct"/>
            <w:vMerge w:val="continue"/>
            <w:tcBorders>
              <w:tl2br w:val="nil"/>
              <w:tr2bl w:val="nil"/>
            </w:tcBorders>
            <w:noWrap w:val="0"/>
            <w:vAlign w:val="center"/>
          </w:tcPr>
          <w:p w14:paraId="28698C81">
            <w:pPr>
              <w:pStyle w:val="55"/>
              <w:bidi w:val="0"/>
              <w:rPr>
                <w:sz w:val="24"/>
                <w:szCs w:val="24"/>
              </w:rPr>
            </w:pPr>
          </w:p>
        </w:tc>
        <w:tc>
          <w:tcPr>
            <w:tcW w:w="538" w:type="pct"/>
            <w:vMerge w:val="continue"/>
            <w:tcBorders>
              <w:tl2br w:val="nil"/>
              <w:tr2bl w:val="nil"/>
            </w:tcBorders>
            <w:noWrap w:val="0"/>
            <w:vAlign w:val="center"/>
          </w:tcPr>
          <w:p w14:paraId="585D3E16">
            <w:pPr>
              <w:pStyle w:val="55"/>
              <w:bidi w:val="0"/>
              <w:rPr>
                <w:sz w:val="24"/>
                <w:szCs w:val="24"/>
              </w:rPr>
            </w:pPr>
          </w:p>
        </w:tc>
      </w:tr>
      <w:tr w14:paraId="2C795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590" w:type="pct"/>
            <w:vMerge w:val="continue"/>
            <w:tcBorders>
              <w:tl2br w:val="nil"/>
              <w:tr2bl w:val="nil"/>
            </w:tcBorders>
            <w:noWrap w:val="0"/>
            <w:vAlign w:val="center"/>
          </w:tcPr>
          <w:p w14:paraId="5559EE18">
            <w:pPr>
              <w:pStyle w:val="55"/>
              <w:bidi w:val="0"/>
              <w:rPr>
                <w:rFonts w:hint="default"/>
                <w:sz w:val="24"/>
                <w:szCs w:val="24"/>
                <w:lang w:val="en-US" w:eastAsia="zh-CN"/>
              </w:rPr>
            </w:pPr>
          </w:p>
        </w:tc>
        <w:tc>
          <w:tcPr>
            <w:tcW w:w="672" w:type="pct"/>
            <w:tcBorders>
              <w:top w:val="single" w:color="000000" w:sz="4" w:space="0"/>
              <w:tl2br w:val="nil"/>
              <w:tr2bl w:val="nil"/>
            </w:tcBorders>
            <w:noWrap w:val="0"/>
            <w:vAlign w:val="center"/>
          </w:tcPr>
          <w:p w14:paraId="04807A07">
            <w:pPr>
              <w:pStyle w:val="55"/>
              <w:bidi w:val="0"/>
              <w:rPr>
                <w:rFonts w:hint="eastAsia" w:eastAsia="楷体"/>
                <w:sz w:val="24"/>
                <w:szCs w:val="24"/>
                <w:lang w:val="en-US" w:eastAsia="zh-CN"/>
              </w:rPr>
            </w:pPr>
            <w:r>
              <w:rPr>
                <w:rFonts w:hint="eastAsia"/>
                <w:sz w:val="24"/>
                <w:szCs w:val="24"/>
                <w:lang w:val="en-US" w:eastAsia="zh-CN"/>
              </w:rPr>
              <w:t>HCl</w:t>
            </w:r>
          </w:p>
        </w:tc>
        <w:tc>
          <w:tcPr>
            <w:tcW w:w="753" w:type="pct"/>
            <w:vMerge w:val="continue"/>
            <w:tcBorders>
              <w:tl2br w:val="nil"/>
              <w:tr2bl w:val="nil"/>
            </w:tcBorders>
            <w:noWrap w:val="0"/>
            <w:vAlign w:val="center"/>
          </w:tcPr>
          <w:p w14:paraId="1080BE1B">
            <w:pPr>
              <w:pStyle w:val="55"/>
              <w:bidi w:val="0"/>
              <w:rPr>
                <w:rFonts w:hint="eastAsia"/>
                <w:sz w:val="24"/>
                <w:szCs w:val="24"/>
                <w:lang w:val="en-US" w:eastAsia="zh-CN"/>
              </w:rPr>
            </w:pPr>
          </w:p>
        </w:tc>
        <w:tc>
          <w:tcPr>
            <w:tcW w:w="1489" w:type="dxa"/>
            <w:tcBorders>
              <w:top w:val="single" w:color="000000" w:sz="4" w:space="0"/>
              <w:tl2br w:val="nil"/>
              <w:tr2bl w:val="nil"/>
            </w:tcBorders>
            <w:noWrap w:val="0"/>
            <w:vAlign w:val="center"/>
          </w:tcPr>
          <w:p w14:paraId="70F9E0B2">
            <w:pPr>
              <w:pStyle w:val="55"/>
              <w:bidi w:val="0"/>
              <w:rPr>
                <w:rFonts w:hint="default"/>
                <w:sz w:val="24"/>
                <w:szCs w:val="24"/>
                <w:lang w:val="en-US" w:eastAsia="zh-CN"/>
              </w:rPr>
            </w:pPr>
            <w:r>
              <w:rPr>
                <w:rFonts w:hint="eastAsia"/>
                <w:sz w:val="24"/>
                <w:szCs w:val="24"/>
                <w:lang w:val="en-US" w:eastAsia="zh-CN"/>
              </w:rPr>
              <w:t>0.004</w:t>
            </w:r>
          </w:p>
        </w:tc>
        <w:tc>
          <w:tcPr>
            <w:tcW w:w="824" w:type="pct"/>
            <w:vMerge w:val="continue"/>
            <w:tcBorders>
              <w:tl2br w:val="nil"/>
              <w:tr2bl w:val="nil"/>
            </w:tcBorders>
            <w:noWrap w:val="0"/>
            <w:vAlign w:val="center"/>
          </w:tcPr>
          <w:p w14:paraId="4005F2B0">
            <w:pPr>
              <w:pStyle w:val="55"/>
              <w:bidi w:val="0"/>
              <w:rPr>
                <w:rFonts w:hint="eastAsia"/>
                <w:sz w:val="24"/>
                <w:szCs w:val="24"/>
              </w:rPr>
            </w:pPr>
          </w:p>
        </w:tc>
        <w:tc>
          <w:tcPr>
            <w:tcW w:w="406" w:type="pct"/>
            <w:vMerge w:val="continue"/>
            <w:tcBorders>
              <w:tl2br w:val="nil"/>
              <w:tr2bl w:val="nil"/>
            </w:tcBorders>
            <w:noWrap w:val="0"/>
            <w:vAlign w:val="center"/>
          </w:tcPr>
          <w:p w14:paraId="7A3E2086">
            <w:pPr>
              <w:pStyle w:val="55"/>
              <w:bidi w:val="0"/>
              <w:rPr>
                <w:sz w:val="24"/>
                <w:szCs w:val="24"/>
              </w:rPr>
            </w:pPr>
          </w:p>
        </w:tc>
        <w:tc>
          <w:tcPr>
            <w:tcW w:w="407" w:type="pct"/>
            <w:vMerge w:val="continue"/>
            <w:tcBorders>
              <w:tl2br w:val="nil"/>
              <w:tr2bl w:val="nil"/>
            </w:tcBorders>
            <w:noWrap w:val="0"/>
            <w:vAlign w:val="center"/>
          </w:tcPr>
          <w:p w14:paraId="33503DC4">
            <w:pPr>
              <w:pStyle w:val="55"/>
              <w:bidi w:val="0"/>
              <w:rPr>
                <w:sz w:val="24"/>
                <w:szCs w:val="24"/>
              </w:rPr>
            </w:pPr>
          </w:p>
        </w:tc>
        <w:tc>
          <w:tcPr>
            <w:tcW w:w="538" w:type="pct"/>
            <w:vMerge w:val="continue"/>
            <w:tcBorders>
              <w:tl2br w:val="nil"/>
              <w:tr2bl w:val="nil"/>
            </w:tcBorders>
            <w:noWrap w:val="0"/>
            <w:vAlign w:val="center"/>
          </w:tcPr>
          <w:p w14:paraId="7A56CCE2">
            <w:pPr>
              <w:pStyle w:val="55"/>
              <w:bidi w:val="0"/>
              <w:rPr>
                <w:sz w:val="24"/>
                <w:szCs w:val="24"/>
              </w:rPr>
            </w:pPr>
          </w:p>
        </w:tc>
      </w:tr>
      <w:tr w14:paraId="43127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590" w:type="pct"/>
            <w:vMerge w:val="restart"/>
            <w:tcBorders>
              <w:tl2br w:val="nil"/>
              <w:tr2bl w:val="nil"/>
            </w:tcBorders>
            <w:noWrap w:val="0"/>
            <w:vAlign w:val="center"/>
          </w:tcPr>
          <w:p w14:paraId="69079190">
            <w:pPr>
              <w:pStyle w:val="55"/>
              <w:bidi w:val="0"/>
              <w:rPr>
                <w:sz w:val="24"/>
                <w:szCs w:val="24"/>
              </w:rPr>
            </w:pPr>
            <w:r>
              <w:rPr>
                <w:rFonts w:hint="default"/>
                <w:sz w:val="24"/>
                <w:szCs w:val="24"/>
                <w:lang w:val="en-US" w:eastAsia="zh-CN"/>
              </w:rPr>
              <w:t>DA00</w:t>
            </w:r>
            <w:r>
              <w:rPr>
                <w:rFonts w:hint="eastAsia"/>
                <w:sz w:val="24"/>
                <w:szCs w:val="24"/>
                <w:lang w:val="en-US" w:eastAsia="zh-CN"/>
              </w:rPr>
              <w:t>2</w:t>
            </w:r>
          </w:p>
        </w:tc>
        <w:tc>
          <w:tcPr>
            <w:tcW w:w="672" w:type="pct"/>
            <w:tcBorders>
              <w:bottom w:val="single" w:color="000000" w:sz="4" w:space="0"/>
              <w:tl2br w:val="nil"/>
              <w:tr2bl w:val="nil"/>
            </w:tcBorders>
            <w:noWrap w:val="0"/>
            <w:vAlign w:val="center"/>
          </w:tcPr>
          <w:p w14:paraId="23677BC4">
            <w:pPr>
              <w:pStyle w:val="55"/>
              <w:bidi w:val="0"/>
              <w:rPr>
                <w:sz w:val="24"/>
                <w:szCs w:val="24"/>
              </w:rPr>
            </w:pPr>
            <w:r>
              <w:rPr>
                <w:rFonts w:hint="eastAsia"/>
                <w:sz w:val="24"/>
                <w:szCs w:val="24"/>
                <w:lang w:val="en-US" w:eastAsia="zh-CN"/>
              </w:rPr>
              <w:t>颗粒物</w:t>
            </w:r>
          </w:p>
        </w:tc>
        <w:tc>
          <w:tcPr>
            <w:tcW w:w="753" w:type="pct"/>
            <w:vMerge w:val="restart"/>
            <w:tcBorders>
              <w:tl2br w:val="nil"/>
              <w:tr2bl w:val="nil"/>
            </w:tcBorders>
            <w:noWrap w:val="0"/>
            <w:vAlign w:val="center"/>
          </w:tcPr>
          <w:p w14:paraId="2CBCD608">
            <w:pPr>
              <w:pStyle w:val="55"/>
              <w:bidi w:val="0"/>
              <w:rPr>
                <w:rFonts w:hint="eastAsia"/>
                <w:sz w:val="24"/>
                <w:szCs w:val="24"/>
                <w:lang w:val="en-US" w:eastAsia="zh-CN"/>
              </w:rPr>
            </w:pPr>
            <w:r>
              <w:rPr>
                <w:rFonts w:hint="eastAsia"/>
                <w:sz w:val="24"/>
                <w:szCs w:val="24"/>
                <w:lang w:val="en-US" w:eastAsia="zh-CN"/>
              </w:rPr>
              <w:t>30000</w:t>
            </w:r>
          </w:p>
        </w:tc>
        <w:tc>
          <w:tcPr>
            <w:tcW w:w="1489" w:type="dxa"/>
            <w:tcBorders>
              <w:bottom w:val="single" w:color="000000" w:sz="4" w:space="0"/>
              <w:tl2br w:val="nil"/>
              <w:tr2bl w:val="nil"/>
            </w:tcBorders>
            <w:noWrap w:val="0"/>
            <w:vAlign w:val="center"/>
          </w:tcPr>
          <w:p w14:paraId="079A0657">
            <w:pPr>
              <w:pStyle w:val="55"/>
              <w:bidi w:val="0"/>
              <w:rPr>
                <w:rFonts w:hint="eastAsia"/>
                <w:sz w:val="24"/>
                <w:szCs w:val="24"/>
                <w:lang w:val="en-US" w:eastAsia="zh-CN"/>
              </w:rPr>
            </w:pPr>
            <w:r>
              <w:rPr>
                <w:rFonts w:hint="eastAsia"/>
                <w:sz w:val="24"/>
                <w:szCs w:val="24"/>
                <w:lang w:val="en-US" w:eastAsia="zh-CN"/>
              </w:rPr>
              <w:t>6.347</w:t>
            </w:r>
          </w:p>
        </w:tc>
        <w:tc>
          <w:tcPr>
            <w:tcW w:w="824" w:type="pct"/>
            <w:vMerge w:val="restart"/>
            <w:tcBorders>
              <w:tl2br w:val="nil"/>
              <w:tr2bl w:val="nil"/>
            </w:tcBorders>
            <w:noWrap w:val="0"/>
            <w:vAlign w:val="center"/>
          </w:tcPr>
          <w:p w14:paraId="0C21A570">
            <w:pPr>
              <w:pStyle w:val="55"/>
              <w:bidi w:val="0"/>
              <w:rPr>
                <w:rFonts w:hint="eastAsia"/>
                <w:sz w:val="24"/>
                <w:szCs w:val="24"/>
              </w:rPr>
            </w:pPr>
            <w:r>
              <w:rPr>
                <w:rFonts w:hint="eastAsia"/>
                <w:sz w:val="24"/>
                <w:szCs w:val="24"/>
                <w:lang w:val="en-US" w:eastAsia="zh-CN"/>
              </w:rPr>
              <w:t>30</w:t>
            </w:r>
          </w:p>
        </w:tc>
        <w:tc>
          <w:tcPr>
            <w:tcW w:w="749" w:type="dxa"/>
            <w:vMerge w:val="restart"/>
            <w:tcBorders>
              <w:tl2br w:val="nil"/>
              <w:tr2bl w:val="nil"/>
            </w:tcBorders>
            <w:noWrap w:val="0"/>
            <w:vAlign w:val="center"/>
          </w:tcPr>
          <w:p w14:paraId="731DA658">
            <w:pPr>
              <w:pStyle w:val="55"/>
              <w:bidi w:val="0"/>
              <w:rPr>
                <w:sz w:val="24"/>
                <w:szCs w:val="24"/>
              </w:rPr>
            </w:pPr>
            <w:r>
              <w:rPr>
                <w:sz w:val="24"/>
                <w:szCs w:val="24"/>
              </w:rPr>
              <w:t>15</w:t>
            </w:r>
          </w:p>
        </w:tc>
        <w:tc>
          <w:tcPr>
            <w:tcW w:w="751" w:type="dxa"/>
            <w:vMerge w:val="restart"/>
            <w:tcBorders>
              <w:tl2br w:val="nil"/>
              <w:tr2bl w:val="nil"/>
            </w:tcBorders>
            <w:noWrap w:val="0"/>
            <w:vAlign w:val="center"/>
          </w:tcPr>
          <w:p w14:paraId="7B7F9708">
            <w:pPr>
              <w:pStyle w:val="55"/>
              <w:bidi w:val="0"/>
              <w:rPr>
                <w:sz w:val="24"/>
                <w:szCs w:val="24"/>
              </w:rPr>
            </w:pPr>
            <w:r>
              <w:rPr>
                <w:rFonts w:hint="eastAsia"/>
                <w:sz w:val="24"/>
                <w:szCs w:val="24"/>
                <w:lang w:val="en-US" w:eastAsia="zh-CN"/>
              </w:rPr>
              <w:t>0.8</w:t>
            </w:r>
          </w:p>
        </w:tc>
        <w:tc>
          <w:tcPr>
            <w:tcW w:w="993" w:type="dxa"/>
            <w:vMerge w:val="restart"/>
            <w:tcBorders>
              <w:tl2br w:val="nil"/>
              <w:tr2bl w:val="nil"/>
            </w:tcBorders>
            <w:noWrap w:val="0"/>
            <w:vAlign w:val="center"/>
          </w:tcPr>
          <w:p w14:paraId="59A082DD">
            <w:pPr>
              <w:pStyle w:val="55"/>
              <w:bidi w:val="0"/>
              <w:rPr>
                <w:sz w:val="24"/>
                <w:szCs w:val="24"/>
              </w:rPr>
            </w:pPr>
            <w:r>
              <w:rPr>
                <w:sz w:val="24"/>
                <w:szCs w:val="24"/>
              </w:rPr>
              <w:t>点源</w:t>
            </w:r>
          </w:p>
        </w:tc>
      </w:tr>
      <w:tr w14:paraId="6C8AB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590" w:type="pct"/>
            <w:vMerge w:val="continue"/>
            <w:tcBorders>
              <w:tl2br w:val="nil"/>
              <w:tr2bl w:val="nil"/>
            </w:tcBorders>
            <w:noWrap w:val="0"/>
            <w:vAlign w:val="center"/>
          </w:tcPr>
          <w:p w14:paraId="4B075CD5">
            <w:pPr>
              <w:pStyle w:val="55"/>
              <w:bidi w:val="0"/>
              <w:rPr>
                <w:rFonts w:hint="default"/>
                <w:sz w:val="24"/>
                <w:szCs w:val="24"/>
                <w:lang w:val="en-US" w:eastAsia="zh-CN"/>
              </w:rPr>
            </w:pPr>
          </w:p>
        </w:tc>
        <w:tc>
          <w:tcPr>
            <w:tcW w:w="672" w:type="pct"/>
            <w:tcBorders>
              <w:top w:val="single" w:color="000000" w:sz="4" w:space="0"/>
              <w:bottom w:val="single" w:color="000000" w:sz="4" w:space="0"/>
              <w:tl2br w:val="nil"/>
              <w:tr2bl w:val="nil"/>
            </w:tcBorders>
            <w:noWrap w:val="0"/>
            <w:vAlign w:val="center"/>
          </w:tcPr>
          <w:p w14:paraId="44066ADD">
            <w:pPr>
              <w:pStyle w:val="55"/>
              <w:bidi w:val="0"/>
              <w:rPr>
                <w:sz w:val="24"/>
                <w:szCs w:val="24"/>
              </w:rPr>
            </w:pPr>
            <w:r>
              <w:rPr>
                <w:rFonts w:hint="eastAsia"/>
                <w:sz w:val="24"/>
                <w:szCs w:val="24"/>
                <w:lang w:val="en-US" w:eastAsia="zh-CN"/>
              </w:rPr>
              <w:t>非甲烷总烃</w:t>
            </w:r>
          </w:p>
        </w:tc>
        <w:tc>
          <w:tcPr>
            <w:tcW w:w="753" w:type="pct"/>
            <w:vMerge w:val="continue"/>
            <w:tcBorders>
              <w:tl2br w:val="nil"/>
              <w:tr2bl w:val="nil"/>
            </w:tcBorders>
            <w:noWrap w:val="0"/>
            <w:vAlign w:val="center"/>
          </w:tcPr>
          <w:p w14:paraId="3F7FAEE3">
            <w:pPr>
              <w:pStyle w:val="55"/>
              <w:bidi w:val="0"/>
              <w:rPr>
                <w:rFonts w:hint="eastAsia"/>
                <w:sz w:val="24"/>
                <w:szCs w:val="24"/>
                <w:lang w:val="en-US" w:eastAsia="zh-CN"/>
              </w:rPr>
            </w:pPr>
          </w:p>
        </w:tc>
        <w:tc>
          <w:tcPr>
            <w:tcW w:w="1489" w:type="dxa"/>
            <w:tcBorders>
              <w:top w:val="single" w:color="000000" w:sz="4" w:space="0"/>
              <w:bottom w:val="single" w:color="000000" w:sz="4" w:space="0"/>
              <w:tl2br w:val="nil"/>
              <w:tr2bl w:val="nil"/>
            </w:tcBorders>
            <w:noWrap w:val="0"/>
            <w:vAlign w:val="center"/>
          </w:tcPr>
          <w:p w14:paraId="70117438">
            <w:pPr>
              <w:pStyle w:val="55"/>
              <w:bidi w:val="0"/>
              <w:rPr>
                <w:rFonts w:hint="eastAsia"/>
                <w:sz w:val="24"/>
                <w:szCs w:val="24"/>
                <w:lang w:val="en-US" w:eastAsia="zh-CN"/>
              </w:rPr>
            </w:pPr>
            <w:r>
              <w:rPr>
                <w:rFonts w:hint="eastAsia"/>
                <w:sz w:val="24"/>
                <w:szCs w:val="24"/>
                <w:lang w:val="en-US" w:eastAsia="zh-CN"/>
              </w:rPr>
              <w:t>6.389</w:t>
            </w:r>
          </w:p>
        </w:tc>
        <w:tc>
          <w:tcPr>
            <w:tcW w:w="824" w:type="pct"/>
            <w:vMerge w:val="continue"/>
            <w:tcBorders>
              <w:tl2br w:val="nil"/>
              <w:tr2bl w:val="nil"/>
            </w:tcBorders>
            <w:noWrap w:val="0"/>
            <w:vAlign w:val="center"/>
          </w:tcPr>
          <w:p w14:paraId="608BA675">
            <w:pPr>
              <w:pStyle w:val="55"/>
              <w:bidi w:val="0"/>
              <w:rPr>
                <w:rFonts w:hint="eastAsia"/>
                <w:sz w:val="24"/>
                <w:szCs w:val="24"/>
              </w:rPr>
            </w:pPr>
          </w:p>
        </w:tc>
        <w:tc>
          <w:tcPr>
            <w:tcW w:w="406" w:type="pct"/>
            <w:vMerge w:val="continue"/>
            <w:tcBorders>
              <w:tl2br w:val="nil"/>
              <w:tr2bl w:val="nil"/>
            </w:tcBorders>
            <w:noWrap w:val="0"/>
            <w:vAlign w:val="center"/>
          </w:tcPr>
          <w:p w14:paraId="2E06D453">
            <w:pPr>
              <w:pStyle w:val="55"/>
              <w:bidi w:val="0"/>
              <w:rPr>
                <w:sz w:val="24"/>
                <w:szCs w:val="24"/>
              </w:rPr>
            </w:pPr>
          </w:p>
        </w:tc>
        <w:tc>
          <w:tcPr>
            <w:tcW w:w="407" w:type="pct"/>
            <w:vMerge w:val="continue"/>
            <w:tcBorders>
              <w:tl2br w:val="nil"/>
              <w:tr2bl w:val="nil"/>
            </w:tcBorders>
            <w:noWrap w:val="0"/>
            <w:vAlign w:val="center"/>
          </w:tcPr>
          <w:p w14:paraId="675F9285">
            <w:pPr>
              <w:pStyle w:val="55"/>
              <w:bidi w:val="0"/>
              <w:rPr>
                <w:sz w:val="24"/>
                <w:szCs w:val="24"/>
              </w:rPr>
            </w:pPr>
          </w:p>
        </w:tc>
        <w:tc>
          <w:tcPr>
            <w:tcW w:w="538" w:type="pct"/>
            <w:vMerge w:val="continue"/>
            <w:tcBorders>
              <w:tl2br w:val="nil"/>
              <w:tr2bl w:val="nil"/>
            </w:tcBorders>
            <w:noWrap w:val="0"/>
            <w:vAlign w:val="center"/>
          </w:tcPr>
          <w:p w14:paraId="24C1AF66">
            <w:pPr>
              <w:pStyle w:val="55"/>
              <w:bidi w:val="0"/>
              <w:rPr>
                <w:sz w:val="24"/>
                <w:szCs w:val="24"/>
              </w:rPr>
            </w:pPr>
          </w:p>
        </w:tc>
      </w:tr>
      <w:tr w14:paraId="32876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590" w:type="pct"/>
            <w:vMerge w:val="continue"/>
            <w:tcBorders>
              <w:tl2br w:val="nil"/>
              <w:tr2bl w:val="nil"/>
            </w:tcBorders>
            <w:noWrap w:val="0"/>
            <w:vAlign w:val="center"/>
          </w:tcPr>
          <w:p w14:paraId="28018B8C">
            <w:pPr>
              <w:pStyle w:val="55"/>
              <w:bidi w:val="0"/>
              <w:rPr>
                <w:rFonts w:hint="default"/>
                <w:sz w:val="24"/>
                <w:szCs w:val="24"/>
                <w:lang w:val="en-US" w:eastAsia="zh-CN"/>
              </w:rPr>
            </w:pPr>
          </w:p>
        </w:tc>
        <w:tc>
          <w:tcPr>
            <w:tcW w:w="672" w:type="pct"/>
            <w:tcBorders>
              <w:top w:val="single" w:color="000000" w:sz="4" w:space="0"/>
              <w:tl2br w:val="nil"/>
              <w:tr2bl w:val="nil"/>
            </w:tcBorders>
            <w:noWrap w:val="0"/>
            <w:vAlign w:val="center"/>
          </w:tcPr>
          <w:p w14:paraId="40F39803">
            <w:pPr>
              <w:pStyle w:val="55"/>
              <w:bidi w:val="0"/>
              <w:rPr>
                <w:sz w:val="24"/>
                <w:szCs w:val="24"/>
              </w:rPr>
            </w:pPr>
            <w:r>
              <w:rPr>
                <w:rFonts w:hint="eastAsia"/>
                <w:sz w:val="24"/>
                <w:szCs w:val="24"/>
                <w:lang w:val="en-US" w:eastAsia="zh-CN"/>
              </w:rPr>
              <w:t>HCl</w:t>
            </w:r>
          </w:p>
        </w:tc>
        <w:tc>
          <w:tcPr>
            <w:tcW w:w="753" w:type="pct"/>
            <w:vMerge w:val="continue"/>
            <w:tcBorders>
              <w:tl2br w:val="nil"/>
              <w:tr2bl w:val="nil"/>
            </w:tcBorders>
            <w:noWrap w:val="0"/>
            <w:vAlign w:val="center"/>
          </w:tcPr>
          <w:p w14:paraId="5FA37F54">
            <w:pPr>
              <w:pStyle w:val="55"/>
              <w:bidi w:val="0"/>
              <w:rPr>
                <w:rFonts w:hint="eastAsia"/>
                <w:sz w:val="24"/>
                <w:szCs w:val="24"/>
                <w:lang w:val="en-US" w:eastAsia="zh-CN"/>
              </w:rPr>
            </w:pPr>
          </w:p>
        </w:tc>
        <w:tc>
          <w:tcPr>
            <w:tcW w:w="1489" w:type="dxa"/>
            <w:tcBorders>
              <w:top w:val="single" w:color="000000" w:sz="4" w:space="0"/>
              <w:tl2br w:val="nil"/>
              <w:tr2bl w:val="nil"/>
            </w:tcBorders>
            <w:noWrap w:val="0"/>
            <w:vAlign w:val="center"/>
          </w:tcPr>
          <w:p w14:paraId="3174AC81">
            <w:pPr>
              <w:pStyle w:val="55"/>
              <w:bidi w:val="0"/>
              <w:rPr>
                <w:rFonts w:hint="eastAsia"/>
                <w:sz w:val="24"/>
                <w:szCs w:val="24"/>
                <w:lang w:val="en-US" w:eastAsia="zh-CN"/>
              </w:rPr>
            </w:pPr>
            <w:r>
              <w:rPr>
                <w:rFonts w:hint="eastAsia"/>
                <w:sz w:val="24"/>
                <w:szCs w:val="24"/>
                <w:lang w:val="en-US" w:eastAsia="zh-CN"/>
              </w:rPr>
              <w:t>0.004</w:t>
            </w:r>
          </w:p>
        </w:tc>
        <w:tc>
          <w:tcPr>
            <w:tcW w:w="824" w:type="pct"/>
            <w:vMerge w:val="continue"/>
            <w:tcBorders>
              <w:tl2br w:val="nil"/>
              <w:tr2bl w:val="nil"/>
            </w:tcBorders>
            <w:noWrap w:val="0"/>
            <w:vAlign w:val="center"/>
          </w:tcPr>
          <w:p w14:paraId="0D08327A">
            <w:pPr>
              <w:pStyle w:val="55"/>
              <w:bidi w:val="0"/>
              <w:rPr>
                <w:rFonts w:hint="eastAsia"/>
                <w:sz w:val="24"/>
                <w:szCs w:val="24"/>
              </w:rPr>
            </w:pPr>
          </w:p>
        </w:tc>
        <w:tc>
          <w:tcPr>
            <w:tcW w:w="406" w:type="pct"/>
            <w:vMerge w:val="continue"/>
            <w:tcBorders>
              <w:tl2br w:val="nil"/>
              <w:tr2bl w:val="nil"/>
            </w:tcBorders>
            <w:noWrap w:val="0"/>
            <w:vAlign w:val="center"/>
          </w:tcPr>
          <w:p w14:paraId="19E1AF30">
            <w:pPr>
              <w:pStyle w:val="55"/>
              <w:bidi w:val="0"/>
              <w:rPr>
                <w:sz w:val="24"/>
                <w:szCs w:val="24"/>
              </w:rPr>
            </w:pPr>
          </w:p>
        </w:tc>
        <w:tc>
          <w:tcPr>
            <w:tcW w:w="407" w:type="pct"/>
            <w:vMerge w:val="continue"/>
            <w:tcBorders>
              <w:tl2br w:val="nil"/>
              <w:tr2bl w:val="nil"/>
            </w:tcBorders>
            <w:noWrap w:val="0"/>
            <w:vAlign w:val="center"/>
          </w:tcPr>
          <w:p w14:paraId="0B77066C">
            <w:pPr>
              <w:pStyle w:val="55"/>
              <w:bidi w:val="0"/>
              <w:rPr>
                <w:sz w:val="24"/>
                <w:szCs w:val="24"/>
              </w:rPr>
            </w:pPr>
          </w:p>
        </w:tc>
        <w:tc>
          <w:tcPr>
            <w:tcW w:w="538" w:type="pct"/>
            <w:vMerge w:val="continue"/>
            <w:tcBorders>
              <w:tl2br w:val="nil"/>
              <w:tr2bl w:val="nil"/>
            </w:tcBorders>
            <w:noWrap w:val="0"/>
            <w:vAlign w:val="center"/>
          </w:tcPr>
          <w:p w14:paraId="773E0B4A">
            <w:pPr>
              <w:pStyle w:val="55"/>
              <w:bidi w:val="0"/>
              <w:rPr>
                <w:sz w:val="24"/>
                <w:szCs w:val="24"/>
              </w:rPr>
            </w:pPr>
          </w:p>
        </w:tc>
      </w:tr>
      <w:tr w14:paraId="6B473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590" w:type="pct"/>
            <w:vMerge w:val="restart"/>
            <w:tcBorders>
              <w:tl2br w:val="nil"/>
              <w:tr2bl w:val="nil"/>
            </w:tcBorders>
            <w:noWrap w:val="0"/>
            <w:vAlign w:val="center"/>
          </w:tcPr>
          <w:p w14:paraId="294FF416">
            <w:pPr>
              <w:pStyle w:val="55"/>
              <w:bidi w:val="0"/>
              <w:rPr>
                <w:sz w:val="24"/>
                <w:szCs w:val="24"/>
              </w:rPr>
            </w:pPr>
            <w:r>
              <w:rPr>
                <w:rFonts w:hint="default"/>
                <w:sz w:val="24"/>
                <w:szCs w:val="24"/>
                <w:lang w:val="en-US" w:eastAsia="zh-CN"/>
              </w:rPr>
              <w:t>DA00</w:t>
            </w:r>
            <w:r>
              <w:rPr>
                <w:rFonts w:hint="eastAsia"/>
                <w:sz w:val="24"/>
                <w:szCs w:val="24"/>
                <w:lang w:val="en-US" w:eastAsia="zh-CN"/>
              </w:rPr>
              <w:t>3</w:t>
            </w:r>
          </w:p>
        </w:tc>
        <w:tc>
          <w:tcPr>
            <w:tcW w:w="672" w:type="pct"/>
            <w:tcBorders>
              <w:bottom w:val="single" w:color="000000" w:sz="4" w:space="0"/>
              <w:tl2br w:val="nil"/>
              <w:tr2bl w:val="nil"/>
            </w:tcBorders>
            <w:noWrap w:val="0"/>
            <w:vAlign w:val="center"/>
          </w:tcPr>
          <w:p w14:paraId="6A300A97">
            <w:pPr>
              <w:pStyle w:val="55"/>
              <w:bidi w:val="0"/>
              <w:rPr>
                <w:sz w:val="24"/>
                <w:szCs w:val="24"/>
              </w:rPr>
            </w:pPr>
            <w:r>
              <w:rPr>
                <w:rFonts w:hint="eastAsia"/>
                <w:sz w:val="24"/>
                <w:szCs w:val="24"/>
                <w:lang w:val="en-US" w:eastAsia="zh-CN"/>
              </w:rPr>
              <w:t>颗粒物</w:t>
            </w:r>
          </w:p>
        </w:tc>
        <w:tc>
          <w:tcPr>
            <w:tcW w:w="753" w:type="pct"/>
            <w:vMerge w:val="restart"/>
            <w:tcBorders>
              <w:tl2br w:val="nil"/>
              <w:tr2bl w:val="nil"/>
            </w:tcBorders>
            <w:noWrap w:val="0"/>
            <w:vAlign w:val="center"/>
          </w:tcPr>
          <w:p w14:paraId="48A0CFF4">
            <w:pPr>
              <w:pStyle w:val="55"/>
              <w:bidi w:val="0"/>
              <w:rPr>
                <w:rFonts w:hint="eastAsia"/>
                <w:sz w:val="24"/>
                <w:szCs w:val="24"/>
                <w:lang w:val="en-US" w:eastAsia="zh-CN"/>
              </w:rPr>
            </w:pPr>
            <w:r>
              <w:rPr>
                <w:rFonts w:hint="eastAsia"/>
                <w:sz w:val="24"/>
                <w:szCs w:val="24"/>
                <w:lang w:val="en-US" w:eastAsia="zh-CN"/>
              </w:rPr>
              <w:t>30000</w:t>
            </w:r>
          </w:p>
        </w:tc>
        <w:tc>
          <w:tcPr>
            <w:tcW w:w="1489" w:type="dxa"/>
            <w:tcBorders>
              <w:bottom w:val="single" w:color="000000" w:sz="4" w:space="0"/>
              <w:tl2br w:val="nil"/>
              <w:tr2bl w:val="nil"/>
            </w:tcBorders>
            <w:noWrap w:val="0"/>
            <w:vAlign w:val="center"/>
          </w:tcPr>
          <w:p w14:paraId="33002C0A">
            <w:pPr>
              <w:pStyle w:val="55"/>
              <w:bidi w:val="0"/>
              <w:rPr>
                <w:rFonts w:hint="default"/>
                <w:sz w:val="24"/>
                <w:szCs w:val="24"/>
                <w:lang w:val="en-US" w:eastAsia="zh-CN"/>
              </w:rPr>
            </w:pPr>
            <w:r>
              <w:rPr>
                <w:rFonts w:hint="eastAsia"/>
                <w:sz w:val="24"/>
                <w:szCs w:val="24"/>
                <w:lang w:val="en-US" w:eastAsia="zh-CN"/>
              </w:rPr>
              <w:t>3.174</w:t>
            </w:r>
          </w:p>
        </w:tc>
        <w:tc>
          <w:tcPr>
            <w:tcW w:w="824" w:type="pct"/>
            <w:vMerge w:val="restart"/>
            <w:tcBorders>
              <w:tl2br w:val="nil"/>
              <w:tr2bl w:val="nil"/>
            </w:tcBorders>
            <w:noWrap w:val="0"/>
            <w:vAlign w:val="center"/>
          </w:tcPr>
          <w:p w14:paraId="2874D015">
            <w:pPr>
              <w:pStyle w:val="55"/>
              <w:bidi w:val="0"/>
              <w:rPr>
                <w:rFonts w:hint="eastAsia"/>
                <w:sz w:val="24"/>
                <w:szCs w:val="24"/>
              </w:rPr>
            </w:pPr>
            <w:r>
              <w:rPr>
                <w:rFonts w:hint="eastAsia"/>
                <w:sz w:val="24"/>
                <w:szCs w:val="24"/>
                <w:lang w:val="en-US" w:eastAsia="zh-CN"/>
              </w:rPr>
              <w:t>30</w:t>
            </w:r>
          </w:p>
        </w:tc>
        <w:tc>
          <w:tcPr>
            <w:tcW w:w="749" w:type="dxa"/>
            <w:vMerge w:val="restart"/>
            <w:tcBorders>
              <w:tl2br w:val="nil"/>
              <w:tr2bl w:val="nil"/>
            </w:tcBorders>
            <w:noWrap w:val="0"/>
            <w:vAlign w:val="center"/>
          </w:tcPr>
          <w:p w14:paraId="4741E06E">
            <w:pPr>
              <w:pStyle w:val="55"/>
              <w:bidi w:val="0"/>
              <w:rPr>
                <w:sz w:val="24"/>
                <w:szCs w:val="24"/>
              </w:rPr>
            </w:pPr>
            <w:r>
              <w:rPr>
                <w:sz w:val="24"/>
                <w:szCs w:val="24"/>
              </w:rPr>
              <w:t>15</w:t>
            </w:r>
          </w:p>
        </w:tc>
        <w:tc>
          <w:tcPr>
            <w:tcW w:w="751" w:type="dxa"/>
            <w:vMerge w:val="restart"/>
            <w:tcBorders>
              <w:tl2br w:val="nil"/>
              <w:tr2bl w:val="nil"/>
            </w:tcBorders>
            <w:noWrap w:val="0"/>
            <w:vAlign w:val="center"/>
          </w:tcPr>
          <w:p w14:paraId="4EBF9993">
            <w:pPr>
              <w:pStyle w:val="55"/>
              <w:bidi w:val="0"/>
              <w:rPr>
                <w:sz w:val="24"/>
                <w:szCs w:val="24"/>
              </w:rPr>
            </w:pPr>
            <w:r>
              <w:rPr>
                <w:rFonts w:hint="eastAsia"/>
                <w:sz w:val="24"/>
                <w:szCs w:val="24"/>
                <w:lang w:val="en-US" w:eastAsia="zh-CN"/>
              </w:rPr>
              <w:t>0.8</w:t>
            </w:r>
          </w:p>
        </w:tc>
        <w:tc>
          <w:tcPr>
            <w:tcW w:w="993" w:type="dxa"/>
            <w:vMerge w:val="restart"/>
            <w:tcBorders>
              <w:tl2br w:val="nil"/>
              <w:tr2bl w:val="nil"/>
            </w:tcBorders>
            <w:noWrap w:val="0"/>
            <w:vAlign w:val="center"/>
          </w:tcPr>
          <w:p w14:paraId="360101AE">
            <w:pPr>
              <w:pStyle w:val="55"/>
              <w:bidi w:val="0"/>
              <w:rPr>
                <w:sz w:val="24"/>
                <w:szCs w:val="24"/>
              </w:rPr>
            </w:pPr>
            <w:r>
              <w:rPr>
                <w:sz w:val="24"/>
                <w:szCs w:val="24"/>
              </w:rPr>
              <w:t>点源</w:t>
            </w:r>
          </w:p>
        </w:tc>
      </w:tr>
      <w:tr w14:paraId="5A49F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590" w:type="pct"/>
            <w:vMerge w:val="continue"/>
            <w:tcBorders>
              <w:tl2br w:val="nil"/>
              <w:tr2bl w:val="nil"/>
            </w:tcBorders>
            <w:noWrap w:val="0"/>
            <w:vAlign w:val="center"/>
          </w:tcPr>
          <w:p w14:paraId="5CF506E5">
            <w:pPr>
              <w:pStyle w:val="55"/>
              <w:bidi w:val="0"/>
              <w:rPr>
                <w:rFonts w:hint="default"/>
                <w:sz w:val="24"/>
                <w:szCs w:val="24"/>
                <w:lang w:val="en-US" w:eastAsia="zh-CN"/>
              </w:rPr>
            </w:pPr>
          </w:p>
        </w:tc>
        <w:tc>
          <w:tcPr>
            <w:tcW w:w="672" w:type="pct"/>
            <w:tcBorders>
              <w:top w:val="single" w:color="000000" w:sz="4" w:space="0"/>
              <w:bottom w:val="single" w:color="000000" w:sz="4" w:space="0"/>
              <w:tl2br w:val="nil"/>
              <w:tr2bl w:val="nil"/>
            </w:tcBorders>
            <w:noWrap w:val="0"/>
            <w:vAlign w:val="center"/>
          </w:tcPr>
          <w:p w14:paraId="31C5180C">
            <w:pPr>
              <w:pStyle w:val="55"/>
              <w:bidi w:val="0"/>
              <w:rPr>
                <w:sz w:val="24"/>
                <w:szCs w:val="24"/>
              </w:rPr>
            </w:pPr>
            <w:r>
              <w:rPr>
                <w:rFonts w:hint="eastAsia"/>
                <w:sz w:val="24"/>
                <w:szCs w:val="24"/>
                <w:lang w:val="en-US" w:eastAsia="zh-CN"/>
              </w:rPr>
              <w:t>非甲烷总烃</w:t>
            </w:r>
          </w:p>
        </w:tc>
        <w:tc>
          <w:tcPr>
            <w:tcW w:w="753" w:type="pct"/>
            <w:vMerge w:val="continue"/>
            <w:tcBorders>
              <w:tl2br w:val="nil"/>
              <w:tr2bl w:val="nil"/>
            </w:tcBorders>
            <w:noWrap w:val="0"/>
            <w:vAlign w:val="center"/>
          </w:tcPr>
          <w:p w14:paraId="2FB8A43C">
            <w:pPr>
              <w:pStyle w:val="55"/>
              <w:bidi w:val="0"/>
              <w:rPr>
                <w:rFonts w:hint="eastAsia"/>
                <w:sz w:val="24"/>
                <w:szCs w:val="24"/>
                <w:lang w:val="en-US" w:eastAsia="zh-CN"/>
              </w:rPr>
            </w:pPr>
          </w:p>
        </w:tc>
        <w:tc>
          <w:tcPr>
            <w:tcW w:w="1489" w:type="dxa"/>
            <w:tcBorders>
              <w:top w:val="single" w:color="000000" w:sz="4" w:space="0"/>
              <w:bottom w:val="single" w:color="000000" w:sz="4" w:space="0"/>
              <w:tl2br w:val="nil"/>
              <w:tr2bl w:val="nil"/>
            </w:tcBorders>
            <w:noWrap w:val="0"/>
            <w:vAlign w:val="center"/>
          </w:tcPr>
          <w:p w14:paraId="77C9E774">
            <w:pPr>
              <w:pStyle w:val="55"/>
              <w:bidi w:val="0"/>
              <w:rPr>
                <w:rFonts w:hint="default"/>
                <w:sz w:val="24"/>
                <w:szCs w:val="24"/>
                <w:lang w:val="en-US" w:eastAsia="zh-CN"/>
              </w:rPr>
            </w:pPr>
            <w:r>
              <w:rPr>
                <w:rFonts w:hint="eastAsia"/>
                <w:sz w:val="24"/>
                <w:szCs w:val="24"/>
                <w:lang w:val="en-US" w:eastAsia="zh-CN"/>
              </w:rPr>
              <w:t>3.194</w:t>
            </w:r>
          </w:p>
        </w:tc>
        <w:tc>
          <w:tcPr>
            <w:tcW w:w="824" w:type="pct"/>
            <w:vMerge w:val="continue"/>
            <w:tcBorders>
              <w:tl2br w:val="nil"/>
              <w:tr2bl w:val="nil"/>
            </w:tcBorders>
            <w:noWrap w:val="0"/>
            <w:vAlign w:val="center"/>
          </w:tcPr>
          <w:p w14:paraId="77E49F3C">
            <w:pPr>
              <w:pStyle w:val="55"/>
              <w:bidi w:val="0"/>
              <w:rPr>
                <w:rFonts w:hint="eastAsia"/>
                <w:sz w:val="24"/>
                <w:szCs w:val="24"/>
              </w:rPr>
            </w:pPr>
          </w:p>
        </w:tc>
        <w:tc>
          <w:tcPr>
            <w:tcW w:w="406" w:type="pct"/>
            <w:vMerge w:val="continue"/>
            <w:tcBorders>
              <w:tl2br w:val="nil"/>
              <w:tr2bl w:val="nil"/>
            </w:tcBorders>
            <w:noWrap w:val="0"/>
            <w:vAlign w:val="center"/>
          </w:tcPr>
          <w:p w14:paraId="3C447313">
            <w:pPr>
              <w:pStyle w:val="55"/>
              <w:bidi w:val="0"/>
              <w:rPr>
                <w:sz w:val="24"/>
                <w:szCs w:val="24"/>
              </w:rPr>
            </w:pPr>
          </w:p>
        </w:tc>
        <w:tc>
          <w:tcPr>
            <w:tcW w:w="407" w:type="pct"/>
            <w:vMerge w:val="continue"/>
            <w:tcBorders>
              <w:tl2br w:val="nil"/>
              <w:tr2bl w:val="nil"/>
            </w:tcBorders>
            <w:noWrap w:val="0"/>
            <w:vAlign w:val="center"/>
          </w:tcPr>
          <w:p w14:paraId="0F9B8840">
            <w:pPr>
              <w:pStyle w:val="55"/>
              <w:bidi w:val="0"/>
              <w:rPr>
                <w:sz w:val="24"/>
                <w:szCs w:val="24"/>
              </w:rPr>
            </w:pPr>
          </w:p>
        </w:tc>
        <w:tc>
          <w:tcPr>
            <w:tcW w:w="538" w:type="pct"/>
            <w:vMerge w:val="continue"/>
            <w:tcBorders>
              <w:tl2br w:val="nil"/>
              <w:tr2bl w:val="nil"/>
            </w:tcBorders>
            <w:noWrap w:val="0"/>
            <w:vAlign w:val="center"/>
          </w:tcPr>
          <w:p w14:paraId="47449F9E">
            <w:pPr>
              <w:pStyle w:val="55"/>
              <w:bidi w:val="0"/>
              <w:rPr>
                <w:sz w:val="24"/>
                <w:szCs w:val="24"/>
              </w:rPr>
            </w:pPr>
          </w:p>
        </w:tc>
      </w:tr>
      <w:tr w14:paraId="44C2B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590" w:type="pct"/>
            <w:vMerge w:val="continue"/>
            <w:tcBorders>
              <w:tl2br w:val="nil"/>
              <w:tr2bl w:val="nil"/>
            </w:tcBorders>
            <w:noWrap w:val="0"/>
            <w:vAlign w:val="center"/>
          </w:tcPr>
          <w:p w14:paraId="7D0B8B27">
            <w:pPr>
              <w:pStyle w:val="55"/>
              <w:bidi w:val="0"/>
              <w:rPr>
                <w:rFonts w:hint="default"/>
                <w:sz w:val="24"/>
                <w:szCs w:val="24"/>
                <w:lang w:val="en-US" w:eastAsia="zh-CN"/>
              </w:rPr>
            </w:pPr>
          </w:p>
        </w:tc>
        <w:tc>
          <w:tcPr>
            <w:tcW w:w="672" w:type="pct"/>
            <w:tcBorders>
              <w:top w:val="single" w:color="000000" w:sz="4" w:space="0"/>
              <w:tl2br w:val="nil"/>
              <w:tr2bl w:val="nil"/>
            </w:tcBorders>
            <w:noWrap w:val="0"/>
            <w:vAlign w:val="center"/>
          </w:tcPr>
          <w:p w14:paraId="3F9A0ECC">
            <w:pPr>
              <w:pStyle w:val="55"/>
              <w:bidi w:val="0"/>
              <w:rPr>
                <w:sz w:val="24"/>
                <w:szCs w:val="24"/>
              </w:rPr>
            </w:pPr>
            <w:r>
              <w:rPr>
                <w:rFonts w:hint="eastAsia"/>
                <w:sz w:val="24"/>
                <w:szCs w:val="24"/>
                <w:lang w:val="en-US" w:eastAsia="zh-CN"/>
              </w:rPr>
              <w:t>HCl</w:t>
            </w:r>
          </w:p>
        </w:tc>
        <w:tc>
          <w:tcPr>
            <w:tcW w:w="753" w:type="pct"/>
            <w:vMerge w:val="continue"/>
            <w:tcBorders>
              <w:tl2br w:val="nil"/>
              <w:tr2bl w:val="nil"/>
            </w:tcBorders>
            <w:noWrap w:val="0"/>
            <w:vAlign w:val="center"/>
          </w:tcPr>
          <w:p w14:paraId="771D09CC">
            <w:pPr>
              <w:pStyle w:val="55"/>
              <w:bidi w:val="0"/>
              <w:rPr>
                <w:rFonts w:hint="eastAsia"/>
                <w:sz w:val="24"/>
                <w:szCs w:val="24"/>
                <w:lang w:val="en-US" w:eastAsia="zh-CN"/>
              </w:rPr>
            </w:pPr>
          </w:p>
        </w:tc>
        <w:tc>
          <w:tcPr>
            <w:tcW w:w="1489" w:type="dxa"/>
            <w:tcBorders>
              <w:top w:val="single" w:color="000000" w:sz="4" w:space="0"/>
              <w:tl2br w:val="nil"/>
              <w:tr2bl w:val="nil"/>
            </w:tcBorders>
            <w:noWrap w:val="0"/>
            <w:vAlign w:val="center"/>
          </w:tcPr>
          <w:p w14:paraId="04C2CCA9">
            <w:pPr>
              <w:pStyle w:val="55"/>
              <w:bidi w:val="0"/>
              <w:rPr>
                <w:rFonts w:hint="default"/>
                <w:sz w:val="24"/>
                <w:szCs w:val="24"/>
                <w:lang w:val="en-US" w:eastAsia="zh-CN"/>
              </w:rPr>
            </w:pPr>
            <w:r>
              <w:rPr>
                <w:rFonts w:hint="eastAsia"/>
                <w:sz w:val="24"/>
                <w:szCs w:val="24"/>
                <w:lang w:val="en-US" w:eastAsia="zh-CN"/>
              </w:rPr>
              <w:t>0.002</w:t>
            </w:r>
          </w:p>
        </w:tc>
        <w:tc>
          <w:tcPr>
            <w:tcW w:w="824" w:type="pct"/>
            <w:vMerge w:val="continue"/>
            <w:tcBorders>
              <w:tl2br w:val="nil"/>
              <w:tr2bl w:val="nil"/>
            </w:tcBorders>
            <w:noWrap w:val="0"/>
            <w:vAlign w:val="center"/>
          </w:tcPr>
          <w:p w14:paraId="466BD494">
            <w:pPr>
              <w:pStyle w:val="55"/>
              <w:bidi w:val="0"/>
              <w:rPr>
                <w:rFonts w:hint="eastAsia"/>
                <w:sz w:val="24"/>
                <w:szCs w:val="24"/>
              </w:rPr>
            </w:pPr>
          </w:p>
        </w:tc>
        <w:tc>
          <w:tcPr>
            <w:tcW w:w="406" w:type="pct"/>
            <w:vMerge w:val="continue"/>
            <w:tcBorders>
              <w:tl2br w:val="nil"/>
              <w:tr2bl w:val="nil"/>
            </w:tcBorders>
            <w:noWrap w:val="0"/>
            <w:vAlign w:val="center"/>
          </w:tcPr>
          <w:p w14:paraId="2879C7C8">
            <w:pPr>
              <w:pStyle w:val="55"/>
              <w:bidi w:val="0"/>
              <w:rPr>
                <w:sz w:val="24"/>
                <w:szCs w:val="24"/>
              </w:rPr>
            </w:pPr>
          </w:p>
        </w:tc>
        <w:tc>
          <w:tcPr>
            <w:tcW w:w="407" w:type="pct"/>
            <w:vMerge w:val="continue"/>
            <w:tcBorders>
              <w:tl2br w:val="nil"/>
              <w:tr2bl w:val="nil"/>
            </w:tcBorders>
            <w:noWrap w:val="0"/>
            <w:vAlign w:val="center"/>
          </w:tcPr>
          <w:p w14:paraId="416CDCF7">
            <w:pPr>
              <w:pStyle w:val="55"/>
              <w:bidi w:val="0"/>
              <w:rPr>
                <w:sz w:val="24"/>
                <w:szCs w:val="24"/>
              </w:rPr>
            </w:pPr>
          </w:p>
        </w:tc>
        <w:tc>
          <w:tcPr>
            <w:tcW w:w="538" w:type="pct"/>
            <w:vMerge w:val="continue"/>
            <w:tcBorders>
              <w:tl2br w:val="nil"/>
              <w:tr2bl w:val="nil"/>
            </w:tcBorders>
            <w:noWrap w:val="0"/>
            <w:vAlign w:val="center"/>
          </w:tcPr>
          <w:p w14:paraId="1CF6E19A">
            <w:pPr>
              <w:pStyle w:val="55"/>
              <w:bidi w:val="0"/>
              <w:rPr>
                <w:sz w:val="24"/>
                <w:szCs w:val="24"/>
              </w:rPr>
            </w:pPr>
          </w:p>
        </w:tc>
      </w:tr>
    </w:tbl>
    <w:p w14:paraId="65A80FBB">
      <w:pPr>
        <w:pStyle w:val="92"/>
        <w:bidi w:val="0"/>
        <w:ind w:left="0" w:leftChars="0" w:firstLine="0" w:firstLineChars="0"/>
      </w:pPr>
      <w:r>
        <w:rPr>
          <w:rFonts w:hint="eastAsia"/>
        </w:rPr>
        <w:t>大气环境</w:t>
      </w:r>
      <w:r>
        <w:t>影响预测</w:t>
      </w:r>
    </w:p>
    <w:p w14:paraId="08FDC932">
      <w:pPr>
        <w:pStyle w:val="47"/>
        <w:numPr>
          <w:ilvl w:val="0"/>
          <w:numId w:val="12"/>
        </w:numPr>
        <w:ind w:left="0" w:leftChars="0" w:firstLine="560" w:firstLineChars="20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估算模式估算结果</w:t>
      </w:r>
    </w:p>
    <w:p w14:paraId="3F55DFD4">
      <w:pPr>
        <w:pStyle w:val="94"/>
        <w:bidi w:val="0"/>
        <w:ind w:left="0" w:leftChars="0" w:firstLine="0" w:firstLineChars="0"/>
      </w:pPr>
      <w:r>
        <w:rPr>
          <w:rFonts w:hint="eastAsia"/>
        </w:rPr>
        <w:t>AERSCREEN估算模型计算结果(点源)</w:t>
      </w:r>
    </w:p>
    <w:tbl>
      <w:tblPr>
        <w:tblStyle w:val="3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0"/>
        <w:gridCol w:w="1116"/>
        <w:gridCol w:w="2034"/>
        <w:gridCol w:w="1807"/>
        <w:gridCol w:w="1187"/>
        <w:gridCol w:w="1018"/>
        <w:gridCol w:w="1309"/>
      </w:tblGrid>
      <w:tr w14:paraId="713C9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6" w:type="pct"/>
            <w:tcBorders>
              <w:top w:val="single" w:color="auto" w:sz="4" w:space="0"/>
              <w:left w:val="single" w:color="auto" w:sz="4" w:space="0"/>
              <w:bottom w:val="single" w:color="auto" w:sz="4" w:space="0"/>
              <w:right w:val="single" w:color="auto" w:sz="4" w:space="0"/>
            </w:tcBorders>
            <w:noWrap w:val="0"/>
            <w:vAlign w:val="center"/>
          </w:tcPr>
          <w:p w14:paraId="7E7AD2BF">
            <w:pPr>
              <w:pStyle w:val="55"/>
              <w:bidi w:val="0"/>
              <w:rPr>
                <w:rFonts w:hint="default"/>
                <w:b w:val="0"/>
                <w:bCs w:val="0"/>
                <w:color w:val="000000" w:themeColor="text1"/>
                <w:sz w:val="24"/>
                <w:szCs w:val="24"/>
                <w14:textFill>
                  <w14:solidFill>
                    <w14:schemeClr w14:val="tx1"/>
                  </w14:solidFill>
                </w14:textFill>
              </w:rPr>
            </w:pPr>
            <w:r>
              <w:rPr>
                <w:rFonts w:hint="default"/>
                <w:b w:val="0"/>
                <w:bCs w:val="0"/>
                <w:color w:val="000000" w:themeColor="text1"/>
                <w:sz w:val="24"/>
                <w:szCs w:val="24"/>
                <w14:textFill>
                  <w14:solidFill>
                    <w14:schemeClr w14:val="tx1"/>
                  </w14:solidFill>
                </w14:textFill>
              </w:rPr>
              <w:t>排放方式</w:t>
            </w:r>
          </w:p>
        </w:tc>
        <w:tc>
          <w:tcPr>
            <w:tcW w:w="601" w:type="pct"/>
            <w:tcBorders>
              <w:top w:val="single" w:color="auto" w:sz="4" w:space="0"/>
              <w:left w:val="single" w:color="auto" w:sz="4" w:space="0"/>
              <w:bottom w:val="single" w:color="auto" w:sz="4" w:space="0"/>
              <w:right w:val="single" w:color="auto" w:sz="4" w:space="0"/>
            </w:tcBorders>
            <w:noWrap w:val="0"/>
            <w:vAlign w:val="center"/>
          </w:tcPr>
          <w:p w14:paraId="7DD2C2BA">
            <w:pPr>
              <w:pStyle w:val="55"/>
              <w:bidi w:val="0"/>
              <w:rPr>
                <w:rFonts w:hint="default"/>
                <w:b w:val="0"/>
                <w:bCs w:val="0"/>
                <w:color w:val="000000" w:themeColor="text1"/>
                <w:sz w:val="24"/>
                <w:szCs w:val="24"/>
                <w14:textFill>
                  <w14:solidFill>
                    <w14:schemeClr w14:val="tx1"/>
                  </w14:solidFill>
                </w14:textFill>
              </w:rPr>
            </w:pPr>
            <w:r>
              <w:rPr>
                <w:rFonts w:hint="default"/>
                <w:b w:val="0"/>
                <w:bCs w:val="0"/>
                <w:color w:val="000000" w:themeColor="text1"/>
                <w:sz w:val="24"/>
                <w:szCs w:val="24"/>
                <w14:textFill>
                  <w14:solidFill>
                    <w14:schemeClr w14:val="tx1"/>
                  </w14:solidFill>
                </w14:textFill>
              </w:rPr>
              <w:t>污染源</w:t>
            </w:r>
          </w:p>
        </w:tc>
        <w:tc>
          <w:tcPr>
            <w:tcW w:w="1095" w:type="pct"/>
            <w:tcBorders>
              <w:top w:val="single" w:color="auto" w:sz="4" w:space="0"/>
              <w:left w:val="single" w:color="auto" w:sz="4" w:space="0"/>
              <w:bottom w:val="single" w:color="auto" w:sz="4" w:space="0"/>
              <w:right w:val="single" w:color="auto" w:sz="4" w:space="0"/>
            </w:tcBorders>
            <w:noWrap w:val="0"/>
            <w:vAlign w:val="center"/>
          </w:tcPr>
          <w:p w14:paraId="52318494">
            <w:pPr>
              <w:pStyle w:val="55"/>
              <w:bidi w:val="0"/>
              <w:rPr>
                <w:rFonts w:hint="default"/>
                <w:b w:val="0"/>
                <w:bCs w:val="0"/>
                <w:color w:val="000000" w:themeColor="text1"/>
                <w:sz w:val="24"/>
                <w:szCs w:val="24"/>
                <w14:textFill>
                  <w14:solidFill>
                    <w14:schemeClr w14:val="tx1"/>
                  </w14:solidFill>
                </w14:textFill>
              </w:rPr>
            </w:pPr>
            <w:r>
              <w:rPr>
                <w:rFonts w:hint="default"/>
                <w:b w:val="0"/>
                <w:bCs w:val="0"/>
                <w:color w:val="000000" w:themeColor="text1"/>
                <w:sz w:val="24"/>
                <w:szCs w:val="24"/>
                <w14:textFill>
                  <w14:solidFill>
                    <w14:schemeClr w14:val="tx1"/>
                  </w14:solidFill>
                </w14:textFill>
              </w:rPr>
              <w:t>污染物</w:t>
            </w:r>
          </w:p>
        </w:tc>
        <w:tc>
          <w:tcPr>
            <w:tcW w:w="973" w:type="pct"/>
            <w:tcBorders>
              <w:top w:val="single" w:color="auto" w:sz="4" w:space="0"/>
              <w:left w:val="single" w:color="auto" w:sz="4" w:space="0"/>
              <w:bottom w:val="single" w:color="auto" w:sz="4" w:space="0"/>
              <w:right w:val="single" w:color="auto" w:sz="4" w:space="0"/>
            </w:tcBorders>
            <w:noWrap w:val="0"/>
            <w:vAlign w:val="center"/>
          </w:tcPr>
          <w:p w14:paraId="48A4FD29">
            <w:pPr>
              <w:pStyle w:val="55"/>
              <w:bidi w:val="0"/>
              <w:rPr>
                <w:rFonts w:hint="default"/>
                <w:b w:val="0"/>
                <w:bCs w:val="0"/>
                <w:color w:val="000000" w:themeColor="text1"/>
                <w:sz w:val="24"/>
                <w:szCs w:val="24"/>
                <w14:textFill>
                  <w14:solidFill>
                    <w14:schemeClr w14:val="tx1"/>
                  </w14:solidFill>
                </w14:textFill>
              </w:rPr>
            </w:pPr>
            <w:r>
              <w:rPr>
                <w:rFonts w:hint="default"/>
                <w:b w:val="0"/>
                <w:bCs w:val="0"/>
                <w:color w:val="000000" w:themeColor="text1"/>
                <w:sz w:val="24"/>
                <w:szCs w:val="24"/>
                <w14:textFill>
                  <w14:solidFill>
                    <w14:schemeClr w14:val="tx1"/>
                  </w14:solidFill>
                </w14:textFill>
              </w:rPr>
              <w:t>下风向最大质量浓度Ci(mg/m</w:t>
            </w:r>
            <w:r>
              <w:rPr>
                <w:rFonts w:hint="default"/>
                <w:b w:val="0"/>
                <w:bCs w:val="0"/>
                <w:color w:val="000000" w:themeColor="text1"/>
                <w:sz w:val="24"/>
                <w:szCs w:val="24"/>
                <w:vertAlign w:val="superscript"/>
                <w14:textFill>
                  <w14:solidFill>
                    <w14:schemeClr w14:val="tx1"/>
                  </w14:solidFill>
                </w14:textFill>
              </w:rPr>
              <w:t>3</w:t>
            </w:r>
            <w:r>
              <w:rPr>
                <w:rFonts w:hint="default"/>
                <w:b w:val="0"/>
                <w:bCs w:val="0"/>
                <w:color w:val="000000" w:themeColor="text1"/>
                <w:sz w:val="24"/>
                <w:szCs w:val="24"/>
                <w14:textFill>
                  <w14:solidFill>
                    <w14:schemeClr w14:val="tx1"/>
                  </w14:solidFill>
                </w14:textFill>
              </w:rPr>
              <w:t>)</w:t>
            </w:r>
          </w:p>
        </w:tc>
        <w:tc>
          <w:tcPr>
            <w:tcW w:w="639" w:type="pct"/>
            <w:tcBorders>
              <w:top w:val="single" w:color="auto" w:sz="4" w:space="0"/>
              <w:left w:val="single" w:color="auto" w:sz="4" w:space="0"/>
              <w:bottom w:val="single" w:color="auto" w:sz="4" w:space="0"/>
              <w:right w:val="single" w:color="auto" w:sz="4" w:space="0"/>
            </w:tcBorders>
            <w:noWrap w:val="0"/>
            <w:vAlign w:val="center"/>
          </w:tcPr>
          <w:p w14:paraId="0EF5CD30">
            <w:pPr>
              <w:pStyle w:val="55"/>
              <w:bidi w:val="0"/>
              <w:rPr>
                <w:rFonts w:hint="default"/>
                <w:b w:val="0"/>
                <w:bCs w:val="0"/>
                <w:color w:val="000000" w:themeColor="text1"/>
                <w:sz w:val="24"/>
                <w:szCs w:val="24"/>
                <w14:textFill>
                  <w14:solidFill>
                    <w14:schemeClr w14:val="tx1"/>
                  </w14:solidFill>
                </w14:textFill>
              </w:rPr>
            </w:pPr>
            <w:r>
              <w:rPr>
                <w:rFonts w:hint="default"/>
                <w:b w:val="0"/>
                <w:bCs w:val="0"/>
                <w:color w:val="000000" w:themeColor="text1"/>
                <w:sz w:val="24"/>
                <w:szCs w:val="24"/>
                <w14:textFill>
                  <w14:solidFill>
                    <w14:schemeClr w14:val="tx1"/>
                  </w14:solidFill>
                </w14:textFill>
              </w:rPr>
              <w:t>占标率Pi</w:t>
            </w:r>
          </w:p>
          <w:p w14:paraId="73F5A0BB">
            <w:pPr>
              <w:pStyle w:val="55"/>
              <w:bidi w:val="0"/>
              <w:rPr>
                <w:rFonts w:hint="default"/>
                <w:b w:val="0"/>
                <w:bCs w:val="0"/>
                <w:color w:val="000000" w:themeColor="text1"/>
                <w:sz w:val="24"/>
                <w:szCs w:val="24"/>
                <w14:textFill>
                  <w14:solidFill>
                    <w14:schemeClr w14:val="tx1"/>
                  </w14:solidFill>
                </w14:textFill>
              </w:rPr>
            </w:pPr>
            <w:r>
              <w:rPr>
                <w:rFonts w:hint="default"/>
                <w:b w:val="0"/>
                <w:bCs w:val="0"/>
                <w:color w:val="000000" w:themeColor="text1"/>
                <w:sz w:val="24"/>
                <w:szCs w:val="24"/>
                <w14:textFill>
                  <w14:solidFill>
                    <w14:schemeClr w14:val="tx1"/>
                  </w14:solidFill>
                </w14:textFill>
              </w:rPr>
              <w:t>(%)</w:t>
            </w:r>
          </w:p>
        </w:tc>
        <w:tc>
          <w:tcPr>
            <w:tcW w:w="548" w:type="pct"/>
            <w:tcBorders>
              <w:top w:val="single" w:color="auto" w:sz="4" w:space="0"/>
              <w:left w:val="single" w:color="auto" w:sz="4" w:space="0"/>
              <w:bottom w:val="single" w:color="auto" w:sz="4" w:space="0"/>
              <w:right w:val="single" w:color="auto" w:sz="4" w:space="0"/>
            </w:tcBorders>
            <w:noWrap w:val="0"/>
            <w:vAlign w:val="center"/>
          </w:tcPr>
          <w:p w14:paraId="749DE20D">
            <w:pPr>
              <w:pStyle w:val="55"/>
              <w:bidi w:val="0"/>
              <w:rPr>
                <w:rFonts w:hint="default"/>
                <w:b w:val="0"/>
                <w:bCs w:val="0"/>
                <w:color w:val="000000" w:themeColor="text1"/>
                <w:sz w:val="24"/>
                <w:szCs w:val="24"/>
                <w14:textFill>
                  <w14:solidFill>
                    <w14:schemeClr w14:val="tx1"/>
                  </w14:solidFill>
                </w14:textFill>
              </w:rPr>
            </w:pPr>
            <w:r>
              <w:rPr>
                <w:rFonts w:hint="default"/>
                <w:b w:val="0"/>
                <w:bCs w:val="0"/>
                <w:color w:val="000000" w:themeColor="text1"/>
                <w:sz w:val="24"/>
                <w:szCs w:val="24"/>
                <w14:textFill>
                  <w14:solidFill>
                    <w14:schemeClr w14:val="tx1"/>
                  </w14:solidFill>
                </w14:textFill>
              </w:rPr>
              <w:t>出现距离(m)</w:t>
            </w:r>
          </w:p>
        </w:tc>
        <w:tc>
          <w:tcPr>
            <w:tcW w:w="705" w:type="pct"/>
            <w:tcBorders>
              <w:top w:val="single" w:color="auto" w:sz="4" w:space="0"/>
              <w:left w:val="single" w:color="auto" w:sz="4" w:space="0"/>
              <w:bottom w:val="single" w:color="auto" w:sz="4" w:space="0"/>
              <w:right w:val="single" w:color="auto" w:sz="4" w:space="0"/>
            </w:tcBorders>
            <w:noWrap w:val="0"/>
            <w:vAlign w:val="center"/>
          </w:tcPr>
          <w:p w14:paraId="14500CFF">
            <w:pPr>
              <w:pStyle w:val="55"/>
              <w:bidi w:val="0"/>
              <w:rPr>
                <w:rFonts w:hint="default"/>
                <w:b w:val="0"/>
                <w:bCs w:val="0"/>
                <w:color w:val="000000" w:themeColor="text1"/>
                <w:sz w:val="24"/>
                <w:szCs w:val="24"/>
                <w14:textFill>
                  <w14:solidFill>
                    <w14:schemeClr w14:val="tx1"/>
                  </w14:solidFill>
                </w14:textFill>
              </w:rPr>
            </w:pPr>
            <w:r>
              <w:rPr>
                <w:rFonts w:hint="default"/>
                <w:b w:val="0"/>
                <w:bCs w:val="0"/>
                <w:color w:val="000000" w:themeColor="text1"/>
                <w:sz w:val="24"/>
                <w:szCs w:val="24"/>
                <w14:textFill>
                  <w14:solidFill>
                    <w14:schemeClr w14:val="tx1"/>
                  </w14:solidFill>
                </w14:textFill>
              </w:rPr>
              <w:t>标准值Coi</w:t>
            </w:r>
          </w:p>
          <w:p w14:paraId="4F09AA37">
            <w:pPr>
              <w:pStyle w:val="55"/>
              <w:bidi w:val="0"/>
              <w:rPr>
                <w:rFonts w:hint="default"/>
                <w:b w:val="0"/>
                <w:bCs w:val="0"/>
                <w:color w:val="000000" w:themeColor="text1"/>
                <w:sz w:val="24"/>
                <w:szCs w:val="24"/>
                <w14:textFill>
                  <w14:solidFill>
                    <w14:schemeClr w14:val="tx1"/>
                  </w14:solidFill>
                </w14:textFill>
              </w:rPr>
            </w:pPr>
            <w:r>
              <w:rPr>
                <w:rFonts w:hint="default"/>
                <w:b w:val="0"/>
                <w:bCs w:val="0"/>
                <w:color w:val="000000" w:themeColor="text1"/>
                <w:sz w:val="24"/>
                <w:szCs w:val="24"/>
                <w14:textFill>
                  <w14:solidFill>
                    <w14:schemeClr w14:val="tx1"/>
                  </w14:solidFill>
                </w14:textFill>
              </w:rPr>
              <w:t>(mg/m</w:t>
            </w:r>
            <w:r>
              <w:rPr>
                <w:rFonts w:hint="default"/>
                <w:b w:val="0"/>
                <w:bCs w:val="0"/>
                <w:color w:val="000000" w:themeColor="text1"/>
                <w:sz w:val="24"/>
                <w:szCs w:val="24"/>
                <w:vertAlign w:val="superscript"/>
                <w14:textFill>
                  <w14:solidFill>
                    <w14:schemeClr w14:val="tx1"/>
                  </w14:solidFill>
                </w14:textFill>
              </w:rPr>
              <w:t>3</w:t>
            </w:r>
            <w:r>
              <w:rPr>
                <w:rFonts w:hint="default"/>
                <w:b w:val="0"/>
                <w:bCs w:val="0"/>
                <w:color w:val="000000" w:themeColor="text1"/>
                <w:sz w:val="24"/>
                <w:szCs w:val="24"/>
                <w14:textFill>
                  <w14:solidFill>
                    <w14:schemeClr w14:val="tx1"/>
                  </w14:solidFill>
                </w14:textFill>
              </w:rPr>
              <w:t>)</w:t>
            </w:r>
          </w:p>
        </w:tc>
      </w:tr>
      <w:tr w14:paraId="7B068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6" w:type="pct"/>
            <w:vMerge w:val="restart"/>
            <w:tcBorders>
              <w:top w:val="single" w:color="auto" w:sz="4" w:space="0"/>
              <w:left w:val="single" w:color="auto" w:sz="4" w:space="0"/>
              <w:right w:val="single" w:color="auto" w:sz="4" w:space="0"/>
            </w:tcBorders>
            <w:noWrap w:val="0"/>
            <w:vAlign w:val="center"/>
          </w:tcPr>
          <w:p w14:paraId="4860D58B">
            <w:pPr>
              <w:pStyle w:val="55"/>
              <w:bidi w:val="0"/>
              <w:rPr>
                <w:rFonts w:hint="default"/>
                <w:b w:val="0"/>
                <w:bCs w:val="0"/>
                <w:color w:val="000000" w:themeColor="text1"/>
                <w:sz w:val="24"/>
                <w:szCs w:val="24"/>
                <w14:textFill>
                  <w14:solidFill>
                    <w14:schemeClr w14:val="tx1"/>
                  </w14:solidFill>
                </w14:textFill>
              </w:rPr>
            </w:pPr>
            <w:r>
              <w:rPr>
                <w:rFonts w:hint="default"/>
                <w:b w:val="0"/>
                <w:bCs w:val="0"/>
                <w:color w:val="000000" w:themeColor="text1"/>
                <w:sz w:val="24"/>
                <w:szCs w:val="24"/>
                <w:lang w:val="en-US" w:eastAsia="zh-CN"/>
                <w14:textFill>
                  <w14:solidFill>
                    <w14:schemeClr w14:val="tx1"/>
                  </w14:solidFill>
                </w14:textFill>
              </w:rPr>
              <w:t>点</w:t>
            </w:r>
            <w:r>
              <w:rPr>
                <w:rFonts w:hint="default"/>
                <w:b w:val="0"/>
                <w:bCs w:val="0"/>
                <w:color w:val="000000" w:themeColor="text1"/>
                <w:sz w:val="24"/>
                <w:szCs w:val="24"/>
                <w14:textFill>
                  <w14:solidFill>
                    <w14:schemeClr w14:val="tx1"/>
                  </w14:solidFill>
                </w14:textFill>
              </w:rPr>
              <w:t>源</w:t>
            </w:r>
          </w:p>
        </w:tc>
        <w:tc>
          <w:tcPr>
            <w:tcW w:w="601" w:type="pct"/>
            <w:vMerge w:val="restart"/>
            <w:tcBorders>
              <w:top w:val="single" w:color="auto" w:sz="4" w:space="0"/>
              <w:left w:val="single" w:color="auto" w:sz="4" w:space="0"/>
              <w:right w:val="single" w:color="auto" w:sz="4" w:space="0"/>
            </w:tcBorders>
            <w:noWrap w:val="0"/>
            <w:vAlign w:val="center"/>
          </w:tcPr>
          <w:p w14:paraId="489E84C1">
            <w:pPr>
              <w:pStyle w:val="55"/>
              <w:bidi w:val="0"/>
              <w:rPr>
                <w:rFonts w:hint="default"/>
                <w:b w:val="0"/>
                <w:bCs w:val="0"/>
                <w:color w:val="000000" w:themeColor="text1"/>
                <w:sz w:val="24"/>
                <w:szCs w:val="24"/>
                <w:lang w:val="en-US"/>
                <w14:textFill>
                  <w14:solidFill>
                    <w14:schemeClr w14:val="tx1"/>
                  </w14:solidFill>
                </w14:textFill>
              </w:rPr>
            </w:pPr>
            <w:r>
              <w:rPr>
                <w:rFonts w:hint="eastAsia"/>
                <w:b w:val="0"/>
                <w:bCs w:val="0"/>
                <w:color w:val="000000" w:themeColor="text1"/>
                <w:sz w:val="24"/>
                <w:szCs w:val="24"/>
                <w:lang w:val="en-US" w:eastAsia="zh-CN"/>
                <w14:textFill>
                  <w14:solidFill>
                    <w14:schemeClr w14:val="tx1"/>
                  </w14:solidFill>
                </w14:textFill>
              </w:rPr>
              <w:t>DA001</w:t>
            </w:r>
          </w:p>
        </w:tc>
        <w:tc>
          <w:tcPr>
            <w:tcW w:w="1095" w:type="pct"/>
            <w:tcBorders>
              <w:top w:val="single" w:color="auto" w:sz="4" w:space="0"/>
              <w:left w:val="single" w:color="auto" w:sz="4" w:space="0"/>
              <w:bottom w:val="single" w:color="auto" w:sz="4" w:space="0"/>
              <w:right w:val="single" w:color="auto" w:sz="4" w:space="0"/>
            </w:tcBorders>
            <w:noWrap w:val="0"/>
            <w:vAlign w:val="center"/>
          </w:tcPr>
          <w:p w14:paraId="35ECC8AE">
            <w:pPr>
              <w:pStyle w:val="55"/>
              <w:bidi w:val="0"/>
              <w:rPr>
                <w:rFonts w:hint="default"/>
                <w:b w:val="0"/>
                <w:bCs w:val="0"/>
                <w:color w:val="000000" w:themeColor="text1"/>
                <w:sz w:val="24"/>
                <w:szCs w:val="24"/>
                <w14:textFill>
                  <w14:solidFill>
                    <w14:schemeClr w14:val="tx1"/>
                  </w14:solidFill>
                </w14:textFill>
              </w:rPr>
            </w:pPr>
            <w:r>
              <w:rPr>
                <w:rFonts w:hint="eastAsia"/>
                <w:sz w:val="24"/>
                <w:szCs w:val="24"/>
                <w:lang w:val="en-US" w:eastAsia="zh-CN"/>
              </w:rPr>
              <w:t>颗粒物</w:t>
            </w:r>
          </w:p>
        </w:tc>
        <w:tc>
          <w:tcPr>
            <w:tcW w:w="1807" w:type="dxa"/>
            <w:tcBorders>
              <w:top w:val="single" w:color="auto" w:sz="4" w:space="0"/>
              <w:left w:val="single" w:color="auto" w:sz="4" w:space="0"/>
              <w:bottom w:val="single" w:color="auto" w:sz="4" w:space="0"/>
              <w:right w:val="single" w:color="auto" w:sz="4" w:space="0"/>
            </w:tcBorders>
            <w:noWrap w:val="0"/>
            <w:vAlign w:val="center"/>
          </w:tcPr>
          <w:p w14:paraId="4FD139BB">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b w:val="0"/>
                <w:bCs w:val="0"/>
                <w:color w:val="000000" w:themeColor="text1"/>
                <w:sz w:val="24"/>
                <w:szCs w:val="24"/>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0.0296</w:t>
            </w:r>
          </w:p>
        </w:tc>
        <w:tc>
          <w:tcPr>
            <w:tcW w:w="1187" w:type="dxa"/>
            <w:tcBorders>
              <w:top w:val="single" w:color="auto" w:sz="4" w:space="0"/>
              <w:left w:val="single" w:color="auto" w:sz="4" w:space="0"/>
              <w:bottom w:val="single" w:color="auto" w:sz="4" w:space="0"/>
              <w:right w:val="single" w:color="auto" w:sz="4" w:space="0"/>
            </w:tcBorders>
            <w:noWrap w:val="0"/>
            <w:vAlign w:val="center"/>
          </w:tcPr>
          <w:p w14:paraId="0B4DA8AF">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b w:val="0"/>
                <w:bCs w:val="0"/>
                <w:color w:val="000000" w:themeColor="text1"/>
                <w:sz w:val="24"/>
                <w:szCs w:val="24"/>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6.58</w:t>
            </w:r>
          </w:p>
        </w:tc>
        <w:tc>
          <w:tcPr>
            <w:tcW w:w="548" w:type="pct"/>
            <w:vMerge w:val="restart"/>
            <w:tcBorders>
              <w:top w:val="single" w:color="auto" w:sz="4" w:space="0"/>
              <w:left w:val="single" w:color="auto" w:sz="4" w:space="0"/>
              <w:right w:val="single" w:color="auto" w:sz="4" w:space="0"/>
            </w:tcBorders>
            <w:noWrap w:val="0"/>
            <w:vAlign w:val="center"/>
          </w:tcPr>
          <w:p w14:paraId="3230238C">
            <w:pPr>
              <w:pStyle w:val="55"/>
              <w:bidi w:val="0"/>
              <w:rPr>
                <w:rFonts w:hint="default"/>
                <w:b w:val="0"/>
                <w:bCs w:val="0"/>
                <w:color w:val="000000" w:themeColor="text1"/>
                <w:sz w:val="24"/>
                <w:szCs w:val="24"/>
                <w:lang w:val="en-US" w:eastAsia="zh-CN"/>
                <w14:textFill>
                  <w14:solidFill>
                    <w14:schemeClr w14:val="tx1"/>
                  </w14:solidFill>
                </w14:textFill>
              </w:rPr>
            </w:pPr>
            <w:r>
              <w:rPr>
                <w:rFonts w:hint="eastAsia"/>
                <w:b w:val="0"/>
                <w:bCs w:val="0"/>
                <w:color w:val="000000" w:themeColor="text1"/>
                <w:sz w:val="24"/>
                <w:szCs w:val="24"/>
                <w:lang w:val="en-US" w:eastAsia="zh-CN"/>
                <w14:textFill>
                  <w14:solidFill>
                    <w14:schemeClr w14:val="tx1"/>
                  </w14:solidFill>
                </w14:textFill>
              </w:rPr>
              <w:t>55</w:t>
            </w:r>
          </w:p>
        </w:tc>
        <w:tc>
          <w:tcPr>
            <w:tcW w:w="705" w:type="pct"/>
            <w:tcBorders>
              <w:top w:val="single" w:color="auto" w:sz="4" w:space="0"/>
              <w:left w:val="single" w:color="auto" w:sz="4" w:space="0"/>
              <w:bottom w:val="single" w:color="auto" w:sz="4" w:space="0"/>
              <w:right w:val="single" w:color="auto" w:sz="4" w:space="0"/>
            </w:tcBorders>
            <w:noWrap w:val="0"/>
            <w:vAlign w:val="center"/>
          </w:tcPr>
          <w:p w14:paraId="6CBA913D">
            <w:pPr>
              <w:pStyle w:val="55"/>
              <w:bidi w:val="0"/>
              <w:rPr>
                <w:rFonts w:hint="default"/>
                <w:b w:val="0"/>
                <w:bCs w:val="0"/>
                <w:color w:val="000000" w:themeColor="text1"/>
                <w:sz w:val="24"/>
                <w:szCs w:val="24"/>
                <w:lang w:val="en-US" w:eastAsia="zh-CN"/>
                <w14:textFill>
                  <w14:solidFill>
                    <w14:schemeClr w14:val="tx1"/>
                  </w14:solidFill>
                </w14:textFill>
              </w:rPr>
            </w:pPr>
            <w:r>
              <w:rPr>
                <w:rFonts w:hint="default"/>
                <w:b w:val="0"/>
                <w:bCs w:val="0"/>
                <w:color w:val="000000" w:themeColor="text1"/>
                <w:sz w:val="24"/>
                <w:szCs w:val="24"/>
                <w14:textFill>
                  <w14:solidFill>
                    <w14:schemeClr w14:val="tx1"/>
                  </w14:solidFill>
                </w14:textFill>
              </w:rPr>
              <w:t>0.</w:t>
            </w:r>
            <w:r>
              <w:rPr>
                <w:rFonts w:hint="default"/>
                <w:b w:val="0"/>
                <w:bCs w:val="0"/>
                <w:color w:val="000000" w:themeColor="text1"/>
                <w:sz w:val="24"/>
                <w:szCs w:val="24"/>
                <w:lang w:val="en-US" w:eastAsia="zh-CN"/>
                <w14:textFill>
                  <w14:solidFill>
                    <w14:schemeClr w14:val="tx1"/>
                  </w14:solidFill>
                </w14:textFill>
              </w:rPr>
              <w:t>4</w:t>
            </w:r>
            <w:r>
              <w:rPr>
                <w:rFonts w:hint="default"/>
                <w:b w:val="0"/>
                <w:bCs w:val="0"/>
                <w:color w:val="000000" w:themeColor="text1"/>
                <w:sz w:val="24"/>
                <w:szCs w:val="24"/>
                <w14:textFill>
                  <w14:solidFill>
                    <w14:schemeClr w14:val="tx1"/>
                  </w14:solidFill>
                </w14:textFill>
              </w:rPr>
              <w:t>5</w:t>
            </w:r>
          </w:p>
        </w:tc>
      </w:tr>
      <w:tr w14:paraId="667B0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6" w:type="pct"/>
            <w:vMerge w:val="continue"/>
            <w:tcBorders>
              <w:left w:val="single" w:color="auto" w:sz="4" w:space="0"/>
              <w:right w:val="single" w:color="auto" w:sz="4" w:space="0"/>
            </w:tcBorders>
            <w:noWrap w:val="0"/>
            <w:vAlign w:val="center"/>
          </w:tcPr>
          <w:p w14:paraId="18A373E7">
            <w:pPr>
              <w:pStyle w:val="55"/>
              <w:bidi w:val="0"/>
              <w:rPr>
                <w:rFonts w:hint="default"/>
                <w:b w:val="0"/>
                <w:bCs w:val="0"/>
                <w:color w:val="000000" w:themeColor="text1"/>
                <w:sz w:val="24"/>
                <w:szCs w:val="24"/>
                <w:lang w:val="en-US" w:eastAsia="zh-CN"/>
                <w14:textFill>
                  <w14:solidFill>
                    <w14:schemeClr w14:val="tx1"/>
                  </w14:solidFill>
                </w14:textFill>
              </w:rPr>
            </w:pPr>
          </w:p>
        </w:tc>
        <w:tc>
          <w:tcPr>
            <w:tcW w:w="601" w:type="pct"/>
            <w:vMerge w:val="continue"/>
            <w:tcBorders>
              <w:left w:val="single" w:color="auto" w:sz="4" w:space="0"/>
              <w:right w:val="single" w:color="auto" w:sz="4" w:space="0"/>
            </w:tcBorders>
            <w:noWrap w:val="0"/>
            <w:vAlign w:val="center"/>
          </w:tcPr>
          <w:p w14:paraId="11C1469A">
            <w:pPr>
              <w:pStyle w:val="55"/>
              <w:bidi w:val="0"/>
              <w:rPr>
                <w:rFonts w:hint="eastAsia"/>
                <w:b w:val="0"/>
                <w:bCs w:val="0"/>
                <w:color w:val="000000" w:themeColor="text1"/>
                <w:sz w:val="24"/>
                <w:szCs w:val="24"/>
                <w:lang w:val="en-US" w:eastAsia="zh-CN"/>
                <w14:textFill>
                  <w14:solidFill>
                    <w14:schemeClr w14:val="tx1"/>
                  </w14:solidFill>
                </w14:textFill>
              </w:rPr>
            </w:pPr>
          </w:p>
        </w:tc>
        <w:tc>
          <w:tcPr>
            <w:tcW w:w="1095" w:type="pct"/>
            <w:tcBorders>
              <w:top w:val="single" w:color="auto" w:sz="4" w:space="0"/>
              <w:left w:val="single" w:color="auto" w:sz="4" w:space="0"/>
              <w:bottom w:val="single" w:color="auto" w:sz="4" w:space="0"/>
              <w:right w:val="single" w:color="auto" w:sz="4" w:space="0"/>
            </w:tcBorders>
            <w:noWrap w:val="0"/>
            <w:vAlign w:val="center"/>
          </w:tcPr>
          <w:p w14:paraId="3D7B0A03">
            <w:pPr>
              <w:pStyle w:val="55"/>
              <w:bidi w:val="0"/>
              <w:rPr>
                <w:rFonts w:hint="default"/>
                <w:b w:val="0"/>
                <w:bCs w:val="0"/>
                <w:color w:val="000000" w:themeColor="text1"/>
                <w:sz w:val="24"/>
                <w:szCs w:val="24"/>
                <w14:textFill>
                  <w14:solidFill>
                    <w14:schemeClr w14:val="tx1"/>
                  </w14:solidFill>
                </w14:textFill>
              </w:rPr>
            </w:pPr>
            <w:r>
              <w:rPr>
                <w:rFonts w:hint="default"/>
                <w:b w:val="0"/>
                <w:bCs w:val="0"/>
                <w:color w:val="000000" w:themeColor="text1"/>
                <w:sz w:val="24"/>
                <w:szCs w:val="24"/>
                <w:lang w:val="en-US" w:eastAsia="zh-CN"/>
                <w14:textFill>
                  <w14:solidFill>
                    <w14:schemeClr w14:val="tx1"/>
                  </w14:solidFill>
                </w14:textFill>
              </w:rPr>
              <w:t>非甲烷总烃</w:t>
            </w:r>
          </w:p>
        </w:tc>
        <w:tc>
          <w:tcPr>
            <w:tcW w:w="1807" w:type="dxa"/>
            <w:tcBorders>
              <w:top w:val="single" w:color="auto" w:sz="4" w:space="0"/>
              <w:left w:val="single" w:color="auto" w:sz="4" w:space="0"/>
              <w:bottom w:val="single" w:color="auto" w:sz="4" w:space="0"/>
              <w:right w:val="single" w:color="auto" w:sz="4" w:space="0"/>
            </w:tcBorders>
            <w:noWrap w:val="0"/>
            <w:vAlign w:val="center"/>
          </w:tcPr>
          <w:p w14:paraId="77D30D33">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b w:val="0"/>
                <w:bCs w:val="0"/>
                <w:color w:val="000000" w:themeColor="text1"/>
                <w:sz w:val="24"/>
                <w:szCs w:val="24"/>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0.0495</w:t>
            </w:r>
          </w:p>
        </w:tc>
        <w:tc>
          <w:tcPr>
            <w:tcW w:w="1187" w:type="dxa"/>
            <w:tcBorders>
              <w:top w:val="single" w:color="auto" w:sz="4" w:space="0"/>
              <w:left w:val="single" w:color="auto" w:sz="4" w:space="0"/>
              <w:bottom w:val="single" w:color="auto" w:sz="4" w:space="0"/>
              <w:right w:val="single" w:color="auto" w:sz="4" w:space="0"/>
            </w:tcBorders>
            <w:noWrap w:val="0"/>
            <w:vAlign w:val="center"/>
          </w:tcPr>
          <w:p w14:paraId="25405378">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b w:val="0"/>
                <w:bCs w:val="0"/>
                <w:color w:val="000000" w:themeColor="text1"/>
                <w:sz w:val="24"/>
                <w:szCs w:val="24"/>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2.47</w:t>
            </w:r>
          </w:p>
        </w:tc>
        <w:tc>
          <w:tcPr>
            <w:tcW w:w="548" w:type="pct"/>
            <w:vMerge w:val="continue"/>
            <w:tcBorders>
              <w:left w:val="single" w:color="auto" w:sz="4" w:space="0"/>
              <w:right w:val="single" w:color="auto" w:sz="4" w:space="0"/>
            </w:tcBorders>
            <w:noWrap w:val="0"/>
            <w:vAlign w:val="center"/>
          </w:tcPr>
          <w:p w14:paraId="0411D2F3">
            <w:pPr>
              <w:pStyle w:val="55"/>
              <w:bidi w:val="0"/>
              <w:rPr>
                <w:rFonts w:hint="eastAsia"/>
                <w:b w:val="0"/>
                <w:bCs w:val="0"/>
                <w:color w:val="000000" w:themeColor="text1"/>
                <w:sz w:val="24"/>
                <w:szCs w:val="24"/>
                <w:lang w:val="en-US" w:eastAsia="zh-CN"/>
                <w14:textFill>
                  <w14:solidFill>
                    <w14:schemeClr w14:val="tx1"/>
                  </w14:solidFill>
                </w14:textFill>
              </w:rPr>
            </w:pPr>
          </w:p>
        </w:tc>
        <w:tc>
          <w:tcPr>
            <w:tcW w:w="705" w:type="pct"/>
            <w:tcBorders>
              <w:top w:val="single" w:color="auto" w:sz="4" w:space="0"/>
              <w:left w:val="single" w:color="auto" w:sz="4" w:space="0"/>
              <w:bottom w:val="single" w:color="auto" w:sz="4" w:space="0"/>
              <w:right w:val="single" w:color="auto" w:sz="4" w:space="0"/>
            </w:tcBorders>
            <w:noWrap w:val="0"/>
            <w:vAlign w:val="center"/>
          </w:tcPr>
          <w:p w14:paraId="3CBCE53D">
            <w:pPr>
              <w:pStyle w:val="55"/>
              <w:bidi w:val="0"/>
              <w:rPr>
                <w:rFonts w:hint="default" w:eastAsia="楷体"/>
                <w:b w:val="0"/>
                <w:bCs w:val="0"/>
                <w:color w:val="000000" w:themeColor="text1"/>
                <w:sz w:val="24"/>
                <w:szCs w:val="24"/>
                <w:lang w:val="en-US" w:eastAsia="zh-CN"/>
                <w14:textFill>
                  <w14:solidFill>
                    <w14:schemeClr w14:val="tx1"/>
                  </w14:solidFill>
                </w14:textFill>
              </w:rPr>
            </w:pPr>
            <w:r>
              <w:rPr>
                <w:rFonts w:hint="eastAsia"/>
                <w:b w:val="0"/>
                <w:bCs w:val="0"/>
                <w:color w:val="000000" w:themeColor="text1"/>
                <w:sz w:val="24"/>
                <w:szCs w:val="24"/>
                <w:lang w:val="en-US" w:eastAsia="zh-CN"/>
                <w14:textFill>
                  <w14:solidFill>
                    <w14:schemeClr w14:val="tx1"/>
                  </w14:solidFill>
                </w14:textFill>
              </w:rPr>
              <w:t>2.0</w:t>
            </w:r>
          </w:p>
        </w:tc>
      </w:tr>
      <w:tr w14:paraId="5F404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6" w:type="pct"/>
            <w:vMerge w:val="continue"/>
            <w:tcBorders>
              <w:left w:val="single" w:color="auto" w:sz="4" w:space="0"/>
              <w:right w:val="single" w:color="auto" w:sz="4" w:space="0"/>
            </w:tcBorders>
            <w:noWrap w:val="0"/>
            <w:vAlign w:val="center"/>
          </w:tcPr>
          <w:p w14:paraId="0E5BCA44">
            <w:pPr>
              <w:pStyle w:val="55"/>
              <w:bidi w:val="0"/>
              <w:rPr>
                <w:rFonts w:hint="default"/>
                <w:b w:val="0"/>
                <w:bCs w:val="0"/>
                <w:color w:val="000000" w:themeColor="text1"/>
                <w:sz w:val="24"/>
                <w:szCs w:val="24"/>
                <w:lang w:val="en-US" w:eastAsia="zh-CN"/>
                <w14:textFill>
                  <w14:solidFill>
                    <w14:schemeClr w14:val="tx1"/>
                  </w14:solidFill>
                </w14:textFill>
              </w:rPr>
            </w:pPr>
          </w:p>
        </w:tc>
        <w:tc>
          <w:tcPr>
            <w:tcW w:w="601" w:type="pct"/>
            <w:vMerge w:val="continue"/>
            <w:tcBorders>
              <w:left w:val="single" w:color="auto" w:sz="4" w:space="0"/>
              <w:right w:val="single" w:color="auto" w:sz="4" w:space="0"/>
            </w:tcBorders>
            <w:noWrap w:val="0"/>
            <w:vAlign w:val="center"/>
          </w:tcPr>
          <w:p w14:paraId="1D2F5194">
            <w:pPr>
              <w:pStyle w:val="55"/>
              <w:bidi w:val="0"/>
              <w:rPr>
                <w:rFonts w:hint="eastAsia"/>
                <w:b w:val="0"/>
                <w:bCs w:val="0"/>
                <w:color w:val="000000" w:themeColor="text1"/>
                <w:sz w:val="24"/>
                <w:szCs w:val="24"/>
                <w:lang w:val="en-US" w:eastAsia="zh-CN"/>
                <w14:textFill>
                  <w14:solidFill>
                    <w14:schemeClr w14:val="tx1"/>
                  </w14:solidFill>
                </w14:textFill>
              </w:rPr>
            </w:pPr>
          </w:p>
        </w:tc>
        <w:tc>
          <w:tcPr>
            <w:tcW w:w="1095" w:type="pct"/>
            <w:tcBorders>
              <w:top w:val="single" w:color="auto" w:sz="4" w:space="0"/>
              <w:left w:val="single" w:color="auto" w:sz="4" w:space="0"/>
              <w:bottom w:val="single" w:color="auto" w:sz="4" w:space="0"/>
              <w:right w:val="single" w:color="auto" w:sz="4" w:space="0"/>
            </w:tcBorders>
            <w:noWrap w:val="0"/>
            <w:vAlign w:val="center"/>
          </w:tcPr>
          <w:p w14:paraId="42371423">
            <w:pPr>
              <w:pStyle w:val="55"/>
              <w:bidi w:val="0"/>
              <w:rPr>
                <w:rFonts w:hint="eastAsia" w:eastAsia="楷体"/>
                <w:b w:val="0"/>
                <w:bCs w:val="0"/>
                <w:color w:val="000000" w:themeColor="text1"/>
                <w:sz w:val="24"/>
                <w:szCs w:val="24"/>
                <w:lang w:val="en-US" w:eastAsia="zh-CN"/>
                <w14:textFill>
                  <w14:solidFill>
                    <w14:schemeClr w14:val="tx1"/>
                  </w14:solidFill>
                </w14:textFill>
              </w:rPr>
            </w:pPr>
            <w:r>
              <w:rPr>
                <w:rFonts w:hint="eastAsia"/>
                <w:b w:val="0"/>
                <w:bCs w:val="0"/>
                <w:color w:val="000000" w:themeColor="text1"/>
                <w:sz w:val="24"/>
                <w:szCs w:val="24"/>
                <w:lang w:val="en-US" w:eastAsia="zh-CN"/>
                <w14:textFill>
                  <w14:solidFill>
                    <w14:schemeClr w14:val="tx1"/>
                  </w14:solidFill>
                </w14:textFill>
              </w:rPr>
              <w:t>HCl</w:t>
            </w:r>
          </w:p>
        </w:tc>
        <w:tc>
          <w:tcPr>
            <w:tcW w:w="1807" w:type="dxa"/>
            <w:tcBorders>
              <w:top w:val="single" w:color="auto" w:sz="4" w:space="0"/>
              <w:left w:val="single" w:color="auto" w:sz="4" w:space="0"/>
              <w:bottom w:val="single" w:color="auto" w:sz="4" w:space="0"/>
              <w:right w:val="single" w:color="auto" w:sz="4" w:space="0"/>
            </w:tcBorders>
            <w:noWrap w:val="0"/>
            <w:vAlign w:val="center"/>
          </w:tcPr>
          <w:p w14:paraId="4430D538">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b w:val="0"/>
                <w:bCs w:val="0"/>
                <w:color w:val="000000" w:themeColor="text1"/>
                <w:sz w:val="24"/>
                <w:szCs w:val="24"/>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0.0000</w:t>
            </w:r>
          </w:p>
        </w:tc>
        <w:tc>
          <w:tcPr>
            <w:tcW w:w="1187" w:type="dxa"/>
            <w:tcBorders>
              <w:top w:val="single" w:color="auto" w:sz="4" w:space="0"/>
              <w:left w:val="single" w:color="auto" w:sz="4" w:space="0"/>
              <w:bottom w:val="single" w:color="auto" w:sz="4" w:space="0"/>
              <w:right w:val="single" w:color="auto" w:sz="4" w:space="0"/>
            </w:tcBorders>
            <w:noWrap w:val="0"/>
            <w:vAlign w:val="center"/>
          </w:tcPr>
          <w:p w14:paraId="6E781EE9">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b w:val="0"/>
                <w:bCs w:val="0"/>
                <w:color w:val="000000" w:themeColor="text1"/>
                <w:sz w:val="24"/>
                <w:szCs w:val="24"/>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0.00</w:t>
            </w:r>
          </w:p>
        </w:tc>
        <w:tc>
          <w:tcPr>
            <w:tcW w:w="548" w:type="pct"/>
            <w:vMerge w:val="continue"/>
            <w:tcBorders>
              <w:left w:val="single" w:color="auto" w:sz="4" w:space="0"/>
              <w:right w:val="single" w:color="auto" w:sz="4" w:space="0"/>
            </w:tcBorders>
            <w:noWrap w:val="0"/>
            <w:vAlign w:val="center"/>
          </w:tcPr>
          <w:p w14:paraId="7A748E57">
            <w:pPr>
              <w:pStyle w:val="55"/>
              <w:bidi w:val="0"/>
              <w:rPr>
                <w:rFonts w:hint="eastAsia"/>
                <w:b w:val="0"/>
                <w:bCs w:val="0"/>
                <w:color w:val="000000" w:themeColor="text1"/>
                <w:sz w:val="24"/>
                <w:szCs w:val="24"/>
                <w:lang w:val="en-US" w:eastAsia="zh-CN"/>
                <w14:textFill>
                  <w14:solidFill>
                    <w14:schemeClr w14:val="tx1"/>
                  </w14:solidFill>
                </w14:textFill>
              </w:rPr>
            </w:pPr>
          </w:p>
        </w:tc>
        <w:tc>
          <w:tcPr>
            <w:tcW w:w="705" w:type="pct"/>
            <w:tcBorders>
              <w:top w:val="single" w:color="auto" w:sz="4" w:space="0"/>
              <w:left w:val="single" w:color="auto" w:sz="4" w:space="0"/>
              <w:bottom w:val="single" w:color="auto" w:sz="4" w:space="0"/>
              <w:right w:val="single" w:color="auto" w:sz="4" w:space="0"/>
            </w:tcBorders>
            <w:noWrap w:val="0"/>
            <w:vAlign w:val="center"/>
          </w:tcPr>
          <w:p w14:paraId="3D01E7A8">
            <w:pPr>
              <w:pStyle w:val="55"/>
              <w:bidi w:val="0"/>
              <w:rPr>
                <w:rFonts w:hint="default"/>
                <w:b w:val="0"/>
                <w:bCs w:val="0"/>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0.05</w:t>
            </w:r>
          </w:p>
        </w:tc>
      </w:tr>
      <w:tr w14:paraId="480AE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6" w:type="pct"/>
            <w:vMerge w:val="continue"/>
            <w:tcBorders>
              <w:left w:val="single" w:color="auto" w:sz="4" w:space="0"/>
              <w:right w:val="single" w:color="auto" w:sz="4" w:space="0"/>
            </w:tcBorders>
            <w:noWrap w:val="0"/>
            <w:vAlign w:val="center"/>
          </w:tcPr>
          <w:p w14:paraId="36E53414">
            <w:pPr>
              <w:pStyle w:val="55"/>
              <w:bidi w:val="0"/>
              <w:rPr>
                <w:rFonts w:hint="default"/>
                <w:b w:val="0"/>
                <w:bCs w:val="0"/>
                <w:color w:val="000000" w:themeColor="text1"/>
                <w:sz w:val="24"/>
                <w:szCs w:val="24"/>
                <w:lang w:val="en-US" w:eastAsia="zh-CN"/>
                <w14:textFill>
                  <w14:solidFill>
                    <w14:schemeClr w14:val="tx1"/>
                  </w14:solidFill>
                </w14:textFill>
              </w:rPr>
            </w:pPr>
          </w:p>
        </w:tc>
        <w:tc>
          <w:tcPr>
            <w:tcW w:w="601" w:type="pct"/>
            <w:vMerge w:val="restart"/>
            <w:tcBorders>
              <w:left w:val="single" w:color="auto" w:sz="4" w:space="0"/>
              <w:right w:val="single" w:color="auto" w:sz="4" w:space="0"/>
            </w:tcBorders>
            <w:noWrap w:val="0"/>
            <w:vAlign w:val="center"/>
          </w:tcPr>
          <w:p w14:paraId="333BA961">
            <w:pPr>
              <w:pStyle w:val="55"/>
              <w:bidi w:val="0"/>
              <w:rPr>
                <w:rFonts w:hint="default"/>
                <w:b w:val="0"/>
                <w:bCs w:val="0"/>
                <w:color w:val="000000" w:themeColor="text1"/>
                <w:sz w:val="24"/>
                <w:szCs w:val="24"/>
                <w:lang w:val="en-US" w:eastAsia="zh-CN"/>
                <w14:textFill>
                  <w14:solidFill>
                    <w14:schemeClr w14:val="tx1"/>
                  </w14:solidFill>
                </w14:textFill>
              </w:rPr>
            </w:pPr>
            <w:r>
              <w:rPr>
                <w:rFonts w:hint="eastAsia"/>
                <w:b w:val="0"/>
                <w:bCs w:val="0"/>
                <w:color w:val="000000" w:themeColor="text1"/>
                <w:sz w:val="24"/>
                <w:szCs w:val="24"/>
                <w:lang w:val="en-US" w:eastAsia="zh-CN"/>
                <w14:textFill>
                  <w14:solidFill>
                    <w14:schemeClr w14:val="tx1"/>
                  </w14:solidFill>
                </w14:textFill>
              </w:rPr>
              <w:t>DA002</w:t>
            </w:r>
          </w:p>
        </w:tc>
        <w:tc>
          <w:tcPr>
            <w:tcW w:w="1095" w:type="pct"/>
            <w:tcBorders>
              <w:top w:val="single" w:color="auto" w:sz="4" w:space="0"/>
              <w:left w:val="single" w:color="auto" w:sz="4" w:space="0"/>
              <w:bottom w:val="single" w:color="auto" w:sz="4" w:space="0"/>
              <w:right w:val="single" w:color="auto" w:sz="4" w:space="0"/>
            </w:tcBorders>
            <w:noWrap w:val="0"/>
            <w:vAlign w:val="center"/>
          </w:tcPr>
          <w:p w14:paraId="4D39731A">
            <w:pPr>
              <w:pStyle w:val="55"/>
              <w:bidi w:val="0"/>
              <w:rPr>
                <w:rFonts w:hint="default"/>
                <w:b w:val="0"/>
                <w:bCs w:val="0"/>
                <w:color w:val="000000" w:themeColor="text1"/>
                <w:sz w:val="24"/>
                <w:szCs w:val="24"/>
                <w:lang w:val="en-US" w:eastAsia="zh-CN"/>
                <w14:textFill>
                  <w14:solidFill>
                    <w14:schemeClr w14:val="tx1"/>
                  </w14:solidFill>
                </w14:textFill>
              </w:rPr>
            </w:pPr>
            <w:r>
              <w:rPr>
                <w:rFonts w:hint="eastAsia"/>
                <w:sz w:val="24"/>
                <w:szCs w:val="24"/>
                <w:lang w:val="en-US" w:eastAsia="zh-CN"/>
              </w:rPr>
              <w:t>颗粒物</w:t>
            </w:r>
          </w:p>
        </w:tc>
        <w:tc>
          <w:tcPr>
            <w:tcW w:w="1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3684B08">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ascii="Times New Roman" w:hAnsi="Times New Roman" w:eastAsia="楷体" w:cstheme="minorBidi"/>
                <w:b w:val="0"/>
                <w:bCs w:val="0"/>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0.0296</w:t>
            </w:r>
          </w:p>
        </w:tc>
        <w:tc>
          <w:tcPr>
            <w:tcW w:w="118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4EF7614">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ascii="Times New Roman" w:hAnsi="Times New Roman" w:eastAsia="楷体" w:cstheme="minorBidi"/>
                <w:b w:val="0"/>
                <w:bCs w:val="0"/>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6.58</w:t>
            </w:r>
          </w:p>
        </w:tc>
        <w:tc>
          <w:tcPr>
            <w:tcW w:w="548" w:type="pct"/>
            <w:vMerge w:val="restart"/>
            <w:tcBorders>
              <w:top w:val="single" w:color="auto" w:sz="4" w:space="0"/>
              <w:left w:val="single" w:color="auto" w:sz="4" w:space="0"/>
              <w:right w:val="single" w:color="auto" w:sz="4" w:space="0"/>
            </w:tcBorders>
            <w:noWrap w:val="0"/>
            <w:vAlign w:val="center"/>
          </w:tcPr>
          <w:p w14:paraId="484BD47D">
            <w:pPr>
              <w:pStyle w:val="55"/>
              <w:bidi w:val="0"/>
              <w:rPr>
                <w:rFonts w:hint="default"/>
                <w:b w:val="0"/>
                <w:bCs w:val="0"/>
                <w:color w:val="000000" w:themeColor="text1"/>
                <w:sz w:val="24"/>
                <w:szCs w:val="24"/>
                <w:lang w:val="en-US" w:eastAsia="zh-CN"/>
                <w14:textFill>
                  <w14:solidFill>
                    <w14:schemeClr w14:val="tx1"/>
                  </w14:solidFill>
                </w14:textFill>
              </w:rPr>
            </w:pPr>
            <w:r>
              <w:rPr>
                <w:rFonts w:hint="eastAsia"/>
                <w:b w:val="0"/>
                <w:bCs w:val="0"/>
                <w:color w:val="000000" w:themeColor="text1"/>
                <w:sz w:val="24"/>
                <w:szCs w:val="24"/>
                <w:lang w:val="en-US" w:eastAsia="zh-CN"/>
                <w14:textFill>
                  <w14:solidFill>
                    <w14:schemeClr w14:val="tx1"/>
                  </w14:solidFill>
                </w14:textFill>
              </w:rPr>
              <w:t>55</w:t>
            </w:r>
          </w:p>
        </w:tc>
        <w:tc>
          <w:tcPr>
            <w:tcW w:w="705" w:type="pct"/>
            <w:tcBorders>
              <w:top w:val="single" w:color="auto" w:sz="4" w:space="0"/>
              <w:left w:val="single" w:color="auto" w:sz="4" w:space="0"/>
              <w:bottom w:val="single" w:color="auto" w:sz="4" w:space="0"/>
              <w:right w:val="single" w:color="auto" w:sz="4" w:space="0"/>
            </w:tcBorders>
            <w:noWrap w:val="0"/>
            <w:vAlign w:val="center"/>
          </w:tcPr>
          <w:p w14:paraId="4A203D7B">
            <w:pPr>
              <w:pStyle w:val="55"/>
              <w:bidi w:val="0"/>
              <w:rPr>
                <w:rFonts w:hint="default"/>
                <w:b w:val="0"/>
                <w:bCs w:val="0"/>
                <w:color w:val="000000" w:themeColor="text1"/>
                <w:sz w:val="24"/>
                <w:szCs w:val="24"/>
                <w:lang w:val="en-US" w:eastAsia="zh-CN"/>
                <w14:textFill>
                  <w14:solidFill>
                    <w14:schemeClr w14:val="tx1"/>
                  </w14:solidFill>
                </w14:textFill>
              </w:rPr>
            </w:pPr>
            <w:r>
              <w:rPr>
                <w:rFonts w:hint="default"/>
                <w:b w:val="0"/>
                <w:bCs w:val="0"/>
                <w:color w:val="000000" w:themeColor="text1"/>
                <w:sz w:val="24"/>
                <w:szCs w:val="24"/>
                <w14:textFill>
                  <w14:solidFill>
                    <w14:schemeClr w14:val="tx1"/>
                  </w14:solidFill>
                </w14:textFill>
              </w:rPr>
              <w:t>0.</w:t>
            </w:r>
            <w:r>
              <w:rPr>
                <w:rFonts w:hint="default"/>
                <w:b w:val="0"/>
                <w:bCs w:val="0"/>
                <w:color w:val="000000" w:themeColor="text1"/>
                <w:sz w:val="24"/>
                <w:szCs w:val="24"/>
                <w:lang w:val="en-US" w:eastAsia="zh-CN"/>
                <w14:textFill>
                  <w14:solidFill>
                    <w14:schemeClr w14:val="tx1"/>
                  </w14:solidFill>
                </w14:textFill>
              </w:rPr>
              <w:t>4</w:t>
            </w:r>
            <w:r>
              <w:rPr>
                <w:rFonts w:hint="default"/>
                <w:b w:val="0"/>
                <w:bCs w:val="0"/>
                <w:color w:val="000000" w:themeColor="text1"/>
                <w:sz w:val="24"/>
                <w:szCs w:val="24"/>
                <w14:textFill>
                  <w14:solidFill>
                    <w14:schemeClr w14:val="tx1"/>
                  </w14:solidFill>
                </w14:textFill>
              </w:rPr>
              <w:t>5</w:t>
            </w:r>
          </w:p>
        </w:tc>
      </w:tr>
      <w:tr w14:paraId="494D4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6" w:type="pct"/>
            <w:vMerge w:val="continue"/>
            <w:tcBorders>
              <w:left w:val="single" w:color="auto" w:sz="4" w:space="0"/>
              <w:right w:val="single" w:color="auto" w:sz="4" w:space="0"/>
            </w:tcBorders>
            <w:noWrap w:val="0"/>
            <w:vAlign w:val="center"/>
          </w:tcPr>
          <w:p w14:paraId="110BA2EF">
            <w:pPr>
              <w:pStyle w:val="55"/>
              <w:bidi w:val="0"/>
              <w:rPr>
                <w:rFonts w:hint="default"/>
                <w:b w:val="0"/>
                <w:bCs w:val="0"/>
                <w:color w:val="000000" w:themeColor="text1"/>
                <w:sz w:val="24"/>
                <w:szCs w:val="24"/>
                <w:lang w:val="en-US" w:eastAsia="zh-CN"/>
                <w14:textFill>
                  <w14:solidFill>
                    <w14:schemeClr w14:val="tx1"/>
                  </w14:solidFill>
                </w14:textFill>
              </w:rPr>
            </w:pPr>
          </w:p>
        </w:tc>
        <w:tc>
          <w:tcPr>
            <w:tcW w:w="601" w:type="pct"/>
            <w:vMerge w:val="continue"/>
            <w:tcBorders>
              <w:left w:val="single" w:color="auto" w:sz="4" w:space="0"/>
              <w:right w:val="single" w:color="auto" w:sz="4" w:space="0"/>
            </w:tcBorders>
            <w:noWrap w:val="0"/>
            <w:vAlign w:val="center"/>
          </w:tcPr>
          <w:p w14:paraId="5DAA7143">
            <w:pPr>
              <w:pStyle w:val="55"/>
              <w:bidi w:val="0"/>
              <w:rPr>
                <w:rFonts w:hint="eastAsia"/>
                <w:b w:val="0"/>
                <w:bCs w:val="0"/>
                <w:color w:val="000000" w:themeColor="text1"/>
                <w:sz w:val="24"/>
                <w:szCs w:val="24"/>
                <w:lang w:val="en-US" w:eastAsia="zh-CN"/>
                <w14:textFill>
                  <w14:solidFill>
                    <w14:schemeClr w14:val="tx1"/>
                  </w14:solidFill>
                </w14:textFill>
              </w:rPr>
            </w:pPr>
          </w:p>
        </w:tc>
        <w:tc>
          <w:tcPr>
            <w:tcW w:w="1095" w:type="pct"/>
            <w:tcBorders>
              <w:top w:val="single" w:color="auto" w:sz="4" w:space="0"/>
              <w:left w:val="single" w:color="auto" w:sz="4" w:space="0"/>
              <w:bottom w:val="single" w:color="auto" w:sz="4" w:space="0"/>
              <w:right w:val="single" w:color="auto" w:sz="4" w:space="0"/>
            </w:tcBorders>
            <w:noWrap w:val="0"/>
            <w:vAlign w:val="center"/>
          </w:tcPr>
          <w:p w14:paraId="69D39D8A">
            <w:pPr>
              <w:pStyle w:val="55"/>
              <w:bidi w:val="0"/>
              <w:rPr>
                <w:rFonts w:hint="default"/>
                <w:b w:val="0"/>
                <w:bCs w:val="0"/>
                <w:color w:val="000000" w:themeColor="text1"/>
                <w:sz w:val="24"/>
                <w:szCs w:val="24"/>
                <w14:textFill>
                  <w14:solidFill>
                    <w14:schemeClr w14:val="tx1"/>
                  </w14:solidFill>
                </w14:textFill>
              </w:rPr>
            </w:pPr>
            <w:r>
              <w:rPr>
                <w:rFonts w:hint="default"/>
                <w:b w:val="0"/>
                <w:bCs w:val="0"/>
                <w:color w:val="000000" w:themeColor="text1"/>
                <w:sz w:val="24"/>
                <w:szCs w:val="24"/>
                <w:lang w:val="en-US" w:eastAsia="zh-CN"/>
                <w14:textFill>
                  <w14:solidFill>
                    <w14:schemeClr w14:val="tx1"/>
                  </w14:solidFill>
                </w14:textFill>
              </w:rPr>
              <w:t>非甲烷总烃</w:t>
            </w:r>
          </w:p>
        </w:tc>
        <w:tc>
          <w:tcPr>
            <w:tcW w:w="1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A7D8A47">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ascii="Times New Roman" w:hAnsi="Times New Roman" w:eastAsia="楷体" w:cstheme="minorBidi"/>
                <w:b w:val="0"/>
                <w:bCs w:val="0"/>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0.0495</w:t>
            </w:r>
          </w:p>
        </w:tc>
        <w:tc>
          <w:tcPr>
            <w:tcW w:w="118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A8A5B05">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ascii="Times New Roman" w:hAnsi="Times New Roman" w:eastAsia="楷体" w:cstheme="minorBidi"/>
                <w:b w:val="0"/>
                <w:bCs w:val="0"/>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2.47</w:t>
            </w:r>
          </w:p>
        </w:tc>
        <w:tc>
          <w:tcPr>
            <w:tcW w:w="548" w:type="pct"/>
            <w:vMerge w:val="continue"/>
            <w:tcBorders>
              <w:left w:val="single" w:color="auto" w:sz="4" w:space="0"/>
              <w:right w:val="single" w:color="auto" w:sz="4" w:space="0"/>
            </w:tcBorders>
            <w:noWrap w:val="0"/>
            <w:vAlign w:val="center"/>
          </w:tcPr>
          <w:p w14:paraId="16E346DF">
            <w:pPr>
              <w:pStyle w:val="55"/>
              <w:bidi w:val="0"/>
              <w:rPr>
                <w:rFonts w:hint="eastAsia"/>
                <w:b w:val="0"/>
                <w:bCs w:val="0"/>
                <w:color w:val="000000" w:themeColor="text1"/>
                <w:sz w:val="24"/>
                <w:szCs w:val="24"/>
                <w:lang w:val="en-US" w:eastAsia="zh-CN"/>
                <w14:textFill>
                  <w14:solidFill>
                    <w14:schemeClr w14:val="tx1"/>
                  </w14:solidFill>
                </w14:textFill>
              </w:rPr>
            </w:pPr>
          </w:p>
        </w:tc>
        <w:tc>
          <w:tcPr>
            <w:tcW w:w="705" w:type="pct"/>
            <w:tcBorders>
              <w:top w:val="single" w:color="auto" w:sz="4" w:space="0"/>
              <w:left w:val="single" w:color="auto" w:sz="4" w:space="0"/>
              <w:bottom w:val="single" w:color="auto" w:sz="4" w:space="0"/>
              <w:right w:val="single" w:color="auto" w:sz="4" w:space="0"/>
            </w:tcBorders>
            <w:noWrap w:val="0"/>
            <w:vAlign w:val="center"/>
          </w:tcPr>
          <w:p w14:paraId="20F78481">
            <w:pPr>
              <w:pStyle w:val="55"/>
              <w:bidi w:val="0"/>
              <w:rPr>
                <w:rFonts w:hint="default"/>
                <w:b w:val="0"/>
                <w:bCs w:val="0"/>
                <w:color w:val="000000" w:themeColor="text1"/>
                <w:sz w:val="24"/>
                <w:szCs w:val="24"/>
                <w14:textFill>
                  <w14:solidFill>
                    <w14:schemeClr w14:val="tx1"/>
                  </w14:solidFill>
                </w14:textFill>
              </w:rPr>
            </w:pPr>
            <w:r>
              <w:rPr>
                <w:rFonts w:hint="eastAsia"/>
                <w:b w:val="0"/>
                <w:bCs w:val="0"/>
                <w:color w:val="000000" w:themeColor="text1"/>
                <w:sz w:val="24"/>
                <w:szCs w:val="24"/>
                <w:lang w:val="en-US" w:eastAsia="zh-CN"/>
                <w14:textFill>
                  <w14:solidFill>
                    <w14:schemeClr w14:val="tx1"/>
                  </w14:solidFill>
                </w14:textFill>
              </w:rPr>
              <w:t>2.0</w:t>
            </w:r>
          </w:p>
        </w:tc>
      </w:tr>
      <w:tr w14:paraId="36504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6" w:type="pct"/>
            <w:vMerge w:val="continue"/>
            <w:tcBorders>
              <w:left w:val="single" w:color="auto" w:sz="4" w:space="0"/>
              <w:right w:val="single" w:color="auto" w:sz="4" w:space="0"/>
            </w:tcBorders>
            <w:noWrap w:val="0"/>
            <w:vAlign w:val="center"/>
          </w:tcPr>
          <w:p w14:paraId="161BA813">
            <w:pPr>
              <w:pStyle w:val="55"/>
              <w:bidi w:val="0"/>
              <w:rPr>
                <w:rFonts w:hint="default"/>
                <w:b w:val="0"/>
                <w:bCs w:val="0"/>
                <w:color w:val="000000" w:themeColor="text1"/>
                <w:sz w:val="24"/>
                <w:szCs w:val="24"/>
                <w:lang w:val="en-US" w:eastAsia="zh-CN"/>
                <w14:textFill>
                  <w14:solidFill>
                    <w14:schemeClr w14:val="tx1"/>
                  </w14:solidFill>
                </w14:textFill>
              </w:rPr>
            </w:pPr>
          </w:p>
        </w:tc>
        <w:tc>
          <w:tcPr>
            <w:tcW w:w="601" w:type="pct"/>
            <w:vMerge w:val="continue"/>
            <w:tcBorders>
              <w:left w:val="single" w:color="auto" w:sz="4" w:space="0"/>
              <w:right w:val="single" w:color="auto" w:sz="4" w:space="0"/>
            </w:tcBorders>
            <w:noWrap w:val="0"/>
            <w:vAlign w:val="center"/>
          </w:tcPr>
          <w:p w14:paraId="2E5AF4EE">
            <w:pPr>
              <w:pStyle w:val="55"/>
              <w:bidi w:val="0"/>
              <w:rPr>
                <w:rFonts w:hint="eastAsia"/>
                <w:b w:val="0"/>
                <w:bCs w:val="0"/>
                <w:color w:val="000000" w:themeColor="text1"/>
                <w:sz w:val="24"/>
                <w:szCs w:val="24"/>
                <w:lang w:val="en-US" w:eastAsia="zh-CN"/>
                <w14:textFill>
                  <w14:solidFill>
                    <w14:schemeClr w14:val="tx1"/>
                  </w14:solidFill>
                </w14:textFill>
              </w:rPr>
            </w:pPr>
          </w:p>
        </w:tc>
        <w:tc>
          <w:tcPr>
            <w:tcW w:w="1095" w:type="pct"/>
            <w:tcBorders>
              <w:top w:val="single" w:color="auto" w:sz="4" w:space="0"/>
              <w:left w:val="single" w:color="auto" w:sz="4" w:space="0"/>
              <w:bottom w:val="single" w:color="000000" w:sz="4" w:space="0"/>
              <w:right w:val="single" w:color="auto" w:sz="4" w:space="0"/>
            </w:tcBorders>
            <w:noWrap w:val="0"/>
            <w:vAlign w:val="center"/>
          </w:tcPr>
          <w:p w14:paraId="281D3DED">
            <w:pPr>
              <w:pStyle w:val="55"/>
              <w:bidi w:val="0"/>
              <w:rPr>
                <w:rFonts w:hint="default"/>
                <w:b w:val="0"/>
                <w:bCs w:val="0"/>
                <w:color w:val="000000" w:themeColor="text1"/>
                <w:sz w:val="24"/>
                <w:szCs w:val="24"/>
                <w14:textFill>
                  <w14:solidFill>
                    <w14:schemeClr w14:val="tx1"/>
                  </w14:solidFill>
                </w14:textFill>
              </w:rPr>
            </w:pPr>
            <w:r>
              <w:rPr>
                <w:rFonts w:hint="eastAsia"/>
                <w:b w:val="0"/>
                <w:bCs w:val="0"/>
                <w:color w:val="000000" w:themeColor="text1"/>
                <w:sz w:val="24"/>
                <w:szCs w:val="24"/>
                <w:lang w:val="en-US" w:eastAsia="zh-CN"/>
                <w14:textFill>
                  <w14:solidFill>
                    <w14:schemeClr w14:val="tx1"/>
                  </w14:solidFill>
                </w14:textFill>
              </w:rPr>
              <w:t>HCl</w:t>
            </w:r>
          </w:p>
        </w:tc>
        <w:tc>
          <w:tcPr>
            <w:tcW w:w="1807" w:type="dxa"/>
            <w:tcBorders>
              <w:top w:val="single" w:color="auto" w:sz="4" w:space="0"/>
              <w:left w:val="single" w:color="auto" w:sz="4" w:space="0"/>
              <w:bottom w:val="single" w:color="000000" w:sz="4" w:space="0"/>
              <w:right w:val="single" w:color="auto" w:sz="4" w:space="0"/>
            </w:tcBorders>
            <w:shd w:val="clear" w:color="auto" w:fill="auto"/>
            <w:noWrap w:val="0"/>
            <w:vAlign w:val="center"/>
          </w:tcPr>
          <w:p w14:paraId="057556DC">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ascii="Times New Roman" w:hAnsi="Times New Roman" w:eastAsia="楷体" w:cstheme="minorBidi"/>
                <w:b w:val="0"/>
                <w:bCs w:val="0"/>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0.0000</w:t>
            </w:r>
          </w:p>
        </w:tc>
        <w:tc>
          <w:tcPr>
            <w:tcW w:w="1187" w:type="dxa"/>
            <w:tcBorders>
              <w:top w:val="single" w:color="auto" w:sz="4" w:space="0"/>
              <w:left w:val="single" w:color="auto" w:sz="4" w:space="0"/>
              <w:bottom w:val="single" w:color="000000" w:sz="4" w:space="0"/>
              <w:right w:val="single" w:color="auto" w:sz="4" w:space="0"/>
            </w:tcBorders>
            <w:shd w:val="clear" w:color="auto" w:fill="auto"/>
            <w:noWrap w:val="0"/>
            <w:vAlign w:val="center"/>
          </w:tcPr>
          <w:p w14:paraId="3FCA7C2C">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ascii="Times New Roman" w:hAnsi="Times New Roman" w:eastAsia="楷体" w:cstheme="minorBidi"/>
                <w:b w:val="0"/>
                <w:bCs w:val="0"/>
                <w:snapToGrid w:val="0"/>
                <w:color w:val="000000" w:themeColor="text1"/>
                <w:kern w:val="0"/>
                <w:sz w:val="24"/>
                <w:szCs w:val="24"/>
                <w:lang w:val="en-US" w:eastAsia="zh-CN" w:bidi="ar-SA"/>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0.00</w:t>
            </w:r>
          </w:p>
        </w:tc>
        <w:tc>
          <w:tcPr>
            <w:tcW w:w="548" w:type="pct"/>
            <w:vMerge w:val="continue"/>
            <w:tcBorders>
              <w:left w:val="single" w:color="auto" w:sz="4" w:space="0"/>
              <w:bottom w:val="single" w:color="000000" w:sz="4" w:space="0"/>
              <w:right w:val="single" w:color="auto" w:sz="4" w:space="0"/>
            </w:tcBorders>
            <w:noWrap w:val="0"/>
            <w:vAlign w:val="center"/>
          </w:tcPr>
          <w:p w14:paraId="589E16D4">
            <w:pPr>
              <w:pStyle w:val="55"/>
              <w:bidi w:val="0"/>
              <w:rPr>
                <w:rFonts w:hint="eastAsia"/>
                <w:b w:val="0"/>
                <w:bCs w:val="0"/>
                <w:color w:val="000000" w:themeColor="text1"/>
                <w:sz w:val="24"/>
                <w:szCs w:val="24"/>
                <w:lang w:val="en-US" w:eastAsia="zh-CN"/>
                <w14:textFill>
                  <w14:solidFill>
                    <w14:schemeClr w14:val="tx1"/>
                  </w14:solidFill>
                </w14:textFill>
              </w:rPr>
            </w:pPr>
          </w:p>
        </w:tc>
        <w:tc>
          <w:tcPr>
            <w:tcW w:w="705" w:type="pct"/>
            <w:tcBorders>
              <w:top w:val="single" w:color="auto" w:sz="4" w:space="0"/>
              <w:left w:val="single" w:color="auto" w:sz="4" w:space="0"/>
              <w:bottom w:val="single" w:color="000000" w:sz="4" w:space="0"/>
              <w:right w:val="single" w:color="auto" w:sz="4" w:space="0"/>
            </w:tcBorders>
            <w:noWrap w:val="0"/>
            <w:vAlign w:val="center"/>
          </w:tcPr>
          <w:p w14:paraId="00CB0826">
            <w:pPr>
              <w:pStyle w:val="55"/>
              <w:bidi w:val="0"/>
              <w:rPr>
                <w:rFonts w:hint="default"/>
                <w:b w:val="0"/>
                <w:bCs w:val="0"/>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0.05</w:t>
            </w:r>
          </w:p>
        </w:tc>
      </w:tr>
      <w:tr w14:paraId="314E7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436" w:type="pct"/>
            <w:vMerge w:val="continue"/>
            <w:tcBorders>
              <w:left w:val="single" w:color="auto" w:sz="4" w:space="0"/>
              <w:right w:val="single" w:color="auto" w:sz="4" w:space="0"/>
            </w:tcBorders>
            <w:noWrap w:val="0"/>
            <w:vAlign w:val="center"/>
          </w:tcPr>
          <w:p w14:paraId="02F0EC62">
            <w:pPr>
              <w:pStyle w:val="55"/>
              <w:bidi w:val="0"/>
              <w:rPr>
                <w:rFonts w:hint="default"/>
                <w:b w:val="0"/>
                <w:bCs w:val="0"/>
                <w:color w:val="000000" w:themeColor="text1"/>
                <w:sz w:val="24"/>
                <w:szCs w:val="24"/>
                <w:lang w:val="en-US" w:eastAsia="zh-CN"/>
                <w14:textFill>
                  <w14:solidFill>
                    <w14:schemeClr w14:val="tx1"/>
                  </w14:solidFill>
                </w14:textFill>
              </w:rPr>
            </w:pPr>
          </w:p>
        </w:tc>
        <w:tc>
          <w:tcPr>
            <w:tcW w:w="601" w:type="pct"/>
            <w:vMerge w:val="restart"/>
            <w:tcBorders>
              <w:left w:val="single" w:color="auto" w:sz="4" w:space="0"/>
              <w:right w:val="single" w:color="auto" w:sz="4" w:space="0"/>
            </w:tcBorders>
            <w:noWrap w:val="0"/>
            <w:vAlign w:val="center"/>
          </w:tcPr>
          <w:p w14:paraId="47527BB3">
            <w:pPr>
              <w:pStyle w:val="55"/>
              <w:bidi w:val="0"/>
              <w:rPr>
                <w:rFonts w:hint="default"/>
                <w:b w:val="0"/>
                <w:bCs w:val="0"/>
                <w:color w:val="000000" w:themeColor="text1"/>
                <w:sz w:val="24"/>
                <w:szCs w:val="24"/>
                <w:lang w:val="en-US" w:eastAsia="zh-CN"/>
                <w14:textFill>
                  <w14:solidFill>
                    <w14:schemeClr w14:val="tx1"/>
                  </w14:solidFill>
                </w14:textFill>
              </w:rPr>
            </w:pPr>
            <w:r>
              <w:rPr>
                <w:rFonts w:hint="eastAsia"/>
                <w:b w:val="0"/>
                <w:bCs w:val="0"/>
                <w:color w:val="000000" w:themeColor="text1"/>
                <w:sz w:val="24"/>
                <w:szCs w:val="24"/>
                <w:lang w:val="en-US" w:eastAsia="zh-CN"/>
                <w14:textFill>
                  <w14:solidFill>
                    <w14:schemeClr w14:val="tx1"/>
                  </w14:solidFill>
                </w14:textFill>
              </w:rPr>
              <w:t>DA003</w:t>
            </w:r>
          </w:p>
        </w:tc>
        <w:tc>
          <w:tcPr>
            <w:tcW w:w="1095" w:type="pct"/>
            <w:tcBorders>
              <w:top w:val="single" w:color="auto" w:sz="4" w:space="0"/>
              <w:left w:val="single" w:color="auto" w:sz="4" w:space="0"/>
              <w:right w:val="single" w:color="auto" w:sz="4" w:space="0"/>
            </w:tcBorders>
            <w:noWrap w:val="0"/>
            <w:vAlign w:val="center"/>
          </w:tcPr>
          <w:p w14:paraId="6F49AD55">
            <w:pPr>
              <w:pStyle w:val="55"/>
              <w:bidi w:val="0"/>
              <w:rPr>
                <w:rFonts w:hint="default"/>
                <w:b w:val="0"/>
                <w:bCs w:val="0"/>
                <w:color w:val="000000" w:themeColor="text1"/>
                <w:sz w:val="24"/>
                <w:szCs w:val="24"/>
                <w:lang w:val="en-US" w:eastAsia="zh-CN"/>
                <w14:textFill>
                  <w14:solidFill>
                    <w14:schemeClr w14:val="tx1"/>
                  </w14:solidFill>
                </w14:textFill>
              </w:rPr>
            </w:pPr>
            <w:r>
              <w:rPr>
                <w:rFonts w:hint="eastAsia"/>
                <w:sz w:val="24"/>
                <w:szCs w:val="24"/>
                <w:lang w:val="en-US" w:eastAsia="zh-CN"/>
              </w:rPr>
              <w:t>颗粒物</w:t>
            </w:r>
          </w:p>
        </w:tc>
        <w:tc>
          <w:tcPr>
            <w:tcW w:w="1807" w:type="dxa"/>
            <w:tcBorders>
              <w:top w:val="single" w:color="auto" w:sz="4" w:space="0"/>
              <w:left w:val="single" w:color="auto" w:sz="4" w:space="0"/>
              <w:right w:val="single" w:color="auto" w:sz="4" w:space="0"/>
            </w:tcBorders>
            <w:noWrap w:val="0"/>
            <w:vAlign w:val="center"/>
          </w:tcPr>
          <w:p w14:paraId="2A022B6C">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b w:val="0"/>
                <w:bCs w:val="0"/>
                <w:color w:val="000000" w:themeColor="text1"/>
                <w:sz w:val="24"/>
                <w:szCs w:val="24"/>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0.0147</w:t>
            </w:r>
          </w:p>
        </w:tc>
        <w:tc>
          <w:tcPr>
            <w:tcW w:w="1187" w:type="dxa"/>
            <w:tcBorders>
              <w:top w:val="single" w:color="auto" w:sz="4" w:space="0"/>
              <w:left w:val="single" w:color="auto" w:sz="4" w:space="0"/>
              <w:right w:val="single" w:color="auto" w:sz="4" w:space="0"/>
            </w:tcBorders>
            <w:noWrap w:val="0"/>
            <w:vAlign w:val="center"/>
          </w:tcPr>
          <w:p w14:paraId="13F45080">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b w:val="0"/>
                <w:bCs w:val="0"/>
                <w:color w:val="000000" w:themeColor="text1"/>
                <w:sz w:val="24"/>
                <w:szCs w:val="24"/>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3.27</w:t>
            </w:r>
          </w:p>
        </w:tc>
        <w:tc>
          <w:tcPr>
            <w:tcW w:w="548" w:type="pct"/>
            <w:vMerge w:val="restart"/>
            <w:tcBorders>
              <w:top w:val="single" w:color="auto" w:sz="4" w:space="0"/>
              <w:left w:val="single" w:color="auto" w:sz="4" w:space="0"/>
              <w:right w:val="single" w:color="auto" w:sz="4" w:space="0"/>
            </w:tcBorders>
            <w:noWrap w:val="0"/>
            <w:vAlign w:val="center"/>
          </w:tcPr>
          <w:p w14:paraId="7B6E1E7C">
            <w:pPr>
              <w:pStyle w:val="55"/>
              <w:bidi w:val="0"/>
              <w:rPr>
                <w:rFonts w:hint="default"/>
                <w:b w:val="0"/>
                <w:bCs w:val="0"/>
                <w:color w:val="000000" w:themeColor="text1"/>
                <w:sz w:val="24"/>
                <w:szCs w:val="24"/>
                <w:lang w:val="en-US" w:eastAsia="zh-CN"/>
                <w14:textFill>
                  <w14:solidFill>
                    <w14:schemeClr w14:val="tx1"/>
                  </w14:solidFill>
                </w14:textFill>
              </w:rPr>
            </w:pPr>
            <w:r>
              <w:rPr>
                <w:rFonts w:hint="eastAsia"/>
                <w:b w:val="0"/>
                <w:bCs w:val="0"/>
                <w:color w:val="000000" w:themeColor="text1"/>
                <w:sz w:val="24"/>
                <w:szCs w:val="24"/>
                <w:lang w:val="en-US" w:eastAsia="zh-CN"/>
                <w14:textFill>
                  <w14:solidFill>
                    <w14:schemeClr w14:val="tx1"/>
                  </w14:solidFill>
                </w14:textFill>
              </w:rPr>
              <w:t>55</w:t>
            </w:r>
          </w:p>
        </w:tc>
        <w:tc>
          <w:tcPr>
            <w:tcW w:w="705" w:type="pct"/>
            <w:tcBorders>
              <w:top w:val="single" w:color="auto" w:sz="4" w:space="0"/>
              <w:left w:val="single" w:color="auto" w:sz="4" w:space="0"/>
              <w:bottom w:val="single" w:color="auto" w:sz="4" w:space="0"/>
              <w:right w:val="single" w:color="auto" w:sz="4" w:space="0"/>
            </w:tcBorders>
            <w:noWrap w:val="0"/>
            <w:vAlign w:val="center"/>
          </w:tcPr>
          <w:p w14:paraId="58E73310">
            <w:pPr>
              <w:pStyle w:val="55"/>
              <w:bidi w:val="0"/>
              <w:rPr>
                <w:rFonts w:hint="default"/>
                <w:b w:val="0"/>
                <w:bCs w:val="0"/>
                <w:color w:val="000000" w:themeColor="text1"/>
                <w:sz w:val="24"/>
                <w:szCs w:val="24"/>
                <w14:textFill>
                  <w14:solidFill>
                    <w14:schemeClr w14:val="tx1"/>
                  </w14:solidFill>
                </w14:textFill>
              </w:rPr>
            </w:pPr>
            <w:r>
              <w:rPr>
                <w:rFonts w:hint="default"/>
                <w:b w:val="0"/>
                <w:bCs w:val="0"/>
                <w:color w:val="000000" w:themeColor="text1"/>
                <w:sz w:val="24"/>
                <w:szCs w:val="24"/>
                <w14:textFill>
                  <w14:solidFill>
                    <w14:schemeClr w14:val="tx1"/>
                  </w14:solidFill>
                </w14:textFill>
              </w:rPr>
              <w:t>0.</w:t>
            </w:r>
            <w:r>
              <w:rPr>
                <w:rFonts w:hint="default"/>
                <w:b w:val="0"/>
                <w:bCs w:val="0"/>
                <w:color w:val="000000" w:themeColor="text1"/>
                <w:sz w:val="24"/>
                <w:szCs w:val="24"/>
                <w:lang w:val="en-US" w:eastAsia="zh-CN"/>
                <w14:textFill>
                  <w14:solidFill>
                    <w14:schemeClr w14:val="tx1"/>
                  </w14:solidFill>
                </w14:textFill>
              </w:rPr>
              <w:t>4</w:t>
            </w:r>
            <w:r>
              <w:rPr>
                <w:rFonts w:hint="default"/>
                <w:b w:val="0"/>
                <w:bCs w:val="0"/>
                <w:color w:val="000000" w:themeColor="text1"/>
                <w:sz w:val="24"/>
                <w:szCs w:val="24"/>
                <w14:textFill>
                  <w14:solidFill>
                    <w14:schemeClr w14:val="tx1"/>
                  </w14:solidFill>
                </w14:textFill>
              </w:rPr>
              <w:t>5</w:t>
            </w:r>
          </w:p>
        </w:tc>
      </w:tr>
      <w:tr w14:paraId="0E48B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6" w:type="pct"/>
            <w:vMerge w:val="continue"/>
            <w:tcBorders>
              <w:left w:val="single" w:color="auto" w:sz="4" w:space="0"/>
              <w:right w:val="single" w:color="auto" w:sz="4" w:space="0"/>
            </w:tcBorders>
            <w:noWrap w:val="0"/>
            <w:vAlign w:val="center"/>
          </w:tcPr>
          <w:p w14:paraId="6AE0B976">
            <w:pPr>
              <w:pStyle w:val="55"/>
              <w:bidi w:val="0"/>
              <w:rPr>
                <w:rFonts w:hint="default"/>
                <w:b w:val="0"/>
                <w:bCs w:val="0"/>
                <w:color w:val="000000" w:themeColor="text1"/>
                <w:sz w:val="24"/>
                <w:szCs w:val="24"/>
                <w:lang w:val="en-US" w:eastAsia="zh-CN"/>
                <w14:textFill>
                  <w14:solidFill>
                    <w14:schemeClr w14:val="tx1"/>
                  </w14:solidFill>
                </w14:textFill>
              </w:rPr>
            </w:pPr>
          </w:p>
        </w:tc>
        <w:tc>
          <w:tcPr>
            <w:tcW w:w="601" w:type="pct"/>
            <w:vMerge w:val="continue"/>
            <w:tcBorders>
              <w:left w:val="single" w:color="auto" w:sz="4" w:space="0"/>
              <w:right w:val="single" w:color="auto" w:sz="4" w:space="0"/>
            </w:tcBorders>
            <w:noWrap w:val="0"/>
            <w:vAlign w:val="center"/>
          </w:tcPr>
          <w:p w14:paraId="76A0D73A">
            <w:pPr>
              <w:pStyle w:val="55"/>
              <w:bidi w:val="0"/>
              <w:rPr>
                <w:rFonts w:hint="eastAsia"/>
                <w:b w:val="0"/>
                <w:bCs w:val="0"/>
                <w:color w:val="000000" w:themeColor="text1"/>
                <w:sz w:val="24"/>
                <w:szCs w:val="24"/>
                <w:lang w:val="en-US" w:eastAsia="zh-CN"/>
                <w14:textFill>
                  <w14:solidFill>
                    <w14:schemeClr w14:val="tx1"/>
                  </w14:solidFill>
                </w14:textFill>
              </w:rPr>
            </w:pPr>
          </w:p>
        </w:tc>
        <w:tc>
          <w:tcPr>
            <w:tcW w:w="1095" w:type="pct"/>
            <w:tcBorders>
              <w:top w:val="single" w:color="auto" w:sz="4" w:space="0"/>
              <w:left w:val="single" w:color="auto" w:sz="4" w:space="0"/>
              <w:right w:val="single" w:color="auto" w:sz="4" w:space="0"/>
            </w:tcBorders>
            <w:noWrap w:val="0"/>
            <w:vAlign w:val="center"/>
          </w:tcPr>
          <w:p w14:paraId="766A1833">
            <w:pPr>
              <w:pStyle w:val="55"/>
              <w:bidi w:val="0"/>
              <w:rPr>
                <w:rFonts w:hint="default"/>
                <w:b w:val="0"/>
                <w:bCs w:val="0"/>
                <w:color w:val="000000" w:themeColor="text1"/>
                <w:sz w:val="24"/>
                <w:szCs w:val="24"/>
                <w14:textFill>
                  <w14:solidFill>
                    <w14:schemeClr w14:val="tx1"/>
                  </w14:solidFill>
                </w14:textFill>
              </w:rPr>
            </w:pPr>
            <w:r>
              <w:rPr>
                <w:rFonts w:hint="default"/>
                <w:b w:val="0"/>
                <w:bCs w:val="0"/>
                <w:color w:val="000000" w:themeColor="text1"/>
                <w:sz w:val="24"/>
                <w:szCs w:val="24"/>
                <w:lang w:val="en-US" w:eastAsia="zh-CN"/>
                <w14:textFill>
                  <w14:solidFill>
                    <w14:schemeClr w14:val="tx1"/>
                  </w14:solidFill>
                </w14:textFill>
              </w:rPr>
              <w:t>非甲烷总烃</w:t>
            </w:r>
          </w:p>
        </w:tc>
        <w:tc>
          <w:tcPr>
            <w:tcW w:w="1807" w:type="dxa"/>
            <w:tcBorders>
              <w:top w:val="single" w:color="auto" w:sz="4" w:space="0"/>
              <w:left w:val="single" w:color="auto" w:sz="4" w:space="0"/>
              <w:right w:val="single" w:color="auto" w:sz="4" w:space="0"/>
            </w:tcBorders>
            <w:noWrap w:val="0"/>
            <w:vAlign w:val="center"/>
          </w:tcPr>
          <w:p w14:paraId="12AD522D">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b w:val="0"/>
                <w:bCs w:val="0"/>
                <w:color w:val="000000" w:themeColor="text1"/>
                <w:sz w:val="24"/>
                <w:szCs w:val="24"/>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0.0247</w:t>
            </w:r>
          </w:p>
        </w:tc>
        <w:tc>
          <w:tcPr>
            <w:tcW w:w="1187" w:type="dxa"/>
            <w:tcBorders>
              <w:top w:val="single" w:color="auto" w:sz="4" w:space="0"/>
              <w:left w:val="single" w:color="auto" w:sz="4" w:space="0"/>
              <w:right w:val="single" w:color="auto" w:sz="4" w:space="0"/>
            </w:tcBorders>
            <w:noWrap w:val="0"/>
            <w:vAlign w:val="center"/>
          </w:tcPr>
          <w:p w14:paraId="7EAC20E2">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b w:val="0"/>
                <w:bCs w:val="0"/>
                <w:color w:val="000000" w:themeColor="text1"/>
                <w:sz w:val="24"/>
                <w:szCs w:val="24"/>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1.24</w:t>
            </w:r>
          </w:p>
        </w:tc>
        <w:tc>
          <w:tcPr>
            <w:tcW w:w="548" w:type="pct"/>
            <w:vMerge w:val="continue"/>
            <w:tcBorders>
              <w:left w:val="single" w:color="auto" w:sz="4" w:space="0"/>
              <w:right w:val="single" w:color="auto" w:sz="4" w:space="0"/>
            </w:tcBorders>
            <w:noWrap w:val="0"/>
            <w:vAlign w:val="center"/>
          </w:tcPr>
          <w:p w14:paraId="589C87F9">
            <w:pPr>
              <w:pStyle w:val="55"/>
              <w:bidi w:val="0"/>
              <w:rPr>
                <w:rFonts w:hint="eastAsia"/>
                <w:b w:val="0"/>
                <w:bCs w:val="0"/>
                <w:color w:val="000000" w:themeColor="text1"/>
                <w:sz w:val="24"/>
                <w:szCs w:val="24"/>
                <w:lang w:val="en-US" w:eastAsia="zh-CN"/>
                <w14:textFill>
                  <w14:solidFill>
                    <w14:schemeClr w14:val="tx1"/>
                  </w14:solidFill>
                </w14:textFill>
              </w:rPr>
            </w:pPr>
          </w:p>
        </w:tc>
        <w:tc>
          <w:tcPr>
            <w:tcW w:w="705" w:type="pct"/>
            <w:tcBorders>
              <w:top w:val="single" w:color="auto" w:sz="4" w:space="0"/>
              <w:left w:val="single" w:color="auto" w:sz="4" w:space="0"/>
              <w:bottom w:val="single" w:color="auto" w:sz="4" w:space="0"/>
              <w:right w:val="single" w:color="auto" w:sz="4" w:space="0"/>
            </w:tcBorders>
            <w:noWrap w:val="0"/>
            <w:vAlign w:val="center"/>
          </w:tcPr>
          <w:p w14:paraId="10657BFF">
            <w:pPr>
              <w:pStyle w:val="55"/>
              <w:bidi w:val="0"/>
              <w:rPr>
                <w:rFonts w:hint="default"/>
                <w:b w:val="0"/>
                <w:bCs w:val="0"/>
                <w:color w:val="000000" w:themeColor="text1"/>
                <w:sz w:val="24"/>
                <w:szCs w:val="24"/>
                <w14:textFill>
                  <w14:solidFill>
                    <w14:schemeClr w14:val="tx1"/>
                  </w14:solidFill>
                </w14:textFill>
              </w:rPr>
            </w:pPr>
            <w:r>
              <w:rPr>
                <w:rFonts w:hint="eastAsia"/>
                <w:b w:val="0"/>
                <w:bCs w:val="0"/>
                <w:color w:val="000000" w:themeColor="text1"/>
                <w:sz w:val="24"/>
                <w:szCs w:val="24"/>
                <w:lang w:val="en-US" w:eastAsia="zh-CN"/>
                <w14:textFill>
                  <w14:solidFill>
                    <w14:schemeClr w14:val="tx1"/>
                  </w14:solidFill>
                </w14:textFill>
              </w:rPr>
              <w:t>2.0</w:t>
            </w:r>
          </w:p>
        </w:tc>
      </w:tr>
      <w:tr w14:paraId="3EFBB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6" w:type="pct"/>
            <w:vMerge w:val="continue"/>
            <w:tcBorders>
              <w:left w:val="single" w:color="auto" w:sz="4" w:space="0"/>
              <w:right w:val="single" w:color="auto" w:sz="4" w:space="0"/>
            </w:tcBorders>
            <w:noWrap w:val="0"/>
            <w:vAlign w:val="center"/>
          </w:tcPr>
          <w:p w14:paraId="342ADD9A">
            <w:pPr>
              <w:pStyle w:val="55"/>
              <w:bidi w:val="0"/>
              <w:rPr>
                <w:rFonts w:hint="default"/>
                <w:b w:val="0"/>
                <w:bCs w:val="0"/>
                <w:color w:val="000000" w:themeColor="text1"/>
                <w:sz w:val="24"/>
                <w:szCs w:val="24"/>
                <w:lang w:val="en-US" w:eastAsia="zh-CN"/>
                <w14:textFill>
                  <w14:solidFill>
                    <w14:schemeClr w14:val="tx1"/>
                  </w14:solidFill>
                </w14:textFill>
              </w:rPr>
            </w:pPr>
          </w:p>
        </w:tc>
        <w:tc>
          <w:tcPr>
            <w:tcW w:w="601" w:type="pct"/>
            <w:vMerge w:val="continue"/>
            <w:tcBorders>
              <w:left w:val="single" w:color="auto" w:sz="4" w:space="0"/>
              <w:right w:val="single" w:color="auto" w:sz="4" w:space="0"/>
            </w:tcBorders>
            <w:noWrap w:val="0"/>
            <w:vAlign w:val="center"/>
          </w:tcPr>
          <w:p w14:paraId="00AEB9B4">
            <w:pPr>
              <w:pStyle w:val="55"/>
              <w:bidi w:val="0"/>
              <w:rPr>
                <w:rFonts w:hint="default"/>
                <w:b w:val="0"/>
                <w:bCs w:val="0"/>
                <w:color w:val="000000" w:themeColor="text1"/>
                <w:sz w:val="24"/>
                <w:szCs w:val="24"/>
                <w:lang w:val="en-US" w:eastAsia="zh-CN"/>
                <w14:textFill>
                  <w14:solidFill>
                    <w14:schemeClr w14:val="tx1"/>
                  </w14:solidFill>
                </w14:textFill>
              </w:rPr>
            </w:pPr>
          </w:p>
        </w:tc>
        <w:tc>
          <w:tcPr>
            <w:tcW w:w="1095" w:type="pct"/>
            <w:tcBorders>
              <w:top w:val="single" w:color="auto" w:sz="4" w:space="0"/>
              <w:left w:val="single" w:color="auto" w:sz="4" w:space="0"/>
              <w:right w:val="single" w:color="auto" w:sz="4" w:space="0"/>
            </w:tcBorders>
            <w:noWrap w:val="0"/>
            <w:vAlign w:val="center"/>
          </w:tcPr>
          <w:p w14:paraId="5D1784AC">
            <w:pPr>
              <w:pStyle w:val="55"/>
              <w:bidi w:val="0"/>
              <w:rPr>
                <w:rFonts w:hint="default"/>
                <w:b w:val="0"/>
                <w:bCs w:val="0"/>
                <w:color w:val="000000" w:themeColor="text1"/>
                <w:sz w:val="24"/>
                <w:szCs w:val="24"/>
                <w:lang w:val="en-US" w:eastAsia="zh-CN"/>
                <w14:textFill>
                  <w14:solidFill>
                    <w14:schemeClr w14:val="tx1"/>
                  </w14:solidFill>
                </w14:textFill>
              </w:rPr>
            </w:pPr>
            <w:r>
              <w:rPr>
                <w:rFonts w:hint="eastAsia"/>
                <w:b w:val="0"/>
                <w:bCs w:val="0"/>
                <w:color w:val="000000" w:themeColor="text1"/>
                <w:sz w:val="24"/>
                <w:szCs w:val="24"/>
                <w:lang w:val="en-US" w:eastAsia="zh-CN"/>
                <w14:textFill>
                  <w14:solidFill>
                    <w14:schemeClr w14:val="tx1"/>
                  </w14:solidFill>
                </w14:textFill>
              </w:rPr>
              <w:t>HCl</w:t>
            </w:r>
          </w:p>
        </w:tc>
        <w:tc>
          <w:tcPr>
            <w:tcW w:w="1807" w:type="dxa"/>
            <w:tcBorders>
              <w:top w:val="single" w:color="auto" w:sz="4" w:space="0"/>
              <w:left w:val="single" w:color="auto" w:sz="4" w:space="0"/>
              <w:right w:val="single" w:color="auto" w:sz="4" w:space="0"/>
            </w:tcBorders>
            <w:noWrap w:val="0"/>
            <w:vAlign w:val="center"/>
          </w:tcPr>
          <w:p w14:paraId="0E2DC633">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b w:val="0"/>
                <w:bCs w:val="0"/>
                <w:color w:val="000000" w:themeColor="text1"/>
                <w:sz w:val="24"/>
                <w:szCs w:val="24"/>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0.0000</w:t>
            </w:r>
          </w:p>
        </w:tc>
        <w:tc>
          <w:tcPr>
            <w:tcW w:w="1187" w:type="dxa"/>
            <w:tcBorders>
              <w:top w:val="single" w:color="auto" w:sz="4" w:space="0"/>
              <w:left w:val="single" w:color="auto" w:sz="4" w:space="0"/>
              <w:right w:val="single" w:color="auto" w:sz="4" w:space="0"/>
            </w:tcBorders>
            <w:noWrap w:val="0"/>
            <w:vAlign w:val="center"/>
          </w:tcPr>
          <w:p w14:paraId="4F8B7AFF">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b w:val="0"/>
                <w:bCs w:val="0"/>
                <w:color w:val="000000" w:themeColor="text1"/>
                <w:sz w:val="24"/>
                <w:szCs w:val="24"/>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0.00</w:t>
            </w:r>
          </w:p>
        </w:tc>
        <w:tc>
          <w:tcPr>
            <w:tcW w:w="548" w:type="pct"/>
            <w:vMerge w:val="continue"/>
            <w:tcBorders>
              <w:left w:val="single" w:color="auto" w:sz="4" w:space="0"/>
              <w:right w:val="single" w:color="auto" w:sz="4" w:space="0"/>
            </w:tcBorders>
            <w:noWrap w:val="0"/>
            <w:vAlign w:val="center"/>
          </w:tcPr>
          <w:p w14:paraId="77302C9D">
            <w:pPr>
              <w:pStyle w:val="55"/>
              <w:bidi w:val="0"/>
              <w:rPr>
                <w:rFonts w:hint="eastAsia"/>
                <w:b w:val="0"/>
                <w:bCs w:val="0"/>
                <w:color w:val="000000" w:themeColor="text1"/>
                <w:sz w:val="24"/>
                <w:szCs w:val="24"/>
                <w:lang w:val="en-US" w:eastAsia="zh-CN"/>
                <w14:textFill>
                  <w14:solidFill>
                    <w14:schemeClr w14:val="tx1"/>
                  </w14:solidFill>
                </w14:textFill>
              </w:rPr>
            </w:pPr>
          </w:p>
        </w:tc>
        <w:tc>
          <w:tcPr>
            <w:tcW w:w="705" w:type="pct"/>
            <w:tcBorders>
              <w:top w:val="single" w:color="auto" w:sz="4" w:space="0"/>
              <w:left w:val="single" w:color="auto" w:sz="4" w:space="0"/>
              <w:bottom w:val="single" w:color="000000" w:sz="4" w:space="0"/>
              <w:right w:val="single" w:color="auto" w:sz="4" w:space="0"/>
            </w:tcBorders>
            <w:noWrap w:val="0"/>
            <w:vAlign w:val="center"/>
          </w:tcPr>
          <w:p w14:paraId="0545A3E8">
            <w:pPr>
              <w:pStyle w:val="55"/>
              <w:bidi w:val="0"/>
              <w:rPr>
                <w:rFonts w:hint="default"/>
                <w:b w:val="0"/>
                <w:bCs w:val="0"/>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0.05</w:t>
            </w:r>
          </w:p>
        </w:tc>
      </w:tr>
    </w:tbl>
    <w:p w14:paraId="738E6616">
      <w:pPr>
        <w:pStyle w:val="94"/>
        <w:bidi w:val="0"/>
        <w:ind w:left="0" w:leftChars="0" w:firstLine="0" w:firstLineChars="0"/>
      </w:pPr>
      <w:r>
        <w:rPr>
          <w:rFonts w:hint="eastAsia"/>
        </w:rPr>
        <w:t>AERSCREEN估算模型计算结果(</w:t>
      </w:r>
      <w:r>
        <w:rPr>
          <w:rFonts w:hint="eastAsia"/>
          <w:lang w:val="en-US" w:eastAsia="zh-CN"/>
        </w:rPr>
        <w:t>面</w:t>
      </w:r>
      <w:r>
        <w:rPr>
          <w:rFonts w:hint="eastAsia"/>
        </w:rPr>
        <w:t>源)</w:t>
      </w:r>
    </w:p>
    <w:tbl>
      <w:tblPr>
        <w:tblStyle w:val="3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0"/>
        <w:gridCol w:w="1484"/>
        <w:gridCol w:w="1666"/>
        <w:gridCol w:w="1807"/>
        <w:gridCol w:w="1187"/>
        <w:gridCol w:w="1018"/>
        <w:gridCol w:w="1309"/>
      </w:tblGrid>
      <w:tr w14:paraId="4CACE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436" w:type="pct"/>
            <w:tcBorders>
              <w:top w:val="single" w:color="auto" w:sz="4" w:space="0"/>
              <w:left w:val="single" w:color="auto" w:sz="4" w:space="0"/>
              <w:bottom w:val="single" w:color="auto" w:sz="4" w:space="0"/>
              <w:right w:val="single" w:color="auto" w:sz="4" w:space="0"/>
            </w:tcBorders>
            <w:noWrap w:val="0"/>
            <w:vAlign w:val="center"/>
          </w:tcPr>
          <w:p w14:paraId="14F50666">
            <w:pPr>
              <w:pStyle w:val="55"/>
              <w:bidi w:val="0"/>
              <w:rPr>
                <w:rFonts w:hint="default"/>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排放方式</w:t>
            </w:r>
          </w:p>
        </w:tc>
        <w:tc>
          <w:tcPr>
            <w:tcW w:w="799" w:type="pct"/>
            <w:tcBorders>
              <w:top w:val="single" w:color="auto" w:sz="4" w:space="0"/>
              <w:left w:val="single" w:color="auto" w:sz="4" w:space="0"/>
              <w:bottom w:val="single" w:color="auto" w:sz="4" w:space="0"/>
              <w:right w:val="single" w:color="auto" w:sz="4" w:space="0"/>
            </w:tcBorders>
            <w:noWrap w:val="0"/>
            <w:vAlign w:val="center"/>
          </w:tcPr>
          <w:p w14:paraId="3CA3EB15">
            <w:pPr>
              <w:pStyle w:val="55"/>
              <w:bidi w:val="0"/>
              <w:rPr>
                <w:rFonts w:hint="default"/>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污染源</w:t>
            </w:r>
          </w:p>
        </w:tc>
        <w:tc>
          <w:tcPr>
            <w:tcW w:w="897" w:type="pct"/>
            <w:tcBorders>
              <w:top w:val="single" w:color="auto" w:sz="4" w:space="0"/>
              <w:left w:val="single" w:color="auto" w:sz="4" w:space="0"/>
              <w:bottom w:val="single" w:color="auto" w:sz="4" w:space="0"/>
              <w:right w:val="single" w:color="auto" w:sz="4" w:space="0"/>
            </w:tcBorders>
            <w:noWrap w:val="0"/>
            <w:vAlign w:val="center"/>
          </w:tcPr>
          <w:p w14:paraId="7955037F">
            <w:pPr>
              <w:pStyle w:val="55"/>
              <w:bidi w:val="0"/>
              <w:rPr>
                <w:rFonts w:hint="default"/>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污染物</w:t>
            </w:r>
          </w:p>
        </w:tc>
        <w:tc>
          <w:tcPr>
            <w:tcW w:w="973" w:type="pct"/>
            <w:tcBorders>
              <w:top w:val="single" w:color="auto" w:sz="4" w:space="0"/>
              <w:left w:val="single" w:color="auto" w:sz="4" w:space="0"/>
              <w:bottom w:val="single" w:color="auto" w:sz="4" w:space="0"/>
              <w:right w:val="single" w:color="auto" w:sz="4" w:space="0"/>
            </w:tcBorders>
            <w:noWrap w:val="0"/>
            <w:vAlign w:val="center"/>
          </w:tcPr>
          <w:p w14:paraId="7521F582">
            <w:pPr>
              <w:pStyle w:val="55"/>
              <w:bidi w:val="0"/>
              <w:rPr>
                <w:rFonts w:hint="default"/>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下风向最大质量浓度Ci(mg/m</w:t>
            </w:r>
            <w:r>
              <w:rPr>
                <w:rFonts w:hint="default"/>
                <w:color w:val="000000" w:themeColor="text1"/>
                <w:sz w:val="24"/>
                <w:szCs w:val="24"/>
                <w:vertAlign w:val="superscript"/>
                <w14:textFill>
                  <w14:solidFill>
                    <w14:schemeClr w14:val="tx1"/>
                  </w14:solidFill>
                </w14:textFill>
              </w:rPr>
              <w:t>3</w:t>
            </w:r>
            <w:r>
              <w:rPr>
                <w:rFonts w:hint="default"/>
                <w:color w:val="000000" w:themeColor="text1"/>
                <w:sz w:val="24"/>
                <w:szCs w:val="24"/>
                <w14:textFill>
                  <w14:solidFill>
                    <w14:schemeClr w14:val="tx1"/>
                  </w14:solidFill>
                </w14:textFill>
              </w:rPr>
              <w:t>)</w:t>
            </w:r>
          </w:p>
        </w:tc>
        <w:tc>
          <w:tcPr>
            <w:tcW w:w="639" w:type="pct"/>
            <w:tcBorders>
              <w:top w:val="single" w:color="auto" w:sz="4" w:space="0"/>
              <w:left w:val="single" w:color="auto" w:sz="4" w:space="0"/>
              <w:bottom w:val="single" w:color="auto" w:sz="4" w:space="0"/>
              <w:right w:val="single" w:color="auto" w:sz="4" w:space="0"/>
            </w:tcBorders>
            <w:noWrap w:val="0"/>
            <w:vAlign w:val="center"/>
          </w:tcPr>
          <w:p w14:paraId="6EDDB9D1">
            <w:pPr>
              <w:pStyle w:val="55"/>
              <w:bidi w:val="0"/>
              <w:rPr>
                <w:rFonts w:hint="default"/>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占标率Pi</w:t>
            </w:r>
          </w:p>
          <w:p w14:paraId="62FA0FFB">
            <w:pPr>
              <w:pStyle w:val="55"/>
              <w:bidi w:val="0"/>
              <w:rPr>
                <w:rFonts w:hint="default"/>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w:t>
            </w:r>
          </w:p>
        </w:tc>
        <w:tc>
          <w:tcPr>
            <w:tcW w:w="548" w:type="pct"/>
            <w:tcBorders>
              <w:top w:val="single" w:color="auto" w:sz="4" w:space="0"/>
              <w:left w:val="single" w:color="auto" w:sz="4" w:space="0"/>
              <w:bottom w:val="single" w:color="auto" w:sz="4" w:space="0"/>
              <w:right w:val="single" w:color="auto" w:sz="4" w:space="0"/>
            </w:tcBorders>
            <w:noWrap w:val="0"/>
            <w:vAlign w:val="center"/>
          </w:tcPr>
          <w:p w14:paraId="292C8C97">
            <w:pPr>
              <w:pStyle w:val="55"/>
              <w:bidi w:val="0"/>
              <w:rPr>
                <w:rFonts w:hint="default"/>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出现距离(m)</w:t>
            </w:r>
          </w:p>
        </w:tc>
        <w:tc>
          <w:tcPr>
            <w:tcW w:w="705" w:type="pct"/>
            <w:tcBorders>
              <w:top w:val="single" w:color="auto" w:sz="4" w:space="0"/>
              <w:left w:val="single" w:color="auto" w:sz="4" w:space="0"/>
              <w:bottom w:val="single" w:color="auto" w:sz="4" w:space="0"/>
              <w:right w:val="single" w:color="auto" w:sz="4" w:space="0"/>
            </w:tcBorders>
            <w:noWrap w:val="0"/>
            <w:vAlign w:val="center"/>
          </w:tcPr>
          <w:p w14:paraId="244A4C7B">
            <w:pPr>
              <w:pStyle w:val="55"/>
              <w:bidi w:val="0"/>
              <w:rPr>
                <w:rFonts w:hint="default"/>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标准值Coi</w:t>
            </w:r>
          </w:p>
          <w:p w14:paraId="6688B4FE">
            <w:pPr>
              <w:pStyle w:val="55"/>
              <w:bidi w:val="0"/>
              <w:rPr>
                <w:rFonts w:hint="default"/>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(mg/m</w:t>
            </w:r>
            <w:r>
              <w:rPr>
                <w:rFonts w:hint="default"/>
                <w:color w:val="000000" w:themeColor="text1"/>
                <w:sz w:val="24"/>
                <w:szCs w:val="24"/>
                <w:vertAlign w:val="superscript"/>
                <w14:textFill>
                  <w14:solidFill>
                    <w14:schemeClr w14:val="tx1"/>
                  </w14:solidFill>
                </w14:textFill>
              </w:rPr>
              <w:t>3</w:t>
            </w:r>
            <w:r>
              <w:rPr>
                <w:rFonts w:hint="default"/>
                <w:color w:val="000000" w:themeColor="text1"/>
                <w:sz w:val="24"/>
                <w:szCs w:val="24"/>
                <w14:textFill>
                  <w14:solidFill>
                    <w14:schemeClr w14:val="tx1"/>
                  </w14:solidFill>
                </w14:textFill>
              </w:rPr>
              <w:t>)</w:t>
            </w:r>
          </w:p>
        </w:tc>
      </w:tr>
      <w:tr w14:paraId="33051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6" w:type="pct"/>
            <w:vMerge w:val="restart"/>
            <w:tcBorders>
              <w:left w:val="single" w:color="auto" w:sz="4" w:space="0"/>
              <w:right w:val="single" w:color="auto" w:sz="4" w:space="0"/>
            </w:tcBorders>
            <w:noWrap w:val="0"/>
            <w:vAlign w:val="center"/>
          </w:tcPr>
          <w:p w14:paraId="3D34C717">
            <w:pPr>
              <w:pStyle w:val="55"/>
              <w:bidi w:val="0"/>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面源</w:t>
            </w:r>
          </w:p>
        </w:tc>
        <w:tc>
          <w:tcPr>
            <w:tcW w:w="799" w:type="pct"/>
            <w:vMerge w:val="restart"/>
            <w:tcBorders>
              <w:left w:val="single" w:color="auto" w:sz="4" w:space="0"/>
              <w:right w:val="single" w:color="auto" w:sz="4" w:space="0"/>
            </w:tcBorders>
            <w:noWrap w:val="0"/>
            <w:vAlign w:val="center"/>
          </w:tcPr>
          <w:p w14:paraId="134CC41A">
            <w:pPr>
              <w:pStyle w:val="55"/>
              <w:rPr>
                <w:rFonts w:hint="default"/>
                <w:color w:val="000000" w:themeColor="text1"/>
                <w:sz w:val="24"/>
                <w:szCs w:val="24"/>
                <w:lang w:val="en-US" w:eastAsia="zh-CN"/>
                <w14:textFill>
                  <w14:solidFill>
                    <w14:schemeClr w14:val="tx1"/>
                  </w14:solidFill>
                </w14:textFill>
              </w:rPr>
            </w:pPr>
            <w:r>
              <w:rPr>
                <w:rFonts w:hint="eastAsia"/>
                <w:sz w:val="24"/>
                <w:szCs w:val="24"/>
                <w:lang w:val="en-US" w:eastAsia="zh-CN"/>
              </w:rPr>
              <w:t>1</w:t>
            </w:r>
            <w:r>
              <w:rPr>
                <w:rFonts w:hint="eastAsia"/>
                <w:sz w:val="24"/>
                <w:szCs w:val="24"/>
              </w:rPr>
              <w:t>#生产车间</w:t>
            </w:r>
          </w:p>
        </w:tc>
        <w:tc>
          <w:tcPr>
            <w:tcW w:w="897" w:type="pct"/>
            <w:tcBorders>
              <w:top w:val="single" w:color="auto" w:sz="4" w:space="0"/>
              <w:left w:val="single" w:color="auto" w:sz="4" w:space="0"/>
              <w:right w:val="single" w:color="auto" w:sz="4" w:space="0"/>
            </w:tcBorders>
            <w:noWrap w:val="0"/>
            <w:vAlign w:val="center"/>
          </w:tcPr>
          <w:p w14:paraId="00FF924B">
            <w:pPr>
              <w:pStyle w:val="55"/>
              <w:bidi w:val="0"/>
              <w:rPr>
                <w:rFonts w:hint="eastAsia" w:eastAsia="宋体"/>
                <w:color w:val="000000" w:themeColor="text1"/>
                <w:sz w:val="24"/>
                <w:szCs w:val="24"/>
                <w:lang w:val="en-US" w:eastAsia="zh-CN"/>
                <w14:textFill>
                  <w14:solidFill>
                    <w14:schemeClr w14:val="tx1"/>
                  </w14:solidFill>
                </w14:textFill>
              </w:rPr>
            </w:pPr>
            <w:r>
              <w:rPr>
                <w:rFonts w:hint="eastAsia"/>
                <w:sz w:val="24"/>
                <w:szCs w:val="24"/>
                <w:lang w:val="en-US" w:eastAsia="zh-CN"/>
              </w:rPr>
              <w:t>颗粒物</w:t>
            </w:r>
          </w:p>
        </w:tc>
        <w:tc>
          <w:tcPr>
            <w:tcW w:w="1807" w:type="dxa"/>
            <w:tcBorders>
              <w:top w:val="single" w:color="auto" w:sz="4" w:space="0"/>
              <w:left w:val="single" w:color="auto" w:sz="4" w:space="0"/>
              <w:right w:val="single" w:color="auto" w:sz="4" w:space="0"/>
            </w:tcBorders>
            <w:noWrap w:val="0"/>
            <w:vAlign w:val="center"/>
          </w:tcPr>
          <w:p w14:paraId="1E0EF3F1">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0.0547</w:t>
            </w:r>
          </w:p>
        </w:tc>
        <w:tc>
          <w:tcPr>
            <w:tcW w:w="1187" w:type="dxa"/>
            <w:tcBorders>
              <w:top w:val="single" w:color="auto" w:sz="4" w:space="0"/>
              <w:left w:val="single" w:color="auto" w:sz="4" w:space="0"/>
              <w:right w:val="single" w:color="auto" w:sz="4" w:space="0"/>
            </w:tcBorders>
            <w:noWrap w:val="0"/>
            <w:vAlign w:val="center"/>
          </w:tcPr>
          <w:p w14:paraId="57FC5CC1">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6.08</w:t>
            </w:r>
          </w:p>
        </w:tc>
        <w:tc>
          <w:tcPr>
            <w:tcW w:w="548" w:type="pct"/>
            <w:vMerge w:val="restart"/>
            <w:tcBorders>
              <w:top w:val="single" w:color="auto" w:sz="4" w:space="0"/>
              <w:left w:val="single" w:color="auto" w:sz="4" w:space="0"/>
              <w:right w:val="single" w:color="auto" w:sz="4" w:space="0"/>
            </w:tcBorders>
            <w:noWrap w:val="0"/>
            <w:vAlign w:val="center"/>
          </w:tcPr>
          <w:p w14:paraId="05BDE5D3">
            <w:pPr>
              <w:pStyle w:val="55"/>
              <w:bidi w:val="0"/>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41</w:t>
            </w:r>
          </w:p>
        </w:tc>
        <w:tc>
          <w:tcPr>
            <w:tcW w:w="705" w:type="pct"/>
            <w:tcBorders>
              <w:top w:val="single" w:color="auto" w:sz="4" w:space="0"/>
              <w:left w:val="single" w:color="auto" w:sz="4" w:space="0"/>
              <w:bottom w:val="single" w:color="auto" w:sz="4" w:space="0"/>
              <w:right w:val="single" w:color="auto" w:sz="4" w:space="0"/>
            </w:tcBorders>
            <w:noWrap w:val="0"/>
            <w:vAlign w:val="center"/>
          </w:tcPr>
          <w:p w14:paraId="5A66BE75">
            <w:pPr>
              <w:pStyle w:val="55"/>
              <w:bidi w:val="0"/>
              <w:rPr>
                <w:rFonts w:hint="default" w:eastAsia="宋体"/>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0.9</w:t>
            </w:r>
          </w:p>
        </w:tc>
      </w:tr>
      <w:tr w14:paraId="27E8E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6" w:type="pct"/>
            <w:vMerge w:val="continue"/>
            <w:tcBorders>
              <w:left w:val="single" w:color="auto" w:sz="4" w:space="0"/>
              <w:right w:val="single" w:color="auto" w:sz="4" w:space="0"/>
            </w:tcBorders>
            <w:noWrap w:val="0"/>
            <w:vAlign w:val="center"/>
          </w:tcPr>
          <w:p w14:paraId="2E443F7B">
            <w:pPr>
              <w:pStyle w:val="55"/>
              <w:bidi w:val="0"/>
              <w:rPr>
                <w:rFonts w:hint="default"/>
                <w:color w:val="000000" w:themeColor="text1"/>
                <w:sz w:val="24"/>
                <w:szCs w:val="24"/>
                <w:lang w:val="en-US" w:eastAsia="zh-CN"/>
                <w14:textFill>
                  <w14:solidFill>
                    <w14:schemeClr w14:val="tx1"/>
                  </w14:solidFill>
                </w14:textFill>
              </w:rPr>
            </w:pPr>
          </w:p>
        </w:tc>
        <w:tc>
          <w:tcPr>
            <w:tcW w:w="799" w:type="pct"/>
            <w:vMerge w:val="continue"/>
            <w:tcBorders>
              <w:left w:val="single" w:color="auto" w:sz="4" w:space="0"/>
              <w:right w:val="single" w:color="auto" w:sz="4" w:space="0"/>
            </w:tcBorders>
            <w:noWrap w:val="0"/>
            <w:vAlign w:val="center"/>
          </w:tcPr>
          <w:p w14:paraId="06C8D6F0">
            <w:pPr>
              <w:pStyle w:val="55"/>
              <w:bidi w:val="0"/>
              <w:rPr>
                <w:rFonts w:hint="default"/>
                <w:color w:val="000000" w:themeColor="text1"/>
                <w:sz w:val="24"/>
                <w:szCs w:val="24"/>
                <w:lang w:val="en-US" w:eastAsia="zh-CN"/>
                <w14:textFill>
                  <w14:solidFill>
                    <w14:schemeClr w14:val="tx1"/>
                  </w14:solidFill>
                </w14:textFill>
              </w:rPr>
            </w:pPr>
          </w:p>
        </w:tc>
        <w:tc>
          <w:tcPr>
            <w:tcW w:w="897" w:type="pct"/>
            <w:tcBorders>
              <w:top w:val="single" w:color="auto" w:sz="4" w:space="0"/>
              <w:left w:val="single" w:color="auto" w:sz="4" w:space="0"/>
              <w:right w:val="single" w:color="auto" w:sz="4" w:space="0"/>
            </w:tcBorders>
            <w:noWrap w:val="0"/>
            <w:vAlign w:val="center"/>
          </w:tcPr>
          <w:p w14:paraId="35FD5DB3">
            <w:pPr>
              <w:pStyle w:val="55"/>
              <w:bidi w:val="0"/>
              <w:rPr>
                <w:rFonts w:hint="default"/>
                <w:color w:val="000000" w:themeColor="text1"/>
                <w:sz w:val="24"/>
                <w:szCs w:val="24"/>
                <w:lang w:val="en-US" w:eastAsia="zh-CN"/>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非甲烷总烃</w:t>
            </w:r>
          </w:p>
        </w:tc>
        <w:tc>
          <w:tcPr>
            <w:tcW w:w="1807" w:type="dxa"/>
            <w:tcBorders>
              <w:top w:val="single" w:color="auto" w:sz="4" w:space="0"/>
              <w:left w:val="single" w:color="auto" w:sz="4" w:space="0"/>
              <w:right w:val="single" w:color="auto" w:sz="4" w:space="0"/>
            </w:tcBorders>
            <w:noWrap w:val="0"/>
            <w:vAlign w:val="center"/>
          </w:tcPr>
          <w:p w14:paraId="0DED6841">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0.0556</w:t>
            </w:r>
          </w:p>
        </w:tc>
        <w:tc>
          <w:tcPr>
            <w:tcW w:w="1187" w:type="dxa"/>
            <w:tcBorders>
              <w:top w:val="single" w:color="auto" w:sz="4" w:space="0"/>
              <w:left w:val="single" w:color="auto" w:sz="4" w:space="0"/>
              <w:right w:val="single" w:color="auto" w:sz="4" w:space="0"/>
            </w:tcBorders>
            <w:noWrap w:val="0"/>
            <w:vAlign w:val="center"/>
          </w:tcPr>
          <w:p w14:paraId="53104E1F">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2.78</w:t>
            </w:r>
          </w:p>
        </w:tc>
        <w:tc>
          <w:tcPr>
            <w:tcW w:w="548" w:type="pct"/>
            <w:vMerge w:val="continue"/>
            <w:tcBorders>
              <w:left w:val="single" w:color="auto" w:sz="4" w:space="0"/>
              <w:right w:val="single" w:color="auto" w:sz="4" w:space="0"/>
            </w:tcBorders>
            <w:noWrap w:val="0"/>
            <w:vAlign w:val="center"/>
          </w:tcPr>
          <w:p w14:paraId="686CF86F">
            <w:pPr>
              <w:pStyle w:val="55"/>
              <w:bidi w:val="0"/>
              <w:rPr>
                <w:rFonts w:hint="eastAsia"/>
                <w:color w:val="000000" w:themeColor="text1"/>
                <w:sz w:val="24"/>
                <w:szCs w:val="24"/>
                <w:lang w:val="en-US" w:eastAsia="zh-CN"/>
                <w14:textFill>
                  <w14:solidFill>
                    <w14:schemeClr w14:val="tx1"/>
                  </w14:solidFill>
                </w14:textFill>
              </w:rPr>
            </w:pPr>
          </w:p>
        </w:tc>
        <w:tc>
          <w:tcPr>
            <w:tcW w:w="705" w:type="pct"/>
            <w:tcBorders>
              <w:top w:val="single" w:color="auto" w:sz="4" w:space="0"/>
              <w:left w:val="single" w:color="auto" w:sz="4" w:space="0"/>
              <w:bottom w:val="single" w:color="auto" w:sz="4" w:space="0"/>
              <w:right w:val="single" w:color="auto" w:sz="4" w:space="0"/>
            </w:tcBorders>
            <w:noWrap w:val="0"/>
            <w:vAlign w:val="center"/>
          </w:tcPr>
          <w:p w14:paraId="19681458">
            <w:pPr>
              <w:pStyle w:val="55"/>
              <w:bidi w:val="0"/>
              <w:rPr>
                <w:rFonts w:hint="default"/>
                <w:color w:val="000000" w:themeColor="text1"/>
                <w:sz w:val="24"/>
                <w:szCs w:val="24"/>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2.0</w:t>
            </w:r>
          </w:p>
        </w:tc>
      </w:tr>
      <w:tr w14:paraId="47F92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6" w:type="pct"/>
            <w:vMerge w:val="continue"/>
            <w:tcBorders>
              <w:left w:val="single" w:color="auto" w:sz="4" w:space="0"/>
              <w:right w:val="single" w:color="auto" w:sz="4" w:space="0"/>
            </w:tcBorders>
            <w:noWrap w:val="0"/>
            <w:vAlign w:val="center"/>
          </w:tcPr>
          <w:p w14:paraId="2451829B">
            <w:pPr>
              <w:pStyle w:val="55"/>
              <w:bidi w:val="0"/>
              <w:rPr>
                <w:rFonts w:hint="default"/>
                <w:color w:val="000000" w:themeColor="text1"/>
                <w:sz w:val="24"/>
                <w:szCs w:val="24"/>
                <w:lang w:val="en-US" w:eastAsia="zh-CN"/>
                <w14:textFill>
                  <w14:solidFill>
                    <w14:schemeClr w14:val="tx1"/>
                  </w14:solidFill>
                </w14:textFill>
              </w:rPr>
            </w:pPr>
          </w:p>
        </w:tc>
        <w:tc>
          <w:tcPr>
            <w:tcW w:w="799" w:type="pct"/>
            <w:vMerge w:val="continue"/>
            <w:tcBorders>
              <w:left w:val="single" w:color="auto" w:sz="4" w:space="0"/>
              <w:right w:val="single" w:color="auto" w:sz="4" w:space="0"/>
            </w:tcBorders>
            <w:noWrap w:val="0"/>
            <w:vAlign w:val="center"/>
          </w:tcPr>
          <w:p w14:paraId="727C5AB1">
            <w:pPr>
              <w:pStyle w:val="55"/>
              <w:bidi w:val="0"/>
              <w:rPr>
                <w:rFonts w:hint="default"/>
                <w:color w:val="000000" w:themeColor="text1"/>
                <w:sz w:val="24"/>
                <w:szCs w:val="24"/>
                <w:lang w:val="en-US" w:eastAsia="zh-CN"/>
                <w14:textFill>
                  <w14:solidFill>
                    <w14:schemeClr w14:val="tx1"/>
                  </w14:solidFill>
                </w14:textFill>
              </w:rPr>
            </w:pPr>
          </w:p>
        </w:tc>
        <w:tc>
          <w:tcPr>
            <w:tcW w:w="897" w:type="pct"/>
            <w:tcBorders>
              <w:top w:val="single" w:color="auto" w:sz="4" w:space="0"/>
              <w:left w:val="single" w:color="auto" w:sz="4" w:space="0"/>
              <w:right w:val="single" w:color="auto" w:sz="4" w:space="0"/>
            </w:tcBorders>
            <w:noWrap w:val="0"/>
            <w:vAlign w:val="center"/>
          </w:tcPr>
          <w:p w14:paraId="1982B2E6">
            <w:pPr>
              <w:pStyle w:val="55"/>
              <w:bidi w:val="0"/>
              <w:rPr>
                <w:rFonts w:hint="default"/>
                <w:color w:val="000000" w:themeColor="text1"/>
                <w:sz w:val="24"/>
                <w:szCs w:val="24"/>
                <w:lang w:val="en-US" w:eastAsia="zh-CN"/>
                <w14:textFill>
                  <w14:solidFill>
                    <w14:schemeClr w14:val="tx1"/>
                  </w14:solidFill>
                </w14:textFill>
              </w:rPr>
            </w:pPr>
            <w:r>
              <w:rPr>
                <w:rFonts w:hint="eastAsia"/>
                <w:b w:val="0"/>
                <w:bCs w:val="0"/>
                <w:color w:val="000000" w:themeColor="text1"/>
                <w:sz w:val="24"/>
                <w:szCs w:val="24"/>
                <w:lang w:val="en-US" w:eastAsia="zh-CN"/>
                <w14:textFill>
                  <w14:solidFill>
                    <w14:schemeClr w14:val="tx1"/>
                  </w14:solidFill>
                </w14:textFill>
              </w:rPr>
              <w:t>HCl</w:t>
            </w:r>
          </w:p>
        </w:tc>
        <w:tc>
          <w:tcPr>
            <w:tcW w:w="1807" w:type="dxa"/>
            <w:tcBorders>
              <w:top w:val="single" w:color="auto" w:sz="4" w:space="0"/>
              <w:left w:val="single" w:color="auto" w:sz="4" w:space="0"/>
              <w:right w:val="single" w:color="auto" w:sz="4" w:space="0"/>
            </w:tcBorders>
            <w:noWrap w:val="0"/>
            <w:vAlign w:val="center"/>
          </w:tcPr>
          <w:p w14:paraId="385EA9FA">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0.0000</w:t>
            </w:r>
          </w:p>
        </w:tc>
        <w:tc>
          <w:tcPr>
            <w:tcW w:w="1187" w:type="dxa"/>
            <w:tcBorders>
              <w:top w:val="single" w:color="auto" w:sz="4" w:space="0"/>
              <w:left w:val="single" w:color="auto" w:sz="4" w:space="0"/>
              <w:right w:val="single" w:color="auto" w:sz="4" w:space="0"/>
            </w:tcBorders>
            <w:noWrap w:val="0"/>
            <w:vAlign w:val="center"/>
          </w:tcPr>
          <w:p w14:paraId="66FA72AE">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0.00</w:t>
            </w:r>
          </w:p>
        </w:tc>
        <w:tc>
          <w:tcPr>
            <w:tcW w:w="548" w:type="pct"/>
            <w:vMerge w:val="continue"/>
            <w:tcBorders>
              <w:left w:val="single" w:color="auto" w:sz="4" w:space="0"/>
              <w:right w:val="single" w:color="auto" w:sz="4" w:space="0"/>
            </w:tcBorders>
            <w:noWrap w:val="0"/>
            <w:vAlign w:val="center"/>
          </w:tcPr>
          <w:p w14:paraId="663F37E1">
            <w:pPr>
              <w:pStyle w:val="55"/>
              <w:bidi w:val="0"/>
              <w:rPr>
                <w:rFonts w:hint="eastAsia"/>
                <w:color w:val="000000" w:themeColor="text1"/>
                <w:sz w:val="24"/>
                <w:szCs w:val="24"/>
                <w:lang w:val="en-US" w:eastAsia="zh-CN"/>
                <w14:textFill>
                  <w14:solidFill>
                    <w14:schemeClr w14:val="tx1"/>
                  </w14:solidFill>
                </w14:textFill>
              </w:rPr>
            </w:pPr>
          </w:p>
        </w:tc>
        <w:tc>
          <w:tcPr>
            <w:tcW w:w="705" w:type="pct"/>
            <w:tcBorders>
              <w:top w:val="single" w:color="auto" w:sz="4" w:space="0"/>
              <w:left w:val="single" w:color="auto" w:sz="4" w:space="0"/>
              <w:bottom w:val="single" w:color="000000" w:sz="4" w:space="0"/>
              <w:right w:val="single" w:color="auto" w:sz="4" w:space="0"/>
            </w:tcBorders>
            <w:noWrap w:val="0"/>
            <w:vAlign w:val="center"/>
          </w:tcPr>
          <w:p w14:paraId="64BAC728">
            <w:pPr>
              <w:pStyle w:val="55"/>
              <w:bidi w:val="0"/>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0.05</w:t>
            </w:r>
          </w:p>
        </w:tc>
      </w:tr>
      <w:tr w14:paraId="2F999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6" w:type="pct"/>
            <w:vMerge w:val="continue"/>
            <w:tcBorders>
              <w:left w:val="single" w:color="auto" w:sz="4" w:space="0"/>
              <w:right w:val="single" w:color="auto" w:sz="4" w:space="0"/>
            </w:tcBorders>
            <w:noWrap w:val="0"/>
            <w:vAlign w:val="center"/>
          </w:tcPr>
          <w:p w14:paraId="4835903B">
            <w:pPr>
              <w:pStyle w:val="55"/>
              <w:bidi w:val="0"/>
              <w:rPr>
                <w:rFonts w:hint="default"/>
                <w:color w:val="000000" w:themeColor="text1"/>
                <w:sz w:val="24"/>
                <w:szCs w:val="24"/>
                <w:lang w:val="en-US" w:eastAsia="zh-CN"/>
                <w14:textFill>
                  <w14:solidFill>
                    <w14:schemeClr w14:val="tx1"/>
                  </w14:solidFill>
                </w14:textFill>
              </w:rPr>
            </w:pPr>
          </w:p>
        </w:tc>
        <w:tc>
          <w:tcPr>
            <w:tcW w:w="799" w:type="pct"/>
            <w:vMerge w:val="restart"/>
            <w:tcBorders>
              <w:left w:val="single" w:color="auto" w:sz="4" w:space="0"/>
              <w:right w:val="single" w:color="auto" w:sz="4" w:space="0"/>
            </w:tcBorders>
            <w:noWrap w:val="0"/>
            <w:vAlign w:val="center"/>
          </w:tcPr>
          <w:p w14:paraId="5FB5AEEA">
            <w:pPr>
              <w:pStyle w:val="55"/>
              <w:rPr>
                <w:rFonts w:hint="default"/>
                <w:color w:val="000000" w:themeColor="text1"/>
                <w:sz w:val="24"/>
                <w:szCs w:val="24"/>
                <w:lang w:val="en-US" w:eastAsia="zh-CN"/>
                <w14:textFill>
                  <w14:solidFill>
                    <w14:schemeClr w14:val="tx1"/>
                  </w14:solidFill>
                </w14:textFill>
              </w:rPr>
            </w:pPr>
            <w:r>
              <w:rPr>
                <w:rFonts w:hint="eastAsia"/>
                <w:sz w:val="24"/>
                <w:szCs w:val="24"/>
                <w:lang w:val="en-US" w:eastAsia="zh-CN"/>
              </w:rPr>
              <w:t>2</w:t>
            </w:r>
            <w:r>
              <w:rPr>
                <w:rFonts w:hint="eastAsia"/>
                <w:sz w:val="24"/>
                <w:szCs w:val="24"/>
              </w:rPr>
              <w:t>#生产车间</w:t>
            </w:r>
          </w:p>
        </w:tc>
        <w:tc>
          <w:tcPr>
            <w:tcW w:w="897" w:type="pct"/>
            <w:tcBorders>
              <w:top w:val="single" w:color="auto" w:sz="4" w:space="0"/>
              <w:left w:val="single" w:color="auto" w:sz="4" w:space="0"/>
              <w:bottom w:val="single" w:color="auto" w:sz="4" w:space="0"/>
              <w:right w:val="single" w:color="auto" w:sz="4" w:space="0"/>
            </w:tcBorders>
            <w:noWrap w:val="0"/>
            <w:vAlign w:val="center"/>
          </w:tcPr>
          <w:p w14:paraId="6F576A47">
            <w:pPr>
              <w:pStyle w:val="55"/>
              <w:bidi w:val="0"/>
              <w:rPr>
                <w:rFonts w:hint="default"/>
                <w:color w:val="000000" w:themeColor="text1"/>
                <w:sz w:val="24"/>
                <w:szCs w:val="24"/>
                <w:lang w:eastAsia="zh-CN"/>
                <w14:textFill>
                  <w14:solidFill>
                    <w14:schemeClr w14:val="tx1"/>
                  </w14:solidFill>
                </w14:textFill>
              </w:rPr>
            </w:pPr>
            <w:r>
              <w:rPr>
                <w:rFonts w:hint="eastAsia"/>
                <w:sz w:val="24"/>
                <w:szCs w:val="24"/>
                <w:lang w:val="en-US" w:eastAsia="zh-CN"/>
              </w:rPr>
              <w:t>颗粒物</w:t>
            </w:r>
          </w:p>
        </w:tc>
        <w:tc>
          <w:tcPr>
            <w:tcW w:w="1807" w:type="dxa"/>
            <w:tcBorders>
              <w:top w:val="single" w:color="auto" w:sz="4" w:space="0"/>
              <w:left w:val="single" w:color="auto" w:sz="4" w:space="0"/>
              <w:bottom w:val="single" w:color="auto" w:sz="4" w:space="0"/>
              <w:right w:val="single" w:color="auto" w:sz="4" w:space="0"/>
            </w:tcBorders>
            <w:noWrap w:val="0"/>
            <w:vAlign w:val="center"/>
          </w:tcPr>
          <w:p w14:paraId="403CB0D6">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0.0694</w:t>
            </w:r>
          </w:p>
        </w:tc>
        <w:tc>
          <w:tcPr>
            <w:tcW w:w="1187" w:type="dxa"/>
            <w:tcBorders>
              <w:top w:val="single" w:color="auto" w:sz="4" w:space="0"/>
              <w:left w:val="single" w:color="auto" w:sz="4" w:space="0"/>
              <w:bottom w:val="single" w:color="auto" w:sz="4" w:space="0"/>
              <w:right w:val="single" w:color="auto" w:sz="4" w:space="0"/>
            </w:tcBorders>
            <w:noWrap w:val="0"/>
            <w:vAlign w:val="center"/>
          </w:tcPr>
          <w:p w14:paraId="4D7E51D8">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7.71</w:t>
            </w:r>
          </w:p>
        </w:tc>
        <w:tc>
          <w:tcPr>
            <w:tcW w:w="548" w:type="pct"/>
            <w:vMerge w:val="restart"/>
            <w:tcBorders>
              <w:top w:val="single" w:color="auto" w:sz="4" w:space="0"/>
              <w:left w:val="single" w:color="auto" w:sz="4" w:space="0"/>
              <w:right w:val="single" w:color="auto" w:sz="4" w:space="0"/>
            </w:tcBorders>
            <w:noWrap w:val="0"/>
            <w:vAlign w:val="center"/>
          </w:tcPr>
          <w:p w14:paraId="0D59583B">
            <w:pPr>
              <w:pStyle w:val="55"/>
              <w:bidi w:val="0"/>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28</w:t>
            </w:r>
          </w:p>
        </w:tc>
        <w:tc>
          <w:tcPr>
            <w:tcW w:w="1309" w:type="dxa"/>
            <w:tcBorders>
              <w:top w:val="single" w:color="auto" w:sz="4" w:space="0"/>
              <w:left w:val="single" w:color="auto" w:sz="4" w:space="0"/>
              <w:bottom w:val="single" w:color="auto" w:sz="4" w:space="0"/>
              <w:right w:val="single" w:color="auto" w:sz="4" w:space="0"/>
            </w:tcBorders>
            <w:noWrap w:val="0"/>
            <w:vAlign w:val="center"/>
          </w:tcPr>
          <w:p w14:paraId="1959062D">
            <w:pPr>
              <w:pStyle w:val="55"/>
              <w:bidi w:val="0"/>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0.9</w:t>
            </w:r>
          </w:p>
        </w:tc>
      </w:tr>
      <w:tr w14:paraId="2DA2A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6" w:type="pct"/>
            <w:vMerge w:val="continue"/>
            <w:tcBorders>
              <w:left w:val="single" w:color="auto" w:sz="4" w:space="0"/>
              <w:right w:val="single" w:color="auto" w:sz="4" w:space="0"/>
            </w:tcBorders>
            <w:noWrap w:val="0"/>
            <w:vAlign w:val="center"/>
          </w:tcPr>
          <w:p w14:paraId="775B7035">
            <w:pPr>
              <w:pStyle w:val="55"/>
              <w:bidi w:val="0"/>
              <w:rPr>
                <w:rFonts w:hint="default"/>
                <w:color w:val="000000" w:themeColor="text1"/>
                <w:sz w:val="24"/>
                <w:szCs w:val="24"/>
                <w:lang w:val="en-US" w:eastAsia="zh-CN"/>
                <w14:textFill>
                  <w14:solidFill>
                    <w14:schemeClr w14:val="tx1"/>
                  </w14:solidFill>
                </w14:textFill>
              </w:rPr>
            </w:pPr>
          </w:p>
        </w:tc>
        <w:tc>
          <w:tcPr>
            <w:tcW w:w="799" w:type="pct"/>
            <w:vMerge w:val="continue"/>
            <w:tcBorders>
              <w:left w:val="single" w:color="auto" w:sz="4" w:space="0"/>
              <w:right w:val="single" w:color="auto" w:sz="4" w:space="0"/>
            </w:tcBorders>
            <w:noWrap w:val="0"/>
            <w:vAlign w:val="center"/>
          </w:tcPr>
          <w:p w14:paraId="0C9B59C9">
            <w:pPr>
              <w:pStyle w:val="55"/>
              <w:bidi w:val="0"/>
              <w:rPr>
                <w:rFonts w:hint="eastAsia"/>
                <w:color w:val="000000" w:themeColor="text1"/>
                <w:sz w:val="24"/>
                <w:szCs w:val="24"/>
                <w:lang w:val="en-US" w:eastAsia="zh-CN"/>
                <w14:textFill>
                  <w14:solidFill>
                    <w14:schemeClr w14:val="tx1"/>
                  </w14:solidFill>
                </w14:textFill>
              </w:rPr>
            </w:pPr>
          </w:p>
        </w:tc>
        <w:tc>
          <w:tcPr>
            <w:tcW w:w="897" w:type="pct"/>
            <w:tcBorders>
              <w:top w:val="single" w:color="auto" w:sz="4" w:space="0"/>
              <w:left w:val="single" w:color="auto" w:sz="4" w:space="0"/>
              <w:bottom w:val="single" w:color="auto" w:sz="4" w:space="0"/>
              <w:right w:val="single" w:color="auto" w:sz="4" w:space="0"/>
            </w:tcBorders>
            <w:noWrap w:val="0"/>
            <w:vAlign w:val="center"/>
          </w:tcPr>
          <w:p w14:paraId="19110182">
            <w:pPr>
              <w:pStyle w:val="55"/>
              <w:bidi w:val="0"/>
              <w:rPr>
                <w:rFonts w:hint="default"/>
                <w:color w:val="000000" w:themeColor="text1"/>
                <w:sz w:val="24"/>
                <w:szCs w:val="24"/>
                <w:lang w:val="en-US" w:eastAsia="zh-CN"/>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非甲烷总烃</w:t>
            </w:r>
          </w:p>
        </w:tc>
        <w:tc>
          <w:tcPr>
            <w:tcW w:w="1807" w:type="dxa"/>
            <w:tcBorders>
              <w:top w:val="single" w:color="auto" w:sz="4" w:space="0"/>
              <w:left w:val="single" w:color="auto" w:sz="4" w:space="0"/>
              <w:bottom w:val="single" w:color="auto" w:sz="4" w:space="0"/>
              <w:right w:val="single" w:color="auto" w:sz="4" w:space="0"/>
            </w:tcBorders>
            <w:noWrap w:val="0"/>
            <w:vAlign w:val="center"/>
          </w:tcPr>
          <w:p w14:paraId="0B88B32F">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0.0705</w:t>
            </w:r>
          </w:p>
        </w:tc>
        <w:tc>
          <w:tcPr>
            <w:tcW w:w="1187" w:type="dxa"/>
            <w:tcBorders>
              <w:top w:val="single" w:color="auto" w:sz="4" w:space="0"/>
              <w:left w:val="single" w:color="auto" w:sz="4" w:space="0"/>
              <w:bottom w:val="single" w:color="auto" w:sz="4" w:space="0"/>
              <w:right w:val="single" w:color="auto" w:sz="4" w:space="0"/>
            </w:tcBorders>
            <w:noWrap w:val="0"/>
            <w:vAlign w:val="center"/>
          </w:tcPr>
          <w:p w14:paraId="26B8461E">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3.52</w:t>
            </w:r>
          </w:p>
        </w:tc>
        <w:tc>
          <w:tcPr>
            <w:tcW w:w="548" w:type="pct"/>
            <w:vMerge w:val="continue"/>
            <w:tcBorders>
              <w:left w:val="single" w:color="auto" w:sz="4" w:space="0"/>
              <w:right w:val="single" w:color="auto" w:sz="4" w:space="0"/>
            </w:tcBorders>
            <w:noWrap w:val="0"/>
            <w:vAlign w:val="center"/>
          </w:tcPr>
          <w:p w14:paraId="691BB08B">
            <w:pPr>
              <w:pStyle w:val="55"/>
              <w:bidi w:val="0"/>
              <w:rPr>
                <w:rFonts w:hint="eastAsia"/>
                <w:color w:val="000000" w:themeColor="text1"/>
                <w:sz w:val="24"/>
                <w:szCs w:val="24"/>
                <w:lang w:val="en-US" w:eastAsia="zh-CN"/>
                <w14:textFill>
                  <w14:solidFill>
                    <w14:schemeClr w14:val="tx1"/>
                  </w14:solidFill>
                </w14:textFill>
              </w:rPr>
            </w:pPr>
          </w:p>
        </w:tc>
        <w:tc>
          <w:tcPr>
            <w:tcW w:w="1309" w:type="dxa"/>
            <w:tcBorders>
              <w:top w:val="single" w:color="auto" w:sz="4" w:space="0"/>
              <w:left w:val="single" w:color="auto" w:sz="4" w:space="0"/>
              <w:bottom w:val="single" w:color="auto" w:sz="4" w:space="0"/>
              <w:right w:val="single" w:color="auto" w:sz="4" w:space="0"/>
            </w:tcBorders>
            <w:noWrap w:val="0"/>
            <w:vAlign w:val="center"/>
          </w:tcPr>
          <w:p w14:paraId="76BFA17E">
            <w:pPr>
              <w:pStyle w:val="55"/>
              <w:bidi w:val="0"/>
              <w:rPr>
                <w:rFonts w:hint="default"/>
                <w:color w:val="000000" w:themeColor="text1"/>
                <w:sz w:val="24"/>
                <w:szCs w:val="24"/>
                <w:lang w:val="en-US" w:eastAsia="zh-CN"/>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2.0</w:t>
            </w:r>
          </w:p>
        </w:tc>
      </w:tr>
      <w:tr w14:paraId="7548E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6" w:type="pct"/>
            <w:vMerge w:val="continue"/>
            <w:tcBorders>
              <w:left w:val="single" w:color="auto" w:sz="4" w:space="0"/>
              <w:right w:val="single" w:color="auto" w:sz="4" w:space="0"/>
            </w:tcBorders>
            <w:noWrap w:val="0"/>
            <w:vAlign w:val="center"/>
          </w:tcPr>
          <w:p w14:paraId="752C5AA7">
            <w:pPr>
              <w:pStyle w:val="55"/>
              <w:bidi w:val="0"/>
              <w:rPr>
                <w:rFonts w:hint="default"/>
                <w:color w:val="000000" w:themeColor="text1"/>
                <w:sz w:val="24"/>
                <w:szCs w:val="24"/>
                <w:lang w:val="en-US" w:eastAsia="zh-CN"/>
                <w14:textFill>
                  <w14:solidFill>
                    <w14:schemeClr w14:val="tx1"/>
                  </w14:solidFill>
                </w14:textFill>
              </w:rPr>
            </w:pPr>
          </w:p>
        </w:tc>
        <w:tc>
          <w:tcPr>
            <w:tcW w:w="799" w:type="pct"/>
            <w:vMerge w:val="continue"/>
            <w:tcBorders>
              <w:left w:val="single" w:color="auto" w:sz="4" w:space="0"/>
              <w:right w:val="single" w:color="auto" w:sz="4" w:space="0"/>
            </w:tcBorders>
            <w:noWrap w:val="0"/>
            <w:vAlign w:val="center"/>
          </w:tcPr>
          <w:p w14:paraId="79F4A8C5">
            <w:pPr>
              <w:pStyle w:val="55"/>
              <w:bidi w:val="0"/>
              <w:rPr>
                <w:rFonts w:hint="eastAsia"/>
                <w:color w:val="000000" w:themeColor="text1"/>
                <w:sz w:val="24"/>
                <w:szCs w:val="24"/>
                <w:lang w:val="en-US" w:eastAsia="zh-CN"/>
                <w14:textFill>
                  <w14:solidFill>
                    <w14:schemeClr w14:val="tx1"/>
                  </w14:solidFill>
                </w14:textFill>
              </w:rPr>
            </w:pPr>
          </w:p>
        </w:tc>
        <w:tc>
          <w:tcPr>
            <w:tcW w:w="897" w:type="pct"/>
            <w:tcBorders>
              <w:top w:val="single" w:color="auto" w:sz="4" w:space="0"/>
              <w:left w:val="single" w:color="auto" w:sz="4" w:space="0"/>
              <w:bottom w:val="single" w:color="000000" w:sz="4" w:space="0"/>
              <w:right w:val="single" w:color="auto" w:sz="4" w:space="0"/>
            </w:tcBorders>
            <w:noWrap w:val="0"/>
            <w:vAlign w:val="center"/>
          </w:tcPr>
          <w:p w14:paraId="7C294591">
            <w:pPr>
              <w:pStyle w:val="55"/>
              <w:bidi w:val="0"/>
              <w:rPr>
                <w:rFonts w:hint="default"/>
                <w:color w:val="000000" w:themeColor="text1"/>
                <w:sz w:val="24"/>
                <w:szCs w:val="24"/>
                <w:lang w:val="en-US" w:eastAsia="zh-CN"/>
                <w14:textFill>
                  <w14:solidFill>
                    <w14:schemeClr w14:val="tx1"/>
                  </w14:solidFill>
                </w14:textFill>
              </w:rPr>
            </w:pPr>
            <w:r>
              <w:rPr>
                <w:rFonts w:hint="eastAsia"/>
                <w:b w:val="0"/>
                <w:bCs w:val="0"/>
                <w:color w:val="000000" w:themeColor="text1"/>
                <w:sz w:val="24"/>
                <w:szCs w:val="24"/>
                <w:lang w:val="en-US" w:eastAsia="zh-CN"/>
                <w14:textFill>
                  <w14:solidFill>
                    <w14:schemeClr w14:val="tx1"/>
                  </w14:solidFill>
                </w14:textFill>
              </w:rPr>
              <w:t>HCl</w:t>
            </w:r>
          </w:p>
        </w:tc>
        <w:tc>
          <w:tcPr>
            <w:tcW w:w="1807" w:type="dxa"/>
            <w:tcBorders>
              <w:top w:val="single" w:color="auto" w:sz="4" w:space="0"/>
              <w:left w:val="single" w:color="auto" w:sz="4" w:space="0"/>
              <w:bottom w:val="single" w:color="000000" w:sz="4" w:space="0"/>
              <w:right w:val="single" w:color="auto" w:sz="4" w:space="0"/>
            </w:tcBorders>
            <w:noWrap w:val="0"/>
            <w:vAlign w:val="center"/>
          </w:tcPr>
          <w:p w14:paraId="40BE1123">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0.0000</w:t>
            </w:r>
          </w:p>
        </w:tc>
        <w:tc>
          <w:tcPr>
            <w:tcW w:w="1187" w:type="dxa"/>
            <w:tcBorders>
              <w:top w:val="single" w:color="auto" w:sz="4" w:space="0"/>
              <w:left w:val="single" w:color="auto" w:sz="4" w:space="0"/>
              <w:bottom w:val="single" w:color="000000" w:sz="4" w:space="0"/>
              <w:right w:val="single" w:color="auto" w:sz="4" w:space="0"/>
            </w:tcBorders>
            <w:noWrap w:val="0"/>
            <w:vAlign w:val="center"/>
          </w:tcPr>
          <w:p w14:paraId="50A5E50E">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0.00</w:t>
            </w:r>
          </w:p>
        </w:tc>
        <w:tc>
          <w:tcPr>
            <w:tcW w:w="548" w:type="pct"/>
            <w:vMerge w:val="continue"/>
            <w:tcBorders>
              <w:left w:val="single" w:color="auto" w:sz="4" w:space="0"/>
              <w:right w:val="single" w:color="auto" w:sz="4" w:space="0"/>
            </w:tcBorders>
            <w:noWrap w:val="0"/>
            <w:vAlign w:val="center"/>
          </w:tcPr>
          <w:p w14:paraId="5A208DDE">
            <w:pPr>
              <w:pStyle w:val="55"/>
              <w:bidi w:val="0"/>
              <w:rPr>
                <w:rFonts w:hint="eastAsia"/>
                <w:color w:val="000000" w:themeColor="text1"/>
                <w:sz w:val="24"/>
                <w:szCs w:val="24"/>
                <w:lang w:val="en-US" w:eastAsia="zh-CN"/>
                <w14:textFill>
                  <w14:solidFill>
                    <w14:schemeClr w14:val="tx1"/>
                  </w14:solidFill>
                </w14:textFill>
              </w:rPr>
            </w:pPr>
          </w:p>
        </w:tc>
        <w:tc>
          <w:tcPr>
            <w:tcW w:w="1309" w:type="dxa"/>
            <w:tcBorders>
              <w:top w:val="single" w:color="auto" w:sz="4" w:space="0"/>
              <w:left w:val="single" w:color="auto" w:sz="4" w:space="0"/>
              <w:bottom w:val="single" w:color="000000" w:sz="4" w:space="0"/>
              <w:right w:val="single" w:color="auto" w:sz="4" w:space="0"/>
            </w:tcBorders>
            <w:noWrap w:val="0"/>
            <w:vAlign w:val="center"/>
          </w:tcPr>
          <w:p w14:paraId="32A6C24C">
            <w:pPr>
              <w:pStyle w:val="55"/>
              <w:bidi w:val="0"/>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0.05</w:t>
            </w:r>
          </w:p>
        </w:tc>
      </w:tr>
      <w:tr w14:paraId="111EE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6" w:type="pct"/>
            <w:vMerge w:val="continue"/>
            <w:tcBorders>
              <w:left w:val="single" w:color="auto" w:sz="4" w:space="0"/>
              <w:right w:val="single" w:color="auto" w:sz="4" w:space="0"/>
            </w:tcBorders>
            <w:noWrap w:val="0"/>
            <w:vAlign w:val="center"/>
          </w:tcPr>
          <w:p w14:paraId="54E3BD0F">
            <w:pPr>
              <w:pStyle w:val="55"/>
              <w:bidi w:val="0"/>
              <w:rPr>
                <w:rFonts w:hint="default"/>
                <w:color w:val="000000" w:themeColor="text1"/>
                <w:sz w:val="24"/>
                <w:szCs w:val="24"/>
                <w:lang w:val="en-US" w:eastAsia="zh-CN"/>
                <w14:textFill>
                  <w14:solidFill>
                    <w14:schemeClr w14:val="tx1"/>
                  </w14:solidFill>
                </w14:textFill>
              </w:rPr>
            </w:pPr>
          </w:p>
        </w:tc>
        <w:tc>
          <w:tcPr>
            <w:tcW w:w="799" w:type="pct"/>
            <w:vMerge w:val="restart"/>
            <w:tcBorders>
              <w:left w:val="single" w:color="auto" w:sz="4" w:space="0"/>
              <w:right w:val="single" w:color="auto" w:sz="4" w:space="0"/>
            </w:tcBorders>
            <w:noWrap w:val="0"/>
            <w:vAlign w:val="center"/>
          </w:tcPr>
          <w:p w14:paraId="18DFF385">
            <w:pPr>
              <w:pStyle w:val="55"/>
              <w:rPr>
                <w:rFonts w:hint="default"/>
                <w:color w:val="000000" w:themeColor="text1"/>
                <w:sz w:val="24"/>
                <w:szCs w:val="24"/>
                <w:lang w:val="en-US" w:eastAsia="zh-CN"/>
                <w14:textFill>
                  <w14:solidFill>
                    <w14:schemeClr w14:val="tx1"/>
                  </w14:solidFill>
                </w14:textFill>
              </w:rPr>
            </w:pPr>
            <w:r>
              <w:rPr>
                <w:rFonts w:hint="eastAsia"/>
                <w:sz w:val="24"/>
                <w:szCs w:val="24"/>
                <w:lang w:val="en-US" w:eastAsia="zh-CN"/>
              </w:rPr>
              <w:t>3</w:t>
            </w:r>
            <w:r>
              <w:rPr>
                <w:rFonts w:hint="eastAsia"/>
                <w:sz w:val="24"/>
                <w:szCs w:val="24"/>
              </w:rPr>
              <w:t>#生产车间</w:t>
            </w:r>
          </w:p>
        </w:tc>
        <w:tc>
          <w:tcPr>
            <w:tcW w:w="897" w:type="pct"/>
            <w:tcBorders>
              <w:top w:val="single" w:color="000000" w:sz="4" w:space="0"/>
              <w:left w:val="single" w:color="auto" w:sz="4" w:space="0"/>
              <w:bottom w:val="single" w:color="auto" w:sz="4" w:space="0"/>
              <w:right w:val="single" w:color="auto" w:sz="4" w:space="0"/>
            </w:tcBorders>
            <w:noWrap w:val="0"/>
            <w:vAlign w:val="center"/>
          </w:tcPr>
          <w:p w14:paraId="0F73C614">
            <w:pPr>
              <w:pStyle w:val="55"/>
              <w:bidi w:val="0"/>
              <w:rPr>
                <w:rFonts w:hint="default"/>
                <w:color w:val="000000" w:themeColor="text1"/>
                <w:sz w:val="24"/>
                <w:szCs w:val="24"/>
                <w:lang w:val="en-US" w:eastAsia="zh-CN"/>
                <w14:textFill>
                  <w14:solidFill>
                    <w14:schemeClr w14:val="tx1"/>
                  </w14:solidFill>
                </w14:textFill>
              </w:rPr>
            </w:pPr>
            <w:r>
              <w:rPr>
                <w:rFonts w:hint="eastAsia"/>
                <w:sz w:val="24"/>
                <w:szCs w:val="24"/>
                <w:lang w:val="en-US" w:eastAsia="zh-CN"/>
              </w:rPr>
              <w:t>颗粒物</w:t>
            </w:r>
          </w:p>
        </w:tc>
        <w:tc>
          <w:tcPr>
            <w:tcW w:w="1807" w:type="dxa"/>
            <w:tcBorders>
              <w:top w:val="single" w:color="000000" w:sz="4" w:space="0"/>
              <w:left w:val="single" w:color="auto" w:sz="4" w:space="0"/>
              <w:bottom w:val="single" w:color="auto" w:sz="4" w:space="0"/>
              <w:right w:val="single" w:color="auto" w:sz="4" w:space="0"/>
            </w:tcBorders>
            <w:noWrap w:val="0"/>
            <w:vAlign w:val="center"/>
          </w:tcPr>
          <w:p w14:paraId="37A38768">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0.0315</w:t>
            </w:r>
          </w:p>
        </w:tc>
        <w:tc>
          <w:tcPr>
            <w:tcW w:w="1187" w:type="dxa"/>
            <w:tcBorders>
              <w:top w:val="single" w:color="000000" w:sz="4" w:space="0"/>
              <w:left w:val="single" w:color="auto" w:sz="4" w:space="0"/>
              <w:bottom w:val="single" w:color="auto" w:sz="4" w:space="0"/>
              <w:right w:val="single" w:color="auto" w:sz="4" w:space="0"/>
            </w:tcBorders>
            <w:noWrap w:val="0"/>
            <w:vAlign w:val="center"/>
          </w:tcPr>
          <w:p w14:paraId="7CD6C545">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3.50</w:t>
            </w:r>
          </w:p>
        </w:tc>
        <w:tc>
          <w:tcPr>
            <w:tcW w:w="548" w:type="pct"/>
            <w:vMerge w:val="restart"/>
            <w:tcBorders>
              <w:left w:val="single" w:color="auto" w:sz="4" w:space="0"/>
              <w:right w:val="single" w:color="auto" w:sz="4" w:space="0"/>
            </w:tcBorders>
            <w:noWrap w:val="0"/>
            <w:vAlign w:val="center"/>
          </w:tcPr>
          <w:p w14:paraId="14D53850">
            <w:pPr>
              <w:pStyle w:val="55"/>
              <w:bidi w:val="0"/>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28</w:t>
            </w:r>
          </w:p>
        </w:tc>
        <w:tc>
          <w:tcPr>
            <w:tcW w:w="1309" w:type="dxa"/>
            <w:tcBorders>
              <w:top w:val="single" w:color="000000" w:sz="4" w:space="0"/>
              <w:left w:val="single" w:color="auto" w:sz="4" w:space="0"/>
              <w:bottom w:val="single" w:color="auto" w:sz="4" w:space="0"/>
              <w:right w:val="single" w:color="auto" w:sz="4" w:space="0"/>
            </w:tcBorders>
            <w:noWrap w:val="0"/>
            <w:vAlign w:val="center"/>
          </w:tcPr>
          <w:p w14:paraId="6276EA10">
            <w:pPr>
              <w:pStyle w:val="55"/>
              <w:bidi w:val="0"/>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0.9</w:t>
            </w:r>
          </w:p>
        </w:tc>
      </w:tr>
      <w:tr w14:paraId="5B3CC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6" w:type="pct"/>
            <w:vMerge w:val="continue"/>
            <w:tcBorders>
              <w:left w:val="single" w:color="auto" w:sz="4" w:space="0"/>
              <w:right w:val="single" w:color="auto" w:sz="4" w:space="0"/>
            </w:tcBorders>
            <w:noWrap w:val="0"/>
            <w:vAlign w:val="center"/>
          </w:tcPr>
          <w:p w14:paraId="1B52EFB2">
            <w:pPr>
              <w:pStyle w:val="55"/>
              <w:bidi w:val="0"/>
              <w:rPr>
                <w:rFonts w:hint="default"/>
                <w:color w:val="000000" w:themeColor="text1"/>
                <w:sz w:val="24"/>
                <w:szCs w:val="24"/>
                <w:lang w:val="en-US" w:eastAsia="zh-CN"/>
                <w14:textFill>
                  <w14:solidFill>
                    <w14:schemeClr w14:val="tx1"/>
                  </w14:solidFill>
                </w14:textFill>
              </w:rPr>
            </w:pPr>
          </w:p>
        </w:tc>
        <w:tc>
          <w:tcPr>
            <w:tcW w:w="799" w:type="pct"/>
            <w:vMerge w:val="continue"/>
            <w:tcBorders>
              <w:left w:val="single" w:color="auto" w:sz="4" w:space="0"/>
              <w:right w:val="single" w:color="auto" w:sz="4" w:space="0"/>
            </w:tcBorders>
            <w:noWrap w:val="0"/>
            <w:vAlign w:val="center"/>
          </w:tcPr>
          <w:p w14:paraId="75FE3FFA">
            <w:pPr>
              <w:pStyle w:val="55"/>
              <w:bidi w:val="0"/>
              <w:rPr>
                <w:rFonts w:hint="eastAsia"/>
                <w:color w:val="000000" w:themeColor="text1"/>
                <w:sz w:val="24"/>
                <w:szCs w:val="24"/>
                <w:lang w:val="en-US" w:eastAsia="zh-CN"/>
                <w14:textFill>
                  <w14:solidFill>
                    <w14:schemeClr w14:val="tx1"/>
                  </w14:solidFill>
                </w14:textFill>
              </w:rPr>
            </w:pPr>
          </w:p>
        </w:tc>
        <w:tc>
          <w:tcPr>
            <w:tcW w:w="897" w:type="pct"/>
            <w:tcBorders>
              <w:top w:val="single" w:color="auto" w:sz="4" w:space="0"/>
              <w:left w:val="single" w:color="auto" w:sz="4" w:space="0"/>
              <w:bottom w:val="single" w:color="auto" w:sz="4" w:space="0"/>
              <w:right w:val="single" w:color="auto" w:sz="4" w:space="0"/>
            </w:tcBorders>
            <w:noWrap w:val="0"/>
            <w:vAlign w:val="center"/>
          </w:tcPr>
          <w:p w14:paraId="52440CA5">
            <w:pPr>
              <w:pStyle w:val="55"/>
              <w:bidi w:val="0"/>
              <w:rPr>
                <w:rFonts w:hint="default"/>
                <w:color w:val="000000" w:themeColor="text1"/>
                <w:sz w:val="24"/>
                <w:szCs w:val="24"/>
                <w:lang w:val="en-US" w:eastAsia="zh-CN"/>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非甲烷总烃</w:t>
            </w:r>
          </w:p>
        </w:tc>
        <w:tc>
          <w:tcPr>
            <w:tcW w:w="1807" w:type="dxa"/>
            <w:tcBorders>
              <w:top w:val="single" w:color="auto" w:sz="4" w:space="0"/>
              <w:left w:val="single" w:color="auto" w:sz="4" w:space="0"/>
              <w:bottom w:val="single" w:color="auto" w:sz="4" w:space="0"/>
              <w:right w:val="single" w:color="auto" w:sz="4" w:space="0"/>
            </w:tcBorders>
            <w:noWrap w:val="0"/>
            <w:vAlign w:val="center"/>
          </w:tcPr>
          <w:p w14:paraId="75F1EF9F">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0.0315</w:t>
            </w:r>
          </w:p>
        </w:tc>
        <w:tc>
          <w:tcPr>
            <w:tcW w:w="1187" w:type="dxa"/>
            <w:tcBorders>
              <w:top w:val="single" w:color="auto" w:sz="4" w:space="0"/>
              <w:left w:val="single" w:color="auto" w:sz="4" w:space="0"/>
              <w:bottom w:val="single" w:color="auto" w:sz="4" w:space="0"/>
              <w:right w:val="single" w:color="auto" w:sz="4" w:space="0"/>
            </w:tcBorders>
            <w:noWrap w:val="0"/>
            <w:vAlign w:val="center"/>
          </w:tcPr>
          <w:p w14:paraId="14C77B20">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1.58</w:t>
            </w:r>
          </w:p>
        </w:tc>
        <w:tc>
          <w:tcPr>
            <w:tcW w:w="548" w:type="pct"/>
            <w:vMerge w:val="continue"/>
            <w:tcBorders>
              <w:left w:val="single" w:color="auto" w:sz="4" w:space="0"/>
              <w:right w:val="single" w:color="auto" w:sz="4" w:space="0"/>
            </w:tcBorders>
            <w:noWrap w:val="0"/>
            <w:vAlign w:val="center"/>
          </w:tcPr>
          <w:p w14:paraId="78869C93">
            <w:pPr>
              <w:pStyle w:val="55"/>
              <w:bidi w:val="0"/>
              <w:rPr>
                <w:rFonts w:hint="eastAsia"/>
                <w:color w:val="000000" w:themeColor="text1"/>
                <w:sz w:val="24"/>
                <w:szCs w:val="24"/>
                <w:lang w:val="en-US" w:eastAsia="zh-CN"/>
                <w14:textFill>
                  <w14:solidFill>
                    <w14:schemeClr w14:val="tx1"/>
                  </w14:solidFill>
                </w14:textFill>
              </w:rPr>
            </w:pPr>
          </w:p>
        </w:tc>
        <w:tc>
          <w:tcPr>
            <w:tcW w:w="1309" w:type="dxa"/>
            <w:tcBorders>
              <w:top w:val="single" w:color="auto" w:sz="4" w:space="0"/>
              <w:left w:val="single" w:color="auto" w:sz="4" w:space="0"/>
              <w:bottom w:val="single" w:color="auto" w:sz="4" w:space="0"/>
              <w:right w:val="single" w:color="auto" w:sz="4" w:space="0"/>
            </w:tcBorders>
            <w:noWrap w:val="0"/>
            <w:vAlign w:val="center"/>
          </w:tcPr>
          <w:p w14:paraId="6DDB2193">
            <w:pPr>
              <w:pStyle w:val="55"/>
              <w:bidi w:val="0"/>
              <w:rPr>
                <w:rFonts w:hint="default"/>
                <w:color w:val="000000" w:themeColor="text1"/>
                <w:sz w:val="24"/>
                <w:szCs w:val="24"/>
                <w:lang w:val="en-US" w:eastAsia="zh-CN"/>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2.0</w:t>
            </w:r>
          </w:p>
        </w:tc>
      </w:tr>
      <w:tr w14:paraId="26594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6" w:type="pct"/>
            <w:vMerge w:val="continue"/>
            <w:tcBorders>
              <w:left w:val="single" w:color="auto" w:sz="4" w:space="0"/>
              <w:right w:val="single" w:color="auto" w:sz="4" w:space="0"/>
            </w:tcBorders>
            <w:noWrap w:val="0"/>
            <w:vAlign w:val="center"/>
          </w:tcPr>
          <w:p w14:paraId="76C21609">
            <w:pPr>
              <w:pStyle w:val="55"/>
              <w:bidi w:val="0"/>
              <w:rPr>
                <w:rFonts w:hint="default"/>
                <w:color w:val="000000" w:themeColor="text1"/>
                <w:sz w:val="24"/>
                <w:szCs w:val="24"/>
                <w:lang w:val="en-US" w:eastAsia="zh-CN"/>
                <w14:textFill>
                  <w14:solidFill>
                    <w14:schemeClr w14:val="tx1"/>
                  </w14:solidFill>
                </w14:textFill>
              </w:rPr>
            </w:pPr>
          </w:p>
        </w:tc>
        <w:tc>
          <w:tcPr>
            <w:tcW w:w="799" w:type="pct"/>
            <w:vMerge w:val="continue"/>
            <w:tcBorders>
              <w:left w:val="single" w:color="auto" w:sz="4" w:space="0"/>
              <w:right w:val="single" w:color="auto" w:sz="4" w:space="0"/>
            </w:tcBorders>
            <w:noWrap w:val="0"/>
            <w:vAlign w:val="center"/>
          </w:tcPr>
          <w:p w14:paraId="35C02181">
            <w:pPr>
              <w:pStyle w:val="55"/>
              <w:bidi w:val="0"/>
              <w:rPr>
                <w:rFonts w:hint="eastAsia"/>
                <w:color w:val="000000" w:themeColor="text1"/>
                <w:sz w:val="24"/>
                <w:szCs w:val="24"/>
                <w:lang w:val="en-US" w:eastAsia="zh-CN"/>
                <w14:textFill>
                  <w14:solidFill>
                    <w14:schemeClr w14:val="tx1"/>
                  </w14:solidFill>
                </w14:textFill>
              </w:rPr>
            </w:pPr>
          </w:p>
        </w:tc>
        <w:tc>
          <w:tcPr>
            <w:tcW w:w="897" w:type="pct"/>
            <w:tcBorders>
              <w:top w:val="single" w:color="auto" w:sz="4" w:space="0"/>
              <w:left w:val="single" w:color="auto" w:sz="4" w:space="0"/>
              <w:bottom w:val="single" w:color="auto" w:sz="4" w:space="0"/>
              <w:right w:val="single" w:color="auto" w:sz="4" w:space="0"/>
            </w:tcBorders>
            <w:noWrap w:val="0"/>
            <w:vAlign w:val="center"/>
          </w:tcPr>
          <w:p w14:paraId="210A3B9D">
            <w:pPr>
              <w:pStyle w:val="55"/>
              <w:bidi w:val="0"/>
              <w:rPr>
                <w:rFonts w:hint="default"/>
                <w:color w:val="000000" w:themeColor="text1"/>
                <w:sz w:val="24"/>
                <w:szCs w:val="24"/>
                <w:lang w:val="en-US" w:eastAsia="zh-CN"/>
                <w14:textFill>
                  <w14:solidFill>
                    <w14:schemeClr w14:val="tx1"/>
                  </w14:solidFill>
                </w14:textFill>
              </w:rPr>
            </w:pPr>
            <w:r>
              <w:rPr>
                <w:rFonts w:hint="eastAsia"/>
                <w:b w:val="0"/>
                <w:bCs w:val="0"/>
                <w:color w:val="000000" w:themeColor="text1"/>
                <w:sz w:val="24"/>
                <w:szCs w:val="24"/>
                <w:lang w:val="en-US" w:eastAsia="zh-CN"/>
                <w14:textFill>
                  <w14:solidFill>
                    <w14:schemeClr w14:val="tx1"/>
                  </w14:solidFill>
                </w14:textFill>
              </w:rPr>
              <w:t>HCl</w:t>
            </w:r>
          </w:p>
        </w:tc>
        <w:tc>
          <w:tcPr>
            <w:tcW w:w="1807" w:type="dxa"/>
            <w:tcBorders>
              <w:top w:val="single" w:color="auto" w:sz="4" w:space="0"/>
              <w:left w:val="single" w:color="auto" w:sz="4" w:space="0"/>
              <w:bottom w:val="single" w:color="auto" w:sz="4" w:space="0"/>
              <w:right w:val="single" w:color="auto" w:sz="4" w:space="0"/>
            </w:tcBorders>
            <w:noWrap w:val="0"/>
            <w:vAlign w:val="center"/>
          </w:tcPr>
          <w:p w14:paraId="3CA8808D">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0.0000</w:t>
            </w:r>
          </w:p>
        </w:tc>
        <w:tc>
          <w:tcPr>
            <w:tcW w:w="1187" w:type="dxa"/>
            <w:tcBorders>
              <w:top w:val="single" w:color="auto" w:sz="4" w:space="0"/>
              <w:left w:val="single" w:color="auto" w:sz="4" w:space="0"/>
              <w:bottom w:val="single" w:color="auto" w:sz="4" w:space="0"/>
              <w:right w:val="single" w:color="auto" w:sz="4" w:space="0"/>
            </w:tcBorders>
            <w:noWrap w:val="0"/>
            <w:vAlign w:val="center"/>
          </w:tcPr>
          <w:p w14:paraId="2648B83D">
            <w:pPr>
              <w:pStyle w:val="55"/>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0.00</w:t>
            </w:r>
          </w:p>
        </w:tc>
        <w:tc>
          <w:tcPr>
            <w:tcW w:w="548" w:type="pct"/>
            <w:vMerge w:val="continue"/>
            <w:tcBorders>
              <w:left w:val="single" w:color="auto" w:sz="4" w:space="0"/>
              <w:bottom w:val="single" w:color="auto" w:sz="4" w:space="0"/>
              <w:right w:val="single" w:color="auto" w:sz="4" w:space="0"/>
            </w:tcBorders>
            <w:noWrap w:val="0"/>
            <w:vAlign w:val="center"/>
          </w:tcPr>
          <w:p w14:paraId="33B911A1">
            <w:pPr>
              <w:pStyle w:val="55"/>
              <w:bidi w:val="0"/>
              <w:rPr>
                <w:rFonts w:hint="eastAsia"/>
                <w:color w:val="000000" w:themeColor="text1"/>
                <w:sz w:val="24"/>
                <w:szCs w:val="24"/>
                <w:lang w:val="en-US" w:eastAsia="zh-CN"/>
                <w14:textFill>
                  <w14:solidFill>
                    <w14:schemeClr w14:val="tx1"/>
                  </w14:solidFill>
                </w14:textFill>
              </w:rPr>
            </w:pPr>
          </w:p>
        </w:tc>
        <w:tc>
          <w:tcPr>
            <w:tcW w:w="1309" w:type="dxa"/>
            <w:tcBorders>
              <w:top w:val="single" w:color="auto" w:sz="4" w:space="0"/>
              <w:left w:val="single" w:color="auto" w:sz="4" w:space="0"/>
              <w:bottom w:val="single" w:color="auto" w:sz="4" w:space="0"/>
              <w:right w:val="single" w:color="auto" w:sz="4" w:space="0"/>
            </w:tcBorders>
            <w:noWrap w:val="0"/>
            <w:vAlign w:val="center"/>
          </w:tcPr>
          <w:p w14:paraId="659C4F29">
            <w:pPr>
              <w:pStyle w:val="55"/>
              <w:bidi w:val="0"/>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0.05</w:t>
            </w:r>
          </w:p>
        </w:tc>
      </w:tr>
    </w:tbl>
    <w:p w14:paraId="05097CC8">
      <w:pPr>
        <w:pStyle w:val="47"/>
        <w:rPr>
          <w:rFonts w:hint="eastAsia"/>
        </w:rPr>
      </w:pPr>
      <w:r>
        <w:rPr>
          <w:rFonts w:hint="eastAsia"/>
        </w:rPr>
        <w:t>根据上表预测结果可知，经估算模式预测，项目大气污染源排放的污染物最大落地浓度值占标率中最大值Pmax =</w:t>
      </w:r>
      <w:r>
        <w:rPr>
          <w:rFonts w:hint="eastAsia"/>
          <w:lang w:val="en-US" w:eastAsia="zh-CN"/>
        </w:rPr>
        <w:t>7.71</w:t>
      </w:r>
      <w:r>
        <w:rPr>
          <w:rFonts w:hint="eastAsia"/>
        </w:rPr>
        <w:t>%。结合估算结果可知，项目大气环境影响评价等级为二级，根据《环境影响评价技术导则大气环境》（HJ2.2-2018），不进行进一步预测和评价，仅对污染物排放量进行核算。</w:t>
      </w:r>
    </w:p>
    <w:p w14:paraId="1A0ABF0C">
      <w:pPr>
        <w:pStyle w:val="47"/>
        <w:bidi w:val="0"/>
        <w:rPr>
          <w:rFonts w:hint="eastAsia"/>
          <w:lang w:val="en-US" w:eastAsia="zh-CN"/>
        </w:rPr>
      </w:pPr>
      <w:r>
        <w:rPr>
          <w:rFonts w:hint="eastAsia"/>
          <w:lang w:val="en-US" w:eastAsia="zh-CN"/>
        </w:rPr>
        <w:t>（3）非正常工况</w:t>
      </w:r>
    </w:p>
    <w:p w14:paraId="327D0695">
      <w:pPr>
        <w:pStyle w:val="47"/>
        <w:bidi w:val="0"/>
        <w:rPr>
          <w:rFonts w:hint="eastAsia"/>
          <w:lang w:val="en-US" w:eastAsia="zh-CN"/>
        </w:rPr>
      </w:pPr>
      <w:r>
        <w:rPr>
          <w:rFonts w:hint="eastAsia"/>
          <w:lang w:val="en-US" w:eastAsia="zh-CN"/>
        </w:rPr>
        <w:t>非正常工况下各污染源估算模型计算结果见下表。</w:t>
      </w:r>
    </w:p>
    <w:p w14:paraId="419EB039">
      <w:pPr>
        <w:pStyle w:val="94"/>
        <w:bidi w:val="0"/>
        <w:ind w:left="0" w:leftChars="0" w:firstLine="0" w:firstLineChars="0"/>
        <w:rPr>
          <w:rFonts w:hint="eastAsia"/>
          <w:lang w:val="en-US" w:eastAsia="zh-CN"/>
        </w:rPr>
      </w:pPr>
      <w:r>
        <w:rPr>
          <w:rFonts w:hint="eastAsia"/>
          <w:lang w:val="en-US" w:eastAsia="zh-CN"/>
        </w:rPr>
        <w:t>非正常工况下有组织污染源估算模型计算结果表</w:t>
      </w:r>
    </w:p>
    <w:tbl>
      <w:tblPr>
        <w:tblStyle w:val="3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281"/>
        <w:gridCol w:w="1687"/>
        <w:gridCol w:w="2307"/>
        <w:gridCol w:w="2438"/>
        <w:gridCol w:w="1389"/>
      </w:tblGrid>
      <w:tr w14:paraId="7EA76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7" w:hRule="atLeast"/>
        </w:trPr>
        <w:tc>
          <w:tcPr>
            <w:tcW w:w="1281" w:type="dxa"/>
            <w:tcBorders>
              <w:right w:val="single" w:color="000000" w:sz="4" w:space="0"/>
              <w:tl2br w:val="nil"/>
              <w:tr2bl w:val="nil"/>
            </w:tcBorders>
            <w:noWrap w:val="0"/>
            <w:vAlign w:val="center"/>
          </w:tcPr>
          <w:p w14:paraId="611E5F35">
            <w:pPr>
              <w:pStyle w:val="55"/>
              <w:bidi w:val="0"/>
              <w:rPr>
                <w:rFonts w:hint="default"/>
              </w:rPr>
            </w:pPr>
            <w:r>
              <w:rPr>
                <w:rFonts w:hint="eastAsia"/>
                <w:lang w:val="en-US" w:eastAsia="zh-CN"/>
              </w:rPr>
              <w:t>污染源</w:t>
            </w:r>
          </w:p>
        </w:tc>
        <w:tc>
          <w:tcPr>
            <w:tcW w:w="1687" w:type="dxa"/>
            <w:tcBorders>
              <w:left w:val="single" w:color="000000" w:sz="4" w:space="0"/>
              <w:tl2br w:val="nil"/>
              <w:tr2bl w:val="nil"/>
            </w:tcBorders>
            <w:noWrap w:val="0"/>
            <w:vAlign w:val="center"/>
          </w:tcPr>
          <w:p w14:paraId="2DAE74E8">
            <w:pPr>
              <w:pStyle w:val="55"/>
              <w:bidi w:val="0"/>
              <w:rPr>
                <w:rFonts w:hint="default"/>
                <w:lang w:val="en-US" w:eastAsia="zh-CN"/>
              </w:rPr>
            </w:pPr>
            <w:r>
              <w:rPr>
                <w:rFonts w:hint="eastAsia"/>
                <w:lang w:val="en-US" w:eastAsia="zh-CN"/>
              </w:rPr>
              <w:t>污染物</w:t>
            </w:r>
          </w:p>
        </w:tc>
        <w:tc>
          <w:tcPr>
            <w:tcW w:w="2307" w:type="dxa"/>
            <w:tcBorders>
              <w:tl2br w:val="nil"/>
              <w:tr2bl w:val="nil"/>
            </w:tcBorders>
            <w:noWrap w:val="0"/>
            <w:vAlign w:val="center"/>
          </w:tcPr>
          <w:p w14:paraId="41F3F545">
            <w:pPr>
              <w:pStyle w:val="55"/>
              <w:bidi w:val="0"/>
              <w:rPr>
                <w:rFonts w:hint="default"/>
              </w:rPr>
            </w:pPr>
            <w:r>
              <w:rPr>
                <w:rFonts w:hint="default"/>
              </w:rPr>
              <w:t>距离中心下风向距离（m）</w:t>
            </w:r>
          </w:p>
        </w:tc>
        <w:tc>
          <w:tcPr>
            <w:tcW w:w="2438" w:type="dxa"/>
            <w:tcBorders>
              <w:tl2br w:val="nil"/>
              <w:tr2bl w:val="nil"/>
            </w:tcBorders>
            <w:noWrap w:val="0"/>
            <w:vAlign w:val="center"/>
          </w:tcPr>
          <w:p w14:paraId="567DA28E">
            <w:pPr>
              <w:pStyle w:val="55"/>
              <w:bidi w:val="0"/>
              <w:rPr>
                <w:rFonts w:hint="default"/>
              </w:rPr>
            </w:pPr>
            <w:r>
              <w:rPr>
                <w:rFonts w:hint="default"/>
              </w:rPr>
              <w:t>下风向最大落地浓度（mg/m</w:t>
            </w:r>
            <w:r>
              <w:rPr>
                <w:rFonts w:hint="default"/>
                <w:vertAlign w:val="superscript"/>
              </w:rPr>
              <w:t>3</w:t>
            </w:r>
            <w:r>
              <w:rPr>
                <w:rFonts w:hint="default"/>
              </w:rPr>
              <w:t>）</w:t>
            </w:r>
          </w:p>
        </w:tc>
        <w:tc>
          <w:tcPr>
            <w:tcW w:w="1389" w:type="dxa"/>
            <w:tcBorders>
              <w:tl2br w:val="nil"/>
              <w:tr2bl w:val="nil"/>
            </w:tcBorders>
            <w:noWrap w:val="0"/>
            <w:vAlign w:val="center"/>
          </w:tcPr>
          <w:p w14:paraId="33C2494B">
            <w:pPr>
              <w:pStyle w:val="55"/>
              <w:bidi w:val="0"/>
              <w:rPr>
                <w:rFonts w:hint="default"/>
              </w:rPr>
            </w:pPr>
            <w:r>
              <w:rPr>
                <w:rFonts w:hint="default"/>
              </w:rPr>
              <w:t>占标率（%）</w:t>
            </w:r>
          </w:p>
        </w:tc>
      </w:tr>
      <w:tr w14:paraId="756D0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7" w:hRule="atLeast"/>
        </w:trPr>
        <w:tc>
          <w:tcPr>
            <w:tcW w:w="1281" w:type="dxa"/>
            <w:vMerge w:val="restart"/>
            <w:tcBorders>
              <w:right w:val="single" w:color="000000" w:sz="4" w:space="0"/>
              <w:tl2br w:val="nil"/>
              <w:tr2bl w:val="nil"/>
            </w:tcBorders>
            <w:noWrap w:val="0"/>
            <w:vAlign w:val="center"/>
          </w:tcPr>
          <w:p w14:paraId="0E21325E">
            <w:pPr>
              <w:pStyle w:val="55"/>
              <w:bidi w:val="0"/>
              <w:rPr>
                <w:rFonts w:hint="default"/>
                <w:lang w:val="en-US" w:eastAsia="zh-CN"/>
              </w:rPr>
            </w:pPr>
            <w:r>
              <w:rPr>
                <w:rFonts w:hint="eastAsia"/>
                <w:lang w:val="en-US" w:eastAsia="zh-CN"/>
              </w:rPr>
              <w:t>排气筒（</w:t>
            </w:r>
            <w:r>
              <w:t>DA00</w:t>
            </w:r>
            <w:r>
              <w:rPr>
                <w:rFonts w:hint="eastAsia"/>
                <w:lang w:val="en-US" w:eastAsia="zh-CN"/>
              </w:rPr>
              <w:t>1）</w:t>
            </w:r>
          </w:p>
        </w:tc>
        <w:tc>
          <w:tcPr>
            <w:tcW w:w="1687" w:type="dxa"/>
            <w:tcBorders>
              <w:left w:val="single" w:color="000000" w:sz="4" w:space="0"/>
              <w:bottom w:val="single" w:color="000000" w:sz="4" w:space="0"/>
              <w:tl2br w:val="nil"/>
              <w:tr2bl w:val="nil"/>
            </w:tcBorders>
            <w:noWrap w:val="0"/>
            <w:vAlign w:val="center"/>
          </w:tcPr>
          <w:p w14:paraId="42036E1D">
            <w:pPr>
              <w:pStyle w:val="55"/>
              <w:bidi w:val="0"/>
              <w:rPr>
                <w:rFonts w:hint="eastAsia"/>
                <w:lang w:val="en-US" w:eastAsia="zh-CN"/>
              </w:rPr>
            </w:pPr>
            <w:r>
              <w:rPr>
                <w:rFonts w:hint="eastAsia"/>
                <w:sz w:val="24"/>
                <w:szCs w:val="24"/>
                <w:lang w:val="en-US" w:eastAsia="zh-CN"/>
              </w:rPr>
              <w:t>颗粒物</w:t>
            </w:r>
          </w:p>
        </w:tc>
        <w:tc>
          <w:tcPr>
            <w:tcW w:w="2307" w:type="dxa"/>
            <w:tcBorders>
              <w:bottom w:val="single" w:color="000000" w:sz="4" w:space="0"/>
              <w:tl2br w:val="nil"/>
              <w:tr2bl w:val="nil"/>
            </w:tcBorders>
            <w:noWrap w:val="0"/>
            <w:vAlign w:val="center"/>
          </w:tcPr>
          <w:p w14:paraId="23998956">
            <w:pPr>
              <w:pStyle w:val="55"/>
              <w:bidi w:val="0"/>
              <w:rPr>
                <w:rFonts w:hint="default"/>
                <w:lang w:val="en-US" w:eastAsia="zh-CN"/>
              </w:rPr>
            </w:pPr>
            <w:r>
              <w:rPr>
                <w:rFonts w:hint="eastAsia"/>
                <w:lang w:val="en-US" w:eastAsia="zh-CN"/>
              </w:rPr>
              <w:t>4500</w:t>
            </w:r>
          </w:p>
        </w:tc>
        <w:tc>
          <w:tcPr>
            <w:tcW w:w="2438" w:type="dxa"/>
            <w:tcBorders>
              <w:bottom w:val="single" w:color="000000" w:sz="4" w:space="0"/>
              <w:tl2br w:val="nil"/>
              <w:tr2bl w:val="nil"/>
            </w:tcBorders>
            <w:noWrap w:val="0"/>
            <w:vAlign w:val="center"/>
          </w:tcPr>
          <w:p w14:paraId="5AC9AEDE">
            <w:pPr>
              <w:pStyle w:val="55"/>
              <w:bidi w:val="0"/>
              <w:rPr>
                <w:rFonts w:hint="default"/>
                <w:lang w:val="en-US" w:eastAsia="zh-CN"/>
              </w:rPr>
            </w:pPr>
            <w:r>
              <w:rPr>
                <w:rFonts w:hint="eastAsia"/>
                <w:lang w:val="en-US" w:eastAsia="zh-CN"/>
              </w:rPr>
              <w:t>0.7579</w:t>
            </w:r>
          </w:p>
        </w:tc>
        <w:tc>
          <w:tcPr>
            <w:tcW w:w="1389" w:type="dxa"/>
            <w:tcBorders>
              <w:bottom w:val="single" w:color="000000" w:sz="4" w:space="0"/>
              <w:tl2br w:val="nil"/>
              <w:tr2bl w:val="nil"/>
            </w:tcBorders>
            <w:noWrap w:val="0"/>
            <w:vAlign w:val="center"/>
          </w:tcPr>
          <w:p w14:paraId="03AA706C">
            <w:pPr>
              <w:pStyle w:val="55"/>
              <w:bidi w:val="0"/>
              <w:rPr>
                <w:rFonts w:hint="default"/>
                <w:lang w:val="en-US" w:eastAsia="zh-CN"/>
              </w:rPr>
            </w:pPr>
            <w:r>
              <w:rPr>
                <w:rFonts w:hint="eastAsia"/>
                <w:lang w:val="en-US" w:eastAsia="zh-CN"/>
              </w:rPr>
              <w:t>168.42</w:t>
            </w:r>
          </w:p>
        </w:tc>
      </w:tr>
      <w:tr w14:paraId="4769F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7" w:hRule="atLeast"/>
        </w:trPr>
        <w:tc>
          <w:tcPr>
            <w:tcW w:w="1281" w:type="dxa"/>
            <w:vMerge w:val="continue"/>
            <w:tcBorders>
              <w:right w:val="single" w:color="000000" w:sz="4" w:space="0"/>
              <w:tl2br w:val="nil"/>
              <w:tr2bl w:val="nil"/>
            </w:tcBorders>
            <w:noWrap w:val="0"/>
            <w:vAlign w:val="center"/>
          </w:tcPr>
          <w:p w14:paraId="6BC71851">
            <w:pPr>
              <w:pStyle w:val="55"/>
              <w:bidi w:val="0"/>
              <w:rPr>
                <w:rFonts w:hint="eastAsia"/>
                <w:lang w:val="en-US" w:eastAsia="zh-CN"/>
              </w:rPr>
            </w:pPr>
          </w:p>
        </w:tc>
        <w:tc>
          <w:tcPr>
            <w:tcW w:w="1687" w:type="dxa"/>
            <w:tcBorders>
              <w:top w:val="single" w:color="000000" w:sz="4" w:space="0"/>
              <w:left w:val="single" w:color="000000" w:sz="4" w:space="0"/>
              <w:bottom w:val="single" w:color="000000" w:sz="4" w:space="0"/>
              <w:tl2br w:val="nil"/>
              <w:tr2bl w:val="nil"/>
            </w:tcBorders>
            <w:noWrap w:val="0"/>
            <w:vAlign w:val="center"/>
          </w:tcPr>
          <w:p w14:paraId="47B957C8">
            <w:pPr>
              <w:pStyle w:val="55"/>
              <w:bidi w:val="0"/>
              <w:rPr>
                <w:rFonts w:hint="eastAsia"/>
                <w:lang w:val="en-US" w:eastAsia="zh-CN"/>
              </w:rPr>
            </w:pPr>
            <w:r>
              <w:rPr>
                <w:rFonts w:hint="default"/>
                <w:b w:val="0"/>
                <w:bCs w:val="0"/>
                <w:color w:val="000000" w:themeColor="text1"/>
                <w:lang w:val="en-US" w:eastAsia="zh-CN"/>
                <w14:textFill>
                  <w14:solidFill>
                    <w14:schemeClr w14:val="tx1"/>
                  </w14:solidFill>
                </w14:textFill>
              </w:rPr>
              <w:t>非甲烷总烃</w:t>
            </w:r>
          </w:p>
        </w:tc>
        <w:tc>
          <w:tcPr>
            <w:tcW w:w="2307" w:type="dxa"/>
            <w:tcBorders>
              <w:top w:val="single" w:color="000000" w:sz="4" w:space="0"/>
              <w:bottom w:val="single" w:color="000000" w:sz="4" w:space="0"/>
              <w:tl2br w:val="nil"/>
              <w:tr2bl w:val="nil"/>
            </w:tcBorders>
            <w:noWrap w:val="0"/>
            <w:vAlign w:val="center"/>
          </w:tcPr>
          <w:p w14:paraId="30761F8F">
            <w:pPr>
              <w:pStyle w:val="55"/>
              <w:bidi w:val="0"/>
              <w:rPr>
                <w:rFonts w:hint="default"/>
                <w:lang w:val="en-US" w:eastAsia="zh-CN"/>
              </w:rPr>
            </w:pPr>
            <w:r>
              <w:rPr>
                <w:rFonts w:hint="eastAsia"/>
                <w:lang w:val="en-US" w:eastAsia="zh-CN"/>
              </w:rPr>
              <w:t>925</w:t>
            </w:r>
          </w:p>
        </w:tc>
        <w:tc>
          <w:tcPr>
            <w:tcW w:w="2438" w:type="dxa"/>
            <w:tcBorders>
              <w:top w:val="single" w:color="000000" w:sz="4" w:space="0"/>
              <w:bottom w:val="single" w:color="000000" w:sz="4" w:space="0"/>
              <w:tl2br w:val="nil"/>
              <w:tr2bl w:val="nil"/>
            </w:tcBorders>
            <w:noWrap w:val="0"/>
            <w:vAlign w:val="center"/>
          </w:tcPr>
          <w:p w14:paraId="3304C4BD">
            <w:pPr>
              <w:pStyle w:val="55"/>
              <w:bidi w:val="0"/>
              <w:rPr>
                <w:rFonts w:hint="default"/>
                <w:lang w:val="en-US" w:eastAsia="zh-CN"/>
              </w:rPr>
            </w:pPr>
            <w:r>
              <w:rPr>
                <w:rFonts w:hint="eastAsia"/>
                <w:lang w:val="en-US" w:eastAsia="zh-CN"/>
              </w:rPr>
              <w:t>0.7629</w:t>
            </w:r>
          </w:p>
        </w:tc>
        <w:tc>
          <w:tcPr>
            <w:tcW w:w="1389" w:type="dxa"/>
            <w:tcBorders>
              <w:top w:val="single" w:color="000000" w:sz="4" w:space="0"/>
              <w:bottom w:val="single" w:color="000000" w:sz="4" w:space="0"/>
              <w:tl2br w:val="nil"/>
              <w:tr2bl w:val="nil"/>
            </w:tcBorders>
            <w:noWrap w:val="0"/>
            <w:vAlign w:val="center"/>
          </w:tcPr>
          <w:p w14:paraId="7662F0FC">
            <w:pPr>
              <w:pStyle w:val="55"/>
              <w:bidi w:val="0"/>
              <w:rPr>
                <w:rFonts w:hint="default"/>
                <w:lang w:val="en-US" w:eastAsia="zh-CN"/>
              </w:rPr>
            </w:pPr>
            <w:r>
              <w:rPr>
                <w:rFonts w:hint="eastAsia"/>
                <w:lang w:val="en-US" w:eastAsia="zh-CN"/>
              </w:rPr>
              <w:t>38.14</w:t>
            </w:r>
          </w:p>
        </w:tc>
      </w:tr>
      <w:tr w14:paraId="7B91E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7" w:hRule="atLeast"/>
        </w:trPr>
        <w:tc>
          <w:tcPr>
            <w:tcW w:w="1281" w:type="dxa"/>
            <w:vMerge w:val="continue"/>
            <w:tcBorders>
              <w:right w:val="single" w:color="000000" w:sz="4" w:space="0"/>
              <w:tl2br w:val="nil"/>
              <w:tr2bl w:val="nil"/>
            </w:tcBorders>
            <w:noWrap w:val="0"/>
            <w:vAlign w:val="center"/>
          </w:tcPr>
          <w:p w14:paraId="16905E7F">
            <w:pPr>
              <w:pStyle w:val="55"/>
              <w:bidi w:val="0"/>
              <w:rPr>
                <w:rFonts w:hint="eastAsia"/>
                <w:lang w:val="en-US" w:eastAsia="zh-CN"/>
              </w:rPr>
            </w:pPr>
          </w:p>
        </w:tc>
        <w:tc>
          <w:tcPr>
            <w:tcW w:w="1687" w:type="dxa"/>
            <w:tcBorders>
              <w:top w:val="single" w:color="000000" w:sz="4" w:space="0"/>
              <w:left w:val="single" w:color="000000" w:sz="4" w:space="0"/>
              <w:tl2br w:val="nil"/>
              <w:tr2bl w:val="nil"/>
            </w:tcBorders>
            <w:noWrap w:val="0"/>
            <w:vAlign w:val="center"/>
          </w:tcPr>
          <w:p w14:paraId="4E7B6236">
            <w:pPr>
              <w:pStyle w:val="55"/>
              <w:bidi w:val="0"/>
              <w:rPr>
                <w:rFonts w:hint="eastAsia"/>
                <w:lang w:val="en-US" w:eastAsia="zh-CN"/>
              </w:rPr>
            </w:pPr>
            <w:r>
              <w:rPr>
                <w:rFonts w:hint="eastAsia"/>
                <w:b w:val="0"/>
                <w:bCs w:val="0"/>
                <w:color w:val="000000" w:themeColor="text1"/>
                <w:lang w:val="en-US" w:eastAsia="zh-CN"/>
                <w14:textFill>
                  <w14:solidFill>
                    <w14:schemeClr w14:val="tx1"/>
                  </w14:solidFill>
                </w14:textFill>
              </w:rPr>
              <w:t>HCl</w:t>
            </w:r>
          </w:p>
        </w:tc>
        <w:tc>
          <w:tcPr>
            <w:tcW w:w="2307" w:type="dxa"/>
            <w:tcBorders>
              <w:top w:val="single" w:color="000000" w:sz="4" w:space="0"/>
              <w:tl2br w:val="nil"/>
              <w:tr2bl w:val="nil"/>
            </w:tcBorders>
            <w:noWrap w:val="0"/>
            <w:vAlign w:val="center"/>
          </w:tcPr>
          <w:p w14:paraId="07B8612C">
            <w:pPr>
              <w:pStyle w:val="55"/>
              <w:bidi w:val="0"/>
              <w:rPr>
                <w:rFonts w:hint="default"/>
                <w:lang w:val="en-US" w:eastAsia="zh-CN"/>
              </w:rPr>
            </w:pPr>
            <w:r>
              <w:rPr>
                <w:rFonts w:hint="eastAsia"/>
                <w:lang w:val="en-US" w:eastAsia="zh-CN"/>
              </w:rPr>
              <w:t>0</w:t>
            </w:r>
          </w:p>
        </w:tc>
        <w:tc>
          <w:tcPr>
            <w:tcW w:w="2438" w:type="dxa"/>
            <w:tcBorders>
              <w:top w:val="single" w:color="000000" w:sz="4" w:space="0"/>
              <w:tl2br w:val="nil"/>
              <w:tr2bl w:val="nil"/>
            </w:tcBorders>
            <w:noWrap w:val="0"/>
            <w:vAlign w:val="center"/>
          </w:tcPr>
          <w:p w14:paraId="5FB1A5E8">
            <w:pPr>
              <w:pStyle w:val="55"/>
              <w:bidi w:val="0"/>
              <w:rPr>
                <w:rFonts w:hint="default"/>
                <w:lang w:val="en-US" w:eastAsia="zh-CN"/>
              </w:rPr>
            </w:pPr>
            <w:r>
              <w:rPr>
                <w:rFonts w:hint="eastAsia"/>
                <w:lang w:val="en-US" w:eastAsia="zh-CN"/>
              </w:rPr>
              <w:t>0.0005</w:t>
            </w:r>
          </w:p>
        </w:tc>
        <w:tc>
          <w:tcPr>
            <w:tcW w:w="1389" w:type="dxa"/>
            <w:tcBorders>
              <w:top w:val="single" w:color="000000" w:sz="4" w:space="0"/>
              <w:tl2br w:val="nil"/>
              <w:tr2bl w:val="nil"/>
            </w:tcBorders>
            <w:noWrap w:val="0"/>
            <w:vAlign w:val="center"/>
          </w:tcPr>
          <w:p w14:paraId="6C80B8B6">
            <w:pPr>
              <w:pStyle w:val="55"/>
              <w:bidi w:val="0"/>
              <w:rPr>
                <w:rFonts w:hint="default"/>
                <w:lang w:val="en-US" w:eastAsia="zh-CN"/>
              </w:rPr>
            </w:pPr>
            <w:r>
              <w:rPr>
                <w:rFonts w:hint="eastAsia"/>
                <w:lang w:val="en-US" w:eastAsia="zh-CN"/>
              </w:rPr>
              <w:t>0.00</w:t>
            </w:r>
          </w:p>
        </w:tc>
      </w:tr>
      <w:tr w14:paraId="4E0D0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7" w:hRule="atLeast"/>
        </w:trPr>
        <w:tc>
          <w:tcPr>
            <w:tcW w:w="1281" w:type="dxa"/>
            <w:vMerge w:val="restart"/>
            <w:tcBorders>
              <w:right w:val="single" w:color="000000" w:sz="4" w:space="0"/>
              <w:tl2br w:val="nil"/>
              <w:tr2bl w:val="nil"/>
            </w:tcBorders>
            <w:noWrap w:val="0"/>
            <w:vAlign w:val="center"/>
          </w:tcPr>
          <w:p w14:paraId="7381F15B">
            <w:pPr>
              <w:pStyle w:val="55"/>
              <w:bidi w:val="0"/>
              <w:rPr>
                <w:rFonts w:hint="eastAsia"/>
                <w:lang w:val="en-US" w:eastAsia="zh-CN"/>
              </w:rPr>
            </w:pPr>
            <w:r>
              <w:rPr>
                <w:rFonts w:hint="eastAsia"/>
                <w:lang w:val="en-US" w:eastAsia="zh-CN"/>
              </w:rPr>
              <w:t>排气筒（</w:t>
            </w:r>
            <w:r>
              <w:t>DA00</w:t>
            </w:r>
            <w:r>
              <w:rPr>
                <w:rFonts w:hint="eastAsia"/>
                <w:lang w:val="en-US" w:eastAsia="zh-CN"/>
              </w:rPr>
              <w:t>2）</w:t>
            </w:r>
          </w:p>
        </w:tc>
        <w:tc>
          <w:tcPr>
            <w:tcW w:w="1687" w:type="dxa"/>
            <w:tcBorders>
              <w:left w:val="single" w:color="000000" w:sz="4" w:space="0"/>
              <w:bottom w:val="single" w:color="000000" w:sz="4" w:space="0"/>
              <w:tl2br w:val="nil"/>
              <w:tr2bl w:val="nil"/>
            </w:tcBorders>
            <w:noWrap w:val="0"/>
            <w:vAlign w:val="center"/>
          </w:tcPr>
          <w:p w14:paraId="46A0EF6B">
            <w:pPr>
              <w:pStyle w:val="55"/>
              <w:bidi w:val="0"/>
              <w:rPr>
                <w:rFonts w:hint="eastAsia"/>
                <w:lang w:val="en-US" w:eastAsia="zh-CN"/>
              </w:rPr>
            </w:pPr>
            <w:r>
              <w:rPr>
                <w:rFonts w:hint="eastAsia"/>
                <w:sz w:val="24"/>
                <w:szCs w:val="24"/>
                <w:lang w:val="en-US" w:eastAsia="zh-CN"/>
              </w:rPr>
              <w:t>颗粒物</w:t>
            </w:r>
          </w:p>
        </w:tc>
        <w:tc>
          <w:tcPr>
            <w:tcW w:w="2307" w:type="dxa"/>
            <w:tcBorders>
              <w:bottom w:val="single" w:color="000000" w:sz="4" w:space="0"/>
              <w:tl2br w:val="nil"/>
              <w:tr2bl w:val="nil"/>
            </w:tcBorders>
            <w:noWrap w:val="0"/>
            <w:vAlign w:val="center"/>
          </w:tcPr>
          <w:p w14:paraId="3E568CC3">
            <w:pPr>
              <w:pStyle w:val="55"/>
              <w:bidi w:val="0"/>
              <w:rPr>
                <w:rFonts w:hint="eastAsia"/>
                <w:lang w:val="en-US" w:eastAsia="zh-CN"/>
              </w:rPr>
            </w:pPr>
            <w:r>
              <w:rPr>
                <w:rFonts w:hint="eastAsia"/>
                <w:lang w:val="en-US" w:eastAsia="zh-CN"/>
              </w:rPr>
              <w:t>4500</w:t>
            </w:r>
          </w:p>
        </w:tc>
        <w:tc>
          <w:tcPr>
            <w:tcW w:w="2438" w:type="dxa"/>
            <w:tcBorders>
              <w:bottom w:val="single" w:color="000000" w:sz="4" w:space="0"/>
              <w:tl2br w:val="nil"/>
              <w:tr2bl w:val="nil"/>
            </w:tcBorders>
            <w:noWrap w:val="0"/>
            <w:vAlign w:val="center"/>
          </w:tcPr>
          <w:p w14:paraId="3FF85D10">
            <w:pPr>
              <w:pStyle w:val="55"/>
              <w:bidi w:val="0"/>
              <w:rPr>
                <w:rFonts w:hint="eastAsia"/>
                <w:lang w:val="en-US" w:eastAsia="zh-CN"/>
              </w:rPr>
            </w:pPr>
            <w:r>
              <w:rPr>
                <w:rFonts w:hint="eastAsia"/>
                <w:lang w:val="en-US" w:eastAsia="zh-CN"/>
              </w:rPr>
              <w:t>0.7579</w:t>
            </w:r>
          </w:p>
        </w:tc>
        <w:tc>
          <w:tcPr>
            <w:tcW w:w="1389" w:type="dxa"/>
            <w:tcBorders>
              <w:bottom w:val="single" w:color="000000" w:sz="4" w:space="0"/>
              <w:tl2br w:val="nil"/>
              <w:tr2bl w:val="nil"/>
            </w:tcBorders>
            <w:noWrap w:val="0"/>
            <w:vAlign w:val="center"/>
          </w:tcPr>
          <w:p w14:paraId="6E731DD6">
            <w:pPr>
              <w:pStyle w:val="55"/>
              <w:bidi w:val="0"/>
              <w:rPr>
                <w:rFonts w:hint="eastAsia"/>
                <w:lang w:val="en-US" w:eastAsia="zh-CN"/>
              </w:rPr>
            </w:pPr>
            <w:r>
              <w:rPr>
                <w:rFonts w:hint="eastAsia"/>
                <w:lang w:val="en-US" w:eastAsia="zh-CN"/>
              </w:rPr>
              <w:t>168.42</w:t>
            </w:r>
          </w:p>
        </w:tc>
      </w:tr>
      <w:tr w14:paraId="6613A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7" w:hRule="atLeast"/>
        </w:trPr>
        <w:tc>
          <w:tcPr>
            <w:tcW w:w="1281" w:type="dxa"/>
            <w:vMerge w:val="continue"/>
            <w:tcBorders>
              <w:right w:val="single" w:color="000000" w:sz="4" w:space="0"/>
              <w:tl2br w:val="nil"/>
              <w:tr2bl w:val="nil"/>
            </w:tcBorders>
            <w:noWrap w:val="0"/>
            <w:vAlign w:val="center"/>
          </w:tcPr>
          <w:p w14:paraId="5C801BD3">
            <w:pPr>
              <w:pStyle w:val="55"/>
              <w:bidi w:val="0"/>
              <w:rPr>
                <w:rFonts w:hint="eastAsia"/>
                <w:lang w:val="en-US" w:eastAsia="zh-CN"/>
              </w:rPr>
            </w:pPr>
          </w:p>
        </w:tc>
        <w:tc>
          <w:tcPr>
            <w:tcW w:w="1687" w:type="dxa"/>
            <w:tcBorders>
              <w:top w:val="single" w:color="000000" w:sz="4" w:space="0"/>
              <w:left w:val="single" w:color="000000" w:sz="4" w:space="0"/>
              <w:bottom w:val="single" w:color="000000" w:sz="4" w:space="0"/>
              <w:tl2br w:val="nil"/>
              <w:tr2bl w:val="nil"/>
            </w:tcBorders>
            <w:noWrap w:val="0"/>
            <w:vAlign w:val="center"/>
          </w:tcPr>
          <w:p w14:paraId="141C9ADE">
            <w:pPr>
              <w:pStyle w:val="55"/>
              <w:bidi w:val="0"/>
              <w:rPr>
                <w:rFonts w:hint="eastAsia"/>
                <w:lang w:val="en-US" w:eastAsia="zh-CN"/>
              </w:rPr>
            </w:pPr>
            <w:r>
              <w:rPr>
                <w:rFonts w:hint="default"/>
                <w:b w:val="0"/>
                <w:bCs w:val="0"/>
                <w:color w:val="000000" w:themeColor="text1"/>
                <w:lang w:val="en-US" w:eastAsia="zh-CN"/>
                <w14:textFill>
                  <w14:solidFill>
                    <w14:schemeClr w14:val="tx1"/>
                  </w14:solidFill>
                </w14:textFill>
              </w:rPr>
              <w:t>非甲烷总烃</w:t>
            </w:r>
          </w:p>
        </w:tc>
        <w:tc>
          <w:tcPr>
            <w:tcW w:w="2307" w:type="dxa"/>
            <w:tcBorders>
              <w:top w:val="single" w:color="000000" w:sz="4" w:space="0"/>
              <w:bottom w:val="single" w:color="000000" w:sz="4" w:space="0"/>
              <w:tl2br w:val="nil"/>
              <w:tr2bl w:val="nil"/>
            </w:tcBorders>
            <w:noWrap w:val="0"/>
            <w:vAlign w:val="center"/>
          </w:tcPr>
          <w:p w14:paraId="6BB9D7EF">
            <w:pPr>
              <w:pStyle w:val="55"/>
              <w:bidi w:val="0"/>
              <w:rPr>
                <w:rFonts w:hint="eastAsia"/>
                <w:lang w:val="en-US" w:eastAsia="zh-CN"/>
              </w:rPr>
            </w:pPr>
            <w:r>
              <w:rPr>
                <w:rFonts w:hint="eastAsia"/>
                <w:lang w:val="en-US" w:eastAsia="zh-CN"/>
              </w:rPr>
              <w:t>925</w:t>
            </w:r>
          </w:p>
        </w:tc>
        <w:tc>
          <w:tcPr>
            <w:tcW w:w="2438" w:type="dxa"/>
            <w:tcBorders>
              <w:top w:val="single" w:color="000000" w:sz="4" w:space="0"/>
              <w:bottom w:val="single" w:color="000000" w:sz="4" w:space="0"/>
              <w:tl2br w:val="nil"/>
              <w:tr2bl w:val="nil"/>
            </w:tcBorders>
            <w:noWrap w:val="0"/>
            <w:vAlign w:val="center"/>
          </w:tcPr>
          <w:p w14:paraId="42AB87AC">
            <w:pPr>
              <w:pStyle w:val="55"/>
              <w:bidi w:val="0"/>
              <w:rPr>
                <w:rFonts w:hint="eastAsia"/>
                <w:lang w:val="en-US" w:eastAsia="zh-CN"/>
              </w:rPr>
            </w:pPr>
            <w:r>
              <w:rPr>
                <w:rFonts w:hint="eastAsia"/>
                <w:lang w:val="en-US" w:eastAsia="zh-CN"/>
              </w:rPr>
              <w:t>0.7629</w:t>
            </w:r>
          </w:p>
        </w:tc>
        <w:tc>
          <w:tcPr>
            <w:tcW w:w="1389" w:type="dxa"/>
            <w:tcBorders>
              <w:top w:val="single" w:color="000000" w:sz="4" w:space="0"/>
              <w:bottom w:val="single" w:color="000000" w:sz="4" w:space="0"/>
              <w:tl2br w:val="nil"/>
              <w:tr2bl w:val="nil"/>
            </w:tcBorders>
            <w:noWrap w:val="0"/>
            <w:vAlign w:val="center"/>
          </w:tcPr>
          <w:p w14:paraId="7675006C">
            <w:pPr>
              <w:pStyle w:val="55"/>
              <w:bidi w:val="0"/>
              <w:rPr>
                <w:rFonts w:hint="eastAsia"/>
                <w:lang w:val="en-US" w:eastAsia="zh-CN"/>
              </w:rPr>
            </w:pPr>
            <w:r>
              <w:rPr>
                <w:rFonts w:hint="eastAsia"/>
                <w:lang w:val="en-US" w:eastAsia="zh-CN"/>
              </w:rPr>
              <w:t>38.14</w:t>
            </w:r>
          </w:p>
        </w:tc>
      </w:tr>
      <w:tr w14:paraId="10AE5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7" w:hRule="atLeast"/>
        </w:trPr>
        <w:tc>
          <w:tcPr>
            <w:tcW w:w="1281" w:type="dxa"/>
            <w:vMerge w:val="continue"/>
            <w:tcBorders>
              <w:right w:val="single" w:color="000000" w:sz="4" w:space="0"/>
              <w:tl2br w:val="nil"/>
              <w:tr2bl w:val="nil"/>
            </w:tcBorders>
            <w:noWrap w:val="0"/>
            <w:vAlign w:val="center"/>
          </w:tcPr>
          <w:p w14:paraId="59FA525E">
            <w:pPr>
              <w:pStyle w:val="55"/>
              <w:bidi w:val="0"/>
              <w:rPr>
                <w:rFonts w:hint="eastAsia"/>
                <w:lang w:val="en-US" w:eastAsia="zh-CN"/>
              </w:rPr>
            </w:pPr>
          </w:p>
        </w:tc>
        <w:tc>
          <w:tcPr>
            <w:tcW w:w="1687" w:type="dxa"/>
            <w:tcBorders>
              <w:top w:val="single" w:color="000000" w:sz="4" w:space="0"/>
              <w:left w:val="single" w:color="000000" w:sz="4" w:space="0"/>
              <w:tl2br w:val="nil"/>
              <w:tr2bl w:val="nil"/>
            </w:tcBorders>
            <w:noWrap w:val="0"/>
            <w:vAlign w:val="center"/>
          </w:tcPr>
          <w:p w14:paraId="5CF0EAD4">
            <w:pPr>
              <w:pStyle w:val="55"/>
              <w:bidi w:val="0"/>
              <w:rPr>
                <w:rFonts w:hint="eastAsia"/>
                <w:lang w:val="en-US" w:eastAsia="zh-CN"/>
              </w:rPr>
            </w:pPr>
            <w:r>
              <w:rPr>
                <w:rFonts w:hint="eastAsia"/>
                <w:b w:val="0"/>
                <w:bCs w:val="0"/>
                <w:color w:val="000000" w:themeColor="text1"/>
                <w:lang w:val="en-US" w:eastAsia="zh-CN"/>
                <w14:textFill>
                  <w14:solidFill>
                    <w14:schemeClr w14:val="tx1"/>
                  </w14:solidFill>
                </w14:textFill>
              </w:rPr>
              <w:t>HCl</w:t>
            </w:r>
          </w:p>
        </w:tc>
        <w:tc>
          <w:tcPr>
            <w:tcW w:w="2307" w:type="dxa"/>
            <w:tcBorders>
              <w:top w:val="single" w:color="000000" w:sz="4" w:space="0"/>
              <w:tl2br w:val="nil"/>
              <w:tr2bl w:val="nil"/>
            </w:tcBorders>
            <w:noWrap w:val="0"/>
            <w:vAlign w:val="center"/>
          </w:tcPr>
          <w:p w14:paraId="03FB932F">
            <w:pPr>
              <w:pStyle w:val="55"/>
              <w:bidi w:val="0"/>
              <w:rPr>
                <w:rFonts w:hint="eastAsia"/>
                <w:lang w:val="en-US" w:eastAsia="zh-CN"/>
              </w:rPr>
            </w:pPr>
            <w:r>
              <w:rPr>
                <w:rFonts w:hint="eastAsia"/>
                <w:lang w:val="en-US" w:eastAsia="zh-CN"/>
              </w:rPr>
              <w:t>0</w:t>
            </w:r>
          </w:p>
        </w:tc>
        <w:tc>
          <w:tcPr>
            <w:tcW w:w="2438" w:type="dxa"/>
            <w:tcBorders>
              <w:top w:val="single" w:color="000000" w:sz="4" w:space="0"/>
              <w:tl2br w:val="nil"/>
              <w:tr2bl w:val="nil"/>
            </w:tcBorders>
            <w:noWrap w:val="0"/>
            <w:vAlign w:val="center"/>
          </w:tcPr>
          <w:p w14:paraId="64A486FB">
            <w:pPr>
              <w:pStyle w:val="55"/>
              <w:bidi w:val="0"/>
              <w:rPr>
                <w:rFonts w:hint="eastAsia"/>
                <w:lang w:val="en-US" w:eastAsia="zh-CN"/>
              </w:rPr>
            </w:pPr>
            <w:r>
              <w:rPr>
                <w:rFonts w:hint="eastAsia"/>
                <w:lang w:val="en-US" w:eastAsia="zh-CN"/>
              </w:rPr>
              <w:t>0.0005</w:t>
            </w:r>
          </w:p>
        </w:tc>
        <w:tc>
          <w:tcPr>
            <w:tcW w:w="1389" w:type="dxa"/>
            <w:tcBorders>
              <w:top w:val="single" w:color="000000" w:sz="4" w:space="0"/>
              <w:tl2br w:val="nil"/>
              <w:tr2bl w:val="nil"/>
            </w:tcBorders>
            <w:noWrap w:val="0"/>
            <w:vAlign w:val="center"/>
          </w:tcPr>
          <w:p w14:paraId="229EC491">
            <w:pPr>
              <w:pStyle w:val="55"/>
              <w:bidi w:val="0"/>
              <w:rPr>
                <w:rFonts w:hint="eastAsia"/>
                <w:lang w:val="en-US" w:eastAsia="zh-CN"/>
              </w:rPr>
            </w:pPr>
            <w:r>
              <w:rPr>
                <w:rFonts w:hint="eastAsia"/>
                <w:lang w:val="en-US" w:eastAsia="zh-CN"/>
              </w:rPr>
              <w:t>0.00</w:t>
            </w:r>
          </w:p>
        </w:tc>
      </w:tr>
      <w:tr w14:paraId="550DD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7" w:hRule="atLeast"/>
        </w:trPr>
        <w:tc>
          <w:tcPr>
            <w:tcW w:w="1281" w:type="dxa"/>
            <w:vMerge w:val="restart"/>
            <w:tcBorders>
              <w:right w:val="single" w:color="000000" w:sz="4" w:space="0"/>
              <w:tl2br w:val="nil"/>
              <w:tr2bl w:val="nil"/>
            </w:tcBorders>
            <w:noWrap w:val="0"/>
            <w:vAlign w:val="center"/>
          </w:tcPr>
          <w:p w14:paraId="0311F4AC">
            <w:pPr>
              <w:pStyle w:val="55"/>
              <w:bidi w:val="0"/>
              <w:rPr>
                <w:rFonts w:hint="eastAsia"/>
                <w:lang w:val="en-US" w:eastAsia="zh-CN"/>
              </w:rPr>
            </w:pPr>
            <w:r>
              <w:rPr>
                <w:rFonts w:hint="eastAsia"/>
                <w:lang w:val="en-US" w:eastAsia="zh-CN"/>
              </w:rPr>
              <w:t>排气筒（</w:t>
            </w:r>
            <w:r>
              <w:t>DA00</w:t>
            </w:r>
            <w:r>
              <w:rPr>
                <w:rFonts w:hint="eastAsia"/>
                <w:lang w:val="en-US" w:eastAsia="zh-CN"/>
              </w:rPr>
              <w:t>3）</w:t>
            </w:r>
          </w:p>
        </w:tc>
        <w:tc>
          <w:tcPr>
            <w:tcW w:w="1687" w:type="dxa"/>
            <w:tcBorders>
              <w:left w:val="single" w:color="000000" w:sz="4" w:space="0"/>
              <w:bottom w:val="single" w:color="000000" w:sz="4" w:space="0"/>
              <w:tl2br w:val="nil"/>
              <w:tr2bl w:val="nil"/>
            </w:tcBorders>
            <w:noWrap w:val="0"/>
            <w:vAlign w:val="center"/>
          </w:tcPr>
          <w:p w14:paraId="3977926D">
            <w:pPr>
              <w:pStyle w:val="55"/>
              <w:bidi w:val="0"/>
              <w:rPr>
                <w:rFonts w:hint="eastAsia"/>
                <w:lang w:val="en-US" w:eastAsia="zh-CN"/>
              </w:rPr>
            </w:pPr>
            <w:r>
              <w:rPr>
                <w:rFonts w:hint="eastAsia"/>
                <w:sz w:val="24"/>
                <w:szCs w:val="24"/>
                <w:lang w:val="en-US" w:eastAsia="zh-CN"/>
              </w:rPr>
              <w:t>颗粒物</w:t>
            </w:r>
          </w:p>
        </w:tc>
        <w:tc>
          <w:tcPr>
            <w:tcW w:w="2307" w:type="dxa"/>
            <w:tcBorders>
              <w:bottom w:val="single" w:color="000000" w:sz="4" w:space="0"/>
              <w:tl2br w:val="nil"/>
              <w:tr2bl w:val="nil"/>
            </w:tcBorders>
            <w:noWrap w:val="0"/>
            <w:vAlign w:val="center"/>
          </w:tcPr>
          <w:p w14:paraId="6715C1D4">
            <w:pPr>
              <w:pStyle w:val="55"/>
              <w:bidi w:val="0"/>
              <w:rPr>
                <w:rFonts w:hint="default"/>
                <w:lang w:val="en-US" w:eastAsia="zh-CN"/>
              </w:rPr>
            </w:pPr>
            <w:r>
              <w:rPr>
                <w:rFonts w:hint="eastAsia"/>
                <w:lang w:val="en-US" w:eastAsia="zh-CN"/>
              </w:rPr>
              <w:t>2400</w:t>
            </w:r>
          </w:p>
        </w:tc>
        <w:tc>
          <w:tcPr>
            <w:tcW w:w="2438" w:type="dxa"/>
            <w:tcBorders>
              <w:bottom w:val="single" w:color="000000" w:sz="4" w:space="0"/>
              <w:tl2br w:val="nil"/>
              <w:tr2bl w:val="nil"/>
            </w:tcBorders>
            <w:noWrap w:val="0"/>
            <w:vAlign w:val="center"/>
          </w:tcPr>
          <w:p w14:paraId="7C62BF0A">
            <w:pPr>
              <w:pStyle w:val="55"/>
              <w:bidi w:val="0"/>
              <w:rPr>
                <w:rFonts w:hint="default"/>
                <w:lang w:val="en-US" w:eastAsia="zh-CN"/>
              </w:rPr>
            </w:pPr>
            <w:r>
              <w:rPr>
                <w:rFonts w:hint="eastAsia"/>
                <w:lang w:val="en-US" w:eastAsia="zh-CN"/>
              </w:rPr>
              <w:t>0.3797</w:t>
            </w:r>
          </w:p>
        </w:tc>
        <w:tc>
          <w:tcPr>
            <w:tcW w:w="1389" w:type="dxa"/>
            <w:tcBorders>
              <w:bottom w:val="single" w:color="000000" w:sz="4" w:space="0"/>
              <w:tl2br w:val="nil"/>
              <w:tr2bl w:val="nil"/>
            </w:tcBorders>
            <w:noWrap w:val="0"/>
            <w:vAlign w:val="center"/>
          </w:tcPr>
          <w:p w14:paraId="18337BBD">
            <w:pPr>
              <w:pStyle w:val="55"/>
              <w:bidi w:val="0"/>
              <w:rPr>
                <w:rFonts w:hint="default"/>
                <w:lang w:val="en-US" w:eastAsia="zh-CN"/>
              </w:rPr>
            </w:pPr>
            <w:r>
              <w:rPr>
                <w:rFonts w:hint="eastAsia"/>
                <w:lang w:val="en-US" w:eastAsia="zh-CN"/>
              </w:rPr>
              <w:t>84.38</w:t>
            </w:r>
          </w:p>
        </w:tc>
      </w:tr>
      <w:tr w14:paraId="18E87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7" w:hRule="atLeast"/>
        </w:trPr>
        <w:tc>
          <w:tcPr>
            <w:tcW w:w="1281" w:type="dxa"/>
            <w:vMerge w:val="continue"/>
            <w:tcBorders>
              <w:right w:val="single" w:color="000000" w:sz="4" w:space="0"/>
              <w:tl2br w:val="nil"/>
              <w:tr2bl w:val="nil"/>
            </w:tcBorders>
            <w:noWrap w:val="0"/>
            <w:vAlign w:val="center"/>
          </w:tcPr>
          <w:p w14:paraId="4F7EECB3">
            <w:pPr>
              <w:pStyle w:val="55"/>
              <w:bidi w:val="0"/>
              <w:rPr>
                <w:rFonts w:hint="eastAsia"/>
                <w:lang w:val="en-US" w:eastAsia="zh-CN"/>
              </w:rPr>
            </w:pPr>
          </w:p>
        </w:tc>
        <w:tc>
          <w:tcPr>
            <w:tcW w:w="1687" w:type="dxa"/>
            <w:tcBorders>
              <w:top w:val="single" w:color="000000" w:sz="4" w:space="0"/>
              <w:left w:val="single" w:color="000000" w:sz="4" w:space="0"/>
              <w:bottom w:val="single" w:color="000000" w:sz="4" w:space="0"/>
              <w:tl2br w:val="nil"/>
              <w:tr2bl w:val="nil"/>
            </w:tcBorders>
            <w:noWrap w:val="0"/>
            <w:vAlign w:val="center"/>
          </w:tcPr>
          <w:p w14:paraId="540F2ACF">
            <w:pPr>
              <w:pStyle w:val="55"/>
              <w:bidi w:val="0"/>
              <w:rPr>
                <w:rFonts w:hint="eastAsia"/>
                <w:lang w:val="en-US" w:eastAsia="zh-CN"/>
              </w:rPr>
            </w:pPr>
            <w:r>
              <w:rPr>
                <w:rFonts w:hint="default"/>
                <w:b w:val="0"/>
                <w:bCs w:val="0"/>
                <w:color w:val="000000" w:themeColor="text1"/>
                <w:lang w:val="en-US" w:eastAsia="zh-CN"/>
                <w14:textFill>
                  <w14:solidFill>
                    <w14:schemeClr w14:val="tx1"/>
                  </w14:solidFill>
                </w14:textFill>
              </w:rPr>
              <w:t>非甲烷总烃</w:t>
            </w:r>
          </w:p>
        </w:tc>
        <w:tc>
          <w:tcPr>
            <w:tcW w:w="2307" w:type="dxa"/>
            <w:tcBorders>
              <w:top w:val="single" w:color="000000" w:sz="4" w:space="0"/>
              <w:bottom w:val="single" w:color="000000" w:sz="4" w:space="0"/>
              <w:tl2br w:val="nil"/>
              <w:tr2bl w:val="nil"/>
            </w:tcBorders>
            <w:noWrap w:val="0"/>
            <w:vAlign w:val="center"/>
          </w:tcPr>
          <w:p w14:paraId="31B5F8C4">
            <w:pPr>
              <w:pStyle w:val="55"/>
              <w:bidi w:val="0"/>
              <w:rPr>
                <w:rFonts w:hint="default"/>
                <w:lang w:val="en-US" w:eastAsia="zh-CN"/>
              </w:rPr>
            </w:pPr>
            <w:r>
              <w:rPr>
                <w:rFonts w:hint="eastAsia"/>
                <w:lang w:val="en-US" w:eastAsia="zh-CN"/>
              </w:rPr>
              <w:t>375</w:t>
            </w:r>
          </w:p>
        </w:tc>
        <w:tc>
          <w:tcPr>
            <w:tcW w:w="2438" w:type="dxa"/>
            <w:tcBorders>
              <w:top w:val="single" w:color="000000" w:sz="4" w:space="0"/>
              <w:bottom w:val="single" w:color="000000" w:sz="4" w:space="0"/>
              <w:tl2br w:val="nil"/>
              <w:tr2bl w:val="nil"/>
            </w:tcBorders>
            <w:noWrap w:val="0"/>
            <w:vAlign w:val="center"/>
          </w:tcPr>
          <w:p w14:paraId="3AD656ED">
            <w:pPr>
              <w:pStyle w:val="55"/>
              <w:bidi w:val="0"/>
              <w:rPr>
                <w:rFonts w:hint="default"/>
                <w:lang w:val="en-US" w:eastAsia="zh-CN"/>
              </w:rPr>
            </w:pPr>
            <w:r>
              <w:rPr>
                <w:rFonts w:hint="eastAsia"/>
                <w:lang w:val="en-US" w:eastAsia="zh-CN"/>
              </w:rPr>
              <w:t>0.3814</w:t>
            </w:r>
          </w:p>
        </w:tc>
        <w:tc>
          <w:tcPr>
            <w:tcW w:w="1389" w:type="dxa"/>
            <w:tcBorders>
              <w:top w:val="single" w:color="000000" w:sz="4" w:space="0"/>
              <w:bottom w:val="single" w:color="000000" w:sz="4" w:space="0"/>
              <w:tl2br w:val="nil"/>
              <w:tr2bl w:val="nil"/>
            </w:tcBorders>
            <w:noWrap w:val="0"/>
            <w:vAlign w:val="center"/>
          </w:tcPr>
          <w:p w14:paraId="683F2F30">
            <w:pPr>
              <w:pStyle w:val="55"/>
              <w:bidi w:val="0"/>
              <w:rPr>
                <w:rFonts w:hint="default"/>
                <w:lang w:val="en-US" w:eastAsia="zh-CN"/>
              </w:rPr>
            </w:pPr>
            <w:r>
              <w:rPr>
                <w:rFonts w:hint="eastAsia"/>
                <w:lang w:val="en-US" w:eastAsia="zh-CN"/>
              </w:rPr>
              <w:t>19.07</w:t>
            </w:r>
          </w:p>
        </w:tc>
      </w:tr>
      <w:tr w14:paraId="51D18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7" w:hRule="atLeast"/>
        </w:trPr>
        <w:tc>
          <w:tcPr>
            <w:tcW w:w="1281" w:type="dxa"/>
            <w:vMerge w:val="continue"/>
            <w:tcBorders>
              <w:right w:val="single" w:color="000000" w:sz="4" w:space="0"/>
              <w:tl2br w:val="nil"/>
              <w:tr2bl w:val="nil"/>
            </w:tcBorders>
            <w:noWrap w:val="0"/>
            <w:vAlign w:val="center"/>
          </w:tcPr>
          <w:p w14:paraId="4A30F9E8">
            <w:pPr>
              <w:pStyle w:val="55"/>
              <w:bidi w:val="0"/>
              <w:rPr>
                <w:rFonts w:hint="eastAsia"/>
                <w:lang w:val="en-US" w:eastAsia="zh-CN"/>
              </w:rPr>
            </w:pPr>
          </w:p>
        </w:tc>
        <w:tc>
          <w:tcPr>
            <w:tcW w:w="1687" w:type="dxa"/>
            <w:tcBorders>
              <w:top w:val="single" w:color="000000" w:sz="4" w:space="0"/>
              <w:left w:val="single" w:color="000000" w:sz="4" w:space="0"/>
              <w:tl2br w:val="nil"/>
              <w:tr2bl w:val="nil"/>
            </w:tcBorders>
            <w:noWrap w:val="0"/>
            <w:vAlign w:val="center"/>
          </w:tcPr>
          <w:p w14:paraId="5CF24E19">
            <w:pPr>
              <w:pStyle w:val="55"/>
              <w:bidi w:val="0"/>
              <w:rPr>
                <w:rFonts w:hint="eastAsia"/>
                <w:lang w:val="en-US" w:eastAsia="zh-CN"/>
              </w:rPr>
            </w:pPr>
            <w:r>
              <w:rPr>
                <w:rFonts w:hint="eastAsia"/>
                <w:b w:val="0"/>
                <w:bCs w:val="0"/>
                <w:color w:val="000000" w:themeColor="text1"/>
                <w:lang w:val="en-US" w:eastAsia="zh-CN"/>
                <w14:textFill>
                  <w14:solidFill>
                    <w14:schemeClr w14:val="tx1"/>
                  </w14:solidFill>
                </w14:textFill>
              </w:rPr>
              <w:t>HCl</w:t>
            </w:r>
          </w:p>
        </w:tc>
        <w:tc>
          <w:tcPr>
            <w:tcW w:w="2307" w:type="dxa"/>
            <w:tcBorders>
              <w:top w:val="single" w:color="000000" w:sz="4" w:space="0"/>
              <w:tl2br w:val="nil"/>
              <w:tr2bl w:val="nil"/>
            </w:tcBorders>
            <w:noWrap w:val="0"/>
            <w:vAlign w:val="center"/>
          </w:tcPr>
          <w:p w14:paraId="50266E02">
            <w:pPr>
              <w:pStyle w:val="55"/>
              <w:bidi w:val="0"/>
              <w:rPr>
                <w:rFonts w:hint="default"/>
                <w:lang w:val="en-US" w:eastAsia="zh-CN"/>
              </w:rPr>
            </w:pPr>
            <w:r>
              <w:rPr>
                <w:rFonts w:hint="eastAsia"/>
                <w:lang w:val="en-US" w:eastAsia="zh-CN"/>
              </w:rPr>
              <w:t>0</w:t>
            </w:r>
          </w:p>
        </w:tc>
        <w:tc>
          <w:tcPr>
            <w:tcW w:w="2438" w:type="dxa"/>
            <w:tcBorders>
              <w:top w:val="single" w:color="000000" w:sz="4" w:space="0"/>
              <w:tl2br w:val="nil"/>
              <w:tr2bl w:val="nil"/>
            </w:tcBorders>
            <w:noWrap w:val="0"/>
            <w:vAlign w:val="center"/>
          </w:tcPr>
          <w:p w14:paraId="1ADBAA54">
            <w:pPr>
              <w:pStyle w:val="55"/>
              <w:bidi w:val="0"/>
              <w:rPr>
                <w:rFonts w:hint="default"/>
                <w:lang w:val="en-US" w:eastAsia="zh-CN"/>
              </w:rPr>
            </w:pPr>
            <w:r>
              <w:rPr>
                <w:rFonts w:hint="eastAsia"/>
                <w:lang w:val="en-US" w:eastAsia="zh-CN"/>
              </w:rPr>
              <w:t>0.0002</w:t>
            </w:r>
          </w:p>
        </w:tc>
        <w:tc>
          <w:tcPr>
            <w:tcW w:w="1389" w:type="dxa"/>
            <w:tcBorders>
              <w:top w:val="single" w:color="000000" w:sz="4" w:space="0"/>
              <w:tl2br w:val="nil"/>
              <w:tr2bl w:val="nil"/>
            </w:tcBorders>
            <w:noWrap w:val="0"/>
            <w:vAlign w:val="center"/>
          </w:tcPr>
          <w:p w14:paraId="5D8B71FC">
            <w:pPr>
              <w:pStyle w:val="55"/>
              <w:bidi w:val="0"/>
              <w:rPr>
                <w:rFonts w:hint="default"/>
                <w:lang w:val="en-US" w:eastAsia="zh-CN"/>
              </w:rPr>
            </w:pPr>
            <w:r>
              <w:rPr>
                <w:rFonts w:hint="eastAsia"/>
                <w:lang w:val="en-US" w:eastAsia="zh-CN"/>
              </w:rPr>
              <w:t>0.00</w:t>
            </w:r>
          </w:p>
        </w:tc>
      </w:tr>
    </w:tbl>
    <w:p w14:paraId="4BBD426E">
      <w:pPr>
        <w:pStyle w:val="47"/>
        <w:bidi w:val="0"/>
        <w:rPr>
          <w:rFonts w:hint="eastAsia"/>
          <w:lang w:val="en-US" w:eastAsia="zh-CN"/>
        </w:rPr>
      </w:pPr>
      <w:r>
        <w:rPr>
          <w:rFonts w:hint="eastAsia"/>
          <w:lang w:val="en-US" w:eastAsia="zh-CN"/>
        </w:rPr>
        <w:t>非正常工况对比正常工况下对区域大气环境贡献值明显增加，项目发生非正常排放时，项目废气污染物对区域环境质量和周边生态环境造成一定程度的影响。</w:t>
      </w:r>
    </w:p>
    <w:p w14:paraId="51E86545">
      <w:pPr>
        <w:pStyle w:val="47"/>
        <w:bidi w:val="0"/>
        <w:rPr>
          <w:rFonts w:hint="eastAsia"/>
        </w:rPr>
      </w:pPr>
      <w:r>
        <w:rPr>
          <w:rFonts w:hint="eastAsia"/>
          <w:lang w:val="en-US" w:eastAsia="zh-CN"/>
        </w:rPr>
        <w:t>非正常工况排放对区域地面的影响持续时间通常为1小时以内，随着废气处理设施故障的排除，其影响也随之消失。为避免项目非正常工况下排放，本次要求运营期企业对末端废气治理设备定期进行检修维护，对废气治理设备中活性炭定期更换，确保废气处理效果；若末端治理措施因故不能运行，车间应立即停止生产，以减少事故状态对周围环境的影响，停止生产后将不再有污染源排放。</w:t>
      </w:r>
    </w:p>
    <w:p w14:paraId="3673B729">
      <w:pPr>
        <w:pStyle w:val="47"/>
        <w:bidi w:val="0"/>
      </w:pPr>
      <w:r>
        <w:rPr>
          <w:rFonts w:hint="eastAsia"/>
          <w:lang w:val="en-US" w:eastAsia="zh-CN"/>
        </w:rPr>
        <w:t>（4）恶臭气体</w:t>
      </w:r>
    </w:p>
    <w:p w14:paraId="72C0BE07">
      <w:pPr>
        <w:pStyle w:val="4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项目的臭气主要来源于</w:t>
      </w:r>
      <w:r>
        <w:rPr>
          <w:rFonts w:hint="eastAsia"/>
          <w:color w:val="000000" w:themeColor="text1"/>
          <w:lang w:val="en-US" w:eastAsia="zh-CN"/>
          <w14:textFill>
            <w14:solidFill>
              <w14:schemeClr w14:val="tx1"/>
            </w14:solidFill>
          </w14:textFill>
        </w:rPr>
        <w:t>挤出</w:t>
      </w:r>
      <w:r>
        <w:rPr>
          <w:rFonts w:hint="eastAsia"/>
          <w:color w:val="000000" w:themeColor="text1"/>
          <w14:textFill>
            <w14:solidFill>
              <w14:schemeClr w14:val="tx1"/>
            </w14:solidFill>
          </w14:textFill>
        </w:rPr>
        <w:t>工序产生的臭气浓度。类比同类废塑料再生造粒企业-上海力臻塑料有限公司2013年7月由上海嘉定区环境监测站出具的竣工验收监测报告，排气筒监测臭气排放浓度最大值为422（无量纲），厂界处监测臭气浓度＜10（无量纲），项目臭气浓度类比表见</w:t>
      </w:r>
      <w:r>
        <w:rPr>
          <w:rFonts w:hint="eastAsia"/>
          <w:color w:val="000000" w:themeColor="text1"/>
          <w:lang w:val="en-US" w:eastAsia="zh-CN"/>
          <w14:textFill>
            <w14:solidFill>
              <w14:schemeClr w14:val="tx1"/>
            </w14:solidFill>
          </w14:textFill>
        </w:rPr>
        <w:t>下</w:t>
      </w:r>
      <w:r>
        <w:rPr>
          <w:rFonts w:hint="eastAsia"/>
          <w:color w:val="000000" w:themeColor="text1"/>
          <w14:textFill>
            <w14:solidFill>
              <w14:schemeClr w14:val="tx1"/>
            </w14:solidFill>
          </w14:textFill>
        </w:rPr>
        <w:t>表。</w:t>
      </w:r>
    </w:p>
    <w:p w14:paraId="493B2DCA">
      <w:pPr>
        <w:pStyle w:val="94"/>
        <w:bidi w:val="0"/>
        <w:ind w:left="0" w:leftChars="0" w:firstLine="0" w:firstLineChars="0"/>
        <w:rPr>
          <w:rFonts w:hint="default"/>
        </w:rPr>
      </w:pPr>
      <w:r>
        <w:rPr>
          <w:rFonts w:hint="default"/>
        </w:rPr>
        <w:t>项目臭气浓度类比同类企业可行性分析表</w:t>
      </w:r>
    </w:p>
    <w:tbl>
      <w:tblPr>
        <w:tblStyle w:val="3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8"/>
        <w:gridCol w:w="1217"/>
        <w:gridCol w:w="3424"/>
        <w:gridCol w:w="1784"/>
        <w:gridCol w:w="1481"/>
      </w:tblGrid>
      <w:tr w14:paraId="64935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42" w:type="pct"/>
            <w:noWrap w:val="0"/>
            <w:vAlign w:val="center"/>
          </w:tcPr>
          <w:p w14:paraId="51B33EFF">
            <w:pPr>
              <w:pStyle w:val="55"/>
              <w:bidi w:val="0"/>
              <w:rPr>
                <w:rFonts w:hint="default"/>
              </w:rPr>
            </w:pPr>
            <w:r>
              <w:rPr>
                <w:rFonts w:hint="default"/>
              </w:rPr>
              <w:t>名称</w:t>
            </w:r>
          </w:p>
        </w:tc>
        <w:tc>
          <w:tcPr>
            <w:tcW w:w="655" w:type="pct"/>
            <w:noWrap w:val="0"/>
            <w:vAlign w:val="center"/>
          </w:tcPr>
          <w:p w14:paraId="47FA765D">
            <w:pPr>
              <w:pStyle w:val="55"/>
              <w:bidi w:val="0"/>
              <w:rPr>
                <w:rFonts w:hint="default"/>
              </w:rPr>
            </w:pPr>
            <w:r>
              <w:rPr>
                <w:rFonts w:hint="default"/>
              </w:rPr>
              <w:t>生产规模（t/a）</w:t>
            </w:r>
          </w:p>
        </w:tc>
        <w:tc>
          <w:tcPr>
            <w:tcW w:w="1843" w:type="pct"/>
            <w:noWrap w:val="0"/>
            <w:vAlign w:val="center"/>
          </w:tcPr>
          <w:p w14:paraId="07E5749D">
            <w:pPr>
              <w:pStyle w:val="55"/>
              <w:bidi w:val="0"/>
              <w:rPr>
                <w:rFonts w:hint="default"/>
              </w:rPr>
            </w:pPr>
            <w:r>
              <w:rPr>
                <w:rFonts w:hint="default"/>
              </w:rPr>
              <w:t>原料</w:t>
            </w:r>
          </w:p>
        </w:tc>
        <w:tc>
          <w:tcPr>
            <w:tcW w:w="960" w:type="pct"/>
            <w:noWrap w:val="0"/>
            <w:vAlign w:val="center"/>
          </w:tcPr>
          <w:p w14:paraId="4A0C0063">
            <w:pPr>
              <w:pStyle w:val="55"/>
              <w:bidi w:val="0"/>
              <w:rPr>
                <w:rFonts w:hint="default"/>
              </w:rPr>
            </w:pPr>
            <w:r>
              <w:rPr>
                <w:rFonts w:hint="default"/>
              </w:rPr>
              <w:t>生产工艺</w:t>
            </w:r>
          </w:p>
        </w:tc>
        <w:tc>
          <w:tcPr>
            <w:tcW w:w="797" w:type="pct"/>
            <w:noWrap w:val="0"/>
            <w:vAlign w:val="center"/>
          </w:tcPr>
          <w:p w14:paraId="113997D8">
            <w:pPr>
              <w:pStyle w:val="55"/>
              <w:bidi w:val="0"/>
              <w:rPr>
                <w:rFonts w:hint="default"/>
              </w:rPr>
            </w:pPr>
            <w:r>
              <w:rPr>
                <w:rFonts w:hint="default"/>
              </w:rPr>
              <w:t>废气处理措施</w:t>
            </w:r>
          </w:p>
        </w:tc>
      </w:tr>
      <w:tr w14:paraId="490F1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42" w:type="pct"/>
            <w:noWrap w:val="0"/>
            <w:vAlign w:val="center"/>
          </w:tcPr>
          <w:p w14:paraId="51E16004">
            <w:pPr>
              <w:pStyle w:val="55"/>
              <w:bidi w:val="0"/>
              <w:rPr>
                <w:rFonts w:hint="default"/>
              </w:rPr>
            </w:pPr>
            <w:r>
              <w:rPr>
                <w:rFonts w:hint="default"/>
              </w:rPr>
              <w:t>上海力臻塑料有限公司</w:t>
            </w:r>
          </w:p>
        </w:tc>
        <w:tc>
          <w:tcPr>
            <w:tcW w:w="655" w:type="pct"/>
            <w:noWrap w:val="0"/>
            <w:vAlign w:val="center"/>
          </w:tcPr>
          <w:p w14:paraId="28FB2E9A">
            <w:pPr>
              <w:pStyle w:val="55"/>
              <w:bidi w:val="0"/>
              <w:rPr>
                <w:rFonts w:hint="default"/>
              </w:rPr>
            </w:pPr>
            <w:r>
              <w:rPr>
                <w:rFonts w:hint="default"/>
              </w:rPr>
              <w:t>40800</w:t>
            </w:r>
          </w:p>
        </w:tc>
        <w:tc>
          <w:tcPr>
            <w:tcW w:w="1843" w:type="pct"/>
            <w:noWrap w:val="0"/>
            <w:vAlign w:val="center"/>
          </w:tcPr>
          <w:p w14:paraId="4F12CAF7">
            <w:pPr>
              <w:pStyle w:val="55"/>
              <w:bidi w:val="0"/>
              <w:rPr>
                <w:rFonts w:hint="default"/>
              </w:rPr>
            </w:pPr>
            <w:r>
              <w:rPr>
                <w:rFonts w:hint="eastAsia"/>
                <w:lang w:val="en-US" w:eastAsia="zh-CN"/>
              </w:rPr>
              <w:t>主要为：</w:t>
            </w:r>
            <w:r>
              <w:rPr>
                <w:rFonts w:hint="default"/>
              </w:rPr>
              <w:t>聚乙烯（PE）、聚丙烯（PP）、聚苯乙烯（PS）、聚氯乙烯（PVC）、聚碳酸酯（PC）、聚酰胺（PA）等</w:t>
            </w:r>
          </w:p>
        </w:tc>
        <w:tc>
          <w:tcPr>
            <w:tcW w:w="960" w:type="pct"/>
            <w:noWrap w:val="0"/>
            <w:vAlign w:val="center"/>
          </w:tcPr>
          <w:p w14:paraId="78B5CCAA">
            <w:pPr>
              <w:pStyle w:val="55"/>
              <w:bidi w:val="0"/>
              <w:rPr>
                <w:rFonts w:hint="default"/>
              </w:rPr>
            </w:pPr>
            <w:r>
              <w:rPr>
                <w:rFonts w:hint="default"/>
              </w:rPr>
              <w:t>废旧塑料回收造粒再利用</w:t>
            </w:r>
          </w:p>
        </w:tc>
        <w:tc>
          <w:tcPr>
            <w:tcW w:w="797" w:type="pct"/>
            <w:noWrap w:val="0"/>
            <w:vAlign w:val="center"/>
          </w:tcPr>
          <w:p w14:paraId="09A7167F">
            <w:pPr>
              <w:pStyle w:val="55"/>
              <w:bidi w:val="0"/>
              <w:rPr>
                <w:rFonts w:hint="default"/>
                <w:lang w:val="en-US" w:eastAsia="zh-CN"/>
              </w:rPr>
            </w:pPr>
            <w:r>
              <w:rPr>
                <w:rFonts w:hint="default"/>
              </w:rPr>
              <w:t>活性炭</w:t>
            </w:r>
            <w:r>
              <w:rPr>
                <w:rFonts w:hint="default"/>
                <w:lang w:val="en-US" w:eastAsia="zh-CN"/>
              </w:rPr>
              <w:t>吸附</w:t>
            </w:r>
          </w:p>
        </w:tc>
      </w:tr>
      <w:tr w14:paraId="3FAFF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42" w:type="pct"/>
            <w:noWrap w:val="0"/>
            <w:vAlign w:val="center"/>
          </w:tcPr>
          <w:p w14:paraId="098B9D5D">
            <w:pPr>
              <w:pStyle w:val="55"/>
              <w:bidi w:val="0"/>
              <w:rPr>
                <w:rFonts w:hint="default"/>
              </w:rPr>
            </w:pPr>
            <w:r>
              <w:rPr>
                <w:rFonts w:hint="default"/>
              </w:rPr>
              <w:t>本项目</w:t>
            </w:r>
          </w:p>
        </w:tc>
        <w:tc>
          <w:tcPr>
            <w:tcW w:w="655" w:type="pct"/>
            <w:noWrap w:val="0"/>
            <w:vAlign w:val="center"/>
          </w:tcPr>
          <w:p w14:paraId="44236EC7">
            <w:pPr>
              <w:pStyle w:val="55"/>
              <w:bidi w:val="0"/>
              <w:rPr>
                <w:rFonts w:hint="default"/>
                <w:lang w:val="en-US" w:eastAsia="zh-CN"/>
              </w:rPr>
            </w:pPr>
            <w:r>
              <w:rPr>
                <w:rFonts w:hint="eastAsia"/>
                <w:lang w:val="en-US" w:eastAsia="zh-CN"/>
              </w:rPr>
              <w:t>25000</w:t>
            </w:r>
          </w:p>
        </w:tc>
        <w:tc>
          <w:tcPr>
            <w:tcW w:w="1843" w:type="pct"/>
            <w:noWrap w:val="0"/>
            <w:vAlign w:val="center"/>
          </w:tcPr>
          <w:p w14:paraId="1E36CC98">
            <w:pPr>
              <w:pStyle w:val="55"/>
              <w:bidi w:val="0"/>
              <w:rPr>
                <w:rFonts w:hint="default"/>
                <w:lang w:val="en-US" w:eastAsia="zh-CN"/>
              </w:rPr>
            </w:pPr>
            <w:r>
              <w:rPr>
                <w:rFonts w:hint="eastAsia"/>
                <w:lang w:val="en-US" w:eastAsia="zh-CN"/>
              </w:rPr>
              <w:t>主要为：</w:t>
            </w:r>
            <w:r>
              <w:rPr>
                <w:rFonts w:hint="default"/>
                <w:lang w:val="en-US" w:eastAsia="zh-CN"/>
              </w:rPr>
              <w:t>PVC塑料</w:t>
            </w:r>
          </w:p>
        </w:tc>
        <w:tc>
          <w:tcPr>
            <w:tcW w:w="960" w:type="pct"/>
            <w:noWrap w:val="0"/>
            <w:vAlign w:val="center"/>
          </w:tcPr>
          <w:p w14:paraId="05083453">
            <w:pPr>
              <w:pStyle w:val="55"/>
              <w:bidi w:val="0"/>
              <w:rPr>
                <w:rFonts w:hint="default"/>
              </w:rPr>
            </w:pPr>
            <w:r>
              <w:rPr>
                <w:rFonts w:hint="default"/>
              </w:rPr>
              <w:t>废旧塑料回收造粒再利用</w:t>
            </w:r>
          </w:p>
        </w:tc>
        <w:tc>
          <w:tcPr>
            <w:tcW w:w="797" w:type="pct"/>
            <w:noWrap w:val="0"/>
            <w:vAlign w:val="center"/>
          </w:tcPr>
          <w:p w14:paraId="44BB4185">
            <w:pPr>
              <w:pStyle w:val="55"/>
              <w:bidi w:val="0"/>
              <w:rPr>
                <w:rFonts w:hint="default"/>
                <w:lang w:val="en-US" w:eastAsia="zh-CN"/>
              </w:rPr>
            </w:pPr>
            <w:r>
              <w:rPr>
                <w:rFonts w:hint="eastAsia"/>
                <w:lang w:val="en-US" w:eastAsia="zh-CN"/>
              </w:rPr>
              <w:t>布袋除尘器+两级</w:t>
            </w:r>
            <w:r>
              <w:rPr>
                <w:rFonts w:hint="default"/>
                <w:lang w:val="en-US" w:eastAsia="zh-CN"/>
              </w:rPr>
              <w:t>活性炭吸附装置</w:t>
            </w:r>
          </w:p>
        </w:tc>
      </w:tr>
    </w:tbl>
    <w:p w14:paraId="1BA13EC8">
      <w:pPr>
        <w:pStyle w:val="47"/>
        <w:bidi w:val="0"/>
        <w:rPr>
          <w:rFonts w:hint="eastAsia"/>
        </w:rPr>
      </w:pPr>
      <w:r>
        <w:rPr>
          <w:rFonts w:hint="default"/>
        </w:rPr>
        <w:t>由上表可以看出，项目的产能、原材料种类均小于类比项目，同时，项目采用的</w:t>
      </w:r>
      <w:r>
        <w:rPr>
          <w:rFonts w:hint="default"/>
          <w:lang w:eastAsia="zh-CN"/>
        </w:rPr>
        <w:t>“</w:t>
      </w:r>
      <w:r>
        <w:rPr>
          <w:rFonts w:hint="eastAsia"/>
          <w:lang w:val="en-US" w:eastAsia="zh-CN"/>
        </w:rPr>
        <w:t>布袋除尘器</w:t>
      </w:r>
      <w:r>
        <w:rPr>
          <w:rFonts w:hint="default"/>
          <w:lang w:val="en-US" w:eastAsia="zh-CN"/>
        </w:rPr>
        <w:t>+</w:t>
      </w:r>
      <w:r>
        <w:rPr>
          <w:rFonts w:hint="eastAsia"/>
          <w:lang w:val="en-US" w:eastAsia="zh-CN"/>
        </w:rPr>
        <w:t>两级</w:t>
      </w:r>
      <w:r>
        <w:rPr>
          <w:rFonts w:hint="default"/>
          <w:lang w:val="en-US" w:eastAsia="zh-CN"/>
        </w:rPr>
        <w:t>活性炭吸附装置</w:t>
      </w:r>
      <w:r>
        <w:rPr>
          <w:rFonts w:hint="default"/>
          <w:lang w:eastAsia="zh-CN"/>
        </w:rPr>
        <w:t>”</w:t>
      </w:r>
      <w:r>
        <w:rPr>
          <w:rFonts w:hint="default"/>
        </w:rPr>
        <w:t>废气处理装置对臭气的处理效率高于类比项目。因此，可以预计项目</w:t>
      </w:r>
      <w:r>
        <w:rPr>
          <w:rFonts w:hint="eastAsia"/>
          <w:lang w:val="en-US" w:eastAsia="zh-CN"/>
        </w:rPr>
        <w:t>排放的</w:t>
      </w:r>
      <w:r>
        <w:rPr>
          <w:rFonts w:hint="default"/>
        </w:rPr>
        <w:t>臭气浓度小于422（无量纲），厂界处臭气浓度小于10</w:t>
      </w:r>
      <w:r>
        <w:rPr>
          <w:rFonts w:hint="default"/>
          <w:lang w:eastAsia="zh-CN"/>
        </w:rPr>
        <w:t>（</w:t>
      </w:r>
      <w:r>
        <w:rPr>
          <w:rFonts w:hint="default"/>
        </w:rPr>
        <w:t>无量纲</w:t>
      </w:r>
      <w:r>
        <w:rPr>
          <w:rFonts w:hint="default"/>
          <w:lang w:eastAsia="zh-CN"/>
        </w:rPr>
        <w:t>）</w:t>
      </w:r>
      <w:r>
        <w:rPr>
          <w:rFonts w:hint="default"/>
        </w:rPr>
        <w:t>，满足《恶臭污染物排放标准》（GB14554-93）相关要求（排气筒臭气浓度2000（无量纲），厂界臭气浓度20（无量纲））。</w:t>
      </w:r>
    </w:p>
    <w:p w14:paraId="2B2A2ADF">
      <w:pPr>
        <w:pStyle w:val="47"/>
        <w:bidi w:val="0"/>
      </w:pPr>
      <w:r>
        <w:rPr>
          <w:rFonts w:hint="eastAsia"/>
          <w:lang w:val="en-US" w:eastAsia="zh-CN"/>
        </w:rPr>
        <w:t>（5）污染物排放量核算</w:t>
      </w:r>
    </w:p>
    <w:p w14:paraId="6E11F447">
      <w:pPr>
        <w:pStyle w:val="47"/>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根据工程分析，对</w:t>
      </w:r>
      <w:r>
        <w:rPr>
          <w:rFonts w:hint="eastAsia"/>
          <w:color w:val="000000" w:themeColor="text1"/>
          <w:lang w:eastAsia="zh-CN"/>
          <w14:textFill>
            <w14:solidFill>
              <w14:schemeClr w14:val="tx1"/>
            </w14:solidFill>
          </w14:textFill>
        </w:rPr>
        <w:t>项目</w:t>
      </w:r>
      <w:r>
        <w:rPr>
          <w:rFonts w:hint="eastAsia"/>
          <w:color w:val="000000" w:themeColor="text1"/>
          <w14:textFill>
            <w14:solidFill>
              <w14:schemeClr w14:val="tx1"/>
            </w14:solidFill>
          </w14:textFill>
        </w:rPr>
        <w:t>有组织及无组织排放污染物进行核算，</w:t>
      </w:r>
      <w:r>
        <w:rPr>
          <w:rFonts w:hint="eastAsia"/>
          <w:color w:val="000000" w:themeColor="text1"/>
          <w:lang w:eastAsia="zh-CN"/>
          <w14:textFill>
            <w14:solidFill>
              <w14:schemeClr w14:val="tx1"/>
            </w14:solidFill>
          </w14:textFill>
        </w:rPr>
        <w:t>详见下表</w:t>
      </w:r>
      <w:r>
        <w:rPr>
          <w:rFonts w:hint="eastAsia"/>
          <w:color w:val="000000" w:themeColor="text1"/>
          <w14:textFill>
            <w14:solidFill>
              <w14:schemeClr w14:val="tx1"/>
            </w14:solidFill>
          </w14:textFill>
        </w:rPr>
        <w:t>。</w:t>
      </w:r>
    </w:p>
    <w:p w14:paraId="46C97A66">
      <w:pPr>
        <w:pStyle w:val="94"/>
        <w:bidi w:val="0"/>
        <w:ind w:left="0" w:leftChars="0" w:firstLine="0" w:firstLineChars="0"/>
      </w:pPr>
      <w:r>
        <w:rPr>
          <w:rFonts w:hint="eastAsia"/>
        </w:rPr>
        <w:t>大气污染物有组织排放量核算表</w:t>
      </w:r>
    </w:p>
    <w:tbl>
      <w:tblPr>
        <w:tblStyle w:val="3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744"/>
        <w:gridCol w:w="1172"/>
        <w:gridCol w:w="1899"/>
        <w:gridCol w:w="1930"/>
        <w:gridCol w:w="1762"/>
        <w:gridCol w:w="1621"/>
      </w:tblGrid>
      <w:tr w14:paraId="38973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blHeader/>
        </w:trPr>
        <w:tc>
          <w:tcPr>
            <w:tcW w:w="408" w:type="pct"/>
            <w:tcBorders>
              <w:bottom w:val="single" w:color="auto" w:sz="4" w:space="0"/>
            </w:tcBorders>
            <w:vAlign w:val="center"/>
          </w:tcPr>
          <w:p w14:paraId="3492C503">
            <w:pPr>
              <w:pStyle w:val="55"/>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序号</w:t>
            </w:r>
          </w:p>
        </w:tc>
        <w:tc>
          <w:tcPr>
            <w:tcW w:w="641" w:type="pct"/>
            <w:tcBorders>
              <w:bottom w:val="single" w:color="auto" w:sz="4" w:space="0"/>
            </w:tcBorders>
            <w:shd w:val="clear" w:color="auto" w:fill="auto"/>
            <w:vAlign w:val="center"/>
          </w:tcPr>
          <w:p w14:paraId="0279020F">
            <w:pPr>
              <w:pStyle w:val="55"/>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排放口编号</w:t>
            </w:r>
          </w:p>
        </w:tc>
        <w:tc>
          <w:tcPr>
            <w:tcW w:w="1040" w:type="pct"/>
            <w:tcBorders>
              <w:bottom w:val="single" w:color="auto" w:sz="4" w:space="0"/>
            </w:tcBorders>
            <w:shd w:val="clear" w:color="auto" w:fill="auto"/>
            <w:vAlign w:val="center"/>
          </w:tcPr>
          <w:p w14:paraId="4BB9AA4A">
            <w:pPr>
              <w:pStyle w:val="55"/>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污染物</w:t>
            </w:r>
          </w:p>
        </w:tc>
        <w:tc>
          <w:tcPr>
            <w:tcW w:w="1057" w:type="pct"/>
            <w:tcBorders>
              <w:bottom w:val="single" w:color="auto" w:sz="4" w:space="0"/>
            </w:tcBorders>
            <w:shd w:val="clear" w:color="auto" w:fill="auto"/>
            <w:vAlign w:val="center"/>
          </w:tcPr>
          <w:p w14:paraId="5FC354FB">
            <w:pPr>
              <w:pStyle w:val="55"/>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核算</w:t>
            </w:r>
            <w:r>
              <w:rPr>
                <w:color w:val="000000" w:themeColor="text1"/>
                <w:sz w:val="24"/>
                <w:szCs w:val="24"/>
                <w14:textFill>
                  <w14:solidFill>
                    <w14:schemeClr w14:val="tx1"/>
                  </w14:solidFill>
                </w14:textFill>
              </w:rPr>
              <w:t>年排放量</w:t>
            </w:r>
          </w:p>
          <w:p w14:paraId="2F6AF795">
            <w:pPr>
              <w:pStyle w:val="55"/>
              <w:rPr>
                <w:color w:val="000000" w:themeColor="text1"/>
                <w:sz w:val="24"/>
                <w:szCs w:val="24"/>
                <w14:textFill>
                  <w14:solidFill>
                    <w14:schemeClr w14:val="tx1"/>
                  </w14:solidFill>
                </w14:textFill>
              </w:rPr>
            </w:pPr>
            <w:r>
              <w:rPr>
                <w:rFonts w:hint="eastAsia"/>
                <w:color w:val="000000" w:themeColor="text1"/>
                <w:sz w:val="24"/>
                <w:szCs w:val="24"/>
                <w:lang w:eastAsia="zh-CN"/>
                <w14:textFill>
                  <w14:solidFill>
                    <w14:schemeClr w14:val="tx1"/>
                  </w14:solidFill>
                </w14:textFill>
              </w:rPr>
              <w:t>（</w:t>
            </w:r>
            <w:r>
              <w:rPr>
                <w:rFonts w:hint="eastAsia"/>
                <w:color w:val="000000" w:themeColor="text1"/>
                <w:sz w:val="24"/>
                <w:szCs w:val="24"/>
                <w14:textFill>
                  <w14:solidFill>
                    <w14:schemeClr w14:val="tx1"/>
                  </w14:solidFill>
                </w14:textFill>
              </w:rPr>
              <w:t>t</w:t>
            </w:r>
            <w:r>
              <w:rPr>
                <w:color w:val="000000" w:themeColor="text1"/>
                <w:sz w:val="24"/>
                <w:szCs w:val="24"/>
                <w14:textFill>
                  <w14:solidFill>
                    <w14:schemeClr w14:val="tx1"/>
                  </w14:solidFill>
                </w14:textFill>
              </w:rPr>
              <w:t>/a</w:t>
            </w:r>
            <w:r>
              <w:rPr>
                <w:rFonts w:hint="eastAsia"/>
                <w:color w:val="000000" w:themeColor="text1"/>
                <w:sz w:val="24"/>
                <w:szCs w:val="24"/>
                <w:lang w:eastAsia="zh-CN"/>
                <w14:textFill>
                  <w14:solidFill>
                    <w14:schemeClr w14:val="tx1"/>
                  </w14:solidFill>
                </w14:textFill>
              </w:rPr>
              <w:t>）</w:t>
            </w:r>
          </w:p>
        </w:tc>
        <w:tc>
          <w:tcPr>
            <w:tcW w:w="965" w:type="pct"/>
            <w:tcBorders>
              <w:bottom w:val="single" w:color="auto" w:sz="4" w:space="0"/>
            </w:tcBorders>
            <w:shd w:val="clear" w:color="auto" w:fill="auto"/>
            <w:vAlign w:val="center"/>
          </w:tcPr>
          <w:p w14:paraId="44D46DD4">
            <w:pPr>
              <w:pStyle w:val="55"/>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核算排放</w:t>
            </w:r>
            <w:r>
              <w:rPr>
                <w:color w:val="000000" w:themeColor="text1"/>
                <w:sz w:val="24"/>
                <w:szCs w:val="24"/>
                <w14:textFill>
                  <w14:solidFill>
                    <w14:schemeClr w14:val="tx1"/>
                  </w14:solidFill>
                </w14:textFill>
              </w:rPr>
              <w:t>浓度</w:t>
            </w:r>
            <w:r>
              <w:rPr>
                <w:rFonts w:hint="eastAsia"/>
                <w:color w:val="000000" w:themeColor="text1"/>
                <w:sz w:val="24"/>
                <w:szCs w:val="24"/>
                <w14:textFill>
                  <w14:solidFill>
                    <w14:schemeClr w14:val="tx1"/>
                  </w14:solidFill>
                </w14:textFill>
              </w:rPr>
              <w:t>(mg</w:t>
            </w:r>
            <w:r>
              <w:rPr>
                <w:color w:val="000000" w:themeColor="text1"/>
                <w:sz w:val="24"/>
                <w:szCs w:val="24"/>
                <w14:textFill>
                  <w14:solidFill>
                    <w14:schemeClr w14:val="tx1"/>
                  </w14:solidFill>
                </w14:textFill>
              </w:rPr>
              <w:t>/m</w:t>
            </w:r>
            <w:r>
              <w:rPr>
                <w:color w:val="000000" w:themeColor="text1"/>
                <w:sz w:val="24"/>
                <w:szCs w:val="24"/>
                <w:vertAlign w:val="superscript"/>
                <w14:textFill>
                  <w14:solidFill>
                    <w14:schemeClr w14:val="tx1"/>
                  </w14:solidFill>
                </w14:textFill>
              </w:rPr>
              <w:t>3</w:t>
            </w:r>
            <w:r>
              <w:rPr>
                <w:rFonts w:hint="eastAsia"/>
                <w:color w:val="000000" w:themeColor="text1"/>
                <w:sz w:val="24"/>
                <w:szCs w:val="24"/>
                <w14:textFill>
                  <w14:solidFill>
                    <w14:schemeClr w14:val="tx1"/>
                  </w14:solidFill>
                </w14:textFill>
              </w:rPr>
              <w:t>)</w:t>
            </w:r>
          </w:p>
        </w:tc>
        <w:tc>
          <w:tcPr>
            <w:tcW w:w="886" w:type="pct"/>
            <w:tcBorders>
              <w:bottom w:val="single" w:color="auto" w:sz="4" w:space="0"/>
            </w:tcBorders>
            <w:shd w:val="clear" w:color="auto" w:fill="auto"/>
            <w:vAlign w:val="center"/>
          </w:tcPr>
          <w:p w14:paraId="268E61B3">
            <w:pPr>
              <w:pStyle w:val="55"/>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核算排放</w:t>
            </w:r>
            <w:r>
              <w:rPr>
                <w:color w:val="000000" w:themeColor="text1"/>
                <w:sz w:val="24"/>
                <w:szCs w:val="24"/>
                <w14:textFill>
                  <w14:solidFill>
                    <w14:schemeClr w14:val="tx1"/>
                  </w14:solidFill>
                </w14:textFill>
              </w:rPr>
              <w:t>速率</w:t>
            </w:r>
            <w:r>
              <w:rPr>
                <w:rFonts w:hint="eastAsia"/>
                <w:color w:val="000000" w:themeColor="text1"/>
                <w:sz w:val="24"/>
                <w:szCs w:val="24"/>
                <w:lang w:eastAsia="zh-CN"/>
                <w14:textFill>
                  <w14:solidFill>
                    <w14:schemeClr w14:val="tx1"/>
                  </w14:solidFill>
                </w14:textFill>
              </w:rPr>
              <w:t>（</w:t>
            </w:r>
            <w:r>
              <w:rPr>
                <w:rFonts w:hint="eastAsia"/>
                <w:color w:val="000000" w:themeColor="text1"/>
                <w:sz w:val="24"/>
                <w:szCs w:val="24"/>
                <w14:textFill>
                  <w14:solidFill>
                    <w14:schemeClr w14:val="tx1"/>
                  </w14:solidFill>
                </w14:textFill>
              </w:rPr>
              <w:t>kg</w:t>
            </w:r>
            <w:r>
              <w:rPr>
                <w:color w:val="000000" w:themeColor="text1"/>
                <w:sz w:val="24"/>
                <w:szCs w:val="24"/>
                <w14:textFill>
                  <w14:solidFill>
                    <w14:schemeClr w14:val="tx1"/>
                  </w14:solidFill>
                </w14:textFill>
              </w:rPr>
              <w:t>/h</w:t>
            </w:r>
            <w:r>
              <w:rPr>
                <w:rFonts w:hint="eastAsia"/>
                <w:color w:val="000000" w:themeColor="text1"/>
                <w:sz w:val="24"/>
                <w:szCs w:val="24"/>
                <w:lang w:eastAsia="zh-CN"/>
                <w14:textFill>
                  <w14:solidFill>
                    <w14:schemeClr w14:val="tx1"/>
                  </w14:solidFill>
                </w14:textFill>
              </w:rPr>
              <w:t>）</w:t>
            </w:r>
          </w:p>
        </w:tc>
      </w:tr>
      <w:tr w14:paraId="7A5C6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5000" w:type="pct"/>
            <w:gridSpan w:val="6"/>
            <w:vAlign w:val="center"/>
          </w:tcPr>
          <w:p w14:paraId="1F931631">
            <w:pPr>
              <w:pStyle w:val="55"/>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一般</w:t>
            </w:r>
            <w:r>
              <w:rPr>
                <w:color w:val="000000" w:themeColor="text1"/>
                <w:sz w:val="24"/>
                <w:szCs w:val="24"/>
                <w14:textFill>
                  <w14:solidFill>
                    <w14:schemeClr w14:val="tx1"/>
                  </w14:solidFill>
                </w14:textFill>
              </w:rPr>
              <w:t>排放口</w:t>
            </w:r>
          </w:p>
        </w:tc>
      </w:tr>
      <w:tr w14:paraId="2DC42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408" w:type="pct"/>
            <w:vMerge w:val="restart"/>
            <w:vAlign w:val="center"/>
          </w:tcPr>
          <w:p w14:paraId="5D21CC3F">
            <w:pPr>
              <w:pStyle w:val="55"/>
              <w:rPr>
                <w:rFonts w:hint="eastAsia" w:eastAsia="宋体"/>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1</w:t>
            </w:r>
          </w:p>
        </w:tc>
        <w:tc>
          <w:tcPr>
            <w:tcW w:w="641" w:type="pct"/>
            <w:vMerge w:val="restart"/>
            <w:shd w:val="clear" w:color="auto" w:fill="auto"/>
            <w:vAlign w:val="center"/>
          </w:tcPr>
          <w:p w14:paraId="05ADFBD8">
            <w:pPr>
              <w:pStyle w:val="55"/>
              <w:bidi w:val="0"/>
              <w:rPr>
                <w:rFonts w:hint="default"/>
                <w:color w:val="000000" w:themeColor="text1"/>
                <w:sz w:val="24"/>
                <w:szCs w:val="24"/>
                <w:lang w:val="en-US"/>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DA001</w:t>
            </w:r>
          </w:p>
        </w:tc>
        <w:tc>
          <w:tcPr>
            <w:tcW w:w="1040" w:type="pct"/>
            <w:tcBorders>
              <w:bottom w:val="single" w:color="000000" w:sz="4" w:space="0"/>
            </w:tcBorders>
            <w:shd w:val="clear" w:color="auto" w:fill="auto"/>
            <w:vAlign w:val="center"/>
          </w:tcPr>
          <w:p w14:paraId="6750D86D">
            <w:pPr>
              <w:pStyle w:val="55"/>
              <w:bidi w:val="0"/>
              <w:rPr>
                <w:rFonts w:hint="default" w:eastAsia="宋体"/>
                <w:color w:val="000000" w:themeColor="text1"/>
                <w:sz w:val="24"/>
                <w:szCs w:val="24"/>
                <w:lang w:val="en-US" w:eastAsia="zh-CN"/>
                <w14:textFill>
                  <w14:solidFill>
                    <w14:schemeClr w14:val="tx1"/>
                  </w14:solidFill>
                </w14:textFill>
              </w:rPr>
            </w:pPr>
            <w:r>
              <w:rPr>
                <w:rFonts w:hint="eastAsia"/>
                <w:sz w:val="24"/>
                <w:szCs w:val="24"/>
                <w:lang w:val="en-US" w:eastAsia="zh-CN"/>
              </w:rPr>
              <w:t>颗粒物</w:t>
            </w:r>
          </w:p>
        </w:tc>
        <w:tc>
          <w:tcPr>
            <w:tcW w:w="1930" w:type="dxa"/>
            <w:tcBorders>
              <w:bottom w:val="single" w:color="000000" w:sz="4" w:space="0"/>
            </w:tcBorders>
            <w:shd w:val="clear" w:color="auto" w:fill="auto"/>
            <w:vAlign w:val="center"/>
          </w:tcPr>
          <w:p w14:paraId="00CA191A">
            <w:pPr>
              <w:pStyle w:val="55"/>
              <w:bidi w:val="0"/>
              <w:rPr>
                <w:color w:val="000000" w:themeColor="text1"/>
                <w:sz w:val="24"/>
                <w:szCs w:val="24"/>
                <w14:textFill>
                  <w14:solidFill>
                    <w14:schemeClr w14:val="tx1"/>
                  </w14:solidFill>
                </w14:textFill>
              </w:rPr>
            </w:pPr>
            <w:r>
              <w:rPr>
                <w:rFonts w:hint="eastAsia" w:ascii="Times New Roman" w:hAnsi="Times New Roman"/>
                <w:sz w:val="24"/>
                <w:szCs w:val="24"/>
                <w:lang w:val="en-US" w:eastAsia="zh-CN"/>
              </w:rPr>
              <w:t>1.357</w:t>
            </w:r>
          </w:p>
        </w:tc>
        <w:tc>
          <w:tcPr>
            <w:tcW w:w="1762" w:type="dxa"/>
            <w:tcBorders>
              <w:bottom w:val="single" w:color="000000" w:sz="4" w:space="0"/>
            </w:tcBorders>
            <w:shd w:val="clear" w:color="auto" w:fill="auto"/>
            <w:vAlign w:val="center"/>
          </w:tcPr>
          <w:p w14:paraId="51701094">
            <w:pPr>
              <w:pStyle w:val="55"/>
              <w:bidi w:val="0"/>
              <w:rPr>
                <w:color w:val="000000" w:themeColor="text1"/>
                <w:sz w:val="24"/>
                <w:szCs w:val="24"/>
                <w14:textFill>
                  <w14:solidFill>
                    <w14:schemeClr w14:val="tx1"/>
                  </w14:solidFill>
                </w14:textFill>
              </w:rPr>
            </w:pPr>
            <w:r>
              <w:rPr>
                <w:rFonts w:hint="eastAsia" w:ascii="Times New Roman" w:hAnsi="Times New Roman"/>
                <w:sz w:val="24"/>
                <w:szCs w:val="24"/>
                <w:lang w:val="en-US" w:eastAsia="zh-CN"/>
              </w:rPr>
              <w:t>6.284</w:t>
            </w:r>
          </w:p>
        </w:tc>
        <w:tc>
          <w:tcPr>
            <w:tcW w:w="1621" w:type="dxa"/>
            <w:tcBorders>
              <w:bottom w:val="single" w:color="000000" w:sz="4" w:space="0"/>
            </w:tcBorders>
            <w:shd w:val="clear" w:color="auto" w:fill="auto"/>
            <w:vAlign w:val="center"/>
          </w:tcPr>
          <w:p w14:paraId="29C53FAC">
            <w:pPr>
              <w:pStyle w:val="55"/>
              <w:bidi w:val="0"/>
              <w:rPr>
                <w:color w:val="000000" w:themeColor="text1"/>
                <w:sz w:val="24"/>
                <w:szCs w:val="24"/>
                <w14:textFill>
                  <w14:solidFill>
                    <w14:schemeClr w14:val="tx1"/>
                  </w14:solidFill>
                </w14:textFill>
              </w:rPr>
            </w:pPr>
            <w:r>
              <w:rPr>
                <w:rFonts w:hint="eastAsia" w:ascii="Times New Roman" w:hAnsi="Times New Roman"/>
                <w:sz w:val="24"/>
                <w:szCs w:val="24"/>
                <w:lang w:val="en-US" w:eastAsia="zh-CN"/>
              </w:rPr>
              <w:t>0.189</w:t>
            </w:r>
          </w:p>
        </w:tc>
      </w:tr>
      <w:tr w14:paraId="5B075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408" w:type="pct"/>
            <w:vMerge w:val="continue"/>
            <w:vAlign w:val="center"/>
          </w:tcPr>
          <w:p w14:paraId="1B9A5030">
            <w:pPr>
              <w:pStyle w:val="55"/>
              <w:rPr>
                <w:rFonts w:hint="eastAsia"/>
                <w:color w:val="000000" w:themeColor="text1"/>
                <w:sz w:val="24"/>
                <w:szCs w:val="24"/>
                <w:lang w:val="en-US" w:eastAsia="zh-CN"/>
                <w14:textFill>
                  <w14:solidFill>
                    <w14:schemeClr w14:val="tx1"/>
                  </w14:solidFill>
                </w14:textFill>
              </w:rPr>
            </w:pPr>
          </w:p>
        </w:tc>
        <w:tc>
          <w:tcPr>
            <w:tcW w:w="641" w:type="pct"/>
            <w:vMerge w:val="continue"/>
            <w:shd w:val="clear" w:color="auto" w:fill="auto"/>
            <w:vAlign w:val="center"/>
          </w:tcPr>
          <w:p w14:paraId="7E37F664">
            <w:pPr>
              <w:pStyle w:val="55"/>
              <w:bidi w:val="0"/>
              <w:rPr>
                <w:rFonts w:hint="default"/>
                <w:color w:val="000000" w:themeColor="text1"/>
                <w:sz w:val="24"/>
                <w:szCs w:val="24"/>
                <w:lang w:val="en-US" w:eastAsia="zh-CN"/>
                <w14:textFill>
                  <w14:solidFill>
                    <w14:schemeClr w14:val="tx1"/>
                  </w14:solidFill>
                </w14:textFill>
              </w:rPr>
            </w:pPr>
          </w:p>
        </w:tc>
        <w:tc>
          <w:tcPr>
            <w:tcW w:w="1040" w:type="pct"/>
            <w:tcBorders>
              <w:top w:val="single" w:color="000000" w:sz="4" w:space="0"/>
              <w:bottom w:val="single" w:color="000000" w:sz="4" w:space="0"/>
            </w:tcBorders>
            <w:shd w:val="clear" w:color="auto" w:fill="auto"/>
            <w:vAlign w:val="center"/>
          </w:tcPr>
          <w:p w14:paraId="142C21A3">
            <w:pPr>
              <w:pStyle w:val="55"/>
              <w:bidi w:val="0"/>
              <w:rPr>
                <w:rFonts w:hint="eastAsia"/>
                <w:color w:val="000000" w:themeColor="text1"/>
                <w:sz w:val="24"/>
                <w:szCs w:val="24"/>
                <w:lang w:val="en-US" w:eastAsia="zh-CN"/>
                <w14:textFill>
                  <w14:solidFill>
                    <w14:schemeClr w14:val="tx1"/>
                  </w14:solidFill>
                </w14:textFill>
              </w:rPr>
            </w:pPr>
            <w:r>
              <w:rPr>
                <w:rFonts w:hint="default"/>
                <w:b w:val="0"/>
                <w:bCs w:val="0"/>
                <w:color w:val="000000" w:themeColor="text1"/>
                <w:sz w:val="24"/>
                <w:szCs w:val="24"/>
                <w:lang w:val="en-US" w:eastAsia="zh-CN"/>
                <w14:textFill>
                  <w14:solidFill>
                    <w14:schemeClr w14:val="tx1"/>
                  </w14:solidFill>
                </w14:textFill>
              </w:rPr>
              <w:t>非甲烷总烃</w:t>
            </w:r>
          </w:p>
        </w:tc>
        <w:tc>
          <w:tcPr>
            <w:tcW w:w="1930" w:type="dxa"/>
            <w:tcBorders>
              <w:top w:val="single" w:color="000000" w:sz="4" w:space="0"/>
              <w:bottom w:val="single" w:color="000000" w:sz="4" w:space="0"/>
            </w:tcBorders>
            <w:shd w:val="clear" w:color="auto" w:fill="auto"/>
            <w:vAlign w:val="center"/>
          </w:tcPr>
          <w:p w14:paraId="36D7470B">
            <w:pPr>
              <w:pStyle w:val="55"/>
              <w:bidi w:val="0"/>
              <w:rPr>
                <w:rFonts w:hint="eastAsia"/>
                <w:color w:val="000000" w:themeColor="text1"/>
                <w:sz w:val="24"/>
                <w:szCs w:val="24"/>
                <w:lang w:val="en-US" w:eastAsia="zh-CN"/>
                <w14:textFill>
                  <w14:solidFill>
                    <w14:schemeClr w14:val="tx1"/>
                  </w14:solidFill>
                </w14:textFill>
              </w:rPr>
            </w:pPr>
            <w:r>
              <w:rPr>
                <w:rFonts w:hint="eastAsia" w:ascii="Times New Roman" w:hAnsi="Times New Roman"/>
                <w:sz w:val="24"/>
                <w:szCs w:val="24"/>
                <w:lang w:val="en-US" w:eastAsia="zh-CN"/>
              </w:rPr>
              <w:t>2.277</w:t>
            </w:r>
          </w:p>
        </w:tc>
        <w:tc>
          <w:tcPr>
            <w:tcW w:w="1762" w:type="dxa"/>
            <w:tcBorders>
              <w:top w:val="single" w:color="000000" w:sz="4" w:space="0"/>
              <w:bottom w:val="single" w:color="000000" w:sz="4" w:space="0"/>
            </w:tcBorders>
            <w:shd w:val="clear" w:color="auto" w:fill="auto"/>
            <w:vAlign w:val="center"/>
          </w:tcPr>
          <w:p w14:paraId="7D914003">
            <w:pPr>
              <w:pStyle w:val="55"/>
              <w:bidi w:val="0"/>
              <w:rPr>
                <w:rFonts w:hint="eastAsia"/>
                <w:color w:val="000000" w:themeColor="text1"/>
                <w:sz w:val="24"/>
                <w:szCs w:val="24"/>
                <w:lang w:val="en-US" w:eastAsia="zh-CN"/>
                <w14:textFill>
                  <w14:solidFill>
                    <w14:schemeClr w14:val="tx1"/>
                  </w14:solidFill>
                </w14:textFill>
              </w:rPr>
            </w:pPr>
            <w:r>
              <w:rPr>
                <w:rFonts w:hint="eastAsia" w:ascii="Times New Roman" w:hAnsi="Times New Roman"/>
                <w:sz w:val="24"/>
                <w:szCs w:val="24"/>
                <w:lang w:val="en-US" w:eastAsia="zh-CN"/>
              </w:rPr>
              <w:t>10.5</w:t>
            </w:r>
          </w:p>
        </w:tc>
        <w:tc>
          <w:tcPr>
            <w:tcW w:w="1621" w:type="dxa"/>
            <w:tcBorders>
              <w:top w:val="single" w:color="000000" w:sz="4" w:space="0"/>
              <w:bottom w:val="single" w:color="000000" w:sz="4" w:space="0"/>
            </w:tcBorders>
            <w:shd w:val="clear" w:color="auto" w:fill="auto"/>
            <w:vAlign w:val="center"/>
          </w:tcPr>
          <w:p w14:paraId="3868EF6E">
            <w:pPr>
              <w:pStyle w:val="55"/>
              <w:bidi w:val="0"/>
              <w:rPr>
                <w:rFonts w:hint="eastAsia"/>
                <w:color w:val="000000" w:themeColor="text1"/>
                <w:sz w:val="24"/>
                <w:szCs w:val="24"/>
                <w:lang w:val="en-US" w:eastAsia="zh-CN"/>
                <w14:textFill>
                  <w14:solidFill>
                    <w14:schemeClr w14:val="tx1"/>
                  </w14:solidFill>
                </w14:textFill>
              </w:rPr>
            </w:pPr>
            <w:r>
              <w:rPr>
                <w:rFonts w:hint="eastAsia" w:ascii="Times New Roman" w:hAnsi="Times New Roman"/>
                <w:sz w:val="24"/>
                <w:szCs w:val="24"/>
                <w:lang w:val="en-US" w:eastAsia="zh-CN"/>
              </w:rPr>
              <w:t>0.316</w:t>
            </w:r>
          </w:p>
        </w:tc>
      </w:tr>
      <w:tr w14:paraId="0F6C8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408" w:type="pct"/>
            <w:vMerge w:val="continue"/>
            <w:vAlign w:val="center"/>
          </w:tcPr>
          <w:p w14:paraId="04D62D22">
            <w:pPr>
              <w:pStyle w:val="55"/>
              <w:rPr>
                <w:rFonts w:hint="eastAsia"/>
                <w:color w:val="000000" w:themeColor="text1"/>
                <w:sz w:val="24"/>
                <w:szCs w:val="24"/>
                <w:lang w:val="en-US" w:eastAsia="zh-CN"/>
                <w14:textFill>
                  <w14:solidFill>
                    <w14:schemeClr w14:val="tx1"/>
                  </w14:solidFill>
                </w14:textFill>
              </w:rPr>
            </w:pPr>
          </w:p>
        </w:tc>
        <w:tc>
          <w:tcPr>
            <w:tcW w:w="641" w:type="pct"/>
            <w:vMerge w:val="continue"/>
            <w:shd w:val="clear" w:color="auto" w:fill="auto"/>
            <w:vAlign w:val="center"/>
          </w:tcPr>
          <w:p w14:paraId="4A209D43">
            <w:pPr>
              <w:pStyle w:val="55"/>
              <w:bidi w:val="0"/>
              <w:rPr>
                <w:rFonts w:hint="default"/>
                <w:color w:val="000000" w:themeColor="text1"/>
                <w:sz w:val="24"/>
                <w:szCs w:val="24"/>
                <w:lang w:val="en-US" w:eastAsia="zh-CN"/>
                <w14:textFill>
                  <w14:solidFill>
                    <w14:schemeClr w14:val="tx1"/>
                  </w14:solidFill>
                </w14:textFill>
              </w:rPr>
            </w:pPr>
          </w:p>
        </w:tc>
        <w:tc>
          <w:tcPr>
            <w:tcW w:w="1040" w:type="pct"/>
            <w:tcBorders>
              <w:top w:val="single" w:color="000000" w:sz="4" w:space="0"/>
            </w:tcBorders>
            <w:shd w:val="clear" w:color="auto" w:fill="auto"/>
            <w:vAlign w:val="center"/>
          </w:tcPr>
          <w:p w14:paraId="0CE3844B">
            <w:pPr>
              <w:pStyle w:val="55"/>
              <w:bidi w:val="0"/>
              <w:rPr>
                <w:rFonts w:hint="eastAsia"/>
                <w:color w:val="000000" w:themeColor="text1"/>
                <w:sz w:val="24"/>
                <w:szCs w:val="24"/>
                <w:lang w:val="en-US" w:eastAsia="zh-CN"/>
                <w14:textFill>
                  <w14:solidFill>
                    <w14:schemeClr w14:val="tx1"/>
                  </w14:solidFill>
                </w14:textFill>
              </w:rPr>
            </w:pPr>
            <w:r>
              <w:rPr>
                <w:rFonts w:hint="eastAsia"/>
                <w:b w:val="0"/>
                <w:bCs w:val="0"/>
                <w:color w:val="000000" w:themeColor="text1"/>
                <w:sz w:val="24"/>
                <w:szCs w:val="24"/>
                <w:lang w:val="en-US" w:eastAsia="zh-CN"/>
                <w14:textFill>
                  <w14:solidFill>
                    <w14:schemeClr w14:val="tx1"/>
                  </w14:solidFill>
                </w14:textFill>
              </w:rPr>
              <w:t>HCl</w:t>
            </w:r>
          </w:p>
        </w:tc>
        <w:tc>
          <w:tcPr>
            <w:tcW w:w="1930" w:type="dxa"/>
            <w:tcBorders>
              <w:top w:val="single" w:color="000000" w:sz="4" w:space="0"/>
            </w:tcBorders>
            <w:shd w:val="clear" w:color="auto" w:fill="auto"/>
            <w:vAlign w:val="center"/>
          </w:tcPr>
          <w:p w14:paraId="451683B6">
            <w:pPr>
              <w:pStyle w:val="55"/>
              <w:bidi w:val="0"/>
              <w:rPr>
                <w:rFonts w:hint="eastAsia"/>
                <w:color w:val="000000" w:themeColor="text1"/>
                <w:sz w:val="24"/>
                <w:szCs w:val="24"/>
                <w:lang w:val="en-US" w:eastAsia="zh-CN"/>
                <w14:textFill>
                  <w14:solidFill>
                    <w14:schemeClr w14:val="tx1"/>
                  </w14:solidFill>
                </w14:textFill>
              </w:rPr>
            </w:pPr>
            <w:r>
              <w:rPr>
                <w:rFonts w:hint="eastAsia" w:ascii="Times New Roman" w:hAnsi="Times New Roman"/>
                <w:sz w:val="24"/>
                <w:szCs w:val="24"/>
                <w:lang w:val="en-US" w:eastAsia="zh-CN"/>
              </w:rPr>
              <w:t>0.0015</w:t>
            </w:r>
          </w:p>
        </w:tc>
        <w:tc>
          <w:tcPr>
            <w:tcW w:w="1762" w:type="dxa"/>
            <w:tcBorders>
              <w:top w:val="single" w:color="000000" w:sz="4" w:space="0"/>
            </w:tcBorders>
            <w:shd w:val="clear" w:color="auto" w:fill="auto"/>
            <w:vAlign w:val="center"/>
          </w:tcPr>
          <w:p w14:paraId="6B89899C">
            <w:pPr>
              <w:pStyle w:val="55"/>
              <w:bidi w:val="0"/>
              <w:rPr>
                <w:rFonts w:hint="eastAsia"/>
                <w:color w:val="000000" w:themeColor="text1"/>
                <w:sz w:val="24"/>
                <w:szCs w:val="24"/>
                <w:lang w:val="en-US" w:eastAsia="zh-CN"/>
                <w14:textFill>
                  <w14:solidFill>
                    <w14:schemeClr w14:val="tx1"/>
                  </w14:solidFill>
                </w14:textFill>
              </w:rPr>
            </w:pPr>
            <w:r>
              <w:rPr>
                <w:rFonts w:hint="eastAsia" w:ascii="Times New Roman" w:hAnsi="Times New Roman"/>
                <w:sz w:val="24"/>
                <w:szCs w:val="24"/>
                <w:lang w:val="en-US" w:eastAsia="zh-CN"/>
              </w:rPr>
              <w:t>0.007</w:t>
            </w:r>
          </w:p>
        </w:tc>
        <w:tc>
          <w:tcPr>
            <w:tcW w:w="1621" w:type="dxa"/>
            <w:tcBorders>
              <w:top w:val="single" w:color="000000" w:sz="4" w:space="0"/>
            </w:tcBorders>
            <w:shd w:val="clear" w:color="auto" w:fill="auto"/>
            <w:vAlign w:val="center"/>
          </w:tcPr>
          <w:p w14:paraId="0536CB47">
            <w:pPr>
              <w:pStyle w:val="55"/>
              <w:bidi w:val="0"/>
              <w:rPr>
                <w:rFonts w:hint="eastAsia"/>
                <w:color w:val="000000" w:themeColor="text1"/>
                <w:sz w:val="24"/>
                <w:szCs w:val="24"/>
                <w:lang w:val="en-US" w:eastAsia="zh-CN"/>
                <w14:textFill>
                  <w14:solidFill>
                    <w14:schemeClr w14:val="tx1"/>
                  </w14:solidFill>
                </w14:textFill>
              </w:rPr>
            </w:pPr>
            <w:r>
              <w:rPr>
                <w:rFonts w:hint="eastAsia" w:ascii="Times New Roman" w:hAnsi="Times New Roman"/>
                <w:sz w:val="24"/>
                <w:szCs w:val="24"/>
                <w:lang w:val="en-US" w:eastAsia="zh-CN"/>
              </w:rPr>
              <w:t>0.0002</w:t>
            </w:r>
          </w:p>
        </w:tc>
      </w:tr>
      <w:tr w14:paraId="0853C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408" w:type="pct"/>
            <w:vMerge w:val="restart"/>
            <w:vAlign w:val="center"/>
          </w:tcPr>
          <w:p w14:paraId="7FADB1DC">
            <w:pPr>
              <w:pStyle w:val="55"/>
              <w:rPr>
                <w:rFonts w:hint="eastAsia" w:eastAsia="宋体"/>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2</w:t>
            </w:r>
          </w:p>
        </w:tc>
        <w:tc>
          <w:tcPr>
            <w:tcW w:w="641" w:type="pct"/>
            <w:vMerge w:val="restart"/>
            <w:shd w:val="clear" w:color="auto" w:fill="auto"/>
            <w:vAlign w:val="center"/>
          </w:tcPr>
          <w:p w14:paraId="361CD77A">
            <w:pPr>
              <w:pStyle w:val="55"/>
              <w:bidi w:val="0"/>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DA002</w:t>
            </w:r>
          </w:p>
        </w:tc>
        <w:tc>
          <w:tcPr>
            <w:tcW w:w="1040" w:type="pct"/>
            <w:tcBorders>
              <w:bottom w:val="single" w:color="000000" w:sz="4" w:space="0"/>
            </w:tcBorders>
            <w:shd w:val="clear" w:color="auto" w:fill="auto"/>
            <w:vAlign w:val="center"/>
          </w:tcPr>
          <w:p w14:paraId="5D6CD580">
            <w:pPr>
              <w:pStyle w:val="55"/>
              <w:bidi w:val="0"/>
              <w:rPr>
                <w:color w:val="000000" w:themeColor="text1"/>
                <w:sz w:val="24"/>
                <w:szCs w:val="24"/>
                <w14:textFill>
                  <w14:solidFill>
                    <w14:schemeClr w14:val="tx1"/>
                  </w14:solidFill>
                </w14:textFill>
              </w:rPr>
            </w:pPr>
            <w:r>
              <w:rPr>
                <w:rFonts w:hint="eastAsia"/>
                <w:sz w:val="24"/>
                <w:szCs w:val="24"/>
                <w:lang w:val="en-US" w:eastAsia="zh-CN"/>
              </w:rPr>
              <w:t>颗粒物</w:t>
            </w:r>
          </w:p>
        </w:tc>
        <w:tc>
          <w:tcPr>
            <w:tcW w:w="1930" w:type="dxa"/>
            <w:tcBorders>
              <w:bottom w:val="single" w:color="000000" w:sz="4" w:space="0"/>
            </w:tcBorders>
            <w:shd w:val="clear" w:color="auto" w:fill="auto"/>
            <w:vAlign w:val="center"/>
          </w:tcPr>
          <w:p w14:paraId="36A3D62A">
            <w:pPr>
              <w:pStyle w:val="55"/>
              <w:bidi w:val="0"/>
              <w:rPr>
                <w:color w:val="000000" w:themeColor="text1"/>
                <w:sz w:val="24"/>
                <w:szCs w:val="24"/>
                <w14:textFill>
                  <w14:solidFill>
                    <w14:schemeClr w14:val="tx1"/>
                  </w14:solidFill>
                </w14:textFill>
              </w:rPr>
            </w:pPr>
            <w:r>
              <w:rPr>
                <w:rFonts w:hint="eastAsia" w:ascii="Times New Roman" w:hAnsi="Times New Roman"/>
                <w:sz w:val="24"/>
                <w:szCs w:val="24"/>
                <w:lang w:val="en-US" w:eastAsia="zh-CN"/>
              </w:rPr>
              <w:t>1.357</w:t>
            </w:r>
          </w:p>
        </w:tc>
        <w:tc>
          <w:tcPr>
            <w:tcW w:w="1762" w:type="dxa"/>
            <w:tcBorders>
              <w:bottom w:val="single" w:color="000000" w:sz="4" w:space="0"/>
            </w:tcBorders>
            <w:shd w:val="clear" w:color="auto" w:fill="auto"/>
            <w:vAlign w:val="center"/>
          </w:tcPr>
          <w:p w14:paraId="5A0DF2C6">
            <w:pPr>
              <w:pStyle w:val="55"/>
              <w:bidi w:val="0"/>
              <w:rPr>
                <w:color w:val="000000" w:themeColor="text1"/>
                <w:sz w:val="24"/>
                <w:szCs w:val="24"/>
                <w14:textFill>
                  <w14:solidFill>
                    <w14:schemeClr w14:val="tx1"/>
                  </w14:solidFill>
                </w14:textFill>
              </w:rPr>
            </w:pPr>
            <w:r>
              <w:rPr>
                <w:rFonts w:hint="eastAsia" w:ascii="Times New Roman" w:hAnsi="Times New Roman"/>
                <w:sz w:val="24"/>
                <w:szCs w:val="24"/>
                <w:lang w:val="en-US" w:eastAsia="zh-CN"/>
              </w:rPr>
              <w:t>6.284</w:t>
            </w:r>
          </w:p>
        </w:tc>
        <w:tc>
          <w:tcPr>
            <w:tcW w:w="1621" w:type="dxa"/>
            <w:tcBorders>
              <w:bottom w:val="single" w:color="000000" w:sz="4" w:space="0"/>
            </w:tcBorders>
            <w:shd w:val="clear" w:color="auto" w:fill="auto"/>
            <w:vAlign w:val="center"/>
          </w:tcPr>
          <w:p w14:paraId="6D87067E">
            <w:pPr>
              <w:pStyle w:val="55"/>
              <w:bidi w:val="0"/>
              <w:rPr>
                <w:color w:val="000000" w:themeColor="text1"/>
                <w:sz w:val="24"/>
                <w:szCs w:val="24"/>
                <w14:textFill>
                  <w14:solidFill>
                    <w14:schemeClr w14:val="tx1"/>
                  </w14:solidFill>
                </w14:textFill>
              </w:rPr>
            </w:pPr>
            <w:r>
              <w:rPr>
                <w:rFonts w:hint="eastAsia" w:ascii="Times New Roman" w:hAnsi="Times New Roman"/>
                <w:sz w:val="24"/>
                <w:szCs w:val="24"/>
                <w:lang w:val="en-US" w:eastAsia="zh-CN"/>
              </w:rPr>
              <w:t>0.189</w:t>
            </w:r>
          </w:p>
        </w:tc>
      </w:tr>
      <w:tr w14:paraId="20EA8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408" w:type="pct"/>
            <w:vMerge w:val="continue"/>
            <w:vAlign w:val="center"/>
          </w:tcPr>
          <w:p w14:paraId="4829E21B">
            <w:pPr>
              <w:pStyle w:val="55"/>
              <w:rPr>
                <w:rFonts w:hint="eastAsia"/>
                <w:color w:val="000000" w:themeColor="text1"/>
                <w:sz w:val="24"/>
                <w:szCs w:val="24"/>
                <w:lang w:val="en-US" w:eastAsia="zh-CN"/>
                <w14:textFill>
                  <w14:solidFill>
                    <w14:schemeClr w14:val="tx1"/>
                  </w14:solidFill>
                </w14:textFill>
              </w:rPr>
            </w:pPr>
          </w:p>
        </w:tc>
        <w:tc>
          <w:tcPr>
            <w:tcW w:w="641" w:type="pct"/>
            <w:vMerge w:val="continue"/>
            <w:shd w:val="clear" w:color="auto" w:fill="auto"/>
            <w:vAlign w:val="center"/>
          </w:tcPr>
          <w:p w14:paraId="5B84FDBD">
            <w:pPr>
              <w:pStyle w:val="55"/>
              <w:bidi w:val="0"/>
              <w:rPr>
                <w:rFonts w:hint="default"/>
                <w:color w:val="000000" w:themeColor="text1"/>
                <w:sz w:val="24"/>
                <w:szCs w:val="24"/>
                <w:lang w:val="en-US" w:eastAsia="zh-CN"/>
                <w14:textFill>
                  <w14:solidFill>
                    <w14:schemeClr w14:val="tx1"/>
                  </w14:solidFill>
                </w14:textFill>
              </w:rPr>
            </w:pPr>
          </w:p>
        </w:tc>
        <w:tc>
          <w:tcPr>
            <w:tcW w:w="1040" w:type="pct"/>
            <w:tcBorders>
              <w:top w:val="single" w:color="000000" w:sz="4" w:space="0"/>
              <w:bottom w:val="single" w:color="000000" w:sz="4" w:space="0"/>
            </w:tcBorders>
            <w:shd w:val="clear" w:color="auto" w:fill="auto"/>
            <w:vAlign w:val="center"/>
          </w:tcPr>
          <w:p w14:paraId="4C41C58C">
            <w:pPr>
              <w:pStyle w:val="55"/>
              <w:bidi w:val="0"/>
              <w:rPr>
                <w:rFonts w:hint="eastAsia"/>
                <w:color w:val="000000" w:themeColor="text1"/>
                <w:sz w:val="24"/>
                <w:szCs w:val="24"/>
                <w:lang w:val="en-US" w:eastAsia="zh-CN"/>
                <w14:textFill>
                  <w14:solidFill>
                    <w14:schemeClr w14:val="tx1"/>
                  </w14:solidFill>
                </w14:textFill>
              </w:rPr>
            </w:pPr>
            <w:r>
              <w:rPr>
                <w:rFonts w:hint="default"/>
                <w:b w:val="0"/>
                <w:bCs w:val="0"/>
                <w:color w:val="000000" w:themeColor="text1"/>
                <w:sz w:val="24"/>
                <w:szCs w:val="24"/>
                <w:lang w:val="en-US" w:eastAsia="zh-CN"/>
                <w14:textFill>
                  <w14:solidFill>
                    <w14:schemeClr w14:val="tx1"/>
                  </w14:solidFill>
                </w14:textFill>
              </w:rPr>
              <w:t>非甲烷总烃</w:t>
            </w:r>
          </w:p>
        </w:tc>
        <w:tc>
          <w:tcPr>
            <w:tcW w:w="1930" w:type="dxa"/>
            <w:tcBorders>
              <w:top w:val="single" w:color="000000" w:sz="4" w:space="0"/>
              <w:bottom w:val="single" w:color="000000" w:sz="4" w:space="0"/>
            </w:tcBorders>
            <w:shd w:val="clear" w:color="auto" w:fill="auto"/>
            <w:vAlign w:val="center"/>
          </w:tcPr>
          <w:p w14:paraId="4AD5C992">
            <w:pPr>
              <w:pStyle w:val="55"/>
              <w:bidi w:val="0"/>
              <w:rPr>
                <w:rFonts w:hint="eastAsia"/>
                <w:color w:val="000000" w:themeColor="text1"/>
                <w:sz w:val="24"/>
                <w:szCs w:val="24"/>
                <w:lang w:val="en-US" w:eastAsia="zh-CN"/>
                <w14:textFill>
                  <w14:solidFill>
                    <w14:schemeClr w14:val="tx1"/>
                  </w14:solidFill>
                </w14:textFill>
              </w:rPr>
            </w:pPr>
            <w:r>
              <w:rPr>
                <w:rFonts w:hint="eastAsia" w:ascii="Times New Roman" w:hAnsi="Times New Roman"/>
                <w:sz w:val="24"/>
                <w:szCs w:val="24"/>
                <w:lang w:val="en-US" w:eastAsia="zh-CN"/>
              </w:rPr>
              <w:t>2.277</w:t>
            </w:r>
          </w:p>
        </w:tc>
        <w:tc>
          <w:tcPr>
            <w:tcW w:w="1762" w:type="dxa"/>
            <w:tcBorders>
              <w:top w:val="single" w:color="000000" w:sz="4" w:space="0"/>
              <w:bottom w:val="single" w:color="000000" w:sz="4" w:space="0"/>
            </w:tcBorders>
            <w:shd w:val="clear" w:color="auto" w:fill="auto"/>
            <w:vAlign w:val="center"/>
          </w:tcPr>
          <w:p w14:paraId="6F13C229">
            <w:pPr>
              <w:pStyle w:val="55"/>
              <w:bidi w:val="0"/>
              <w:rPr>
                <w:rFonts w:hint="eastAsia"/>
                <w:color w:val="000000" w:themeColor="text1"/>
                <w:sz w:val="24"/>
                <w:szCs w:val="24"/>
                <w:lang w:val="en-US" w:eastAsia="zh-CN"/>
                <w14:textFill>
                  <w14:solidFill>
                    <w14:schemeClr w14:val="tx1"/>
                  </w14:solidFill>
                </w14:textFill>
              </w:rPr>
            </w:pPr>
            <w:r>
              <w:rPr>
                <w:rFonts w:hint="eastAsia" w:ascii="Times New Roman" w:hAnsi="Times New Roman"/>
                <w:sz w:val="24"/>
                <w:szCs w:val="24"/>
                <w:lang w:val="en-US" w:eastAsia="zh-CN"/>
              </w:rPr>
              <w:t>10.5</w:t>
            </w:r>
          </w:p>
        </w:tc>
        <w:tc>
          <w:tcPr>
            <w:tcW w:w="1621" w:type="dxa"/>
            <w:tcBorders>
              <w:top w:val="single" w:color="000000" w:sz="4" w:space="0"/>
              <w:bottom w:val="single" w:color="000000" w:sz="4" w:space="0"/>
            </w:tcBorders>
            <w:shd w:val="clear" w:color="auto" w:fill="auto"/>
            <w:vAlign w:val="center"/>
          </w:tcPr>
          <w:p w14:paraId="490A1924">
            <w:pPr>
              <w:pStyle w:val="55"/>
              <w:bidi w:val="0"/>
              <w:rPr>
                <w:rFonts w:hint="eastAsia"/>
                <w:color w:val="000000" w:themeColor="text1"/>
                <w:sz w:val="24"/>
                <w:szCs w:val="24"/>
                <w:lang w:val="en-US" w:eastAsia="zh-CN"/>
                <w14:textFill>
                  <w14:solidFill>
                    <w14:schemeClr w14:val="tx1"/>
                  </w14:solidFill>
                </w14:textFill>
              </w:rPr>
            </w:pPr>
            <w:r>
              <w:rPr>
                <w:rFonts w:hint="eastAsia" w:ascii="Times New Roman" w:hAnsi="Times New Roman"/>
                <w:sz w:val="24"/>
                <w:szCs w:val="24"/>
                <w:lang w:val="en-US" w:eastAsia="zh-CN"/>
              </w:rPr>
              <w:t>0.316</w:t>
            </w:r>
          </w:p>
        </w:tc>
      </w:tr>
      <w:tr w14:paraId="1C4C7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408" w:type="pct"/>
            <w:vMerge w:val="continue"/>
            <w:vAlign w:val="center"/>
          </w:tcPr>
          <w:p w14:paraId="141B1675">
            <w:pPr>
              <w:pStyle w:val="55"/>
              <w:rPr>
                <w:rFonts w:hint="eastAsia"/>
                <w:color w:val="000000" w:themeColor="text1"/>
                <w:sz w:val="24"/>
                <w:szCs w:val="24"/>
                <w:lang w:val="en-US" w:eastAsia="zh-CN"/>
                <w14:textFill>
                  <w14:solidFill>
                    <w14:schemeClr w14:val="tx1"/>
                  </w14:solidFill>
                </w14:textFill>
              </w:rPr>
            </w:pPr>
          </w:p>
        </w:tc>
        <w:tc>
          <w:tcPr>
            <w:tcW w:w="641" w:type="pct"/>
            <w:vMerge w:val="continue"/>
            <w:shd w:val="clear" w:color="auto" w:fill="auto"/>
            <w:vAlign w:val="center"/>
          </w:tcPr>
          <w:p w14:paraId="0C60A34A">
            <w:pPr>
              <w:pStyle w:val="55"/>
              <w:bidi w:val="0"/>
              <w:rPr>
                <w:rFonts w:hint="default"/>
                <w:color w:val="000000" w:themeColor="text1"/>
                <w:sz w:val="24"/>
                <w:szCs w:val="24"/>
                <w:lang w:val="en-US" w:eastAsia="zh-CN"/>
                <w14:textFill>
                  <w14:solidFill>
                    <w14:schemeClr w14:val="tx1"/>
                  </w14:solidFill>
                </w14:textFill>
              </w:rPr>
            </w:pPr>
          </w:p>
        </w:tc>
        <w:tc>
          <w:tcPr>
            <w:tcW w:w="1040" w:type="pct"/>
            <w:tcBorders>
              <w:top w:val="single" w:color="000000" w:sz="4" w:space="0"/>
            </w:tcBorders>
            <w:shd w:val="clear" w:color="auto" w:fill="auto"/>
            <w:vAlign w:val="center"/>
          </w:tcPr>
          <w:p w14:paraId="733B3404">
            <w:pPr>
              <w:pStyle w:val="55"/>
              <w:bidi w:val="0"/>
              <w:rPr>
                <w:rFonts w:hint="eastAsia"/>
                <w:color w:val="000000" w:themeColor="text1"/>
                <w:sz w:val="24"/>
                <w:szCs w:val="24"/>
                <w:lang w:val="en-US" w:eastAsia="zh-CN"/>
                <w14:textFill>
                  <w14:solidFill>
                    <w14:schemeClr w14:val="tx1"/>
                  </w14:solidFill>
                </w14:textFill>
              </w:rPr>
            </w:pPr>
            <w:r>
              <w:rPr>
                <w:rFonts w:hint="eastAsia"/>
                <w:b w:val="0"/>
                <w:bCs w:val="0"/>
                <w:color w:val="000000" w:themeColor="text1"/>
                <w:sz w:val="24"/>
                <w:szCs w:val="24"/>
                <w:lang w:val="en-US" w:eastAsia="zh-CN"/>
                <w14:textFill>
                  <w14:solidFill>
                    <w14:schemeClr w14:val="tx1"/>
                  </w14:solidFill>
                </w14:textFill>
              </w:rPr>
              <w:t>HCl</w:t>
            </w:r>
          </w:p>
        </w:tc>
        <w:tc>
          <w:tcPr>
            <w:tcW w:w="1930" w:type="dxa"/>
            <w:tcBorders>
              <w:top w:val="single" w:color="000000" w:sz="4" w:space="0"/>
            </w:tcBorders>
            <w:shd w:val="clear" w:color="auto" w:fill="auto"/>
            <w:vAlign w:val="center"/>
          </w:tcPr>
          <w:p w14:paraId="542F91AB">
            <w:pPr>
              <w:pStyle w:val="55"/>
              <w:bidi w:val="0"/>
              <w:rPr>
                <w:rFonts w:hint="eastAsia"/>
                <w:color w:val="000000" w:themeColor="text1"/>
                <w:sz w:val="24"/>
                <w:szCs w:val="24"/>
                <w:lang w:val="en-US" w:eastAsia="zh-CN"/>
                <w14:textFill>
                  <w14:solidFill>
                    <w14:schemeClr w14:val="tx1"/>
                  </w14:solidFill>
                </w14:textFill>
              </w:rPr>
            </w:pPr>
            <w:r>
              <w:rPr>
                <w:rFonts w:hint="eastAsia" w:ascii="Times New Roman" w:hAnsi="Times New Roman"/>
                <w:sz w:val="24"/>
                <w:szCs w:val="24"/>
                <w:lang w:val="en-US" w:eastAsia="zh-CN"/>
              </w:rPr>
              <w:t>0.0015</w:t>
            </w:r>
          </w:p>
        </w:tc>
        <w:tc>
          <w:tcPr>
            <w:tcW w:w="1762" w:type="dxa"/>
            <w:tcBorders>
              <w:top w:val="single" w:color="000000" w:sz="4" w:space="0"/>
            </w:tcBorders>
            <w:shd w:val="clear" w:color="auto" w:fill="auto"/>
            <w:vAlign w:val="center"/>
          </w:tcPr>
          <w:p w14:paraId="7A4AC74E">
            <w:pPr>
              <w:pStyle w:val="55"/>
              <w:bidi w:val="0"/>
              <w:rPr>
                <w:rFonts w:hint="eastAsia"/>
                <w:color w:val="000000" w:themeColor="text1"/>
                <w:sz w:val="24"/>
                <w:szCs w:val="24"/>
                <w:lang w:val="en-US" w:eastAsia="zh-CN"/>
                <w14:textFill>
                  <w14:solidFill>
                    <w14:schemeClr w14:val="tx1"/>
                  </w14:solidFill>
                </w14:textFill>
              </w:rPr>
            </w:pPr>
            <w:r>
              <w:rPr>
                <w:rFonts w:hint="eastAsia" w:ascii="Times New Roman" w:hAnsi="Times New Roman"/>
                <w:sz w:val="24"/>
                <w:szCs w:val="24"/>
                <w:lang w:val="en-US" w:eastAsia="zh-CN"/>
              </w:rPr>
              <w:t>0.007</w:t>
            </w:r>
          </w:p>
        </w:tc>
        <w:tc>
          <w:tcPr>
            <w:tcW w:w="1621" w:type="dxa"/>
            <w:tcBorders>
              <w:top w:val="single" w:color="000000" w:sz="4" w:space="0"/>
            </w:tcBorders>
            <w:shd w:val="clear" w:color="auto" w:fill="auto"/>
            <w:vAlign w:val="center"/>
          </w:tcPr>
          <w:p w14:paraId="457BCAC8">
            <w:pPr>
              <w:pStyle w:val="55"/>
              <w:bidi w:val="0"/>
              <w:rPr>
                <w:rFonts w:hint="eastAsia"/>
                <w:color w:val="000000" w:themeColor="text1"/>
                <w:sz w:val="24"/>
                <w:szCs w:val="24"/>
                <w:lang w:val="en-US" w:eastAsia="zh-CN"/>
                <w14:textFill>
                  <w14:solidFill>
                    <w14:schemeClr w14:val="tx1"/>
                  </w14:solidFill>
                </w14:textFill>
              </w:rPr>
            </w:pPr>
            <w:r>
              <w:rPr>
                <w:rFonts w:hint="eastAsia" w:ascii="Times New Roman" w:hAnsi="Times New Roman"/>
                <w:sz w:val="24"/>
                <w:szCs w:val="24"/>
                <w:lang w:val="en-US" w:eastAsia="zh-CN"/>
              </w:rPr>
              <w:t>0.0002</w:t>
            </w:r>
          </w:p>
        </w:tc>
      </w:tr>
      <w:tr w14:paraId="1031D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408" w:type="pct"/>
            <w:vMerge w:val="restart"/>
            <w:vAlign w:val="center"/>
          </w:tcPr>
          <w:p w14:paraId="34C42E0F">
            <w:pPr>
              <w:pStyle w:val="55"/>
              <w:rPr>
                <w:rFonts w:hint="eastAsia" w:eastAsia="宋体"/>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3</w:t>
            </w:r>
          </w:p>
        </w:tc>
        <w:tc>
          <w:tcPr>
            <w:tcW w:w="641" w:type="pct"/>
            <w:vMerge w:val="restart"/>
            <w:shd w:val="clear" w:color="auto" w:fill="auto"/>
            <w:vAlign w:val="center"/>
          </w:tcPr>
          <w:p w14:paraId="741F26EA">
            <w:pPr>
              <w:pStyle w:val="55"/>
              <w:bidi w:val="0"/>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DA003</w:t>
            </w:r>
          </w:p>
        </w:tc>
        <w:tc>
          <w:tcPr>
            <w:tcW w:w="1040" w:type="pct"/>
            <w:shd w:val="clear" w:color="auto" w:fill="auto"/>
            <w:vAlign w:val="center"/>
          </w:tcPr>
          <w:p w14:paraId="32E5EDD7">
            <w:pPr>
              <w:pStyle w:val="55"/>
              <w:bidi w:val="0"/>
              <w:rPr>
                <w:color w:val="000000" w:themeColor="text1"/>
                <w:sz w:val="24"/>
                <w:szCs w:val="24"/>
                <w14:textFill>
                  <w14:solidFill>
                    <w14:schemeClr w14:val="tx1"/>
                  </w14:solidFill>
                </w14:textFill>
              </w:rPr>
            </w:pPr>
            <w:r>
              <w:rPr>
                <w:rFonts w:hint="eastAsia"/>
                <w:sz w:val="24"/>
                <w:szCs w:val="24"/>
                <w:lang w:val="en-US" w:eastAsia="zh-CN"/>
              </w:rPr>
              <w:t>颗粒物</w:t>
            </w:r>
          </w:p>
        </w:tc>
        <w:tc>
          <w:tcPr>
            <w:tcW w:w="1930" w:type="dxa"/>
            <w:shd w:val="clear" w:color="auto" w:fill="auto"/>
            <w:vAlign w:val="center"/>
          </w:tcPr>
          <w:p w14:paraId="00A1FC79">
            <w:pPr>
              <w:pStyle w:val="55"/>
              <w:bidi w:val="0"/>
              <w:rPr>
                <w:color w:val="000000" w:themeColor="text1"/>
                <w:sz w:val="24"/>
                <w:szCs w:val="24"/>
                <w14:textFill>
                  <w14:solidFill>
                    <w14:schemeClr w14:val="tx1"/>
                  </w14:solidFill>
                </w14:textFill>
              </w:rPr>
            </w:pPr>
            <w:r>
              <w:rPr>
                <w:rFonts w:hint="eastAsia"/>
                <w:sz w:val="24"/>
                <w:szCs w:val="24"/>
                <w:lang w:val="en-US" w:eastAsia="zh-CN"/>
              </w:rPr>
              <w:t>0.679</w:t>
            </w:r>
          </w:p>
        </w:tc>
        <w:tc>
          <w:tcPr>
            <w:tcW w:w="1762" w:type="dxa"/>
            <w:shd w:val="clear" w:color="auto" w:fill="auto"/>
            <w:vAlign w:val="center"/>
          </w:tcPr>
          <w:p w14:paraId="532A77B0">
            <w:pPr>
              <w:pStyle w:val="55"/>
              <w:bidi w:val="0"/>
              <w:rPr>
                <w:color w:val="000000" w:themeColor="text1"/>
                <w:sz w:val="24"/>
                <w:szCs w:val="24"/>
                <w14:textFill>
                  <w14:solidFill>
                    <w14:schemeClr w14:val="tx1"/>
                  </w14:solidFill>
                </w14:textFill>
              </w:rPr>
            </w:pPr>
            <w:r>
              <w:rPr>
                <w:rFonts w:hint="eastAsia"/>
                <w:sz w:val="24"/>
                <w:szCs w:val="24"/>
                <w:lang w:val="en-US" w:eastAsia="zh-CN"/>
              </w:rPr>
              <w:t>3.142</w:t>
            </w:r>
          </w:p>
        </w:tc>
        <w:tc>
          <w:tcPr>
            <w:tcW w:w="1621" w:type="dxa"/>
            <w:shd w:val="clear" w:color="auto" w:fill="auto"/>
            <w:vAlign w:val="center"/>
          </w:tcPr>
          <w:p w14:paraId="4E496CE4">
            <w:pPr>
              <w:pStyle w:val="55"/>
              <w:bidi w:val="0"/>
              <w:rPr>
                <w:color w:val="000000" w:themeColor="text1"/>
                <w:sz w:val="24"/>
                <w:szCs w:val="24"/>
                <w14:textFill>
                  <w14:solidFill>
                    <w14:schemeClr w14:val="tx1"/>
                  </w14:solidFill>
                </w14:textFill>
              </w:rPr>
            </w:pPr>
            <w:r>
              <w:rPr>
                <w:rFonts w:hint="eastAsia"/>
                <w:sz w:val="24"/>
                <w:szCs w:val="24"/>
                <w:lang w:val="en-US" w:eastAsia="zh-CN"/>
              </w:rPr>
              <w:t>0.094</w:t>
            </w:r>
          </w:p>
        </w:tc>
      </w:tr>
      <w:tr w14:paraId="40909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408" w:type="pct"/>
            <w:vMerge w:val="continue"/>
            <w:vAlign w:val="center"/>
          </w:tcPr>
          <w:p w14:paraId="3423C0E2">
            <w:pPr>
              <w:pStyle w:val="55"/>
              <w:rPr>
                <w:rFonts w:hint="eastAsia"/>
                <w:color w:val="000000" w:themeColor="text1"/>
                <w:sz w:val="24"/>
                <w:szCs w:val="24"/>
                <w:lang w:val="en-US" w:eastAsia="zh-CN"/>
                <w14:textFill>
                  <w14:solidFill>
                    <w14:schemeClr w14:val="tx1"/>
                  </w14:solidFill>
                </w14:textFill>
              </w:rPr>
            </w:pPr>
          </w:p>
        </w:tc>
        <w:tc>
          <w:tcPr>
            <w:tcW w:w="641" w:type="pct"/>
            <w:vMerge w:val="continue"/>
            <w:shd w:val="clear" w:color="auto" w:fill="auto"/>
            <w:vAlign w:val="center"/>
          </w:tcPr>
          <w:p w14:paraId="42F74665">
            <w:pPr>
              <w:pStyle w:val="55"/>
              <w:bidi w:val="0"/>
              <w:rPr>
                <w:rFonts w:hint="default"/>
                <w:color w:val="000000" w:themeColor="text1"/>
                <w:sz w:val="24"/>
                <w:szCs w:val="24"/>
                <w:lang w:val="en-US" w:eastAsia="zh-CN"/>
                <w14:textFill>
                  <w14:solidFill>
                    <w14:schemeClr w14:val="tx1"/>
                  </w14:solidFill>
                </w14:textFill>
              </w:rPr>
            </w:pPr>
          </w:p>
        </w:tc>
        <w:tc>
          <w:tcPr>
            <w:tcW w:w="1040" w:type="pct"/>
            <w:shd w:val="clear" w:color="auto" w:fill="auto"/>
            <w:vAlign w:val="center"/>
          </w:tcPr>
          <w:p w14:paraId="583BAA12">
            <w:pPr>
              <w:pStyle w:val="55"/>
              <w:bidi w:val="0"/>
              <w:rPr>
                <w:rFonts w:hint="default" w:eastAsia="宋体"/>
                <w:color w:val="000000" w:themeColor="text1"/>
                <w:sz w:val="24"/>
                <w:szCs w:val="24"/>
                <w:lang w:val="en-US" w:eastAsia="zh-CN"/>
                <w14:textFill>
                  <w14:solidFill>
                    <w14:schemeClr w14:val="tx1"/>
                  </w14:solidFill>
                </w14:textFill>
              </w:rPr>
            </w:pPr>
            <w:r>
              <w:rPr>
                <w:rFonts w:hint="default"/>
                <w:b w:val="0"/>
                <w:bCs w:val="0"/>
                <w:color w:val="000000" w:themeColor="text1"/>
                <w:sz w:val="24"/>
                <w:szCs w:val="24"/>
                <w:lang w:val="en-US" w:eastAsia="zh-CN"/>
                <w14:textFill>
                  <w14:solidFill>
                    <w14:schemeClr w14:val="tx1"/>
                  </w14:solidFill>
                </w14:textFill>
              </w:rPr>
              <w:t>非甲烷总烃</w:t>
            </w:r>
          </w:p>
        </w:tc>
        <w:tc>
          <w:tcPr>
            <w:tcW w:w="1930" w:type="dxa"/>
            <w:shd w:val="clear" w:color="auto" w:fill="auto"/>
            <w:vAlign w:val="center"/>
          </w:tcPr>
          <w:p w14:paraId="6AF69802">
            <w:pPr>
              <w:pStyle w:val="55"/>
              <w:bidi w:val="0"/>
              <w:rPr>
                <w:color w:val="000000" w:themeColor="text1"/>
                <w:sz w:val="24"/>
                <w:szCs w:val="24"/>
                <w14:textFill>
                  <w14:solidFill>
                    <w14:schemeClr w14:val="tx1"/>
                  </w14:solidFill>
                </w14:textFill>
              </w:rPr>
            </w:pPr>
            <w:r>
              <w:rPr>
                <w:rFonts w:hint="eastAsia" w:ascii="Times New Roman" w:hAnsi="Times New Roman"/>
                <w:sz w:val="24"/>
                <w:szCs w:val="24"/>
                <w:lang w:val="en-US" w:eastAsia="zh-CN"/>
              </w:rPr>
              <w:t>1.139</w:t>
            </w:r>
          </w:p>
        </w:tc>
        <w:tc>
          <w:tcPr>
            <w:tcW w:w="1762" w:type="dxa"/>
            <w:shd w:val="clear" w:color="auto" w:fill="auto"/>
            <w:vAlign w:val="center"/>
          </w:tcPr>
          <w:p w14:paraId="4B0F535D">
            <w:pPr>
              <w:pStyle w:val="55"/>
              <w:bidi w:val="0"/>
              <w:rPr>
                <w:color w:val="000000" w:themeColor="text1"/>
                <w:sz w:val="24"/>
                <w:szCs w:val="24"/>
                <w14:textFill>
                  <w14:solidFill>
                    <w14:schemeClr w14:val="tx1"/>
                  </w14:solidFill>
                </w14:textFill>
              </w:rPr>
            </w:pPr>
            <w:r>
              <w:rPr>
                <w:rFonts w:hint="eastAsia" w:ascii="Times New Roman" w:hAnsi="Times New Roman"/>
                <w:sz w:val="24"/>
                <w:szCs w:val="24"/>
                <w:lang w:val="en-US" w:eastAsia="zh-CN"/>
              </w:rPr>
              <w:t>5.271</w:t>
            </w:r>
          </w:p>
        </w:tc>
        <w:tc>
          <w:tcPr>
            <w:tcW w:w="1621" w:type="dxa"/>
            <w:shd w:val="clear" w:color="auto" w:fill="auto"/>
            <w:vAlign w:val="center"/>
          </w:tcPr>
          <w:p w14:paraId="7634488F">
            <w:pPr>
              <w:pStyle w:val="55"/>
              <w:bidi w:val="0"/>
              <w:rPr>
                <w:color w:val="000000" w:themeColor="text1"/>
                <w:sz w:val="24"/>
                <w:szCs w:val="24"/>
                <w14:textFill>
                  <w14:solidFill>
                    <w14:schemeClr w14:val="tx1"/>
                  </w14:solidFill>
                </w14:textFill>
              </w:rPr>
            </w:pPr>
            <w:r>
              <w:rPr>
                <w:rFonts w:hint="eastAsia" w:ascii="Times New Roman" w:hAnsi="Times New Roman"/>
                <w:sz w:val="24"/>
                <w:szCs w:val="24"/>
                <w:lang w:val="en-US" w:eastAsia="zh-CN"/>
              </w:rPr>
              <w:t>0.158</w:t>
            </w:r>
          </w:p>
        </w:tc>
      </w:tr>
      <w:tr w14:paraId="699E7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408" w:type="pct"/>
            <w:vMerge w:val="continue"/>
            <w:vAlign w:val="center"/>
          </w:tcPr>
          <w:p w14:paraId="5421FAF5">
            <w:pPr>
              <w:pStyle w:val="55"/>
              <w:rPr>
                <w:rFonts w:hint="eastAsia"/>
                <w:color w:val="000000" w:themeColor="text1"/>
                <w:sz w:val="24"/>
                <w:szCs w:val="24"/>
                <w:lang w:val="en-US" w:eastAsia="zh-CN"/>
                <w14:textFill>
                  <w14:solidFill>
                    <w14:schemeClr w14:val="tx1"/>
                  </w14:solidFill>
                </w14:textFill>
              </w:rPr>
            </w:pPr>
          </w:p>
        </w:tc>
        <w:tc>
          <w:tcPr>
            <w:tcW w:w="641" w:type="pct"/>
            <w:vMerge w:val="continue"/>
            <w:shd w:val="clear" w:color="auto" w:fill="auto"/>
            <w:vAlign w:val="center"/>
          </w:tcPr>
          <w:p w14:paraId="32669663">
            <w:pPr>
              <w:pStyle w:val="55"/>
              <w:bidi w:val="0"/>
              <w:rPr>
                <w:rFonts w:hint="default"/>
                <w:color w:val="000000" w:themeColor="text1"/>
                <w:sz w:val="24"/>
                <w:szCs w:val="24"/>
                <w:lang w:val="en-US" w:eastAsia="zh-CN"/>
                <w14:textFill>
                  <w14:solidFill>
                    <w14:schemeClr w14:val="tx1"/>
                  </w14:solidFill>
                </w14:textFill>
              </w:rPr>
            </w:pPr>
          </w:p>
        </w:tc>
        <w:tc>
          <w:tcPr>
            <w:tcW w:w="1040" w:type="pct"/>
            <w:shd w:val="clear" w:color="auto" w:fill="auto"/>
            <w:vAlign w:val="center"/>
          </w:tcPr>
          <w:p w14:paraId="2A23EE8D">
            <w:pPr>
              <w:pStyle w:val="55"/>
              <w:bidi w:val="0"/>
              <w:rPr>
                <w:rFonts w:hint="eastAsia" w:eastAsia="宋体"/>
                <w:color w:val="000000" w:themeColor="text1"/>
                <w:sz w:val="24"/>
                <w:szCs w:val="24"/>
                <w:lang w:val="en-US" w:eastAsia="zh-CN"/>
                <w14:textFill>
                  <w14:solidFill>
                    <w14:schemeClr w14:val="tx1"/>
                  </w14:solidFill>
                </w14:textFill>
              </w:rPr>
            </w:pPr>
            <w:r>
              <w:rPr>
                <w:rFonts w:hint="eastAsia"/>
                <w:b w:val="0"/>
                <w:bCs w:val="0"/>
                <w:color w:val="000000" w:themeColor="text1"/>
                <w:sz w:val="24"/>
                <w:szCs w:val="24"/>
                <w:lang w:val="en-US" w:eastAsia="zh-CN"/>
                <w14:textFill>
                  <w14:solidFill>
                    <w14:schemeClr w14:val="tx1"/>
                  </w14:solidFill>
                </w14:textFill>
              </w:rPr>
              <w:t>HCl</w:t>
            </w:r>
          </w:p>
        </w:tc>
        <w:tc>
          <w:tcPr>
            <w:tcW w:w="1930" w:type="dxa"/>
            <w:shd w:val="clear" w:color="auto" w:fill="auto"/>
            <w:vAlign w:val="center"/>
          </w:tcPr>
          <w:p w14:paraId="4DF7C229">
            <w:pPr>
              <w:pStyle w:val="55"/>
              <w:bidi w:val="0"/>
              <w:rPr>
                <w:color w:val="000000" w:themeColor="text1"/>
                <w:sz w:val="24"/>
                <w:szCs w:val="24"/>
                <w14:textFill>
                  <w14:solidFill>
                    <w14:schemeClr w14:val="tx1"/>
                  </w14:solidFill>
                </w14:textFill>
              </w:rPr>
            </w:pPr>
            <w:r>
              <w:rPr>
                <w:rFonts w:hint="eastAsia" w:ascii="Times New Roman" w:hAnsi="Times New Roman"/>
                <w:sz w:val="24"/>
                <w:szCs w:val="24"/>
                <w:lang w:val="en-US" w:eastAsia="zh-CN"/>
              </w:rPr>
              <w:t>0.0007</w:t>
            </w:r>
          </w:p>
        </w:tc>
        <w:tc>
          <w:tcPr>
            <w:tcW w:w="1762" w:type="dxa"/>
            <w:shd w:val="clear" w:color="auto" w:fill="auto"/>
            <w:vAlign w:val="center"/>
          </w:tcPr>
          <w:p w14:paraId="716C141D">
            <w:pPr>
              <w:pStyle w:val="55"/>
              <w:bidi w:val="0"/>
              <w:rPr>
                <w:color w:val="000000" w:themeColor="text1"/>
                <w:sz w:val="24"/>
                <w:szCs w:val="24"/>
                <w14:textFill>
                  <w14:solidFill>
                    <w14:schemeClr w14:val="tx1"/>
                  </w14:solidFill>
                </w14:textFill>
              </w:rPr>
            </w:pPr>
            <w:r>
              <w:rPr>
                <w:rFonts w:hint="eastAsia" w:ascii="Times New Roman" w:hAnsi="Times New Roman"/>
                <w:sz w:val="24"/>
                <w:szCs w:val="24"/>
                <w:lang w:val="en-US" w:eastAsia="zh-CN"/>
              </w:rPr>
              <w:t>0.0034</w:t>
            </w:r>
          </w:p>
        </w:tc>
        <w:tc>
          <w:tcPr>
            <w:tcW w:w="1621" w:type="dxa"/>
            <w:shd w:val="clear" w:color="auto" w:fill="auto"/>
            <w:vAlign w:val="center"/>
          </w:tcPr>
          <w:p w14:paraId="5943D8C3">
            <w:pPr>
              <w:pStyle w:val="55"/>
              <w:bidi w:val="0"/>
              <w:rPr>
                <w:color w:val="000000" w:themeColor="text1"/>
                <w:sz w:val="24"/>
                <w:szCs w:val="24"/>
                <w14:textFill>
                  <w14:solidFill>
                    <w14:schemeClr w14:val="tx1"/>
                  </w14:solidFill>
                </w14:textFill>
              </w:rPr>
            </w:pPr>
            <w:r>
              <w:rPr>
                <w:rFonts w:hint="eastAsia" w:ascii="Times New Roman" w:hAnsi="Times New Roman"/>
                <w:sz w:val="24"/>
                <w:szCs w:val="24"/>
                <w:lang w:val="en-US" w:eastAsia="zh-CN"/>
              </w:rPr>
              <w:t>0.0001</w:t>
            </w:r>
          </w:p>
        </w:tc>
      </w:tr>
      <w:tr w14:paraId="46CFD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5000" w:type="pct"/>
            <w:gridSpan w:val="6"/>
            <w:vAlign w:val="center"/>
          </w:tcPr>
          <w:p w14:paraId="4E04A0C3">
            <w:pPr>
              <w:pStyle w:val="55"/>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有组织</w:t>
            </w:r>
            <w:r>
              <w:rPr>
                <w:color w:val="000000" w:themeColor="text1"/>
                <w:sz w:val="24"/>
                <w:szCs w:val="24"/>
                <w14:textFill>
                  <w14:solidFill>
                    <w14:schemeClr w14:val="tx1"/>
                  </w14:solidFill>
                </w14:textFill>
              </w:rPr>
              <w:t>排放总计</w:t>
            </w:r>
          </w:p>
        </w:tc>
      </w:tr>
      <w:tr w14:paraId="24DD9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1050" w:type="pct"/>
            <w:gridSpan w:val="2"/>
            <w:vMerge w:val="restart"/>
            <w:vAlign w:val="center"/>
          </w:tcPr>
          <w:p w14:paraId="3A861823">
            <w:pPr>
              <w:pStyle w:val="55"/>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有组织排放</w:t>
            </w:r>
          </w:p>
          <w:p w14:paraId="428B439E">
            <w:pPr>
              <w:pStyle w:val="55"/>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总计</w:t>
            </w:r>
            <w:r>
              <w:rPr>
                <w:rFonts w:hint="eastAsia"/>
                <w:color w:val="000000" w:themeColor="text1"/>
                <w:sz w:val="24"/>
                <w:szCs w:val="24"/>
                <w:lang w:eastAsia="zh-CN"/>
                <w14:textFill>
                  <w14:solidFill>
                    <w14:schemeClr w14:val="tx1"/>
                  </w14:solidFill>
                </w14:textFill>
              </w:rPr>
              <w:t>（</w:t>
            </w:r>
            <w:r>
              <w:rPr>
                <w:rFonts w:hint="eastAsia"/>
                <w:color w:val="000000" w:themeColor="text1"/>
                <w:sz w:val="24"/>
                <w:szCs w:val="24"/>
                <w14:textFill>
                  <w14:solidFill>
                    <w14:schemeClr w14:val="tx1"/>
                  </w14:solidFill>
                </w14:textFill>
              </w:rPr>
              <w:t>t</w:t>
            </w:r>
            <w:r>
              <w:rPr>
                <w:color w:val="000000" w:themeColor="text1"/>
                <w:sz w:val="24"/>
                <w:szCs w:val="24"/>
                <w14:textFill>
                  <w14:solidFill>
                    <w14:schemeClr w14:val="tx1"/>
                  </w14:solidFill>
                </w14:textFill>
              </w:rPr>
              <w:t>/a</w:t>
            </w:r>
            <w:r>
              <w:rPr>
                <w:rFonts w:hint="eastAsia"/>
                <w:color w:val="000000" w:themeColor="text1"/>
                <w:sz w:val="24"/>
                <w:szCs w:val="24"/>
                <w:lang w:eastAsia="zh-CN"/>
                <w14:textFill>
                  <w14:solidFill>
                    <w14:schemeClr w14:val="tx1"/>
                  </w14:solidFill>
                </w14:textFill>
              </w:rPr>
              <w:t>）</w:t>
            </w:r>
          </w:p>
        </w:tc>
        <w:tc>
          <w:tcPr>
            <w:tcW w:w="3062" w:type="pct"/>
            <w:gridSpan w:val="3"/>
            <w:shd w:val="clear" w:color="auto" w:fill="auto"/>
            <w:vAlign w:val="center"/>
          </w:tcPr>
          <w:p w14:paraId="2901D94F">
            <w:pPr>
              <w:pStyle w:val="55"/>
              <w:bidi w:val="0"/>
              <w:rPr>
                <w:color w:val="000000" w:themeColor="text1"/>
                <w:sz w:val="24"/>
                <w:szCs w:val="24"/>
                <w14:textFill>
                  <w14:solidFill>
                    <w14:schemeClr w14:val="tx1"/>
                  </w14:solidFill>
                </w14:textFill>
              </w:rPr>
            </w:pPr>
            <w:r>
              <w:rPr>
                <w:rFonts w:hint="eastAsia"/>
                <w:sz w:val="24"/>
                <w:szCs w:val="24"/>
                <w:lang w:val="en-US" w:eastAsia="zh-CN"/>
              </w:rPr>
              <w:t>颗粒物</w:t>
            </w:r>
          </w:p>
        </w:tc>
        <w:tc>
          <w:tcPr>
            <w:tcW w:w="1621" w:type="dxa"/>
            <w:shd w:val="clear" w:color="auto" w:fill="auto"/>
            <w:vAlign w:val="center"/>
          </w:tcPr>
          <w:p w14:paraId="1C7DD94F">
            <w:pPr>
              <w:pStyle w:val="55"/>
              <w:bidi w:val="0"/>
              <w:rPr>
                <w:sz w:val="24"/>
                <w:szCs w:val="24"/>
              </w:rPr>
            </w:pPr>
            <w:r>
              <w:rPr>
                <w:rFonts w:hint="eastAsia"/>
                <w:sz w:val="24"/>
                <w:szCs w:val="24"/>
                <w:lang w:val="en-US" w:eastAsia="zh-CN"/>
              </w:rPr>
              <w:t>3.393</w:t>
            </w:r>
          </w:p>
        </w:tc>
      </w:tr>
      <w:tr w14:paraId="18D3B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1050" w:type="pct"/>
            <w:gridSpan w:val="2"/>
            <w:vMerge w:val="continue"/>
            <w:vAlign w:val="center"/>
          </w:tcPr>
          <w:p w14:paraId="4DA16CA9">
            <w:pPr>
              <w:pStyle w:val="55"/>
              <w:rPr>
                <w:color w:val="000000" w:themeColor="text1"/>
                <w:sz w:val="24"/>
                <w:szCs w:val="24"/>
                <w14:textFill>
                  <w14:solidFill>
                    <w14:schemeClr w14:val="tx1"/>
                  </w14:solidFill>
                </w14:textFill>
              </w:rPr>
            </w:pPr>
          </w:p>
        </w:tc>
        <w:tc>
          <w:tcPr>
            <w:tcW w:w="3062" w:type="pct"/>
            <w:gridSpan w:val="3"/>
            <w:shd w:val="clear" w:color="auto" w:fill="auto"/>
            <w:vAlign w:val="center"/>
          </w:tcPr>
          <w:p w14:paraId="69999ED3">
            <w:pPr>
              <w:pStyle w:val="55"/>
              <w:bidi w:val="0"/>
              <w:rPr>
                <w:color w:val="000000" w:themeColor="text1"/>
                <w:sz w:val="24"/>
                <w:szCs w:val="24"/>
                <w14:textFill>
                  <w14:solidFill>
                    <w14:schemeClr w14:val="tx1"/>
                  </w14:solidFill>
                </w14:textFill>
              </w:rPr>
            </w:pPr>
            <w:r>
              <w:rPr>
                <w:rFonts w:hint="default"/>
                <w:b w:val="0"/>
                <w:bCs w:val="0"/>
                <w:color w:val="000000" w:themeColor="text1"/>
                <w:sz w:val="24"/>
                <w:szCs w:val="24"/>
                <w:lang w:val="en-US" w:eastAsia="zh-CN"/>
                <w14:textFill>
                  <w14:solidFill>
                    <w14:schemeClr w14:val="tx1"/>
                  </w14:solidFill>
                </w14:textFill>
              </w:rPr>
              <w:t>非甲烷总烃</w:t>
            </w:r>
          </w:p>
        </w:tc>
        <w:tc>
          <w:tcPr>
            <w:tcW w:w="1621" w:type="dxa"/>
            <w:shd w:val="clear" w:color="auto" w:fill="auto"/>
            <w:vAlign w:val="center"/>
          </w:tcPr>
          <w:p w14:paraId="410E23C8">
            <w:pPr>
              <w:pStyle w:val="55"/>
              <w:bidi w:val="0"/>
              <w:rPr>
                <w:rFonts w:hint="default"/>
                <w:sz w:val="24"/>
                <w:szCs w:val="24"/>
                <w:lang w:val="en-US"/>
              </w:rPr>
            </w:pPr>
            <w:r>
              <w:rPr>
                <w:rFonts w:hint="eastAsia"/>
                <w:sz w:val="24"/>
                <w:szCs w:val="24"/>
                <w:lang w:val="en-US" w:eastAsia="zh-CN"/>
              </w:rPr>
              <w:t>5.693</w:t>
            </w:r>
          </w:p>
        </w:tc>
      </w:tr>
      <w:tr w14:paraId="29F94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1050" w:type="pct"/>
            <w:gridSpan w:val="2"/>
            <w:vMerge w:val="continue"/>
            <w:vAlign w:val="center"/>
          </w:tcPr>
          <w:p w14:paraId="53CDF5A4">
            <w:pPr>
              <w:pStyle w:val="55"/>
              <w:rPr>
                <w:color w:val="000000" w:themeColor="text1"/>
                <w:sz w:val="24"/>
                <w:szCs w:val="24"/>
                <w14:textFill>
                  <w14:solidFill>
                    <w14:schemeClr w14:val="tx1"/>
                  </w14:solidFill>
                </w14:textFill>
              </w:rPr>
            </w:pPr>
          </w:p>
        </w:tc>
        <w:tc>
          <w:tcPr>
            <w:tcW w:w="3062" w:type="pct"/>
            <w:gridSpan w:val="3"/>
            <w:shd w:val="clear" w:color="auto" w:fill="auto"/>
            <w:vAlign w:val="center"/>
          </w:tcPr>
          <w:p w14:paraId="15381897">
            <w:pPr>
              <w:pStyle w:val="55"/>
              <w:bidi w:val="0"/>
              <w:rPr>
                <w:color w:val="000000" w:themeColor="text1"/>
                <w:sz w:val="24"/>
                <w:szCs w:val="24"/>
                <w14:textFill>
                  <w14:solidFill>
                    <w14:schemeClr w14:val="tx1"/>
                  </w14:solidFill>
                </w14:textFill>
              </w:rPr>
            </w:pPr>
            <w:r>
              <w:rPr>
                <w:rFonts w:hint="eastAsia"/>
                <w:b w:val="0"/>
                <w:bCs w:val="0"/>
                <w:color w:val="000000" w:themeColor="text1"/>
                <w:sz w:val="24"/>
                <w:szCs w:val="24"/>
                <w:lang w:val="en-US" w:eastAsia="zh-CN"/>
                <w14:textFill>
                  <w14:solidFill>
                    <w14:schemeClr w14:val="tx1"/>
                  </w14:solidFill>
                </w14:textFill>
              </w:rPr>
              <w:t>HCl</w:t>
            </w:r>
          </w:p>
        </w:tc>
        <w:tc>
          <w:tcPr>
            <w:tcW w:w="1621" w:type="dxa"/>
            <w:shd w:val="clear" w:color="auto" w:fill="auto"/>
            <w:vAlign w:val="center"/>
          </w:tcPr>
          <w:p w14:paraId="5A913643">
            <w:pPr>
              <w:pStyle w:val="55"/>
              <w:bidi w:val="0"/>
              <w:rPr>
                <w:rFonts w:hint="default"/>
                <w:sz w:val="24"/>
                <w:szCs w:val="24"/>
                <w:lang w:val="en-US"/>
              </w:rPr>
            </w:pPr>
            <w:r>
              <w:rPr>
                <w:rFonts w:hint="eastAsia"/>
                <w:sz w:val="24"/>
                <w:szCs w:val="24"/>
                <w:lang w:val="en-US" w:eastAsia="zh-CN"/>
              </w:rPr>
              <w:t>0.004</w:t>
            </w:r>
          </w:p>
        </w:tc>
      </w:tr>
    </w:tbl>
    <w:p w14:paraId="1C2462C0">
      <w:pPr>
        <w:pStyle w:val="94"/>
        <w:bidi w:val="0"/>
        <w:ind w:left="0" w:leftChars="0" w:firstLine="0" w:firstLineChars="0"/>
        <w:rPr>
          <w:rFonts w:hint="eastAsia"/>
        </w:rPr>
      </w:pPr>
      <w:r>
        <w:rPr>
          <w:rFonts w:hint="eastAsia"/>
        </w:rPr>
        <w:t>大气污染物无组织排放量核算表</w:t>
      </w:r>
    </w:p>
    <w:tbl>
      <w:tblPr>
        <w:tblStyle w:val="3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644"/>
        <w:gridCol w:w="799"/>
        <w:gridCol w:w="1036"/>
        <w:gridCol w:w="920"/>
        <w:gridCol w:w="3273"/>
        <w:gridCol w:w="1372"/>
        <w:gridCol w:w="1079"/>
      </w:tblGrid>
      <w:tr w14:paraId="7D32D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blHeader/>
        </w:trPr>
        <w:tc>
          <w:tcPr>
            <w:tcW w:w="353" w:type="pct"/>
            <w:vMerge w:val="restart"/>
            <w:shd w:val="clear" w:color="auto" w:fill="auto"/>
            <w:vAlign w:val="center"/>
          </w:tcPr>
          <w:p w14:paraId="391B4C12">
            <w:pPr>
              <w:pStyle w:val="55"/>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序号</w:t>
            </w:r>
          </w:p>
        </w:tc>
        <w:tc>
          <w:tcPr>
            <w:tcW w:w="438" w:type="pct"/>
            <w:vMerge w:val="restart"/>
            <w:shd w:val="clear" w:color="auto" w:fill="auto"/>
            <w:vAlign w:val="center"/>
          </w:tcPr>
          <w:p w14:paraId="76E81A08">
            <w:pPr>
              <w:pStyle w:val="55"/>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排放口</w:t>
            </w:r>
          </w:p>
        </w:tc>
        <w:tc>
          <w:tcPr>
            <w:tcW w:w="567" w:type="pct"/>
            <w:vMerge w:val="restart"/>
            <w:shd w:val="clear" w:color="auto" w:fill="auto"/>
            <w:vAlign w:val="center"/>
          </w:tcPr>
          <w:p w14:paraId="3F1B8804">
            <w:pPr>
              <w:pStyle w:val="55"/>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污染物</w:t>
            </w:r>
          </w:p>
        </w:tc>
        <w:tc>
          <w:tcPr>
            <w:tcW w:w="504" w:type="pct"/>
            <w:vMerge w:val="restart"/>
            <w:shd w:val="clear" w:color="auto" w:fill="auto"/>
            <w:vAlign w:val="center"/>
          </w:tcPr>
          <w:p w14:paraId="2CF812DC">
            <w:pPr>
              <w:pStyle w:val="55"/>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主要</w:t>
            </w:r>
            <w:r>
              <w:rPr>
                <w:color w:val="000000" w:themeColor="text1"/>
                <w:sz w:val="24"/>
                <w:szCs w:val="24"/>
                <w14:textFill>
                  <w14:solidFill>
                    <w14:schemeClr w14:val="tx1"/>
                  </w14:solidFill>
                </w14:textFill>
              </w:rPr>
              <w:t>防治措施</w:t>
            </w:r>
          </w:p>
        </w:tc>
        <w:tc>
          <w:tcPr>
            <w:tcW w:w="2546" w:type="pct"/>
            <w:gridSpan w:val="2"/>
            <w:shd w:val="clear" w:color="auto" w:fill="auto"/>
            <w:vAlign w:val="center"/>
          </w:tcPr>
          <w:p w14:paraId="469CF15B">
            <w:pPr>
              <w:pStyle w:val="55"/>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国家</w:t>
            </w:r>
            <w:r>
              <w:rPr>
                <w:color w:val="000000" w:themeColor="text1"/>
                <w:sz w:val="24"/>
                <w:szCs w:val="24"/>
                <w14:textFill>
                  <w14:solidFill>
                    <w14:schemeClr w14:val="tx1"/>
                  </w14:solidFill>
                </w14:textFill>
              </w:rPr>
              <w:t>或地方污染物排放标准</w:t>
            </w:r>
          </w:p>
        </w:tc>
        <w:tc>
          <w:tcPr>
            <w:tcW w:w="590" w:type="pct"/>
            <w:vMerge w:val="restart"/>
            <w:shd w:val="clear" w:color="auto" w:fill="auto"/>
            <w:vAlign w:val="center"/>
          </w:tcPr>
          <w:p w14:paraId="3B30167B">
            <w:pPr>
              <w:pStyle w:val="55"/>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年排放量</w:t>
            </w:r>
            <w:r>
              <w:rPr>
                <w:rFonts w:hint="eastAsia"/>
                <w:color w:val="000000" w:themeColor="text1"/>
                <w:sz w:val="24"/>
                <w:szCs w:val="24"/>
                <w14:textFill>
                  <w14:solidFill>
                    <w14:schemeClr w14:val="tx1"/>
                  </w14:solidFill>
                </w14:textFill>
              </w:rPr>
              <w:t>(t</w:t>
            </w:r>
            <w:r>
              <w:rPr>
                <w:color w:val="000000" w:themeColor="text1"/>
                <w:sz w:val="24"/>
                <w:szCs w:val="24"/>
                <w14:textFill>
                  <w14:solidFill>
                    <w14:schemeClr w14:val="tx1"/>
                  </w14:solidFill>
                </w14:textFill>
              </w:rPr>
              <w:t>/a</w:t>
            </w:r>
            <w:r>
              <w:rPr>
                <w:rFonts w:hint="eastAsia"/>
                <w:color w:val="000000" w:themeColor="text1"/>
                <w:sz w:val="24"/>
                <w:szCs w:val="24"/>
                <w14:textFill>
                  <w14:solidFill>
                    <w14:schemeClr w14:val="tx1"/>
                  </w14:solidFill>
                </w14:textFill>
              </w:rPr>
              <w:t>)</w:t>
            </w:r>
          </w:p>
        </w:tc>
      </w:tr>
      <w:tr w14:paraId="498E5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blHeader/>
        </w:trPr>
        <w:tc>
          <w:tcPr>
            <w:tcW w:w="353" w:type="pct"/>
            <w:vMerge w:val="continue"/>
            <w:shd w:val="clear" w:color="auto" w:fill="auto"/>
            <w:vAlign w:val="center"/>
          </w:tcPr>
          <w:p w14:paraId="7EAE0253">
            <w:pPr>
              <w:pStyle w:val="55"/>
              <w:rPr>
                <w:color w:val="000000" w:themeColor="text1"/>
                <w:sz w:val="24"/>
                <w:szCs w:val="24"/>
                <w14:textFill>
                  <w14:solidFill>
                    <w14:schemeClr w14:val="tx1"/>
                  </w14:solidFill>
                </w14:textFill>
              </w:rPr>
            </w:pPr>
          </w:p>
        </w:tc>
        <w:tc>
          <w:tcPr>
            <w:tcW w:w="438" w:type="pct"/>
            <w:vMerge w:val="continue"/>
            <w:shd w:val="clear" w:color="auto" w:fill="auto"/>
            <w:vAlign w:val="center"/>
          </w:tcPr>
          <w:p w14:paraId="75F39578">
            <w:pPr>
              <w:pStyle w:val="55"/>
              <w:rPr>
                <w:color w:val="000000" w:themeColor="text1"/>
                <w:sz w:val="24"/>
                <w:szCs w:val="24"/>
                <w14:textFill>
                  <w14:solidFill>
                    <w14:schemeClr w14:val="tx1"/>
                  </w14:solidFill>
                </w14:textFill>
              </w:rPr>
            </w:pPr>
          </w:p>
        </w:tc>
        <w:tc>
          <w:tcPr>
            <w:tcW w:w="567" w:type="pct"/>
            <w:vMerge w:val="continue"/>
            <w:shd w:val="clear" w:color="auto" w:fill="auto"/>
            <w:vAlign w:val="center"/>
          </w:tcPr>
          <w:p w14:paraId="1EF01867">
            <w:pPr>
              <w:pStyle w:val="55"/>
              <w:rPr>
                <w:color w:val="000000" w:themeColor="text1"/>
                <w:sz w:val="24"/>
                <w:szCs w:val="24"/>
                <w14:textFill>
                  <w14:solidFill>
                    <w14:schemeClr w14:val="tx1"/>
                  </w14:solidFill>
                </w14:textFill>
              </w:rPr>
            </w:pPr>
          </w:p>
        </w:tc>
        <w:tc>
          <w:tcPr>
            <w:tcW w:w="504" w:type="pct"/>
            <w:vMerge w:val="continue"/>
            <w:shd w:val="clear" w:color="auto" w:fill="auto"/>
            <w:vAlign w:val="center"/>
          </w:tcPr>
          <w:p w14:paraId="2FA85984">
            <w:pPr>
              <w:pStyle w:val="55"/>
              <w:rPr>
                <w:color w:val="000000" w:themeColor="text1"/>
                <w:sz w:val="24"/>
                <w:szCs w:val="24"/>
                <w14:textFill>
                  <w14:solidFill>
                    <w14:schemeClr w14:val="tx1"/>
                  </w14:solidFill>
                </w14:textFill>
              </w:rPr>
            </w:pPr>
          </w:p>
        </w:tc>
        <w:tc>
          <w:tcPr>
            <w:tcW w:w="1793" w:type="pct"/>
            <w:shd w:val="clear" w:color="auto" w:fill="auto"/>
            <w:vAlign w:val="center"/>
          </w:tcPr>
          <w:p w14:paraId="05AEB652">
            <w:pPr>
              <w:pStyle w:val="55"/>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标准名称</w:t>
            </w:r>
          </w:p>
        </w:tc>
        <w:tc>
          <w:tcPr>
            <w:tcW w:w="752" w:type="pct"/>
            <w:shd w:val="clear" w:color="auto" w:fill="auto"/>
            <w:vAlign w:val="center"/>
          </w:tcPr>
          <w:p w14:paraId="67E0EFBE">
            <w:pPr>
              <w:pStyle w:val="55"/>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浓度限值(mg</w:t>
            </w:r>
            <w:r>
              <w:rPr>
                <w:color w:val="000000" w:themeColor="text1"/>
                <w:sz w:val="24"/>
                <w:szCs w:val="24"/>
                <w14:textFill>
                  <w14:solidFill>
                    <w14:schemeClr w14:val="tx1"/>
                  </w14:solidFill>
                </w14:textFill>
              </w:rPr>
              <w:t>/m</w:t>
            </w:r>
            <w:r>
              <w:rPr>
                <w:color w:val="000000" w:themeColor="text1"/>
                <w:sz w:val="24"/>
                <w:szCs w:val="24"/>
                <w:vertAlign w:val="superscript"/>
                <w14:textFill>
                  <w14:solidFill>
                    <w14:schemeClr w14:val="tx1"/>
                  </w14:solidFill>
                </w14:textFill>
              </w:rPr>
              <w:t>3</w:t>
            </w:r>
            <w:r>
              <w:rPr>
                <w:rFonts w:hint="eastAsia"/>
                <w:color w:val="000000" w:themeColor="text1"/>
                <w:sz w:val="24"/>
                <w:szCs w:val="24"/>
                <w14:textFill>
                  <w14:solidFill>
                    <w14:schemeClr w14:val="tx1"/>
                  </w14:solidFill>
                </w14:textFill>
              </w:rPr>
              <w:t>)</w:t>
            </w:r>
          </w:p>
        </w:tc>
        <w:tc>
          <w:tcPr>
            <w:tcW w:w="590" w:type="pct"/>
            <w:vMerge w:val="continue"/>
            <w:shd w:val="clear" w:color="auto" w:fill="auto"/>
            <w:vAlign w:val="center"/>
          </w:tcPr>
          <w:p w14:paraId="374ACBC4">
            <w:pPr>
              <w:pStyle w:val="55"/>
              <w:rPr>
                <w:color w:val="000000" w:themeColor="text1"/>
                <w:sz w:val="24"/>
                <w:szCs w:val="24"/>
                <w14:textFill>
                  <w14:solidFill>
                    <w14:schemeClr w14:val="tx1"/>
                  </w14:solidFill>
                </w14:textFill>
              </w:rPr>
            </w:pPr>
          </w:p>
        </w:tc>
      </w:tr>
      <w:tr w14:paraId="25146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353" w:type="pct"/>
            <w:vMerge w:val="restart"/>
            <w:shd w:val="clear" w:color="auto" w:fill="auto"/>
            <w:vAlign w:val="center"/>
          </w:tcPr>
          <w:p w14:paraId="009DDF43">
            <w:pPr>
              <w:pStyle w:val="55"/>
              <w:rPr>
                <w:rFonts w:hint="default" w:eastAsia="宋体"/>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1</w:t>
            </w:r>
          </w:p>
        </w:tc>
        <w:tc>
          <w:tcPr>
            <w:tcW w:w="438" w:type="pct"/>
            <w:vMerge w:val="restart"/>
            <w:shd w:val="clear" w:color="auto" w:fill="auto"/>
            <w:vAlign w:val="center"/>
          </w:tcPr>
          <w:p w14:paraId="7ACEE4C3">
            <w:pPr>
              <w:pStyle w:val="55"/>
              <w:rPr>
                <w:rFonts w:hint="eastAsia" w:eastAsia="宋体"/>
                <w:color w:val="000000" w:themeColor="text1"/>
                <w:sz w:val="24"/>
                <w:szCs w:val="24"/>
                <w:lang w:val="en-US" w:eastAsia="zh-CN"/>
                <w14:textFill>
                  <w14:solidFill>
                    <w14:schemeClr w14:val="tx1"/>
                  </w14:solidFill>
                </w14:textFill>
              </w:rPr>
            </w:pPr>
            <w:r>
              <w:rPr>
                <w:rFonts w:hint="eastAsia"/>
                <w:sz w:val="24"/>
                <w:szCs w:val="24"/>
                <w:lang w:val="en-US" w:eastAsia="zh-CN"/>
              </w:rPr>
              <w:t>1</w:t>
            </w:r>
            <w:r>
              <w:rPr>
                <w:rFonts w:hint="eastAsia"/>
                <w:sz w:val="24"/>
                <w:szCs w:val="24"/>
              </w:rPr>
              <w:t>#生产车间</w:t>
            </w:r>
          </w:p>
        </w:tc>
        <w:tc>
          <w:tcPr>
            <w:tcW w:w="567" w:type="pct"/>
            <w:shd w:val="clear" w:color="auto" w:fill="auto"/>
            <w:vAlign w:val="center"/>
          </w:tcPr>
          <w:p w14:paraId="21CD65D5">
            <w:pPr>
              <w:pStyle w:val="55"/>
              <w:bidi w:val="0"/>
              <w:rPr>
                <w:color w:val="000000" w:themeColor="text1"/>
                <w:sz w:val="24"/>
                <w:szCs w:val="24"/>
                <w14:textFill>
                  <w14:solidFill>
                    <w14:schemeClr w14:val="tx1"/>
                  </w14:solidFill>
                </w14:textFill>
              </w:rPr>
            </w:pPr>
            <w:r>
              <w:rPr>
                <w:rFonts w:hint="eastAsia"/>
                <w:sz w:val="24"/>
                <w:szCs w:val="24"/>
                <w:lang w:val="en-US" w:eastAsia="zh-CN"/>
              </w:rPr>
              <w:t>颗粒物</w:t>
            </w:r>
          </w:p>
        </w:tc>
        <w:tc>
          <w:tcPr>
            <w:tcW w:w="504" w:type="pct"/>
            <w:vMerge w:val="restart"/>
            <w:shd w:val="clear" w:color="auto" w:fill="auto"/>
            <w:vAlign w:val="center"/>
          </w:tcPr>
          <w:p w14:paraId="691444CD">
            <w:pPr>
              <w:pStyle w:val="55"/>
              <w:rPr>
                <w:rFonts w:hint="eastAsia" w:eastAsia="宋体"/>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w:t>
            </w:r>
          </w:p>
        </w:tc>
        <w:tc>
          <w:tcPr>
            <w:tcW w:w="1793" w:type="pct"/>
            <w:shd w:val="clear" w:color="auto" w:fill="auto"/>
            <w:vAlign w:val="center"/>
          </w:tcPr>
          <w:p w14:paraId="7A49C927">
            <w:pPr>
              <w:pStyle w:val="55"/>
              <w:rPr>
                <w:color w:val="000000" w:themeColor="text1"/>
                <w:sz w:val="24"/>
                <w:szCs w:val="24"/>
                <w14:textFill>
                  <w14:solidFill>
                    <w14:schemeClr w14:val="tx1"/>
                  </w14:solidFill>
                </w14:textFill>
              </w:rPr>
            </w:pPr>
            <w:r>
              <w:rPr>
                <w:rFonts w:hint="eastAsia"/>
                <w:color w:val="auto"/>
                <w:kern w:val="0"/>
                <w:sz w:val="24"/>
                <w:szCs w:val="24"/>
              </w:rPr>
              <w:t>《合成树脂工业污染物排放标准》（GB31572-2015）</w:t>
            </w:r>
            <w:r>
              <w:rPr>
                <w:rFonts w:hint="eastAsia"/>
                <w:color w:val="auto"/>
                <w:kern w:val="0"/>
                <w:sz w:val="24"/>
                <w:szCs w:val="24"/>
                <w:lang w:val="en-US" w:eastAsia="zh-CN"/>
              </w:rPr>
              <w:t>及修改单</w:t>
            </w:r>
            <w:r>
              <w:rPr>
                <w:rFonts w:hint="eastAsia"/>
                <w:color w:val="auto"/>
                <w:kern w:val="0"/>
                <w:sz w:val="24"/>
                <w:szCs w:val="24"/>
              </w:rPr>
              <w:t>表9</w:t>
            </w:r>
            <w:r>
              <w:rPr>
                <w:rFonts w:hint="eastAsia"/>
                <w:color w:val="auto"/>
                <w:kern w:val="0"/>
                <w:sz w:val="24"/>
                <w:szCs w:val="24"/>
                <w:lang w:val="en-US" w:eastAsia="zh-CN"/>
              </w:rPr>
              <w:t>限值要求</w:t>
            </w:r>
          </w:p>
        </w:tc>
        <w:tc>
          <w:tcPr>
            <w:tcW w:w="752" w:type="pct"/>
            <w:shd w:val="clear" w:color="auto" w:fill="auto"/>
            <w:vAlign w:val="center"/>
          </w:tcPr>
          <w:p w14:paraId="4584FDC1">
            <w:pPr>
              <w:pStyle w:val="55"/>
              <w:rPr>
                <w:rFonts w:hint="default" w:eastAsia="宋体"/>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1.0</w:t>
            </w:r>
          </w:p>
        </w:tc>
        <w:tc>
          <w:tcPr>
            <w:tcW w:w="590" w:type="pct"/>
            <w:shd w:val="clear" w:color="auto" w:fill="auto"/>
            <w:vAlign w:val="center"/>
          </w:tcPr>
          <w:p w14:paraId="53C971C4">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default" w:eastAsia="宋体"/>
                <w:color w:val="000000" w:themeColor="text1"/>
                <w:sz w:val="24"/>
                <w:szCs w:val="24"/>
                <w:lang w:val="en-US" w:eastAsia="zh-CN"/>
                <w14:textFill>
                  <w14:solidFill>
                    <w14:schemeClr w14:val="tx1"/>
                  </w14:solidFill>
                </w14:textFill>
              </w:rPr>
            </w:pPr>
            <w:r>
              <w:rPr>
                <w:rFonts w:hint="eastAsia" w:ascii="Times New Roman" w:hAnsi="Times New Roman" w:eastAsia="楷体" w:cs="Times New Roman"/>
                <w:sz w:val="24"/>
                <w:szCs w:val="24"/>
                <w:vertAlign w:val="baseline"/>
                <w:lang w:val="en-US" w:eastAsia="zh-CN"/>
              </w:rPr>
              <w:t>0.457</w:t>
            </w:r>
          </w:p>
        </w:tc>
      </w:tr>
      <w:tr w14:paraId="18DF2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353" w:type="pct"/>
            <w:vMerge w:val="continue"/>
            <w:shd w:val="clear" w:color="auto" w:fill="auto"/>
            <w:vAlign w:val="center"/>
          </w:tcPr>
          <w:p w14:paraId="708E3E79">
            <w:pPr>
              <w:pStyle w:val="55"/>
              <w:rPr>
                <w:rFonts w:hint="eastAsia"/>
                <w:color w:val="000000" w:themeColor="text1"/>
                <w:sz w:val="24"/>
                <w:szCs w:val="24"/>
                <w:lang w:val="en-US" w:eastAsia="zh-CN"/>
                <w14:textFill>
                  <w14:solidFill>
                    <w14:schemeClr w14:val="tx1"/>
                  </w14:solidFill>
                </w14:textFill>
              </w:rPr>
            </w:pPr>
          </w:p>
        </w:tc>
        <w:tc>
          <w:tcPr>
            <w:tcW w:w="438" w:type="pct"/>
            <w:vMerge w:val="continue"/>
            <w:shd w:val="clear" w:color="auto" w:fill="auto"/>
            <w:vAlign w:val="center"/>
          </w:tcPr>
          <w:p w14:paraId="61836AB4">
            <w:pPr>
              <w:pStyle w:val="55"/>
              <w:bidi w:val="0"/>
              <w:rPr>
                <w:rFonts w:hint="eastAsia"/>
                <w:color w:val="000000" w:themeColor="text1"/>
                <w:sz w:val="24"/>
                <w:szCs w:val="24"/>
                <w:lang w:val="en-US" w:eastAsia="zh-CN"/>
                <w14:textFill>
                  <w14:solidFill>
                    <w14:schemeClr w14:val="tx1"/>
                  </w14:solidFill>
                </w14:textFill>
              </w:rPr>
            </w:pPr>
          </w:p>
        </w:tc>
        <w:tc>
          <w:tcPr>
            <w:tcW w:w="567" w:type="pct"/>
            <w:shd w:val="clear" w:color="auto" w:fill="auto"/>
            <w:vAlign w:val="center"/>
          </w:tcPr>
          <w:p w14:paraId="5A925A3C">
            <w:pPr>
              <w:pStyle w:val="55"/>
              <w:bidi w:val="0"/>
              <w:rPr>
                <w:color w:val="000000" w:themeColor="text1"/>
                <w:sz w:val="24"/>
                <w:szCs w:val="24"/>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非甲烷总烃</w:t>
            </w:r>
          </w:p>
        </w:tc>
        <w:tc>
          <w:tcPr>
            <w:tcW w:w="504" w:type="pct"/>
            <w:vMerge w:val="continue"/>
            <w:shd w:val="clear" w:color="auto" w:fill="auto"/>
            <w:vAlign w:val="center"/>
          </w:tcPr>
          <w:p w14:paraId="336790DB">
            <w:pPr>
              <w:pStyle w:val="55"/>
              <w:rPr>
                <w:color w:val="000000" w:themeColor="text1"/>
                <w:sz w:val="24"/>
                <w:szCs w:val="24"/>
                <w14:textFill>
                  <w14:solidFill>
                    <w14:schemeClr w14:val="tx1"/>
                  </w14:solidFill>
                </w14:textFill>
              </w:rPr>
            </w:pPr>
          </w:p>
        </w:tc>
        <w:tc>
          <w:tcPr>
            <w:tcW w:w="1793" w:type="pct"/>
            <w:shd w:val="clear" w:color="auto" w:fill="auto"/>
            <w:vAlign w:val="center"/>
          </w:tcPr>
          <w:p w14:paraId="7404C97E">
            <w:pPr>
              <w:pStyle w:val="55"/>
              <w:rPr>
                <w:color w:val="000000" w:themeColor="text1"/>
                <w:sz w:val="24"/>
                <w:szCs w:val="24"/>
                <w14:textFill>
                  <w14:solidFill>
                    <w14:schemeClr w14:val="tx1"/>
                  </w14:solidFill>
                </w14:textFill>
              </w:rPr>
            </w:pPr>
            <w:r>
              <w:rPr>
                <w:rFonts w:hint="eastAsia"/>
                <w:sz w:val="24"/>
                <w:szCs w:val="24"/>
                <w:lang w:val="en-US" w:eastAsia="zh-CN"/>
              </w:rPr>
              <w:t>河北省地方标准</w:t>
            </w:r>
            <w:r>
              <w:rPr>
                <w:rFonts w:hint="default"/>
                <w:color w:val="000000" w:themeColor="text1"/>
                <w:sz w:val="24"/>
                <w:szCs w:val="24"/>
                <w:lang w:val="en-US" w:eastAsia="zh-CN"/>
                <w14:textFill>
                  <w14:solidFill>
                    <w14:schemeClr w14:val="tx1"/>
                  </w14:solidFill>
                </w14:textFill>
              </w:rPr>
              <w:t>《工业企业挥发性有机物排放控制标准》（DB13/2322-2016）表2</w:t>
            </w:r>
            <w:r>
              <w:rPr>
                <w:rFonts w:hint="default"/>
                <w:color w:val="000000" w:themeColor="text1"/>
                <w:sz w:val="24"/>
                <w:szCs w:val="24"/>
                <w14:textFill>
                  <w14:solidFill>
                    <w14:schemeClr w14:val="tx1"/>
                  </w14:solidFill>
                </w14:textFill>
              </w:rPr>
              <w:t>企业边界大气污染物浓度限值</w:t>
            </w:r>
            <w:r>
              <w:rPr>
                <w:rFonts w:hint="default"/>
                <w:color w:val="000000" w:themeColor="text1"/>
                <w:sz w:val="24"/>
                <w:szCs w:val="24"/>
                <w:lang w:val="en-US" w:eastAsia="zh-CN"/>
                <w14:textFill>
                  <w14:solidFill>
                    <w14:schemeClr w14:val="tx1"/>
                  </w14:solidFill>
                </w14:textFill>
              </w:rPr>
              <w:t>中其他企业</w:t>
            </w:r>
          </w:p>
        </w:tc>
        <w:tc>
          <w:tcPr>
            <w:tcW w:w="752" w:type="pct"/>
            <w:shd w:val="clear" w:color="auto" w:fill="auto"/>
            <w:vAlign w:val="center"/>
          </w:tcPr>
          <w:p w14:paraId="3FF06DDB">
            <w:pPr>
              <w:pStyle w:val="55"/>
              <w:rPr>
                <w:rFonts w:hint="default" w:eastAsia="宋体"/>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2.0</w:t>
            </w:r>
          </w:p>
        </w:tc>
        <w:tc>
          <w:tcPr>
            <w:tcW w:w="590" w:type="pct"/>
            <w:shd w:val="clear" w:color="auto" w:fill="auto"/>
            <w:vAlign w:val="center"/>
          </w:tcPr>
          <w:p w14:paraId="55DC901A">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default" w:eastAsia="宋体"/>
                <w:color w:val="000000" w:themeColor="text1"/>
                <w:sz w:val="24"/>
                <w:szCs w:val="24"/>
                <w:lang w:val="en-US" w:eastAsia="zh-CN"/>
                <w14:textFill>
                  <w14:solidFill>
                    <w14:schemeClr w14:val="tx1"/>
                  </w14:solidFill>
                </w14:textFill>
              </w:rPr>
            </w:pPr>
            <w:r>
              <w:rPr>
                <w:rFonts w:hint="eastAsia" w:ascii="Times New Roman" w:hAnsi="Times New Roman" w:eastAsia="楷体" w:cs="Times New Roman"/>
                <w:sz w:val="24"/>
                <w:szCs w:val="24"/>
                <w:vertAlign w:val="baseline"/>
                <w:lang w:val="en-US" w:eastAsia="zh-CN"/>
              </w:rPr>
              <w:t>0.460</w:t>
            </w:r>
          </w:p>
        </w:tc>
      </w:tr>
      <w:tr w14:paraId="268D0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353" w:type="pct"/>
            <w:vMerge w:val="continue"/>
            <w:shd w:val="clear" w:color="auto" w:fill="auto"/>
            <w:vAlign w:val="center"/>
          </w:tcPr>
          <w:p w14:paraId="4E371AEF">
            <w:pPr>
              <w:pStyle w:val="55"/>
              <w:rPr>
                <w:rFonts w:hint="eastAsia"/>
                <w:color w:val="000000" w:themeColor="text1"/>
                <w:sz w:val="24"/>
                <w:szCs w:val="24"/>
                <w:lang w:val="en-US" w:eastAsia="zh-CN"/>
                <w14:textFill>
                  <w14:solidFill>
                    <w14:schemeClr w14:val="tx1"/>
                  </w14:solidFill>
                </w14:textFill>
              </w:rPr>
            </w:pPr>
          </w:p>
        </w:tc>
        <w:tc>
          <w:tcPr>
            <w:tcW w:w="438" w:type="pct"/>
            <w:vMerge w:val="continue"/>
            <w:shd w:val="clear" w:color="auto" w:fill="auto"/>
            <w:vAlign w:val="center"/>
          </w:tcPr>
          <w:p w14:paraId="690FD20F">
            <w:pPr>
              <w:pStyle w:val="55"/>
              <w:bidi w:val="0"/>
              <w:rPr>
                <w:rFonts w:hint="eastAsia"/>
                <w:color w:val="000000" w:themeColor="text1"/>
                <w:sz w:val="24"/>
                <w:szCs w:val="24"/>
                <w:lang w:val="en-US" w:eastAsia="zh-CN"/>
                <w14:textFill>
                  <w14:solidFill>
                    <w14:schemeClr w14:val="tx1"/>
                  </w14:solidFill>
                </w14:textFill>
              </w:rPr>
            </w:pPr>
          </w:p>
        </w:tc>
        <w:tc>
          <w:tcPr>
            <w:tcW w:w="567" w:type="pct"/>
            <w:shd w:val="clear" w:color="auto" w:fill="auto"/>
            <w:vAlign w:val="center"/>
          </w:tcPr>
          <w:p w14:paraId="2B495002">
            <w:pPr>
              <w:pStyle w:val="55"/>
              <w:rPr>
                <w:rFonts w:hint="eastAsia" w:eastAsia="宋体"/>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HCl</w:t>
            </w:r>
          </w:p>
        </w:tc>
        <w:tc>
          <w:tcPr>
            <w:tcW w:w="504" w:type="pct"/>
            <w:vMerge w:val="continue"/>
            <w:shd w:val="clear" w:color="auto" w:fill="auto"/>
            <w:vAlign w:val="center"/>
          </w:tcPr>
          <w:p w14:paraId="66290B59">
            <w:pPr>
              <w:pStyle w:val="55"/>
              <w:rPr>
                <w:color w:val="000000" w:themeColor="text1"/>
                <w:sz w:val="24"/>
                <w:szCs w:val="24"/>
                <w14:textFill>
                  <w14:solidFill>
                    <w14:schemeClr w14:val="tx1"/>
                  </w14:solidFill>
                </w14:textFill>
              </w:rPr>
            </w:pPr>
          </w:p>
        </w:tc>
        <w:tc>
          <w:tcPr>
            <w:tcW w:w="1793" w:type="pct"/>
            <w:shd w:val="clear" w:color="auto" w:fill="auto"/>
            <w:vAlign w:val="center"/>
          </w:tcPr>
          <w:p w14:paraId="17E1D158">
            <w:pPr>
              <w:pStyle w:val="55"/>
              <w:bidi w:val="0"/>
              <w:rPr>
                <w:rFonts w:hint="default"/>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《大气污染物综合排放标准》</w:t>
            </w:r>
          </w:p>
          <w:p w14:paraId="2C3D8A84">
            <w:pPr>
              <w:pStyle w:val="55"/>
              <w:rPr>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（GB16297-1996）表 2无组织排放监控浓度限值</w:t>
            </w:r>
          </w:p>
        </w:tc>
        <w:tc>
          <w:tcPr>
            <w:tcW w:w="752" w:type="pct"/>
            <w:shd w:val="clear" w:color="auto" w:fill="auto"/>
            <w:vAlign w:val="center"/>
          </w:tcPr>
          <w:p w14:paraId="1600D0D7">
            <w:pPr>
              <w:pStyle w:val="55"/>
              <w:rPr>
                <w:rFonts w:hint="default" w:eastAsia="宋体"/>
                <w:color w:val="000000" w:themeColor="text1"/>
                <w:sz w:val="24"/>
                <w:szCs w:val="24"/>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0.</w:t>
            </w:r>
            <w:r>
              <w:rPr>
                <w:rFonts w:hint="eastAsia"/>
                <w:color w:val="000000" w:themeColor="text1"/>
                <w:lang w:val="en-US" w:eastAsia="zh-CN"/>
                <w14:textFill>
                  <w14:solidFill>
                    <w14:schemeClr w14:val="tx1"/>
                  </w14:solidFill>
                </w14:textFill>
              </w:rPr>
              <w:t>2</w:t>
            </w:r>
          </w:p>
        </w:tc>
        <w:tc>
          <w:tcPr>
            <w:tcW w:w="590" w:type="pct"/>
            <w:shd w:val="clear" w:color="auto" w:fill="auto"/>
            <w:vAlign w:val="center"/>
          </w:tcPr>
          <w:p w14:paraId="54D90D9A">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eastAsia" w:eastAsia="宋体"/>
                <w:color w:val="000000" w:themeColor="text1"/>
                <w:sz w:val="24"/>
                <w:szCs w:val="24"/>
                <w:lang w:val="en-US" w:eastAsia="zh-CN"/>
                <w14:textFill>
                  <w14:solidFill>
                    <w14:schemeClr w14:val="tx1"/>
                  </w14:solidFill>
                </w14:textFill>
              </w:rPr>
            </w:pPr>
            <w:r>
              <w:rPr>
                <w:rFonts w:hint="eastAsia" w:ascii="Times New Roman" w:hAnsi="Times New Roman" w:eastAsia="楷体" w:cs="Times New Roman"/>
                <w:sz w:val="24"/>
                <w:szCs w:val="24"/>
                <w:vertAlign w:val="baseline"/>
                <w:lang w:val="en-US" w:eastAsia="zh-CN"/>
              </w:rPr>
              <w:t>0.0003</w:t>
            </w:r>
          </w:p>
        </w:tc>
      </w:tr>
      <w:tr w14:paraId="3CAF0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353" w:type="pct"/>
            <w:vMerge w:val="restart"/>
            <w:shd w:val="clear" w:color="auto" w:fill="auto"/>
            <w:vAlign w:val="center"/>
          </w:tcPr>
          <w:p w14:paraId="14979D08">
            <w:pPr>
              <w:pStyle w:val="55"/>
              <w:rPr>
                <w:rFonts w:hint="eastAsia" w:eastAsia="宋体"/>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2</w:t>
            </w:r>
          </w:p>
        </w:tc>
        <w:tc>
          <w:tcPr>
            <w:tcW w:w="438" w:type="pct"/>
            <w:vMerge w:val="restart"/>
            <w:shd w:val="clear" w:color="auto" w:fill="auto"/>
            <w:vAlign w:val="center"/>
          </w:tcPr>
          <w:p w14:paraId="05B54CE6">
            <w:pPr>
              <w:pStyle w:val="55"/>
              <w:rPr>
                <w:rFonts w:hint="default" w:eastAsia="宋体"/>
                <w:color w:val="000000" w:themeColor="text1"/>
                <w:sz w:val="24"/>
                <w:szCs w:val="24"/>
                <w:lang w:val="en-US" w:eastAsia="zh-CN"/>
                <w14:textFill>
                  <w14:solidFill>
                    <w14:schemeClr w14:val="tx1"/>
                  </w14:solidFill>
                </w14:textFill>
              </w:rPr>
            </w:pPr>
            <w:r>
              <w:rPr>
                <w:rFonts w:hint="eastAsia"/>
                <w:sz w:val="24"/>
                <w:szCs w:val="24"/>
                <w:lang w:val="en-US" w:eastAsia="zh-CN"/>
              </w:rPr>
              <w:t>2</w:t>
            </w:r>
            <w:r>
              <w:rPr>
                <w:rFonts w:hint="eastAsia"/>
                <w:sz w:val="24"/>
                <w:szCs w:val="24"/>
              </w:rPr>
              <w:t>#生产车间</w:t>
            </w:r>
          </w:p>
        </w:tc>
        <w:tc>
          <w:tcPr>
            <w:tcW w:w="567" w:type="pct"/>
            <w:shd w:val="clear" w:color="auto" w:fill="auto"/>
            <w:vAlign w:val="center"/>
          </w:tcPr>
          <w:p w14:paraId="3EB3FF9E">
            <w:pPr>
              <w:pStyle w:val="55"/>
              <w:bidi w:val="0"/>
              <w:rPr>
                <w:color w:val="000000" w:themeColor="text1"/>
                <w:sz w:val="24"/>
                <w:szCs w:val="24"/>
                <w14:textFill>
                  <w14:solidFill>
                    <w14:schemeClr w14:val="tx1"/>
                  </w14:solidFill>
                </w14:textFill>
              </w:rPr>
            </w:pPr>
            <w:r>
              <w:rPr>
                <w:rFonts w:hint="eastAsia"/>
                <w:sz w:val="24"/>
                <w:szCs w:val="24"/>
                <w:lang w:val="en-US" w:eastAsia="zh-CN"/>
              </w:rPr>
              <w:t>颗粒物</w:t>
            </w:r>
          </w:p>
        </w:tc>
        <w:tc>
          <w:tcPr>
            <w:tcW w:w="504" w:type="pct"/>
            <w:vMerge w:val="restart"/>
            <w:shd w:val="clear" w:color="auto" w:fill="auto"/>
            <w:vAlign w:val="center"/>
          </w:tcPr>
          <w:p w14:paraId="761C535A">
            <w:pPr>
              <w:pStyle w:val="55"/>
              <w:rPr>
                <w:rFonts w:hint="eastAsia" w:eastAsia="宋体"/>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w:t>
            </w:r>
          </w:p>
        </w:tc>
        <w:tc>
          <w:tcPr>
            <w:tcW w:w="1793" w:type="pct"/>
            <w:shd w:val="clear" w:color="auto" w:fill="auto"/>
            <w:vAlign w:val="center"/>
          </w:tcPr>
          <w:p w14:paraId="51B310B7">
            <w:pPr>
              <w:pStyle w:val="55"/>
              <w:rPr>
                <w:color w:val="000000" w:themeColor="text1"/>
                <w:sz w:val="24"/>
                <w:szCs w:val="24"/>
                <w14:textFill>
                  <w14:solidFill>
                    <w14:schemeClr w14:val="tx1"/>
                  </w14:solidFill>
                </w14:textFill>
              </w:rPr>
            </w:pPr>
            <w:r>
              <w:rPr>
                <w:rFonts w:hint="eastAsia"/>
                <w:color w:val="auto"/>
                <w:kern w:val="0"/>
                <w:sz w:val="24"/>
                <w:szCs w:val="24"/>
              </w:rPr>
              <w:t>《合成树脂工业污染物排放标准》（GB31572-2015）</w:t>
            </w:r>
            <w:r>
              <w:rPr>
                <w:rFonts w:hint="eastAsia"/>
                <w:color w:val="auto"/>
                <w:kern w:val="0"/>
                <w:sz w:val="24"/>
                <w:szCs w:val="24"/>
                <w:lang w:val="en-US" w:eastAsia="zh-CN"/>
              </w:rPr>
              <w:t>及修改单</w:t>
            </w:r>
            <w:r>
              <w:rPr>
                <w:rFonts w:hint="eastAsia"/>
                <w:color w:val="auto"/>
                <w:kern w:val="0"/>
                <w:sz w:val="24"/>
                <w:szCs w:val="24"/>
              </w:rPr>
              <w:t>表9</w:t>
            </w:r>
            <w:r>
              <w:rPr>
                <w:rFonts w:hint="eastAsia"/>
                <w:color w:val="auto"/>
                <w:kern w:val="0"/>
                <w:sz w:val="24"/>
                <w:szCs w:val="24"/>
                <w:lang w:val="en-US" w:eastAsia="zh-CN"/>
              </w:rPr>
              <w:t>限值要求</w:t>
            </w:r>
          </w:p>
        </w:tc>
        <w:tc>
          <w:tcPr>
            <w:tcW w:w="752" w:type="pct"/>
            <w:shd w:val="clear" w:color="auto" w:fill="auto"/>
            <w:vAlign w:val="center"/>
          </w:tcPr>
          <w:p w14:paraId="5335E95B">
            <w:pPr>
              <w:pStyle w:val="55"/>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1.0</w:t>
            </w:r>
          </w:p>
        </w:tc>
        <w:tc>
          <w:tcPr>
            <w:tcW w:w="590" w:type="pct"/>
            <w:shd w:val="clear" w:color="auto" w:fill="auto"/>
            <w:vAlign w:val="center"/>
          </w:tcPr>
          <w:p w14:paraId="356F2536">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default" w:eastAsia="宋体"/>
                <w:color w:val="000000" w:themeColor="text1"/>
                <w:sz w:val="24"/>
                <w:szCs w:val="24"/>
                <w:lang w:val="en-US" w:eastAsia="zh-CN"/>
                <w14:textFill>
                  <w14:solidFill>
                    <w14:schemeClr w14:val="tx1"/>
                  </w14:solidFill>
                </w14:textFill>
              </w:rPr>
            </w:pPr>
            <w:r>
              <w:rPr>
                <w:rFonts w:hint="eastAsia" w:ascii="Times New Roman" w:hAnsi="Times New Roman" w:eastAsia="楷体" w:cs="Times New Roman"/>
                <w:sz w:val="24"/>
                <w:szCs w:val="24"/>
                <w:vertAlign w:val="baseline"/>
                <w:lang w:val="en-US" w:eastAsia="zh-CN"/>
              </w:rPr>
              <w:t>0.457</w:t>
            </w:r>
          </w:p>
        </w:tc>
      </w:tr>
      <w:tr w14:paraId="537EF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353" w:type="pct"/>
            <w:vMerge w:val="continue"/>
            <w:shd w:val="clear" w:color="auto" w:fill="auto"/>
            <w:vAlign w:val="center"/>
          </w:tcPr>
          <w:p w14:paraId="2EB2C1FC">
            <w:pPr>
              <w:pStyle w:val="55"/>
              <w:rPr>
                <w:rFonts w:hint="eastAsia"/>
                <w:color w:val="000000" w:themeColor="text1"/>
                <w:sz w:val="24"/>
                <w:szCs w:val="24"/>
                <w:lang w:val="en-US" w:eastAsia="zh-CN"/>
                <w14:textFill>
                  <w14:solidFill>
                    <w14:schemeClr w14:val="tx1"/>
                  </w14:solidFill>
                </w14:textFill>
              </w:rPr>
            </w:pPr>
          </w:p>
        </w:tc>
        <w:tc>
          <w:tcPr>
            <w:tcW w:w="438" w:type="pct"/>
            <w:vMerge w:val="continue"/>
            <w:shd w:val="clear" w:color="auto" w:fill="auto"/>
            <w:vAlign w:val="center"/>
          </w:tcPr>
          <w:p w14:paraId="4427724E">
            <w:pPr>
              <w:pStyle w:val="55"/>
              <w:bidi w:val="0"/>
              <w:rPr>
                <w:rFonts w:hint="eastAsia"/>
                <w:color w:val="000000" w:themeColor="text1"/>
                <w:sz w:val="24"/>
                <w:szCs w:val="24"/>
                <w:lang w:val="en-US" w:eastAsia="zh-CN"/>
                <w14:textFill>
                  <w14:solidFill>
                    <w14:schemeClr w14:val="tx1"/>
                  </w14:solidFill>
                </w14:textFill>
              </w:rPr>
            </w:pPr>
          </w:p>
        </w:tc>
        <w:tc>
          <w:tcPr>
            <w:tcW w:w="567" w:type="pct"/>
            <w:shd w:val="clear" w:color="auto" w:fill="auto"/>
            <w:vAlign w:val="center"/>
          </w:tcPr>
          <w:p w14:paraId="2ABF0F59">
            <w:pPr>
              <w:pStyle w:val="55"/>
              <w:bidi w:val="0"/>
              <w:rPr>
                <w:color w:val="000000" w:themeColor="text1"/>
                <w:sz w:val="24"/>
                <w:szCs w:val="24"/>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非甲烷总烃</w:t>
            </w:r>
          </w:p>
        </w:tc>
        <w:tc>
          <w:tcPr>
            <w:tcW w:w="504" w:type="pct"/>
            <w:vMerge w:val="continue"/>
            <w:shd w:val="clear" w:color="auto" w:fill="auto"/>
            <w:vAlign w:val="center"/>
          </w:tcPr>
          <w:p w14:paraId="2DAA4395">
            <w:pPr>
              <w:pStyle w:val="55"/>
              <w:rPr>
                <w:color w:val="000000" w:themeColor="text1"/>
                <w:sz w:val="24"/>
                <w:szCs w:val="24"/>
                <w14:textFill>
                  <w14:solidFill>
                    <w14:schemeClr w14:val="tx1"/>
                  </w14:solidFill>
                </w14:textFill>
              </w:rPr>
            </w:pPr>
          </w:p>
        </w:tc>
        <w:tc>
          <w:tcPr>
            <w:tcW w:w="1793" w:type="pct"/>
            <w:shd w:val="clear" w:color="auto" w:fill="auto"/>
            <w:vAlign w:val="center"/>
          </w:tcPr>
          <w:p w14:paraId="60DC5095">
            <w:pPr>
              <w:pStyle w:val="55"/>
              <w:rPr>
                <w:color w:val="000000" w:themeColor="text1"/>
                <w:sz w:val="24"/>
                <w:szCs w:val="24"/>
                <w14:textFill>
                  <w14:solidFill>
                    <w14:schemeClr w14:val="tx1"/>
                  </w14:solidFill>
                </w14:textFill>
              </w:rPr>
            </w:pPr>
            <w:r>
              <w:rPr>
                <w:rFonts w:hint="eastAsia"/>
                <w:sz w:val="24"/>
                <w:szCs w:val="24"/>
                <w:lang w:val="en-US" w:eastAsia="zh-CN"/>
              </w:rPr>
              <w:t>河北省地方标准</w:t>
            </w:r>
            <w:r>
              <w:rPr>
                <w:rFonts w:hint="default"/>
                <w:color w:val="000000" w:themeColor="text1"/>
                <w:sz w:val="24"/>
                <w:szCs w:val="24"/>
                <w:lang w:val="en-US" w:eastAsia="zh-CN"/>
                <w14:textFill>
                  <w14:solidFill>
                    <w14:schemeClr w14:val="tx1"/>
                  </w14:solidFill>
                </w14:textFill>
              </w:rPr>
              <w:t>《工业企业挥发性有机物排放控制标准》（DB13/2322-2016）表2</w:t>
            </w:r>
            <w:r>
              <w:rPr>
                <w:rFonts w:hint="default"/>
                <w:color w:val="000000" w:themeColor="text1"/>
                <w:sz w:val="24"/>
                <w:szCs w:val="24"/>
                <w14:textFill>
                  <w14:solidFill>
                    <w14:schemeClr w14:val="tx1"/>
                  </w14:solidFill>
                </w14:textFill>
              </w:rPr>
              <w:t>企业边界大气污染物浓度限值</w:t>
            </w:r>
            <w:r>
              <w:rPr>
                <w:rFonts w:hint="default"/>
                <w:color w:val="000000" w:themeColor="text1"/>
                <w:sz w:val="24"/>
                <w:szCs w:val="24"/>
                <w:lang w:val="en-US" w:eastAsia="zh-CN"/>
                <w14:textFill>
                  <w14:solidFill>
                    <w14:schemeClr w14:val="tx1"/>
                  </w14:solidFill>
                </w14:textFill>
              </w:rPr>
              <w:t>中其他企业</w:t>
            </w:r>
          </w:p>
        </w:tc>
        <w:tc>
          <w:tcPr>
            <w:tcW w:w="752" w:type="pct"/>
            <w:shd w:val="clear" w:color="auto" w:fill="auto"/>
            <w:vAlign w:val="center"/>
          </w:tcPr>
          <w:p w14:paraId="2F1A0FBF">
            <w:pPr>
              <w:pStyle w:val="55"/>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2.0</w:t>
            </w:r>
          </w:p>
        </w:tc>
        <w:tc>
          <w:tcPr>
            <w:tcW w:w="590" w:type="pct"/>
            <w:shd w:val="clear" w:color="auto" w:fill="auto"/>
            <w:vAlign w:val="center"/>
          </w:tcPr>
          <w:p w14:paraId="3BF0702B">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eastAsia" w:eastAsia="宋体"/>
                <w:color w:val="000000" w:themeColor="text1"/>
                <w:sz w:val="24"/>
                <w:szCs w:val="24"/>
                <w:lang w:val="en-US" w:eastAsia="zh-CN"/>
                <w14:textFill>
                  <w14:solidFill>
                    <w14:schemeClr w14:val="tx1"/>
                  </w14:solidFill>
                </w14:textFill>
              </w:rPr>
            </w:pPr>
            <w:r>
              <w:rPr>
                <w:rFonts w:hint="eastAsia" w:ascii="Times New Roman" w:hAnsi="Times New Roman" w:eastAsia="楷体" w:cs="Times New Roman"/>
                <w:sz w:val="24"/>
                <w:szCs w:val="24"/>
                <w:vertAlign w:val="baseline"/>
                <w:lang w:val="en-US" w:eastAsia="zh-CN"/>
              </w:rPr>
              <w:t>0.460</w:t>
            </w:r>
          </w:p>
        </w:tc>
      </w:tr>
      <w:tr w14:paraId="79AC5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353" w:type="pct"/>
            <w:vMerge w:val="continue"/>
            <w:shd w:val="clear" w:color="auto" w:fill="auto"/>
            <w:vAlign w:val="center"/>
          </w:tcPr>
          <w:p w14:paraId="4D2DB4F0">
            <w:pPr>
              <w:pStyle w:val="55"/>
              <w:rPr>
                <w:rFonts w:hint="eastAsia"/>
                <w:color w:val="000000" w:themeColor="text1"/>
                <w:sz w:val="24"/>
                <w:szCs w:val="24"/>
                <w:lang w:val="en-US" w:eastAsia="zh-CN"/>
                <w14:textFill>
                  <w14:solidFill>
                    <w14:schemeClr w14:val="tx1"/>
                  </w14:solidFill>
                </w14:textFill>
              </w:rPr>
            </w:pPr>
          </w:p>
        </w:tc>
        <w:tc>
          <w:tcPr>
            <w:tcW w:w="438" w:type="pct"/>
            <w:vMerge w:val="continue"/>
            <w:shd w:val="clear" w:color="auto" w:fill="auto"/>
            <w:vAlign w:val="center"/>
          </w:tcPr>
          <w:p w14:paraId="5BCC33EB">
            <w:pPr>
              <w:pStyle w:val="55"/>
              <w:bidi w:val="0"/>
              <w:rPr>
                <w:rFonts w:hint="eastAsia"/>
                <w:color w:val="000000" w:themeColor="text1"/>
                <w:sz w:val="24"/>
                <w:szCs w:val="24"/>
                <w:lang w:val="en-US" w:eastAsia="zh-CN"/>
                <w14:textFill>
                  <w14:solidFill>
                    <w14:schemeClr w14:val="tx1"/>
                  </w14:solidFill>
                </w14:textFill>
              </w:rPr>
            </w:pPr>
          </w:p>
        </w:tc>
        <w:tc>
          <w:tcPr>
            <w:tcW w:w="567" w:type="pct"/>
            <w:shd w:val="clear" w:color="auto" w:fill="auto"/>
            <w:vAlign w:val="center"/>
          </w:tcPr>
          <w:p w14:paraId="55891D2D">
            <w:pPr>
              <w:pStyle w:val="55"/>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HCl</w:t>
            </w:r>
          </w:p>
        </w:tc>
        <w:tc>
          <w:tcPr>
            <w:tcW w:w="504" w:type="pct"/>
            <w:vMerge w:val="continue"/>
            <w:shd w:val="clear" w:color="auto" w:fill="auto"/>
            <w:vAlign w:val="center"/>
          </w:tcPr>
          <w:p w14:paraId="16A28000">
            <w:pPr>
              <w:pStyle w:val="55"/>
              <w:rPr>
                <w:color w:val="000000" w:themeColor="text1"/>
                <w:sz w:val="24"/>
                <w:szCs w:val="24"/>
                <w14:textFill>
                  <w14:solidFill>
                    <w14:schemeClr w14:val="tx1"/>
                  </w14:solidFill>
                </w14:textFill>
              </w:rPr>
            </w:pPr>
          </w:p>
        </w:tc>
        <w:tc>
          <w:tcPr>
            <w:tcW w:w="1793" w:type="pct"/>
            <w:shd w:val="clear" w:color="auto" w:fill="auto"/>
            <w:vAlign w:val="center"/>
          </w:tcPr>
          <w:p w14:paraId="1648A18E">
            <w:pPr>
              <w:pStyle w:val="55"/>
              <w:bidi w:val="0"/>
              <w:rPr>
                <w:rFonts w:hint="default"/>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《大气污染物综合排放标准》</w:t>
            </w:r>
          </w:p>
          <w:p w14:paraId="365A50DB">
            <w:pPr>
              <w:pStyle w:val="55"/>
              <w:rPr>
                <w:rFonts w:hint="default"/>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（GB16297-1996）表 2无组织排放监控浓度限值</w:t>
            </w:r>
          </w:p>
        </w:tc>
        <w:tc>
          <w:tcPr>
            <w:tcW w:w="752" w:type="pct"/>
            <w:shd w:val="clear" w:color="auto" w:fill="auto"/>
            <w:vAlign w:val="center"/>
          </w:tcPr>
          <w:p w14:paraId="7F80C275">
            <w:pPr>
              <w:pStyle w:val="55"/>
              <w:rPr>
                <w:rFonts w:hint="eastAsia"/>
                <w:color w:val="000000" w:themeColor="text1"/>
                <w:sz w:val="24"/>
                <w:szCs w:val="24"/>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0.</w:t>
            </w:r>
            <w:r>
              <w:rPr>
                <w:rFonts w:hint="eastAsia"/>
                <w:color w:val="000000" w:themeColor="text1"/>
                <w:lang w:val="en-US" w:eastAsia="zh-CN"/>
                <w14:textFill>
                  <w14:solidFill>
                    <w14:schemeClr w14:val="tx1"/>
                  </w14:solidFill>
                </w14:textFill>
              </w:rPr>
              <w:t>2</w:t>
            </w:r>
          </w:p>
        </w:tc>
        <w:tc>
          <w:tcPr>
            <w:tcW w:w="590" w:type="pct"/>
            <w:shd w:val="clear" w:color="auto" w:fill="auto"/>
            <w:vAlign w:val="center"/>
          </w:tcPr>
          <w:p w14:paraId="1471C86D">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eastAsia"/>
                <w:color w:val="000000" w:themeColor="text1"/>
                <w:sz w:val="24"/>
                <w:szCs w:val="24"/>
                <w:lang w:val="en-US" w:eastAsia="zh-CN"/>
                <w14:textFill>
                  <w14:solidFill>
                    <w14:schemeClr w14:val="tx1"/>
                  </w14:solidFill>
                </w14:textFill>
              </w:rPr>
            </w:pPr>
            <w:r>
              <w:rPr>
                <w:rFonts w:hint="eastAsia" w:ascii="Times New Roman" w:hAnsi="Times New Roman" w:eastAsia="楷体" w:cs="Times New Roman"/>
                <w:sz w:val="24"/>
                <w:szCs w:val="24"/>
                <w:vertAlign w:val="baseline"/>
                <w:lang w:val="en-US" w:eastAsia="zh-CN"/>
              </w:rPr>
              <w:t>0.0003</w:t>
            </w:r>
          </w:p>
        </w:tc>
      </w:tr>
      <w:tr w14:paraId="4A27D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353" w:type="pct"/>
            <w:vMerge w:val="restart"/>
            <w:shd w:val="clear" w:color="auto" w:fill="auto"/>
            <w:vAlign w:val="center"/>
          </w:tcPr>
          <w:p w14:paraId="3B0A4A02">
            <w:pPr>
              <w:pStyle w:val="55"/>
              <w:rPr>
                <w:rFonts w:hint="eastAsia" w:eastAsia="宋体"/>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3</w:t>
            </w:r>
          </w:p>
        </w:tc>
        <w:tc>
          <w:tcPr>
            <w:tcW w:w="438" w:type="pct"/>
            <w:vMerge w:val="restart"/>
            <w:shd w:val="clear" w:color="auto" w:fill="auto"/>
            <w:vAlign w:val="center"/>
          </w:tcPr>
          <w:p w14:paraId="2065477D">
            <w:pPr>
              <w:pStyle w:val="55"/>
              <w:rPr>
                <w:rFonts w:hint="default" w:eastAsia="宋体"/>
                <w:color w:val="000000" w:themeColor="text1"/>
                <w:sz w:val="24"/>
                <w:szCs w:val="24"/>
                <w:lang w:val="en-US" w:eastAsia="zh-CN"/>
                <w14:textFill>
                  <w14:solidFill>
                    <w14:schemeClr w14:val="tx1"/>
                  </w14:solidFill>
                </w14:textFill>
              </w:rPr>
            </w:pPr>
            <w:r>
              <w:rPr>
                <w:rFonts w:hint="eastAsia"/>
                <w:sz w:val="24"/>
                <w:szCs w:val="24"/>
                <w:lang w:val="en-US" w:eastAsia="zh-CN"/>
              </w:rPr>
              <w:t>3</w:t>
            </w:r>
            <w:r>
              <w:rPr>
                <w:rFonts w:hint="eastAsia"/>
                <w:sz w:val="24"/>
                <w:szCs w:val="24"/>
              </w:rPr>
              <w:t>#生产车间</w:t>
            </w:r>
          </w:p>
        </w:tc>
        <w:tc>
          <w:tcPr>
            <w:tcW w:w="567" w:type="pct"/>
            <w:shd w:val="clear" w:color="auto" w:fill="auto"/>
            <w:vAlign w:val="center"/>
          </w:tcPr>
          <w:p w14:paraId="0014492B">
            <w:pPr>
              <w:pStyle w:val="55"/>
              <w:bidi w:val="0"/>
              <w:rPr>
                <w:color w:val="000000" w:themeColor="text1"/>
                <w:sz w:val="24"/>
                <w:szCs w:val="24"/>
                <w14:textFill>
                  <w14:solidFill>
                    <w14:schemeClr w14:val="tx1"/>
                  </w14:solidFill>
                </w14:textFill>
              </w:rPr>
            </w:pPr>
            <w:r>
              <w:rPr>
                <w:rFonts w:hint="eastAsia"/>
                <w:sz w:val="24"/>
                <w:szCs w:val="24"/>
                <w:lang w:val="en-US" w:eastAsia="zh-CN"/>
              </w:rPr>
              <w:t>颗粒物</w:t>
            </w:r>
          </w:p>
        </w:tc>
        <w:tc>
          <w:tcPr>
            <w:tcW w:w="504" w:type="pct"/>
            <w:vMerge w:val="restart"/>
            <w:shd w:val="clear" w:color="auto" w:fill="auto"/>
            <w:vAlign w:val="center"/>
          </w:tcPr>
          <w:p w14:paraId="6FA42F84">
            <w:pPr>
              <w:pStyle w:val="55"/>
              <w:rPr>
                <w:rFonts w:hint="eastAsia" w:eastAsia="宋体"/>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w:t>
            </w:r>
          </w:p>
        </w:tc>
        <w:tc>
          <w:tcPr>
            <w:tcW w:w="1793" w:type="pct"/>
            <w:shd w:val="clear" w:color="auto" w:fill="auto"/>
            <w:vAlign w:val="center"/>
          </w:tcPr>
          <w:p w14:paraId="52DA740A">
            <w:pPr>
              <w:pStyle w:val="55"/>
              <w:rPr>
                <w:color w:val="000000" w:themeColor="text1"/>
                <w:sz w:val="24"/>
                <w:szCs w:val="24"/>
                <w14:textFill>
                  <w14:solidFill>
                    <w14:schemeClr w14:val="tx1"/>
                  </w14:solidFill>
                </w14:textFill>
              </w:rPr>
            </w:pPr>
            <w:r>
              <w:rPr>
                <w:rFonts w:hint="eastAsia"/>
                <w:color w:val="auto"/>
                <w:kern w:val="0"/>
                <w:sz w:val="24"/>
                <w:szCs w:val="24"/>
              </w:rPr>
              <w:t>《合成树脂工业污染物排放标准》（GB31572-2015）</w:t>
            </w:r>
            <w:r>
              <w:rPr>
                <w:rFonts w:hint="eastAsia"/>
                <w:color w:val="auto"/>
                <w:kern w:val="0"/>
                <w:sz w:val="24"/>
                <w:szCs w:val="24"/>
                <w:lang w:val="en-US" w:eastAsia="zh-CN"/>
              </w:rPr>
              <w:t>及修改单</w:t>
            </w:r>
            <w:r>
              <w:rPr>
                <w:rFonts w:hint="eastAsia"/>
                <w:color w:val="auto"/>
                <w:kern w:val="0"/>
                <w:sz w:val="24"/>
                <w:szCs w:val="24"/>
              </w:rPr>
              <w:t>表9</w:t>
            </w:r>
            <w:r>
              <w:rPr>
                <w:rFonts w:hint="eastAsia"/>
                <w:color w:val="auto"/>
                <w:kern w:val="0"/>
                <w:sz w:val="24"/>
                <w:szCs w:val="24"/>
                <w:lang w:val="en-US" w:eastAsia="zh-CN"/>
              </w:rPr>
              <w:t>限值要求</w:t>
            </w:r>
          </w:p>
        </w:tc>
        <w:tc>
          <w:tcPr>
            <w:tcW w:w="752" w:type="pct"/>
            <w:shd w:val="clear" w:color="auto" w:fill="auto"/>
            <w:vAlign w:val="center"/>
          </w:tcPr>
          <w:p w14:paraId="101E3C29">
            <w:pPr>
              <w:pStyle w:val="55"/>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1.0</w:t>
            </w:r>
          </w:p>
        </w:tc>
        <w:tc>
          <w:tcPr>
            <w:tcW w:w="590" w:type="pct"/>
            <w:shd w:val="clear" w:color="auto" w:fill="auto"/>
            <w:vAlign w:val="center"/>
          </w:tcPr>
          <w:p w14:paraId="3E2301F1">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default" w:eastAsia="宋体"/>
                <w:color w:val="000000" w:themeColor="text1"/>
                <w:sz w:val="24"/>
                <w:szCs w:val="24"/>
                <w:lang w:val="en-US" w:eastAsia="zh-CN"/>
                <w14:textFill>
                  <w14:solidFill>
                    <w14:schemeClr w14:val="tx1"/>
                  </w14:solidFill>
                </w14:textFill>
              </w:rPr>
            </w:pPr>
            <w:r>
              <w:rPr>
                <w:rFonts w:hint="eastAsia" w:ascii="Times New Roman" w:hAnsi="Times New Roman" w:eastAsia="楷体" w:cs="Times New Roman"/>
                <w:sz w:val="24"/>
                <w:szCs w:val="24"/>
                <w:vertAlign w:val="baseline"/>
                <w:lang w:val="en-US" w:eastAsia="zh-CN"/>
              </w:rPr>
              <w:t>0.229</w:t>
            </w:r>
          </w:p>
        </w:tc>
      </w:tr>
      <w:tr w14:paraId="5247A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353" w:type="pct"/>
            <w:vMerge w:val="continue"/>
            <w:shd w:val="clear" w:color="auto" w:fill="auto"/>
            <w:vAlign w:val="center"/>
          </w:tcPr>
          <w:p w14:paraId="4C738F35">
            <w:pPr>
              <w:pStyle w:val="55"/>
              <w:rPr>
                <w:rFonts w:hint="eastAsia"/>
                <w:color w:val="000000" w:themeColor="text1"/>
                <w:sz w:val="24"/>
                <w:szCs w:val="24"/>
                <w:lang w:val="en-US" w:eastAsia="zh-CN"/>
                <w14:textFill>
                  <w14:solidFill>
                    <w14:schemeClr w14:val="tx1"/>
                  </w14:solidFill>
                </w14:textFill>
              </w:rPr>
            </w:pPr>
          </w:p>
        </w:tc>
        <w:tc>
          <w:tcPr>
            <w:tcW w:w="438" w:type="pct"/>
            <w:vMerge w:val="continue"/>
            <w:shd w:val="clear" w:color="auto" w:fill="auto"/>
            <w:vAlign w:val="center"/>
          </w:tcPr>
          <w:p w14:paraId="068D9B8F">
            <w:pPr>
              <w:pStyle w:val="55"/>
              <w:rPr>
                <w:rFonts w:hint="eastAsia"/>
                <w:sz w:val="24"/>
                <w:szCs w:val="24"/>
                <w:lang w:val="en-US" w:eastAsia="zh-CN"/>
              </w:rPr>
            </w:pPr>
          </w:p>
        </w:tc>
        <w:tc>
          <w:tcPr>
            <w:tcW w:w="567" w:type="pct"/>
            <w:shd w:val="clear" w:color="auto" w:fill="auto"/>
            <w:vAlign w:val="center"/>
          </w:tcPr>
          <w:p w14:paraId="76FF5157">
            <w:pPr>
              <w:pStyle w:val="55"/>
              <w:bidi w:val="0"/>
              <w:rPr>
                <w:rFonts w:hint="default"/>
                <w:color w:val="000000" w:themeColor="text1"/>
                <w:sz w:val="24"/>
                <w:szCs w:val="24"/>
                <w:lang w:val="en-US" w:eastAsia="zh-CN"/>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非甲烷总烃</w:t>
            </w:r>
          </w:p>
        </w:tc>
        <w:tc>
          <w:tcPr>
            <w:tcW w:w="504" w:type="pct"/>
            <w:vMerge w:val="continue"/>
            <w:shd w:val="clear" w:color="auto" w:fill="auto"/>
            <w:vAlign w:val="center"/>
          </w:tcPr>
          <w:p w14:paraId="2A82A89E">
            <w:pPr>
              <w:pStyle w:val="55"/>
              <w:rPr>
                <w:rFonts w:hint="eastAsia"/>
                <w:color w:val="000000" w:themeColor="text1"/>
                <w:sz w:val="24"/>
                <w:szCs w:val="24"/>
                <w:lang w:val="en-US" w:eastAsia="zh-CN"/>
                <w14:textFill>
                  <w14:solidFill>
                    <w14:schemeClr w14:val="tx1"/>
                  </w14:solidFill>
                </w14:textFill>
              </w:rPr>
            </w:pPr>
          </w:p>
        </w:tc>
        <w:tc>
          <w:tcPr>
            <w:tcW w:w="1793" w:type="pct"/>
            <w:shd w:val="clear" w:color="auto" w:fill="auto"/>
            <w:vAlign w:val="center"/>
          </w:tcPr>
          <w:p w14:paraId="04EFC244">
            <w:pPr>
              <w:pStyle w:val="55"/>
              <w:rPr>
                <w:rFonts w:hint="default"/>
                <w:color w:val="000000" w:themeColor="text1"/>
                <w:sz w:val="24"/>
                <w:szCs w:val="24"/>
                <w:lang w:val="en-US" w:eastAsia="zh-CN"/>
                <w14:textFill>
                  <w14:solidFill>
                    <w14:schemeClr w14:val="tx1"/>
                  </w14:solidFill>
                </w14:textFill>
              </w:rPr>
            </w:pPr>
            <w:r>
              <w:rPr>
                <w:rFonts w:hint="eastAsia"/>
                <w:sz w:val="24"/>
                <w:szCs w:val="24"/>
                <w:lang w:val="en-US" w:eastAsia="zh-CN"/>
              </w:rPr>
              <w:t>河北省地方标准</w:t>
            </w:r>
            <w:r>
              <w:rPr>
                <w:rFonts w:hint="default"/>
                <w:color w:val="000000" w:themeColor="text1"/>
                <w:sz w:val="24"/>
                <w:szCs w:val="24"/>
                <w:lang w:val="en-US" w:eastAsia="zh-CN"/>
                <w14:textFill>
                  <w14:solidFill>
                    <w14:schemeClr w14:val="tx1"/>
                  </w14:solidFill>
                </w14:textFill>
              </w:rPr>
              <w:t>《工业企业挥发性有机物排放控制标准》（DB13/2322-2016）表2</w:t>
            </w:r>
            <w:r>
              <w:rPr>
                <w:rFonts w:hint="default"/>
                <w:color w:val="000000" w:themeColor="text1"/>
                <w:sz w:val="24"/>
                <w:szCs w:val="24"/>
                <w14:textFill>
                  <w14:solidFill>
                    <w14:schemeClr w14:val="tx1"/>
                  </w14:solidFill>
                </w14:textFill>
              </w:rPr>
              <w:t>企业边界大气污染物浓度限值</w:t>
            </w:r>
            <w:r>
              <w:rPr>
                <w:rFonts w:hint="default"/>
                <w:color w:val="000000" w:themeColor="text1"/>
                <w:sz w:val="24"/>
                <w:szCs w:val="24"/>
                <w:lang w:val="en-US" w:eastAsia="zh-CN"/>
                <w14:textFill>
                  <w14:solidFill>
                    <w14:schemeClr w14:val="tx1"/>
                  </w14:solidFill>
                </w14:textFill>
              </w:rPr>
              <w:t>中其他企业</w:t>
            </w:r>
          </w:p>
        </w:tc>
        <w:tc>
          <w:tcPr>
            <w:tcW w:w="752" w:type="pct"/>
            <w:shd w:val="clear" w:color="auto" w:fill="auto"/>
            <w:vAlign w:val="center"/>
          </w:tcPr>
          <w:p w14:paraId="7B4DBC12">
            <w:pPr>
              <w:pStyle w:val="55"/>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2.0</w:t>
            </w:r>
          </w:p>
        </w:tc>
        <w:tc>
          <w:tcPr>
            <w:tcW w:w="590" w:type="pct"/>
            <w:shd w:val="clear" w:color="auto" w:fill="auto"/>
            <w:vAlign w:val="center"/>
          </w:tcPr>
          <w:p w14:paraId="55511551">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eastAsia"/>
                <w:color w:val="000000" w:themeColor="text1"/>
                <w:sz w:val="24"/>
                <w:szCs w:val="24"/>
                <w:lang w:val="en-US" w:eastAsia="zh-CN"/>
                <w14:textFill>
                  <w14:solidFill>
                    <w14:schemeClr w14:val="tx1"/>
                  </w14:solidFill>
                </w14:textFill>
              </w:rPr>
            </w:pPr>
            <w:r>
              <w:rPr>
                <w:rFonts w:hint="eastAsia" w:ascii="Times New Roman" w:hAnsi="Times New Roman" w:eastAsia="楷体" w:cs="Times New Roman"/>
                <w:sz w:val="24"/>
                <w:szCs w:val="24"/>
                <w:vertAlign w:val="baseline"/>
                <w:lang w:val="en-US" w:eastAsia="zh-CN"/>
              </w:rPr>
              <w:t>0.230</w:t>
            </w:r>
          </w:p>
        </w:tc>
      </w:tr>
      <w:tr w14:paraId="55A6C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353" w:type="pct"/>
            <w:vMerge w:val="continue"/>
            <w:shd w:val="clear" w:color="auto" w:fill="auto"/>
            <w:vAlign w:val="center"/>
          </w:tcPr>
          <w:p w14:paraId="732CC751">
            <w:pPr>
              <w:pStyle w:val="55"/>
              <w:rPr>
                <w:rFonts w:hint="eastAsia"/>
                <w:color w:val="000000" w:themeColor="text1"/>
                <w:sz w:val="24"/>
                <w:szCs w:val="24"/>
                <w:lang w:val="en-US" w:eastAsia="zh-CN"/>
                <w14:textFill>
                  <w14:solidFill>
                    <w14:schemeClr w14:val="tx1"/>
                  </w14:solidFill>
                </w14:textFill>
              </w:rPr>
            </w:pPr>
          </w:p>
        </w:tc>
        <w:tc>
          <w:tcPr>
            <w:tcW w:w="438" w:type="pct"/>
            <w:vMerge w:val="continue"/>
            <w:shd w:val="clear" w:color="auto" w:fill="auto"/>
            <w:vAlign w:val="center"/>
          </w:tcPr>
          <w:p w14:paraId="610B800D">
            <w:pPr>
              <w:pStyle w:val="55"/>
              <w:bidi w:val="0"/>
              <w:rPr>
                <w:rFonts w:hint="eastAsia"/>
                <w:color w:val="000000" w:themeColor="text1"/>
                <w:sz w:val="24"/>
                <w:szCs w:val="24"/>
                <w:lang w:val="en-US" w:eastAsia="zh-CN"/>
                <w14:textFill>
                  <w14:solidFill>
                    <w14:schemeClr w14:val="tx1"/>
                  </w14:solidFill>
                </w14:textFill>
              </w:rPr>
            </w:pPr>
          </w:p>
        </w:tc>
        <w:tc>
          <w:tcPr>
            <w:tcW w:w="567" w:type="pct"/>
            <w:shd w:val="clear" w:color="auto" w:fill="auto"/>
            <w:vAlign w:val="center"/>
          </w:tcPr>
          <w:p w14:paraId="4693A52A">
            <w:pPr>
              <w:pStyle w:val="55"/>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HCl</w:t>
            </w:r>
          </w:p>
        </w:tc>
        <w:tc>
          <w:tcPr>
            <w:tcW w:w="504" w:type="pct"/>
            <w:vMerge w:val="continue"/>
            <w:shd w:val="clear" w:color="auto" w:fill="auto"/>
            <w:vAlign w:val="center"/>
          </w:tcPr>
          <w:p w14:paraId="7E941554">
            <w:pPr>
              <w:pStyle w:val="55"/>
              <w:rPr>
                <w:color w:val="000000" w:themeColor="text1"/>
                <w:sz w:val="24"/>
                <w:szCs w:val="24"/>
                <w14:textFill>
                  <w14:solidFill>
                    <w14:schemeClr w14:val="tx1"/>
                  </w14:solidFill>
                </w14:textFill>
              </w:rPr>
            </w:pPr>
          </w:p>
        </w:tc>
        <w:tc>
          <w:tcPr>
            <w:tcW w:w="1793" w:type="pct"/>
            <w:shd w:val="clear" w:color="auto" w:fill="auto"/>
            <w:vAlign w:val="center"/>
          </w:tcPr>
          <w:p w14:paraId="75CE4978">
            <w:pPr>
              <w:pStyle w:val="55"/>
              <w:bidi w:val="0"/>
              <w:rPr>
                <w:rFonts w:hint="default"/>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《大气污染物综合排放标准》</w:t>
            </w:r>
          </w:p>
          <w:p w14:paraId="331FFA6E">
            <w:pPr>
              <w:pStyle w:val="55"/>
              <w:rPr>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（GB16297-1996）表 2无组织排放监控浓度限值</w:t>
            </w:r>
          </w:p>
        </w:tc>
        <w:tc>
          <w:tcPr>
            <w:tcW w:w="752" w:type="pct"/>
            <w:shd w:val="clear" w:color="auto" w:fill="auto"/>
            <w:vAlign w:val="center"/>
          </w:tcPr>
          <w:p w14:paraId="0EFBBE8C">
            <w:pPr>
              <w:pStyle w:val="55"/>
              <w:rPr>
                <w:color w:val="000000" w:themeColor="text1"/>
                <w:sz w:val="24"/>
                <w:szCs w:val="24"/>
                <w14:textFill>
                  <w14:solidFill>
                    <w14:schemeClr w14:val="tx1"/>
                  </w14:solidFill>
                </w14:textFill>
              </w:rPr>
            </w:pPr>
            <w:r>
              <w:rPr>
                <w:rFonts w:hint="default"/>
                <w:color w:val="000000" w:themeColor="text1"/>
                <w:lang w:val="en-US" w:eastAsia="zh-CN"/>
                <w14:textFill>
                  <w14:solidFill>
                    <w14:schemeClr w14:val="tx1"/>
                  </w14:solidFill>
                </w14:textFill>
              </w:rPr>
              <w:t>0.</w:t>
            </w:r>
            <w:r>
              <w:rPr>
                <w:rFonts w:hint="eastAsia"/>
                <w:color w:val="000000" w:themeColor="text1"/>
                <w:lang w:val="en-US" w:eastAsia="zh-CN"/>
                <w14:textFill>
                  <w14:solidFill>
                    <w14:schemeClr w14:val="tx1"/>
                  </w14:solidFill>
                </w14:textFill>
              </w:rPr>
              <w:t>2</w:t>
            </w:r>
          </w:p>
        </w:tc>
        <w:tc>
          <w:tcPr>
            <w:tcW w:w="590" w:type="pct"/>
            <w:shd w:val="clear" w:color="auto" w:fill="auto"/>
            <w:vAlign w:val="center"/>
          </w:tcPr>
          <w:p w14:paraId="7A7671FB">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eastAsia" w:eastAsia="宋体"/>
                <w:color w:val="000000" w:themeColor="text1"/>
                <w:sz w:val="24"/>
                <w:szCs w:val="24"/>
                <w:lang w:val="en-US" w:eastAsia="zh-CN"/>
                <w14:textFill>
                  <w14:solidFill>
                    <w14:schemeClr w14:val="tx1"/>
                  </w14:solidFill>
                </w14:textFill>
              </w:rPr>
            </w:pPr>
            <w:r>
              <w:rPr>
                <w:rFonts w:hint="eastAsia" w:ascii="Times New Roman" w:hAnsi="Times New Roman" w:eastAsia="楷体" w:cs="Times New Roman"/>
                <w:sz w:val="24"/>
                <w:szCs w:val="24"/>
                <w:vertAlign w:val="baseline"/>
                <w:lang w:val="en-US" w:eastAsia="zh-CN"/>
              </w:rPr>
              <w:t>0.000</w:t>
            </w:r>
            <w:r>
              <w:rPr>
                <w:rFonts w:hint="eastAsia" w:eastAsia="楷体" w:cs="Times New Roman"/>
                <w:sz w:val="24"/>
                <w:szCs w:val="24"/>
                <w:vertAlign w:val="baseline"/>
                <w:lang w:val="en-US" w:eastAsia="zh-CN"/>
              </w:rPr>
              <w:t>1</w:t>
            </w:r>
          </w:p>
        </w:tc>
      </w:tr>
      <w:tr w14:paraId="0F4FA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5000" w:type="pct"/>
            <w:gridSpan w:val="7"/>
            <w:shd w:val="clear" w:color="auto" w:fill="auto"/>
            <w:vAlign w:val="center"/>
          </w:tcPr>
          <w:p w14:paraId="359ECD1E">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eastAsia" w:ascii="Times New Roman" w:hAnsi="Times New Roman" w:eastAsia="楷体" w:cs="Times New Roman"/>
                <w:sz w:val="24"/>
                <w:szCs w:val="24"/>
                <w:vertAlign w:val="baseline"/>
                <w:lang w:val="en-US" w:eastAsia="zh-CN"/>
              </w:rPr>
            </w:pPr>
            <w:r>
              <w:rPr>
                <w:rFonts w:hint="eastAsia" w:ascii="Times New Roman" w:hAnsi="Times New Roman" w:eastAsia="楷体" w:cstheme="minorBidi"/>
                <w:snapToGrid w:val="0"/>
                <w:color w:val="000000" w:themeColor="text1"/>
                <w:kern w:val="0"/>
                <w:sz w:val="24"/>
                <w:szCs w:val="24"/>
                <w:lang w:val="en-US" w:eastAsia="zh-CN" w:bidi="ar-SA"/>
                <w14:textFill>
                  <w14:solidFill>
                    <w14:schemeClr w14:val="tx1"/>
                  </w14:solidFill>
                </w14:textFill>
              </w:rPr>
              <w:t>无组织排放总计</w:t>
            </w:r>
          </w:p>
        </w:tc>
      </w:tr>
      <w:tr w14:paraId="5CF06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1359" w:type="pct"/>
            <w:gridSpan w:val="3"/>
            <w:vMerge w:val="restart"/>
            <w:shd w:val="clear" w:color="auto" w:fill="auto"/>
            <w:vAlign w:val="center"/>
          </w:tcPr>
          <w:p w14:paraId="5763B73D">
            <w:pPr>
              <w:pStyle w:val="55"/>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14:textFill>
                  <w14:solidFill>
                    <w14:schemeClr w14:val="tx1"/>
                  </w14:solidFill>
                </w14:textFill>
              </w:rPr>
              <w:t>无组织排放</w:t>
            </w:r>
            <w:r>
              <w:rPr>
                <w:color w:val="000000" w:themeColor="text1"/>
                <w:sz w:val="24"/>
                <w:szCs w:val="24"/>
                <w14:textFill>
                  <w14:solidFill>
                    <w14:schemeClr w14:val="tx1"/>
                  </w14:solidFill>
                </w14:textFill>
              </w:rPr>
              <w:t>总计</w:t>
            </w:r>
          </w:p>
        </w:tc>
        <w:tc>
          <w:tcPr>
            <w:tcW w:w="2298" w:type="pct"/>
            <w:gridSpan w:val="2"/>
            <w:shd w:val="clear" w:color="auto" w:fill="auto"/>
            <w:vAlign w:val="center"/>
          </w:tcPr>
          <w:p w14:paraId="152DBC6C">
            <w:pPr>
              <w:pStyle w:val="55"/>
              <w:bidi w:val="0"/>
              <w:rPr>
                <w:rFonts w:hint="default"/>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TSP</w:t>
            </w:r>
          </w:p>
        </w:tc>
        <w:tc>
          <w:tcPr>
            <w:tcW w:w="1342" w:type="pct"/>
            <w:gridSpan w:val="2"/>
            <w:shd w:val="clear" w:color="auto" w:fill="auto"/>
            <w:vAlign w:val="center"/>
          </w:tcPr>
          <w:p w14:paraId="41775CD9">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default" w:ascii="Times New Roman" w:hAnsi="Times New Roman" w:eastAsia="楷体" w:cs="Times New Roman"/>
                <w:sz w:val="24"/>
                <w:szCs w:val="24"/>
                <w:vertAlign w:val="baseline"/>
                <w:lang w:val="en-US" w:eastAsia="zh-CN"/>
              </w:rPr>
            </w:pPr>
            <w:r>
              <w:rPr>
                <w:rFonts w:hint="eastAsia" w:ascii="Times New Roman" w:hAnsi="Times New Roman" w:eastAsia="楷体" w:cs="Times New Roman"/>
                <w:sz w:val="24"/>
                <w:szCs w:val="24"/>
                <w:vertAlign w:val="baseline"/>
                <w:lang w:val="en-US" w:eastAsia="zh-CN"/>
              </w:rPr>
              <w:t>1.143</w:t>
            </w:r>
          </w:p>
        </w:tc>
      </w:tr>
      <w:tr w14:paraId="18301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1359" w:type="pct"/>
            <w:gridSpan w:val="3"/>
            <w:vMerge w:val="continue"/>
            <w:shd w:val="clear" w:color="auto" w:fill="auto"/>
            <w:vAlign w:val="center"/>
          </w:tcPr>
          <w:p w14:paraId="06E93897">
            <w:pPr>
              <w:pStyle w:val="55"/>
              <w:rPr>
                <w:rFonts w:hint="eastAsia"/>
                <w:color w:val="000000" w:themeColor="text1"/>
                <w:sz w:val="24"/>
                <w:szCs w:val="24"/>
                <w:lang w:val="en-US" w:eastAsia="zh-CN"/>
                <w14:textFill>
                  <w14:solidFill>
                    <w14:schemeClr w14:val="tx1"/>
                  </w14:solidFill>
                </w14:textFill>
              </w:rPr>
            </w:pPr>
          </w:p>
        </w:tc>
        <w:tc>
          <w:tcPr>
            <w:tcW w:w="2298" w:type="pct"/>
            <w:gridSpan w:val="2"/>
            <w:shd w:val="clear" w:color="auto" w:fill="auto"/>
            <w:vAlign w:val="center"/>
          </w:tcPr>
          <w:p w14:paraId="4EA20902">
            <w:pPr>
              <w:pStyle w:val="55"/>
              <w:bidi w:val="0"/>
              <w:rPr>
                <w:rFonts w:hint="default"/>
                <w:color w:val="000000" w:themeColor="text1"/>
                <w:sz w:val="24"/>
                <w:szCs w:val="24"/>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非甲烷总烃</w:t>
            </w:r>
          </w:p>
        </w:tc>
        <w:tc>
          <w:tcPr>
            <w:tcW w:w="1342" w:type="pct"/>
            <w:gridSpan w:val="2"/>
            <w:shd w:val="clear" w:color="auto" w:fill="auto"/>
            <w:vAlign w:val="center"/>
          </w:tcPr>
          <w:p w14:paraId="5E4E11E3">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default" w:ascii="Times New Roman" w:hAnsi="Times New Roman" w:eastAsia="楷体" w:cs="Times New Roman"/>
                <w:sz w:val="24"/>
                <w:szCs w:val="24"/>
                <w:vertAlign w:val="baseline"/>
                <w:lang w:val="en-US" w:eastAsia="zh-CN"/>
              </w:rPr>
            </w:pPr>
            <w:r>
              <w:rPr>
                <w:rFonts w:hint="eastAsia" w:ascii="Times New Roman" w:hAnsi="Times New Roman" w:eastAsia="楷体" w:cs="Times New Roman"/>
                <w:sz w:val="24"/>
                <w:szCs w:val="24"/>
                <w:vertAlign w:val="baseline"/>
                <w:lang w:val="en-US" w:eastAsia="zh-CN"/>
              </w:rPr>
              <w:t>1.15</w:t>
            </w:r>
          </w:p>
        </w:tc>
      </w:tr>
      <w:tr w14:paraId="4B2F8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1359" w:type="pct"/>
            <w:gridSpan w:val="3"/>
            <w:vMerge w:val="continue"/>
            <w:shd w:val="clear" w:color="auto" w:fill="auto"/>
            <w:vAlign w:val="center"/>
          </w:tcPr>
          <w:p w14:paraId="4C8A88EC">
            <w:pPr>
              <w:pStyle w:val="55"/>
              <w:rPr>
                <w:rFonts w:hint="eastAsia"/>
                <w:color w:val="000000" w:themeColor="text1"/>
                <w:sz w:val="24"/>
                <w:szCs w:val="24"/>
                <w:lang w:val="en-US" w:eastAsia="zh-CN"/>
                <w14:textFill>
                  <w14:solidFill>
                    <w14:schemeClr w14:val="tx1"/>
                  </w14:solidFill>
                </w14:textFill>
              </w:rPr>
            </w:pPr>
          </w:p>
        </w:tc>
        <w:tc>
          <w:tcPr>
            <w:tcW w:w="2298" w:type="pct"/>
            <w:gridSpan w:val="2"/>
            <w:shd w:val="clear" w:color="auto" w:fill="auto"/>
            <w:vAlign w:val="center"/>
          </w:tcPr>
          <w:p w14:paraId="61F78DA6">
            <w:pPr>
              <w:pStyle w:val="55"/>
              <w:rPr>
                <w:rFonts w:hint="default"/>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HCl</w:t>
            </w:r>
          </w:p>
        </w:tc>
        <w:tc>
          <w:tcPr>
            <w:tcW w:w="1342" w:type="pct"/>
            <w:gridSpan w:val="2"/>
            <w:shd w:val="clear" w:color="auto" w:fill="auto"/>
            <w:vAlign w:val="center"/>
          </w:tcPr>
          <w:p w14:paraId="2BD96D13">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default" w:ascii="Times New Roman" w:hAnsi="Times New Roman" w:eastAsia="楷体" w:cs="Times New Roman"/>
                <w:sz w:val="24"/>
                <w:szCs w:val="24"/>
                <w:vertAlign w:val="baseline"/>
                <w:lang w:val="en-US" w:eastAsia="zh-CN"/>
              </w:rPr>
            </w:pPr>
            <w:r>
              <w:rPr>
                <w:rFonts w:hint="eastAsia" w:ascii="Times New Roman" w:hAnsi="Times New Roman" w:eastAsia="楷体" w:cs="Times New Roman"/>
                <w:sz w:val="24"/>
                <w:szCs w:val="24"/>
                <w:vertAlign w:val="baseline"/>
                <w:lang w:val="en-US" w:eastAsia="zh-CN"/>
              </w:rPr>
              <w:t>0.0007</w:t>
            </w:r>
          </w:p>
        </w:tc>
      </w:tr>
    </w:tbl>
    <w:p w14:paraId="0B248E17">
      <w:pPr>
        <w:pStyle w:val="92"/>
        <w:bidi w:val="0"/>
        <w:ind w:left="0" w:leftChars="0" w:firstLine="0" w:firstLineChars="0"/>
        <w:rPr>
          <w:rFonts w:hint="eastAsia"/>
        </w:rPr>
      </w:pPr>
      <w:r>
        <w:rPr>
          <w:rFonts w:hint="eastAsia"/>
        </w:rPr>
        <w:t>防护距离</w:t>
      </w:r>
    </w:p>
    <w:p w14:paraId="117EBEAE">
      <w:pPr>
        <w:pStyle w:val="47"/>
        <w:bidi w:val="0"/>
      </w:pPr>
      <w:r>
        <w:rPr>
          <w:rFonts w:hint="eastAsia"/>
          <w:lang w:val="en-US" w:eastAsia="zh-CN"/>
        </w:rPr>
        <w:t>（1）</w:t>
      </w:r>
      <w:r>
        <w:t>大气防护距离</w:t>
      </w:r>
    </w:p>
    <w:p w14:paraId="61B3330E">
      <w:pPr>
        <w:pStyle w:val="47"/>
        <w:bidi w:val="0"/>
      </w:pPr>
      <w:r>
        <w:t>根据《环境影响评价技术导则</w:t>
      </w:r>
      <w:r>
        <w:rPr>
          <w:rFonts w:hint="default"/>
        </w:rPr>
        <w:t xml:space="preserve"> </w:t>
      </w:r>
      <w:r>
        <w:t>大气环境》（HJ2.2-2018）中的大气环境防护距离的要求，项目厂界浓度满足大气污染物厂界浓度限值，因此项目的不设置大气环境防护距离。</w:t>
      </w:r>
    </w:p>
    <w:p w14:paraId="03B4B882">
      <w:pPr>
        <w:pStyle w:val="47"/>
        <w:bidi w:val="0"/>
        <w:rPr>
          <w:rFonts w:hint="eastAsia"/>
          <w:lang w:eastAsia="zh-CN"/>
        </w:rPr>
      </w:pPr>
      <w:r>
        <w:rPr>
          <w:rFonts w:hint="eastAsia"/>
          <w:lang w:val="en-US" w:eastAsia="zh-CN"/>
        </w:rPr>
        <w:t>（2）</w:t>
      </w:r>
      <w:r>
        <w:rPr>
          <w:rFonts w:hint="eastAsia"/>
          <w:lang w:eastAsia="zh-CN"/>
        </w:rPr>
        <w:t>卫生防护距离</w:t>
      </w:r>
    </w:p>
    <w:p w14:paraId="64F9669B">
      <w:pPr>
        <w:pStyle w:val="47"/>
        <w:bidi w:val="0"/>
        <w:rPr>
          <w:rFonts w:hint="eastAsia"/>
          <w:lang w:eastAsia="zh-CN"/>
        </w:rPr>
      </w:pPr>
      <w:r>
        <w:rPr>
          <w:rFonts w:hint="eastAsia"/>
          <w:lang w:eastAsia="zh-CN"/>
        </w:rPr>
        <w:t>根据《塑料厂卫生防护距离标准》（GB/T18072-2000），环评建议：项目以生产车间为边界，四周向外设置100m的卫生防护距离，防护距离范围内不得新建学校、医院、居民区等敏感目标。</w:t>
      </w:r>
    </w:p>
    <w:p w14:paraId="19914F19">
      <w:pPr>
        <w:pStyle w:val="47"/>
        <w:bidi w:val="0"/>
      </w:pPr>
      <w:r>
        <w:rPr>
          <w:rFonts w:hint="eastAsia"/>
          <w:lang w:eastAsia="zh-CN"/>
        </w:rPr>
        <w:t>根据现状调查，</w:t>
      </w:r>
      <w:r>
        <w:rPr>
          <w:rFonts w:hint="eastAsia"/>
          <w:lang w:val="en-US" w:eastAsia="zh-CN"/>
        </w:rPr>
        <w:t>项目</w:t>
      </w:r>
      <w:r>
        <w:rPr>
          <w:rFonts w:hint="eastAsia"/>
        </w:rPr>
        <w:t>东侧为顺平县职业技术教育中心（</w:t>
      </w:r>
      <w:r>
        <w:rPr>
          <w:rFonts w:hint="eastAsia"/>
          <w:lang w:eastAsia="zh-CN"/>
        </w:rPr>
        <w:t>现已闲置</w:t>
      </w:r>
      <w:r>
        <w:rPr>
          <w:rFonts w:hint="eastAsia"/>
        </w:rPr>
        <w:t>），南侧隔顺高线为塑料机械厂，西侧为农田，北侧为闲置厂房</w:t>
      </w:r>
      <w:r>
        <w:rPr>
          <w:rFonts w:hint="eastAsia"/>
          <w:lang w:val="en-US" w:eastAsia="zh-CN"/>
        </w:rPr>
        <w:t>，项</w:t>
      </w:r>
      <w:r>
        <w:rPr>
          <w:rFonts w:hint="eastAsia"/>
          <w:lang w:eastAsia="zh-CN"/>
        </w:rPr>
        <w:t>目100m范围内无居民区、学校、医院等敏感点，符合卫生防护距离要求。</w:t>
      </w:r>
    </w:p>
    <w:p w14:paraId="279CDDE1">
      <w:pPr>
        <w:pStyle w:val="92"/>
        <w:bidi w:val="0"/>
        <w:ind w:left="0" w:leftChars="0" w:firstLine="0" w:firstLineChars="0"/>
        <w:rPr>
          <w:rFonts w:hint="eastAsia"/>
        </w:rPr>
      </w:pPr>
      <w:r>
        <w:rPr>
          <w:rFonts w:hint="eastAsia"/>
        </w:rPr>
        <w:t>大气环境影响评价自查表</w:t>
      </w:r>
    </w:p>
    <w:p w14:paraId="4995790C">
      <w:pPr>
        <w:pStyle w:val="47"/>
        <w:rPr>
          <w:rFonts w:hint="eastAsia"/>
        </w:rPr>
      </w:pPr>
      <w:r>
        <w:rPr>
          <w:rFonts w:hint="eastAsia"/>
        </w:rPr>
        <w:t>项目大气环境影响评价自查表见</w:t>
      </w:r>
      <w:r>
        <w:rPr>
          <w:rFonts w:hint="eastAsia"/>
          <w:lang w:val="en-US" w:eastAsia="zh-CN"/>
        </w:rPr>
        <w:t>下</w:t>
      </w:r>
      <w:r>
        <w:rPr>
          <w:rFonts w:hint="eastAsia"/>
        </w:rPr>
        <w:t>表。</w:t>
      </w:r>
    </w:p>
    <w:p w14:paraId="3B15B8C5">
      <w:pPr>
        <w:pStyle w:val="94"/>
        <w:bidi w:val="0"/>
        <w:ind w:left="0" w:leftChars="0" w:firstLine="0" w:firstLineChars="0"/>
        <w:rPr>
          <w:rFonts w:hint="default"/>
          <w:lang w:val="en-US"/>
        </w:rPr>
      </w:pPr>
      <w:r>
        <w:rPr>
          <w:rFonts w:hint="default"/>
          <w:lang w:val="en-US"/>
        </w:rPr>
        <w:t>建设项目大气环境影响评价自查表</w:t>
      </w:r>
    </w:p>
    <w:tbl>
      <w:tblPr>
        <w:tblStyle w:val="32"/>
        <w:tblW w:w="50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95"/>
        <w:gridCol w:w="1477"/>
        <w:gridCol w:w="795"/>
        <w:gridCol w:w="1176"/>
        <w:gridCol w:w="770"/>
        <w:gridCol w:w="482"/>
        <w:gridCol w:w="938"/>
        <w:gridCol w:w="890"/>
        <w:gridCol w:w="1154"/>
        <w:gridCol w:w="543"/>
        <w:gridCol w:w="5"/>
      </w:tblGrid>
      <w:tr w14:paraId="28912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340" w:type="pct"/>
            <w:gridSpan w:val="2"/>
            <w:vAlign w:val="center"/>
          </w:tcPr>
          <w:p w14:paraId="5E4D6553">
            <w:pPr>
              <w:pStyle w:val="55"/>
              <w:bidi w:val="0"/>
              <w:rPr>
                <w:rFonts w:hint="default"/>
              </w:rPr>
            </w:pPr>
            <w:r>
              <w:rPr>
                <w:rFonts w:hint="default"/>
              </w:rPr>
              <w:t>工作内容</w:t>
            </w:r>
          </w:p>
        </w:tc>
        <w:tc>
          <w:tcPr>
            <w:tcW w:w="3659" w:type="pct"/>
            <w:gridSpan w:val="9"/>
            <w:vAlign w:val="center"/>
          </w:tcPr>
          <w:p w14:paraId="26B2A2F6">
            <w:pPr>
              <w:pStyle w:val="55"/>
              <w:bidi w:val="0"/>
              <w:rPr>
                <w:rFonts w:hint="default"/>
              </w:rPr>
            </w:pPr>
            <w:r>
              <w:rPr>
                <w:rFonts w:hint="default"/>
              </w:rPr>
              <w:t>自查项目</w:t>
            </w:r>
          </w:p>
        </w:tc>
      </w:tr>
      <w:tr w14:paraId="5D8EE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539" w:type="pct"/>
            <w:vMerge w:val="restart"/>
            <w:vAlign w:val="center"/>
          </w:tcPr>
          <w:p w14:paraId="6CD51680">
            <w:pPr>
              <w:pStyle w:val="55"/>
              <w:bidi w:val="0"/>
              <w:rPr>
                <w:rFonts w:hint="default"/>
              </w:rPr>
            </w:pPr>
            <w:r>
              <w:rPr>
                <w:rFonts w:hint="default"/>
              </w:rPr>
              <w:t>评价等级与范围</w:t>
            </w:r>
          </w:p>
        </w:tc>
        <w:tc>
          <w:tcPr>
            <w:tcW w:w="800" w:type="pct"/>
            <w:vAlign w:val="center"/>
          </w:tcPr>
          <w:p w14:paraId="69DB8ABD">
            <w:pPr>
              <w:pStyle w:val="55"/>
              <w:bidi w:val="0"/>
              <w:rPr>
                <w:rFonts w:hint="default"/>
              </w:rPr>
            </w:pPr>
            <w:r>
              <w:rPr>
                <w:rFonts w:hint="default"/>
              </w:rPr>
              <w:t>评价等级</w:t>
            </w:r>
          </w:p>
        </w:tc>
        <w:tc>
          <w:tcPr>
            <w:tcW w:w="1068" w:type="pct"/>
            <w:gridSpan w:val="2"/>
            <w:vAlign w:val="center"/>
          </w:tcPr>
          <w:p w14:paraId="14DE3BCF">
            <w:pPr>
              <w:pStyle w:val="55"/>
              <w:bidi w:val="0"/>
              <w:rPr>
                <w:rFonts w:hint="default"/>
              </w:rPr>
            </w:pPr>
            <w:r>
              <w:rPr>
                <w:rFonts w:hint="default"/>
              </w:rPr>
              <w:t>一级□</w:t>
            </w:r>
          </w:p>
        </w:tc>
        <w:tc>
          <w:tcPr>
            <w:tcW w:w="1669" w:type="pct"/>
            <w:gridSpan w:val="4"/>
            <w:vAlign w:val="center"/>
          </w:tcPr>
          <w:p w14:paraId="1F3185C0">
            <w:pPr>
              <w:pStyle w:val="55"/>
              <w:bidi w:val="0"/>
              <w:rPr>
                <w:rFonts w:hint="default"/>
                <w:lang w:eastAsia="zh-CN"/>
              </w:rPr>
            </w:pPr>
            <w:r>
              <w:rPr>
                <w:rFonts w:hint="default"/>
              </w:rPr>
              <w:t>二级</w:t>
            </w:r>
            <w:r>
              <w:rPr>
                <w:rFonts w:hint="default"/>
                <w:lang w:eastAsia="zh-CN"/>
              </w:rPr>
              <w:t>☑</w:t>
            </w:r>
          </w:p>
        </w:tc>
        <w:tc>
          <w:tcPr>
            <w:tcW w:w="922" w:type="pct"/>
            <w:gridSpan w:val="3"/>
            <w:vAlign w:val="center"/>
          </w:tcPr>
          <w:p w14:paraId="3BC5CDCF">
            <w:pPr>
              <w:pStyle w:val="55"/>
              <w:bidi w:val="0"/>
              <w:rPr>
                <w:rFonts w:hint="default"/>
                <w:lang w:eastAsia="zh-CN"/>
              </w:rPr>
            </w:pPr>
            <w:r>
              <w:rPr>
                <w:rFonts w:hint="default"/>
              </w:rPr>
              <w:t>三级□</w:t>
            </w:r>
          </w:p>
        </w:tc>
      </w:tr>
      <w:tr w14:paraId="16388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539" w:type="pct"/>
            <w:vMerge w:val="continue"/>
            <w:vAlign w:val="center"/>
          </w:tcPr>
          <w:p w14:paraId="1A997D78">
            <w:pPr>
              <w:pStyle w:val="55"/>
              <w:bidi w:val="0"/>
              <w:rPr>
                <w:rFonts w:hint="default"/>
              </w:rPr>
            </w:pPr>
          </w:p>
        </w:tc>
        <w:tc>
          <w:tcPr>
            <w:tcW w:w="800" w:type="pct"/>
            <w:vAlign w:val="center"/>
          </w:tcPr>
          <w:p w14:paraId="0A996A52">
            <w:pPr>
              <w:pStyle w:val="55"/>
              <w:bidi w:val="0"/>
              <w:rPr>
                <w:rFonts w:hint="default"/>
              </w:rPr>
            </w:pPr>
            <w:r>
              <w:rPr>
                <w:rFonts w:hint="default"/>
              </w:rPr>
              <w:t>评价范围</w:t>
            </w:r>
          </w:p>
        </w:tc>
        <w:tc>
          <w:tcPr>
            <w:tcW w:w="1068" w:type="pct"/>
            <w:gridSpan w:val="2"/>
            <w:vAlign w:val="center"/>
          </w:tcPr>
          <w:p w14:paraId="2508FE72">
            <w:pPr>
              <w:pStyle w:val="55"/>
              <w:bidi w:val="0"/>
              <w:rPr>
                <w:rFonts w:hint="default"/>
              </w:rPr>
            </w:pPr>
            <w:r>
              <w:rPr>
                <w:rFonts w:hint="default"/>
              </w:rPr>
              <w:t>边长=50km□</w:t>
            </w:r>
          </w:p>
        </w:tc>
        <w:tc>
          <w:tcPr>
            <w:tcW w:w="1669" w:type="pct"/>
            <w:gridSpan w:val="4"/>
            <w:vAlign w:val="center"/>
          </w:tcPr>
          <w:p w14:paraId="60B32E2A">
            <w:pPr>
              <w:pStyle w:val="55"/>
              <w:bidi w:val="0"/>
              <w:rPr>
                <w:rFonts w:hint="default"/>
              </w:rPr>
            </w:pPr>
            <w:r>
              <w:rPr>
                <w:rFonts w:hint="default"/>
              </w:rPr>
              <w:t>边长=5</w:t>
            </w:r>
            <w:r>
              <w:rPr>
                <w:rFonts w:hint="default"/>
                <w:lang w:eastAsia="zh-CN"/>
              </w:rPr>
              <w:t>～</w:t>
            </w:r>
            <w:r>
              <w:rPr>
                <w:rFonts w:hint="default"/>
              </w:rPr>
              <w:t>50km□</w:t>
            </w:r>
          </w:p>
        </w:tc>
        <w:tc>
          <w:tcPr>
            <w:tcW w:w="922" w:type="pct"/>
            <w:gridSpan w:val="3"/>
            <w:vAlign w:val="center"/>
          </w:tcPr>
          <w:p w14:paraId="50203967">
            <w:pPr>
              <w:pStyle w:val="55"/>
              <w:bidi w:val="0"/>
              <w:rPr>
                <w:rFonts w:hint="default"/>
                <w:lang w:eastAsia="zh-CN"/>
              </w:rPr>
            </w:pPr>
            <w:r>
              <w:rPr>
                <w:rFonts w:hint="default"/>
              </w:rPr>
              <w:t>边长=5km</w:t>
            </w:r>
            <w:r>
              <w:rPr>
                <w:rFonts w:hint="default"/>
                <w:lang w:eastAsia="zh-CN"/>
              </w:rPr>
              <w:t>☑</w:t>
            </w:r>
          </w:p>
        </w:tc>
      </w:tr>
      <w:tr w14:paraId="6A192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539" w:type="pct"/>
            <w:vMerge w:val="restart"/>
            <w:vAlign w:val="center"/>
          </w:tcPr>
          <w:p w14:paraId="5B0B3A99">
            <w:pPr>
              <w:pStyle w:val="55"/>
              <w:bidi w:val="0"/>
              <w:rPr>
                <w:rFonts w:hint="default"/>
              </w:rPr>
            </w:pPr>
            <w:r>
              <w:rPr>
                <w:rFonts w:hint="default"/>
              </w:rPr>
              <w:t>评价因子</w:t>
            </w:r>
          </w:p>
        </w:tc>
        <w:tc>
          <w:tcPr>
            <w:tcW w:w="800" w:type="pct"/>
            <w:vAlign w:val="center"/>
          </w:tcPr>
          <w:p w14:paraId="05FA7364">
            <w:pPr>
              <w:pStyle w:val="55"/>
              <w:bidi w:val="0"/>
              <w:rPr>
                <w:rFonts w:hint="default"/>
              </w:rPr>
            </w:pPr>
            <w:r>
              <w:rPr>
                <w:rFonts w:hint="default"/>
              </w:rPr>
              <w:t>SO</w:t>
            </w:r>
            <w:r>
              <w:rPr>
                <w:rFonts w:hint="default"/>
                <w:vertAlign w:val="subscript"/>
              </w:rPr>
              <w:t>2</w:t>
            </w:r>
            <w:r>
              <w:rPr>
                <w:rFonts w:hint="default"/>
              </w:rPr>
              <w:t>+NOx</w:t>
            </w:r>
          </w:p>
          <w:p w14:paraId="041A7A40">
            <w:pPr>
              <w:pStyle w:val="55"/>
              <w:bidi w:val="0"/>
              <w:rPr>
                <w:rFonts w:hint="default"/>
              </w:rPr>
            </w:pPr>
            <w:r>
              <w:rPr>
                <w:rFonts w:hint="default"/>
              </w:rPr>
              <w:t>排放量</w:t>
            </w:r>
          </w:p>
        </w:tc>
        <w:tc>
          <w:tcPr>
            <w:tcW w:w="1068" w:type="pct"/>
            <w:gridSpan w:val="2"/>
            <w:vAlign w:val="center"/>
          </w:tcPr>
          <w:p w14:paraId="6D448F5D">
            <w:pPr>
              <w:pStyle w:val="55"/>
              <w:bidi w:val="0"/>
              <w:rPr>
                <w:rFonts w:hint="default"/>
              </w:rPr>
            </w:pPr>
            <w:r>
              <w:rPr>
                <w:rFonts w:hint="default"/>
              </w:rPr>
              <w:t>≥2000t/a□</w:t>
            </w:r>
          </w:p>
        </w:tc>
        <w:tc>
          <w:tcPr>
            <w:tcW w:w="1187" w:type="pct"/>
            <w:gridSpan w:val="3"/>
            <w:vAlign w:val="center"/>
          </w:tcPr>
          <w:p w14:paraId="20420823">
            <w:pPr>
              <w:pStyle w:val="55"/>
              <w:bidi w:val="0"/>
              <w:rPr>
                <w:rFonts w:hint="default"/>
              </w:rPr>
            </w:pPr>
            <w:r>
              <w:rPr>
                <w:rFonts w:hint="default"/>
              </w:rPr>
              <w:t>500</w:t>
            </w:r>
            <w:r>
              <w:rPr>
                <w:rFonts w:hint="default"/>
                <w:lang w:eastAsia="zh-CN"/>
              </w:rPr>
              <w:t>～</w:t>
            </w:r>
            <w:r>
              <w:rPr>
                <w:rFonts w:hint="default"/>
              </w:rPr>
              <w:t>2000t/a□</w:t>
            </w:r>
          </w:p>
        </w:tc>
        <w:tc>
          <w:tcPr>
            <w:tcW w:w="1404" w:type="pct"/>
            <w:gridSpan w:val="4"/>
            <w:vAlign w:val="center"/>
          </w:tcPr>
          <w:p w14:paraId="5268B0E1">
            <w:pPr>
              <w:pStyle w:val="55"/>
              <w:bidi w:val="0"/>
              <w:rPr>
                <w:rFonts w:hint="default"/>
              </w:rPr>
            </w:pPr>
            <w:r>
              <w:rPr>
                <w:rFonts w:hint="default"/>
              </w:rPr>
              <w:t>&lt;500t/a□</w:t>
            </w:r>
          </w:p>
        </w:tc>
      </w:tr>
      <w:tr w14:paraId="10A1E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539" w:type="pct"/>
            <w:vMerge w:val="continue"/>
            <w:vAlign w:val="center"/>
          </w:tcPr>
          <w:p w14:paraId="445603FD">
            <w:pPr>
              <w:pStyle w:val="55"/>
              <w:bidi w:val="0"/>
              <w:rPr>
                <w:rFonts w:hint="default"/>
              </w:rPr>
            </w:pPr>
          </w:p>
        </w:tc>
        <w:tc>
          <w:tcPr>
            <w:tcW w:w="800" w:type="pct"/>
            <w:vMerge w:val="restart"/>
            <w:vAlign w:val="center"/>
          </w:tcPr>
          <w:p w14:paraId="6C7A1674">
            <w:pPr>
              <w:pStyle w:val="55"/>
              <w:bidi w:val="0"/>
              <w:rPr>
                <w:rFonts w:hint="default"/>
              </w:rPr>
            </w:pPr>
            <w:r>
              <w:rPr>
                <w:rFonts w:hint="default"/>
              </w:rPr>
              <w:t>评价因子</w:t>
            </w:r>
          </w:p>
        </w:tc>
        <w:tc>
          <w:tcPr>
            <w:tcW w:w="2255" w:type="pct"/>
            <w:gridSpan w:val="5"/>
            <w:vMerge w:val="restart"/>
            <w:vAlign w:val="center"/>
          </w:tcPr>
          <w:p w14:paraId="5441B35D">
            <w:pPr>
              <w:pStyle w:val="55"/>
              <w:bidi w:val="0"/>
              <w:rPr>
                <w:rFonts w:hint="default"/>
              </w:rPr>
            </w:pPr>
            <w:r>
              <w:rPr>
                <w:rFonts w:hint="default"/>
              </w:rPr>
              <w:t>基本污染物（</w:t>
            </w:r>
            <w:r>
              <w:rPr>
                <w:rFonts w:hint="default"/>
                <w:lang w:val="en-US" w:eastAsia="zh-CN"/>
              </w:rPr>
              <w:t>颗粒物</w:t>
            </w:r>
            <w:r>
              <w:rPr>
                <w:rFonts w:hint="default"/>
              </w:rPr>
              <w:t>）</w:t>
            </w:r>
          </w:p>
          <w:p w14:paraId="6F8F8E38">
            <w:pPr>
              <w:pStyle w:val="55"/>
              <w:bidi w:val="0"/>
              <w:rPr>
                <w:rFonts w:hint="default"/>
              </w:rPr>
            </w:pPr>
            <w:r>
              <w:rPr>
                <w:rFonts w:hint="default"/>
              </w:rPr>
              <w:t>其他污染物（</w:t>
            </w:r>
            <w:r>
              <w:rPr>
                <w:rFonts w:hint="default"/>
                <w:lang w:val="en-US" w:eastAsia="zh-CN"/>
              </w:rPr>
              <w:t>非甲烷总烃</w:t>
            </w:r>
            <w:r>
              <w:rPr>
                <w:rFonts w:hint="eastAsia"/>
                <w:lang w:val="en-US" w:eastAsia="zh-CN"/>
              </w:rPr>
              <w:t>、HCl</w:t>
            </w:r>
            <w:r>
              <w:rPr>
                <w:rFonts w:hint="default"/>
              </w:rPr>
              <w:t>）</w:t>
            </w:r>
          </w:p>
        </w:tc>
        <w:tc>
          <w:tcPr>
            <w:tcW w:w="1404" w:type="pct"/>
            <w:gridSpan w:val="4"/>
            <w:vAlign w:val="center"/>
          </w:tcPr>
          <w:p w14:paraId="6E663339">
            <w:pPr>
              <w:pStyle w:val="55"/>
              <w:bidi w:val="0"/>
              <w:rPr>
                <w:rFonts w:hint="default"/>
              </w:rPr>
            </w:pPr>
            <w:r>
              <w:rPr>
                <w:rFonts w:hint="default"/>
              </w:rPr>
              <w:t>包括二次PM2.5□</w:t>
            </w:r>
          </w:p>
        </w:tc>
      </w:tr>
      <w:tr w14:paraId="6D7E6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539" w:type="pct"/>
            <w:vMerge w:val="continue"/>
            <w:vAlign w:val="center"/>
          </w:tcPr>
          <w:p w14:paraId="4F684DFD">
            <w:pPr>
              <w:pStyle w:val="55"/>
              <w:bidi w:val="0"/>
              <w:rPr>
                <w:rFonts w:hint="default"/>
              </w:rPr>
            </w:pPr>
          </w:p>
        </w:tc>
        <w:tc>
          <w:tcPr>
            <w:tcW w:w="800" w:type="pct"/>
            <w:vMerge w:val="continue"/>
            <w:vAlign w:val="center"/>
          </w:tcPr>
          <w:p w14:paraId="1686FF8B">
            <w:pPr>
              <w:pStyle w:val="55"/>
              <w:bidi w:val="0"/>
              <w:rPr>
                <w:rFonts w:hint="default"/>
              </w:rPr>
            </w:pPr>
          </w:p>
        </w:tc>
        <w:tc>
          <w:tcPr>
            <w:tcW w:w="2255" w:type="pct"/>
            <w:gridSpan w:val="5"/>
            <w:vMerge w:val="continue"/>
            <w:vAlign w:val="center"/>
          </w:tcPr>
          <w:p w14:paraId="6EA7EAA8">
            <w:pPr>
              <w:pStyle w:val="55"/>
              <w:bidi w:val="0"/>
              <w:rPr>
                <w:rFonts w:hint="default"/>
              </w:rPr>
            </w:pPr>
          </w:p>
        </w:tc>
        <w:tc>
          <w:tcPr>
            <w:tcW w:w="1404" w:type="pct"/>
            <w:gridSpan w:val="4"/>
            <w:vAlign w:val="center"/>
          </w:tcPr>
          <w:p w14:paraId="7C25EB7B">
            <w:pPr>
              <w:pStyle w:val="55"/>
              <w:bidi w:val="0"/>
              <w:rPr>
                <w:rFonts w:hint="default"/>
                <w:lang w:eastAsia="zh-CN"/>
              </w:rPr>
            </w:pPr>
            <w:r>
              <w:rPr>
                <w:rFonts w:hint="default"/>
              </w:rPr>
              <w:t>不包括二次PM2.5</w:t>
            </w:r>
            <w:r>
              <w:rPr>
                <w:rFonts w:hint="default"/>
                <w:lang w:eastAsia="zh-CN"/>
              </w:rPr>
              <w:t>☑</w:t>
            </w:r>
          </w:p>
        </w:tc>
      </w:tr>
      <w:tr w14:paraId="69F34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539" w:type="pct"/>
            <w:vAlign w:val="center"/>
          </w:tcPr>
          <w:p w14:paraId="05C1AB20">
            <w:pPr>
              <w:pStyle w:val="55"/>
              <w:bidi w:val="0"/>
              <w:rPr>
                <w:rFonts w:hint="default"/>
              </w:rPr>
            </w:pPr>
            <w:r>
              <w:rPr>
                <w:rFonts w:hint="default"/>
              </w:rPr>
              <w:t>评价标准</w:t>
            </w:r>
          </w:p>
        </w:tc>
        <w:tc>
          <w:tcPr>
            <w:tcW w:w="800" w:type="pct"/>
            <w:vAlign w:val="center"/>
          </w:tcPr>
          <w:p w14:paraId="16D34C75">
            <w:pPr>
              <w:pStyle w:val="55"/>
              <w:bidi w:val="0"/>
              <w:rPr>
                <w:rFonts w:hint="default"/>
              </w:rPr>
            </w:pPr>
            <w:r>
              <w:rPr>
                <w:rFonts w:hint="default"/>
              </w:rPr>
              <w:t>评价标准</w:t>
            </w:r>
          </w:p>
        </w:tc>
        <w:tc>
          <w:tcPr>
            <w:tcW w:w="1068" w:type="pct"/>
            <w:gridSpan w:val="2"/>
            <w:vAlign w:val="center"/>
          </w:tcPr>
          <w:p w14:paraId="716C02E4">
            <w:pPr>
              <w:pStyle w:val="55"/>
              <w:bidi w:val="0"/>
              <w:rPr>
                <w:rFonts w:hint="default"/>
                <w:lang w:eastAsia="zh-CN"/>
              </w:rPr>
            </w:pPr>
            <w:r>
              <w:rPr>
                <w:rFonts w:hint="default"/>
              </w:rPr>
              <w:t>国家标准</w:t>
            </w:r>
            <w:r>
              <w:rPr>
                <w:rFonts w:hint="default"/>
                <w:lang w:eastAsia="zh-CN"/>
              </w:rPr>
              <w:t>☑</w:t>
            </w:r>
          </w:p>
        </w:tc>
        <w:tc>
          <w:tcPr>
            <w:tcW w:w="1187" w:type="pct"/>
            <w:gridSpan w:val="3"/>
            <w:vAlign w:val="center"/>
          </w:tcPr>
          <w:p w14:paraId="140606C3">
            <w:pPr>
              <w:pStyle w:val="55"/>
              <w:bidi w:val="0"/>
              <w:rPr>
                <w:rFonts w:hint="eastAsia" w:eastAsia="楷体"/>
                <w:lang w:eastAsia="zh-CN"/>
              </w:rPr>
            </w:pPr>
            <w:r>
              <w:rPr>
                <w:rFonts w:hint="default"/>
              </w:rPr>
              <w:t>地方标准</w:t>
            </w:r>
            <w:r>
              <w:rPr>
                <w:rFonts w:hint="eastAsia"/>
                <w:lang w:eastAsia="zh-CN"/>
              </w:rPr>
              <w:t>☑</w:t>
            </w:r>
          </w:p>
        </w:tc>
        <w:tc>
          <w:tcPr>
            <w:tcW w:w="482" w:type="pct"/>
            <w:vAlign w:val="center"/>
          </w:tcPr>
          <w:p w14:paraId="57FA5D62">
            <w:pPr>
              <w:pStyle w:val="55"/>
              <w:bidi w:val="0"/>
              <w:rPr>
                <w:rFonts w:hint="eastAsia" w:eastAsia="楷体"/>
                <w:lang w:eastAsia="zh-CN"/>
              </w:rPr>
            </w:pPr>
            <w:r>
              <w:rPr>
                <w:rFonts w:hint="default"/>
              </w:rPr>
              <w:t>附录D</w:t>
            </w:r>
            <w:r>
              <w:rPr>
                <w:rFonts w:hint="eastAsia"/>
                <w:lang w:eastAsia="zh-CN"/>
              </w:rPr>
              <w:t>☑</w:t>
            </w:r>
          </w:p>
        </w:tc>
        <w:tc>
          <w:tcPr>
            <w:tcW w:w="922" w:type="pct"/>
            <w:gridSpan w:val="3"/>
            <w:vAlign w:val="center"/>
          </w:tcPr>
          <w:p w14:paraId="7C88D941">
            <w:pPr>
              <w:pStyle w:val="55"/>
              <w:bidi w:val="0"/>
              <w:rPr>
                <w:rFonts w:hint="default"/>
                <w:lang w:eastAsia="zh-CN"/>
              </w:rPr>
            </w:pPr>
            <w:r>
              <w:rPr>
                <w:rFonts w:hint="default"/>
              </w:rPr>
              <w:t>其他标准□</w:t>
            </w:r>
          </w:p>
        </w:tc>
      </w:tr>
      <w:tr w14:paraId="6CEE5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539" w:type="pct"/>
            <w:vMerge w:val="restart"/>
            <w:vAlign w:val="center"/>
          </w:tcPr>
          <w:p w14:paraId="06EFD899">
            <w:pPr>
              <w:pStyle w:val="55"/>
              <w:bidi w:val="0"/>
              <w:rPr>
                <w:rFonts w:hint="default"/>
              </w:rPr>
            </w:pPr>
            <w:r>
              <w:rPr>
                <w:rFonts w:hint="default"/>
              </w:rPr>
              <w:t>现状评价</w:t>
            </w:r>
          </w:p>
        </w:tc>
        <w:tc>
          <w:tcPr>
            <w:tcW w:w="800" w:type="pct"/>
            <w:vAlign w:val="center"/>
          </w:tcPr>
          <w:p w14:paraId="6C3310C3">
            <w:pPr>
              <w:pStyle w:val="55"/>
              <w:bidi w:val="0"/>
              <w:rPr>
                <w:rFonts w:hint="default"/>
              </w:rPr>
            </w:pPr>
            <w:r>
              <w:rPr>
                <w:rFonts w:hint="default"/>
              </w:rPr>
              <w:t>评价功能区</w:t>
            </w:r>
          </w:p>
        </w:tc>
        <w:tc>
          <w:tcPr>
            <w:tcW w:w="1068" w:type="pct"/>
            <w:gridSpan w:val="2"/>
            <w:vAlign w:val="center"/>
          </w:tcPr>
          <w:p w14:paraId="4256F7E7">
            <w:pPr>
              <w:pStyle w:val="55"/>
              <w:bidi w:val="0"/>
              <w:rPr>
                <w:rFonts w:hint="default"/>
              </w:rPr>
            </w:pPr>
            <w:r>
              <w:rPr>
                <w:rFonts w:hint="default"/>
              </w:rPr>
              <w:t>一类区□</w:t>
            </w:r>
          </w:p>
        </w:tc>
        <w:tc>
          <w:tcPr>
            <w:tcW w:w="1669" w:type="pct"/>
            <w:gridSpan w:val="4"/>
            <w:vAlign w:val="center"/>
          </w:tcPr>
          <w:p w14:paraId="2EFCBA60">
            <w:pPr>
              <w:pStyle w:val="55"/>
              <w:bidi w:val="0"/>
              <w:rPr>
                <w:rFonts w:hint="default"/>
              </w:rPr>
            </w:pPr>
            <w:r>
              <w:rPr>
                <w:rFonts w:hint="default"/>
              </w:rPr>
              <w:t>二类区</w:t>
            </w:r>
            <w:r>
              <w:rPr>
                <w:rFonts w:hint="default"/>
                <w:lang w:eastAsia="zh-CN"/>
              </w:rPr>
              <w:t>☑</w:t>
            </w:r>
            <w:r>
              <w:rPr>
                <w:rFonts w:hint="default"/>
              </w:rPr>
              <w:t></w:t>
            </w:r>
          </w:p>
        </w:tc>
        <w:tc>
          <w:tcPr>
            <w:tcW w:w="922" w:type="pct"/>
            <w:gridSpan w:val="3"/>
            <w:vAlign w:val="center"/>
          </w:tcPr>
          <w:p w14:paraId="59EDC20F">
            <w:pPr>
              <w:pStyle w:val="55"/>
              <w:bidi w:val="0"/>
              <w:rPr>
                <w:rFonts w:hint="default"/>
              </w:rPr>
            </w:pPr>
            <w:r>
              <w:rPr>
                <w:rFonts w:hint="default"/>
              </w:rPr>
              <w:t>一类区和二类区□</w:t>
            </w:r>
          </w:p>
        </w:tc>
      </w:tr>
      <w:tr w14:paraId="46EFB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539" w:type="pct"/>
            <w:vMerge w:val="continue"/>
            <w:vAlign w:val="center"/>
          </w:tcPr>
          <w:p w14:paraId="64A30DF0">
            <w:pPr>
              <w:pStyle w:val="55"/>
              <w:bidi w:val="0"/>
              <w:rPr>
                <w:rFonts w:hint="default"/>
              </w:rPr>
            </w:pPr>
          </w:p>
        </w:tc>
        <w:tc>
          <w:tcPr>
            <w:tcW w:w="800" w:type="pct"/>
            <w:vAlign w:val="center"/>
          </w:tcPr>
          <w:p w14:paraId="4E7004BB">
            <w:pPr>
              <w:pStyle w:val="55"/>
              <w:bidi w:val="0"/>
              <w:rPr>
                <w:rFonts w:hint="default"/>
              </w:rPr>
            </w:pPr>
            <w:r>
              <w:rPr>
                <w:rFonts w:hint="default"/>
              </w:rPr>
              <w:t>评价基准年</w:t>
            </w:r>
          </w:p>
        </w:tc>
        <w:tc>
          <w:tcPr>
            <w:tcW w:w="3659" w:type="pct"/>
            <w:gridSpan w:val="9"/>
            <w:vAlign w:val="center"/>
          </w:tcPr>
          <w:p w14:paraId="23D860CC">
            <w:pPr>
              <w:pStyle w:val="55"/>
              <w:bidi w:val="0"/>
              <w:rPr>
                <w:rFonts w:hint="default"/>
              </w:rPr>
            </w:pPr>
            <w:r>
              <w:rPr>
                <w:rFonts w:hint="default"/>
              </w:rPr>
              <w:t>（20</w:t>
            </w:r>
            <w:r>
              <w:rPr>
                <w:rFonts w:hint="default"/>
                <w:lang w:val="en-US" w:eastAsia="zh-CN"/>
              </w:rPr>
              <w:t>2</w:t>
            </w:r>
            <w:r>
              <w:rPr>
                <w:rFonts w:hint="eastAsia"/>
                <w:lang w:val="en-US" w:eastAsia="zh-CN"/>
              </w:rPr>
              <w:t>5</w:t>
            </w:r>
            <w:r>
              <w:rPr>
                <w:rFonts w:hint="default"/>
              </w:rPr>
              <w:t>）年</w:t>
            </w:r>
          </w:p>
        </w:tc>
      </w:tr>
      <w:tr w14:paraId="11DC4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539" w:type="pct"/>
            <w:vMerge w:val="continue"/>
            <w:vAlign w:val="center"/>
          </w:tcPr>
          <w:p w14:paraId="7B1CDC47">
            <w:pPr>
              <w:pStyle w:val="55"/>
              <w:bidi w:val="0"/>
              <w:rPr>
                <w:rFonts w:hint="default"/>
              </w:rPr>
            </w:pPr>
          </w:p>
        </w:tc>
        <w:tc>
          <w:tcPr>
            <w:tcW w:w="800" w:type="pct"/>
            <w:vAlign w:val="center"/>
          </w:tcPr>
          <w:p w14:paraId="6A845721">
            <w:pPr>
              <w:pStyle w:val="55"/>
              <w:bidi w:val="0"/>
              <w:rPr>
                <w:rFonts w:hint="default"/>
              </w:rPr>
            </w:pPr>
            <w:r>
              <w:rPr>
                <w:rFonts w:hint="default"/>
              </w:rPr>
              <w:t>环境空气质量现状调查数据来源</w:t>
            </w:r>
          </w:p>
        </w:tc>
        <w:tc>
          <w:tcPr>
            <w:tcW w:w="1068" w:type="pct"/>
            <w:gridSpan w:val="2"/>
            <w:vAlign w:val="center"/>
          </w:tcPr>
          <w:p w14:paraId="5D57D58B">
            <w:pPr>
              <w:pStyle w:val="55"/>
              <w:bidi w:val="0"/>
              <w:rPr>
                <w:rFonts w:hint="default"/>
              </w:rPr>
            </w:pPr>
            <w:r>
              <w:rPr>
                <w:rFonts w:hint="default"/>
              </w:rPr>
              <w:t>长期例行监测数据□</w:t>
            </w:r>
          </w:p>
        </w:tc>
        <w:tc>
          <w:tcPr>
            <w:tcW w:w="1669" w:type="pct"/>
            <w:gridSpan w:val="4"/>
            <w:vAlign w:val="center"/>
          </w:tcPr>
          <w:p w14:paraId="421DE80B">
            <w:pPr>
              <w:pStyle w:val="55"/>
              <w:bidi w:val="0"/>
              <w:rPr>
                <w:rFonts w:hint="default"/>
                <w:lang w:eastAsia="zh-CN"/>
              </w:rPr>
            </w:pPr>
            <w:r>
              <w:rPr>
                <w:rFonts w:hint="default"/>
              </w:rPr>
              <w:t>主管部门发布的数据</w:t>
            </w:r>
            <w:r>
              <w:rPr>
                <w:rFonts w:hint="default"/>
                <w:lang w:eastAsia="zh-CN"/>
              </w:rPr>
              <w:t>☑</w:t>
            </w:r>
          </w:p>
        </w:tc>
        <w:tc>
          <w:tcPr>
            <w:tcW w:w="922" w:type="pct"/>
            <w:gridSpan w:val="3"/>
            <w:vAlign w:val="center"/>
          </w:tcPr>
          <w:p w14:paraId="6C30BA67">
            <w:pPr>
              <w:pStyle w:val="55"/>
              <w:bidi w:val="0"/>
              <w:rPr>
                <w:rFonts w:hint="default"/>
                <w:lang w:eastAsia="zh-CN"/>
              </w:rPr>
            </w:pPr>
            <w:r>
              <w:rPr>
                <w:rFonts w:hint="default"/>
              </w:rPr>
              <w:t>现状补充检测</w:t>
            </w:r>
            <w:r>
              <w:rPr>
                <w:rFonts w:hint="default"/>
                <w:lang w:eastAsia="zh-CN"/>
              </w:rPr>
              <w:t>☑</w:t>
            </w:r>
          </w:p>
        </w:tc>
      </w:tr>
      <w:tr w14:paraId="01C3B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539" w:type="pct"/>
            <w:vMerge w:val="continue"/>
            <w:vAlign w:val="center"/>
          </w:tcPr>
          <w:p w14:paraId="08DE1D55">
            <w:pPr>
              <w:pStyle w:val="55"/>
              <w:bidi w:val="0"/>
              <w:rPr>
                <w:rFonts w:hint="default"/>
              </w:rPr>
            </w:pPr>
          </w:p>
        </w:tc>
        <w:tc>
          <w:tcPr>
            <w:tcW w:w="800" w:type="pct"/>
            <w:vAlign w:val="center"/>
          </w:tcPr>
          <w:p w14:paraId="6E74F491">
            <w:pPr>
              <w:pStyle w:val="55"/>
              <w:bidi w:val="0"/>
              <w:rPr>
                <w:rFonts w:hint="default"/>
              </w:rPr>
            </w:pPr>
            <w:r>
              <w:rPr>
                <w:rFonts w:hint="default"/>
              </w:rPr>
              <w:t>现状评价</w:t>
            </w:r>
          </w:p>
        </w:tc>
        <w:tc>
          <w:tcPr>
            <w:tcW w:w="2255" w:type="pct"/>
            <w:gridSpan w:val="5"/>
            <w:vAlign w:val="center"/>
          </w:tcPr>
          <w:p w14:paraId="418C09A9">
            <w:pPr>
              <w:pStyle w:val="55"/>
              <w:bidi w:val="0"/>
              <w:rPr>
                <w:rFonts w:hint="default"/>
              </w:rPr>
            </w:pPr>
            <w:r>
              <w:rPr>
                <w:rFonts w:hint="default"/>
              </w:rPr>
              <w:t>达标区□</w:t>
            </w:r>
          </w:p>
        </w:tc>
        <w:tc>
          <w:tcPr>
            <w:tcW w:w="1404" w:type="pct"/>
            <w:gridSpan w:val="4"/>
            <w:vAlign w:val="center"/>
          </w:tcPr>
          <w:p w14:paraId="16CFFBA1">
            <w:pPr>
              <w:pStyle w:val="55"/>
              <w:bidi w:val="0"/>
              <w:rPr>
                <w:rFonts w:hint="default"/>
                <w:lang w:eastAsia="zh-CN"/>
              </w:rPr>
            </w:pPr>
            <w:r>
              <w:rPr>
                <w:rFonts w:hint="default"/>
              </w:rPr>
              <w:t>不达标区</w:t>
            </w:r>
            <w:r>
              <w:rPr>
                <w:rFonts w:hint="default"/>
                <w:lang w:eastAsia="zh-CN"/>
              </w:rPr>
              <w:t>☑</w:t>
            </w:r>
          </w:p>
        </w:tc>
      </w:tr>
      <w:tr w14:paraId="51874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539" w:type="pct"/>
            <w:vMerge w:val="restart"/>
            <w:vAlign w:val="center"/>
          </w:tcPr>
          <w:p w14:paraId="6C3508F6">
            <w:pPr>
              <w:pStyle w:val="55"/>
              <w:bidi w:val="0"/>
              <w:rPr>
                <w:rFonts w:hint="default"/>
              </w:rPr>
            </w:pPr>
            <w:r>
              <w:rPr>
                <w:rFonts w:hint="default"/>
              </w:rPr>
              <w:t>污染源调查</w:t>
            </w:r>
          </w:p>
        </w:tc>
        <w:tc>
          <w:tcPr>
            <w:tcW w:w="800" w:type="pct"/>
            <w:vMerge w:val="restart"/>
            <w:vAlign w:val="center"/>
          </w:tcPr>
          <w:p w14:paraId="7DC54A03">
            <w:pPr>
              <w:pStyle w:val="55"/>
              <w:bidi w:val="0"/>
              <w:rPr>
                <w:rFonts w:hint="default"/>
              </w:rPr>
            </w:pPr>
            <w:r>
              <w:rPr>
                <w:rFonts w:hint="default"/>
              </w:rPr>
              <w:t>调查内容</w:t>
            </w:r>
          </w:p>
        </w:tc>
        <w:tc>
          <w:tcPr>
            <w:tcW w:w="1068" w:type="pct"/>
            <w:gridSpan w:val="2"/>
            <w:vAlign w:val="center"/>
          </w:tcPr>
          <w:p w14:paraId="2AD554CC">
            <w:pPr>
              <w:pStyle w:val="55"/>
              <w:bidi w:val="0"/>
              <w:rPr>
                <w:rFonts w:hint="default"/>
                <w:lang w:eastAsia="zh-CN"/>
              </w:rPr>
            </w:pPr>
            <w:r>
              <w:rPr>
                <w:rFonts w:hint="default"/>
              </w:rPr>
              <w:t>本项目正常排放源</w:t>
            </w:r>
            <w:r>
              <w:rPr>
                <w:rFonts w:hint="default"/>
                <w:lang w:eastAsia="zh-CN"/>
              </w:rPr>
              <w:t>☑</w:t>
            </w:r>
          </w:p>
        </w:tc>
        <w:tc>
          <w:tcPr>
            <w:tcW w:w="1187" w:type="pct"/>
            <w:gridSpan w:val="3"/>
            <w:vMerge w:val="restart"/>
            <w:vAlign w:val="center"/>
          </w:tcPr>
          <w:p w14:paraId="01AFC3BD">
            <w:pPr>
              <w:pStyle w:val="55"/>
              <w:bidi w:val="0"/>
              <w:rPr>
                <w:rFonts w:hint="default"/>
              </w:rPr>
            </w:pPr>
            <w:r>
              <w:rPr>
                <w:rFonts w:hint="default"/>
              </w:rPr>
              <w:t>拟替代的污染源□</w:t>
            </w:r>
          </w:p>
        </w:tc>
        <w:tc>
          <w:tcPr>
            <w:tcW w:w="482" w:type="pct"/>
            <w:vMerge w:val="restart"/>
            <w:vAlign w:val="center"/>
          </w:tcPr>
          <w:p w14:paraId="3A9DFBAD">
            <w:pPr>
              <w:pStyle w:val="55"/>
              <w:bidi w:val="0"/>
              <w:rPr>
                <w:rFonts w:hint="default"/>
                <w:lang w:eastAsia="zh-CN"/>
              </w:rPr>
            </w:pPr>
            <w:r>
              <w:rPr>
                <w:rFonts w:hint="default"/>
              </w:rPr>
              <w:t>其他在建、拟建项目污染源□</w:t>
            </w:r>
          </w:p>
        </w:tc>
        <w:tc>
          <w:tcPr>
            <w:tcW w:w="922" w:type="pct"/>
            <w:gridSpan w:val="3"/>
            <w:vMerge w:val="restart"/>
            <w:vAlign w:val="center"/>
          </w:tcPr>
          <w:p w14:paraId="085852AC">
            <w:pPr>
              <w:pStyle w:val="55"/>
              <w:bidi w:val="0"/>
              <w:rPr>
                <w:rFonts w:hint="default"/>
              </w:rPr>
            </w:pPr>
            <w:r>
              <w:rPr>
                <w:rFonts w:hint="default"/>
              </w:rPr>
              <w:t>区域污染源□</w:t>
            </w:r>
          </w:p>
        </w:tc>
      </w:tr>
      <w:tr w14:paraId="71B38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539" w:type="pct"/>
            <w:vMerge w:val="continue"/>
            <w:vAlign w:val="center"/>
          </w:tcPr>
          <w:p w14:paraId="7F390D89">
            <w:pPr>
              <w:pStyle w:val="55"/>
              <w:bidi w:val="0"/>
              <w:rPr>
                <w:rFonts w:hint="default"/>
              </w:rPr>
            </w:pPr>
          </w:p>
        </w:tc>
        <w:tc>
          <w:tcPr>
            <w:tcW w:w="800" w:type="pct"/>
            <w:vMerge w:val="continue"/>
            <w:vAlign w:val="center"/>
          </w:tcPr>
          <w:p w14:paraId="7DABBB8C">
            <w:pPr>
              <w:pStyle w:val="55"/>
              <w:bidi w:val="0"/>
              <w:rPr>
                <w:rFonts w:hint="default"/>
              </w:rPr>
            </w:pPr>
          </w:p>
        </w:tc>
        <w:tc>
          <w:tcPr>
            <w:tcW w:w="1068" w:type="pct"/>
            <w:gridSpan w:val="2"/>
            <w:vAlign w:val="center"/>
          </w:tcPr>
          <w:p w14:paraId="51F181BD">
            <w:pPr>
              <w:pStyle w:val="55"/>
              <w:bidi w:val="0"/>
              <w:rPr>
                <w:rFonts w:hint="default"/>
                <w:lang w:eastAsia="zh-CN"/>
              </w:rPr>
            </w:pPr>
            <w:r>
              <w:rPr>
                <w:rFonts w:hint="default"/>
              </w:rPr>
              <w:t>本项目非正常排放源</w:t>
            </w:r>
            <w:r>
              <w:rPr>
                <w:rFonts w:hint="default"/>
                <w:lang w:eastAsia="zh-CN"/>
              </w:rPr>
              <w:t>☑</w:t>
            </w:r>
          </w:p>
        </w:tc>
        <w:tc>
          <w:tcPr>
            <w:tcW w:w="1187" w:type="pct"/>
            <w:gridSpan w:val="3"/>
            <w:vMerge w:val="continue"/>
            <w:vAlign w:val="center"/>
          </w:tcPr>
          <w:p w14:paraId="4ACEC43F">
            <w:pPr>
              <w:pStyle w:val="55"/>
              <w:bidi w:val="0"/>
              <w:rPr>
                <w:rFonts w:hint="default"/>
              </w:rPr>
            </w:pPr>
          </w:p>
        </w:tc>
        <w:tc>
          <w:tcPr>
            <w:tcW w:w="482" w:type="pct"/>
            <w:vMerge w:val="continue"/>
            <w:vAlign w:val="center"/>
          </w:tcPr>
          <w:p w14:paraId="4C28AF52">
            <w:pPr>
              <w:pStyle w:val="55"/>
              <w:bidi w:val="0"/>
              <w:rPr>
                <w:rFonts w:hint="default"/>
              </w:rPr>
            </w:pPr>
          </w:p>
        </w:tc>
        <w:tc>
          <w:tcPr>
            <w:tcW w:w="922" w:type="pct"/>
            <w:gridSpan w:val="3"/>
            <w:vMerge w:val="continue"/>
            <w:vAlign w:val="center"/>
          </w:tcPr>
          <w:p w14:paraId="4F817ADD">
            <w:pPr>
              <w:pStyle w:val="55"/>
              <w:bidi w:val="0"/>
              <w:rPr>
                <w:rFonts w:hint="default"/>
              </w:rPr>
            </w:pPr>
          </w:p>
        </w:tc>
      </w:tr>
      <w:tr w14:paraId="562EB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539" w:type="pct"/>
            <w:vMerge w:val="continue"/>
            <w:vAlign w:val="center"/>
          </w:tcPr>
          <w:p w14:paraId="737EFC26">
            <w:pPr>
              <w:pStyle w:val="55"/>
              <w:bidi w:val="0"/>
              <w:rPr>
                <w:rFonts w:hint="default"/>
              </w:rPr>
            </w:pPr>
          </w:p>
        </w:tc>
        <w:tc>
          <w:tcPr>
            <w:tcW w:w="800" w:type="pct"/>
            <w:vMerge w:val="continue"/>
            <w:vAlign w:val="center"/>
          </w:tcPr>
          <w:p w14:paraId="40A6BB69">
            <w:pPr>
              <w:pStyle w:val="55"/>
              <w:bidi w:val="0"/>
              <w:rPr>
                <w:rFonts w:hint="default"/>
              </w:rPr>
            </w:pPr>
          </w:p>
        </w:tc>
        <w:tc>
          <w:tcPr>
            <w:tcW w:w="1068" w:type="pct"/>
            <w:gridSpan w:val="2"/>
            <w:vAlign w:val="center"/>
          </w:tcPr>
          <w:p w14:paraId="629F228F">
            <w:pPr>
              <w:pStyle w:val="55"/>
              <w:bidi w:val="0"/>
              <w:rPr>
                <w:rFonts w:hint="default"/>
              </w:rPr>
            </w:pPr>
            <w:r>
              <w:rPr>
                <w:rFonts w:hint="default"/>
              </w:rPr>
              <w:t>现有污染源□</w:t>
            </w:r>
          </w:p>
        </w:tc>
        <w:tc>
          <w:tcPr>
            <w:tcW w:w="1187" w:type="pct"/>
            <w:gridSpan w:val="3"/>
            <w:vMerge w:val="continue"/>
            <w:vAlign w:val="center"/>
          </w:tcPr>
          <w:p w14:paraId="4B00221C">
            <w:pPr>
              <w:pStyle w:val="55"/>
              <w:bidi w:val="0"/>
              <w:rPr>
                <w:rFonts w:hint="default"/>
              </w:rPr>
            </w:pPr>
          </w:p>
        </w:tc>
        <w:tc>
          <w:tcPr>
            <w:tcW w:w="482" w:type="pct"/>
            <w:vMerge w:val="continue"/>
            <w:vAlign w:val="center"/>
          </w:tcPr>
          <w:p w14:paraId="7295F6E5">
            <w:pPr>
              <w:pStyle w:val="55"/>
              <w:bidi w:val="0"/>
              <w:rPr>
                <w:rFonts w:hint="default"/>
              </w:rPr>
            </w:pPr>
          </w:p>
        </w:tc>
        <w:tc>
          <w:tcPr>
            <w:tcW w:w="922" w:type="pct"/>
            <w:gridSpan w:val="3"/>
            <w:vMerge w:val="continue"/>
            <w:vAlign w:val="center"/>
          </w:tcPr>
          <w:p w14:paraId="1AC53890">
            <w:pPr>
              <w:pStyle w:val="55"/>
              <w:bidi w:val="0"/>
              <w:rPr>
                <w:rFonts w:hint="default"/>
              </w:rPr>
            </w:pPr>
          </w:p>
        </w:tc>
      </w:tr>
      <w:tr w14:paraId="53334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539" w:type="pct"/>
            <w:vMerge w:val="restart"/>
            <w:vAlign w:val="center"/>
          </w:tcPr>
          <w:p w14:paraId="35678A94">
            <w:pPr>
              <w:pStyle w:val="55"/>
              <w:bidi w:val="0"/>
              <w:rPr>
                <w:rFonts w:hint="default"/>
              </w:rPr>
            </w:pPr>
            <w:r>
              <w:rPr>
                <w:rFonts w:hint="default"/>
              </w:rPr>
              <w:t>大气环境影响预测与评价</w:t>
            </w:r>
          </w:p>
        </w:tc>
        <w:tc>
          <w:tcPr>
            <w:tcW w:w="800" w:type="pct"/>
            <w:vAlign w:val="center"/>
          </w:tcPr>
          <w:p w14:paraId="384FFD7E">
            <w:pPr>
              <w:pStyle w:val="55"/>
              <w:bidi w:val="0"/>
              <w:rPr>
                <w:rFonts w:hint="default"/>
              </w:rPr>
            </w:pPr>
            <w:r>
              <w:rPr>
                <w:rFonts w:hint="default"/>
              </w:rPr>
              <w:t>预测模型</w:t>
            </w:r>
          </w:p>
        </w:tc>
        <w:tc>
          <w:tcPr>
            <w:tcW w:w="430" w:type="pct"/>
            <w:vAlign w:val="center"/>
          </w:tcPr>
          <w:p w14:paraId="516475F6">
            <w:pPr>
              <w:pStyle w:val="55"/>
              <w:bidi w:val="0"/>
              <w:rPr>
                <w:rFonts w:hint="default"/>
              </w:rPr>
            </w:pPr>
            <w:r>
              <w:rPr>
                <w:rFonts w:hint="default"/>
              </w:rPr>
              <w:t>AERMOD□</w:t>
            </w:r>
          </w:p>
        </w:tc>
        <w:tc>
          <w:tcPr>
            <w:tcW w:w="637" w:type="pct"/>
            <w:vAlign w:val="center"/>
          </w:tcPr>
          <w:p w14:paraId="6713D010">
            <w:pPr>
              <w:pStyle w:val="55"/>
              <w:bidi w:val="0"/>
              <w:rPr>
                <w:rFonts w:hint="default"/>
              </w:rPr>
            </w:pPr>
            <w:r>
              <w:rPr>
                <w:rFonts w:hint="default"/>
              </w:rPr>
              <w:t>ADMS□</w:t>
            </w:r>
          </w:p>
        </w:tc>
        <w:tc>
          <w:tcPr>
            <w:tcW w:w="417" w:type="pct"/>
            <w:vAlign w:val="center"/>
          </w:tcPr>
          <w:p w14:paraId="1BA523D3">
            <w:pPr>
              <w:pStyle w:val="55"/>
              <w:bidi w:val="0"/>
              <w:rPr>
                <w:rFonts w:hint="default"/>
              </w:rPr>
            </w:pPr>
            <w:r>
              <w:rPr>
                <w:rFonts w:hint="default"/>
              </w:rPr>
              <w:t>AUSTAL2000□</w:t>
            </w:r>
          </w:p>
        </w:tc>
        <w:tc>
          <w:tcPr>
            <w:tcW w:w="769" w:type="pct"/>
            <w:gridSpan w:val="2"/>
            <w:vAlign w:val="center"/>
          </w:tcPr>
          <w:p w14:paraId="4AB138A2">
            <w:pPr>
              <w:pStyle w:val="55"/>
              <w:bidi w:val="0"/>
              <w:rPr>
                <w:rFonts w:hint="default"/>
              </w:rPr>
            </w:pPr>
            <w:r>
              <w:rPr>
                <w:rFonts w:hint="default"/>
              </w:rPr>
              <w:t>EDMS/AEDT□</w:t>
            </w:r>
          </w:p>
        </w:tc>
        <w:tc>
          <w:tcPr>
            <w:tcW w:w="482" w:type="pct"/>
            <w:vAlign w:val="center"/>
          </w:tcPr>
          <w:p w14:paraId="10CE3991">
            <w:pPr>
              <w:pStyle w:val="55"/>
              <w:bidi w:val="0"/>
              <w:rPr>
                <w:rFonts w:hint="default"/>
              </w:rPr>
            </w:pPr>
            <w:r>
              <w:rPr>
                <w:rFonts w:hint="default"/>
              </w:rPr>
              <w:t>CALPUFF□</w:t>
            </w:r>
          </w:p>
        </w:tc>
        <w:tc>
          <w:tcPr>
            <w:tcW w:w="625" w:type="pct"/>
            <w:vAlign w:val="center"/>
          </w:tcPr>
          <w:p w14:paraId="0D636FE0">
            <w:pPr>
              <w:pStyle w:val="55"/>
              <w:bidi w:val="0"/>
              <w:rPr>
                <w:rFonts w:hint="default"/>
              </w:rPr>
            </w:pPr>
            <w:r>
              <w:rPr>
                <w:rFonts w:hint="default"/>
              </w:rPr>
              <w:t>网格模型□</w:t>
            </w:r>
          </w:p>
        </w:tc>
        <w:tc>
          <w:tcPr>
            <w:tcW w:w="296" w:type="pct"/>
            <w:gridSpan w:val="2"/>
            <w:vAlign w:val="center"/>
          </w:tcPr>
          <w:p w14:paraId="6F52ED51">
            <w:pPr>
              <w:pStyle w:val="55"/>
              <w:bidi w:val="0"/>
              <w:rPr>
                <w:rFonts w:hint="eastAsia" w:eastAsia="楷体"/>
                <w:lang w:eastAsia="zh-CN"/>
              </w:rPr>
            </w:pPr>
            <w:r>
              <w:rPr>
                <w:rFonts w:hint="default"/>
              </w:rPr>
              <w:t>其他</w:t>
            </w:r>
            <w:r>
              <w:rPr>
                <w:rFonts w:hint="eastAsia"/>
                <w:lang w:eastAsia="zh-CN"/>
              </w:rPr>
              <w:t>☑</w:t>
            </w:r>
          </w:p>
        </w:tc>
      </w:tr>
      <w:tr w14:paraId="46732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539" w:type="pct"/>
            <w:vMerge w:val="continue"/>
            <w:vAlign w:val="center"/>
          </w:tcPr>
          <w:p w14:paraId="287A61CD">
            <w:pPr>
              <w:pStyle w:val="55"/>
              <w:bidi w:val="0"/>
              <w:rPr>
                <w:rFonts w:hint="default"/>
              </w:rPr>
            </w:pPr>
          </w:p>
        </w:tc>
        <w:tc>
          <w:tcPr>
            <w:tcW w:w="800" w:type="pct"/>
            <w:vAlign w:val="center"/>
          </w:tcPr>
          <w:p w14:paraId="13B7CE31">
            <w:pPr>
              <w:pStyle w:val="55"/>
              <w:bidi w:val="0"/>
              <w:rPr>
                <w:rFonts w:hint="default"/>
              </w:rPr>
            </w:pPr>
            <w:r>
              <w:rPr>
                <w:rFonts w:hint="default"/>
              </w:rPr>
              <w:t>预测范围</w:t>
            </w:r>
          </w:p>
        </w:tc>
        <w:tc>
          <w:tcPr>
            <w:tcW w:w="1068" w:type="pct"/>
            <w:gridSpan w:val="2"/>
            <w:vAlign w:val="center"/>
          </w:tcPr>
          <w:p w14:paraId="002CA7F4">
            <w:pPr>
              <w:pStyle w:val="55"/>
              <w:bidi w:val="0"/>
              <w:rPr>
                <w:rFonts w:hint="default"/>
              </w:rPr>
            </w:pPr>
            <w:r>
              <w:rPr>
                <w:rFonts w:hint="default"/>
              </w:rPr>
              <w:t>边长≥50km□</w:t>
            </w:r>
          </w:p>
        </w:tc>
        <w:tc>
          <w:tcPr>
            <w:tcW w:w="1669" w:type="pct"/>
            <w:gridSpan w:val="4"/>
            <w:vAlign w:val="center"/>
          </w:tcPr>
          <w:p w14:paraId="72B0B9B7">
            <w:pPr>
              <w:pStyle w:val="55"/>
              <w:bidi w:val="0"/>
              <w:rPr>
                <w:rFonts w:hint="default"/>
              </w:rPr>
            </w:pPr>
            <w:r>
              <w:rPr>
                <w:rFonts w:hint="default"/>
              </w:rPr>
              <w:t>边长5</w:t>
            </w:r>
            <w:r>
              <w:rPr>
                <w:rFonts w:hint="default"/>
                <w:lang w:eastAsia="zh-CN"/>
              </w:rPr>
              <w:t>～</w:t>
            </w:r>
            <w:r>
              <w:rPr>
                <w:rFonts w:hint="default"/>
              </w:rPr>
              <w:t>50km□</w:t>
            </w:r>
          </w:p>
        </w:tc>
        <w:tc>
          <w:tcPr>
            <w:tcW w:w="922" w:type="pct"/>
            <w:gridSpan w:val="3"/>
            <w:vAlign w:val="center"/>
          </w:tcPr>
          <w:p w14:paraId="6F26098E">
            <w:pPr>
              <w:pStyle w:val="55"/>
              <w:bidi w:val="0"/>
              <w:rPr>
                <w:rFonts w:hint="eastAsia" w:eastAsia="楷体"/>
                <w:lang w:eastAsia="zh-CN"/>
              </w:rPr>
            </w:pPr>
            <w:r>
              <w:rPr>
                <w:rFonts w:hint="default"/>
              </w:rPr>
              <w:t>边长=5km</w:t>
            </w:r>
            <w:r>
              <w:rPr>
                <w:rFonts w:hint="eastAsia"/>
                <w:lang w:eastAsia="zh-CN"/>
              </w:rPr>
              <w:t>☑</w:t>
            </w:r>
          </w:p>
        </w:tc>
      </w:tr>
      <w:tr w14:paraId="7F4F4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539" w:type="pct"/>
            <w:vMerge w:val="continue"/>
            <w:vAlign w:val="center"/>
          </w:tcPr>
          <w:p w14:paraId="2187B08A">
            <w:pPr>
              <w:pStyle w:val="55"/>
              <w:bidi w:val="0"/>
              <w:rPr>
                <w:rFonts w:hint="default"/>
              </w:rPr>
            </w:pPr>
          </w:p>
        </w:tc>
        <w:tc>
          <w:tcPr>
            <w:tcW w:w="800" w:type="pct"/>
            <w:vMerge w:val="restart"/>
            <w:vAlign w:val="center"/>
          </w:tcPr>
          <w:p w14:paraId="6ACCFE33">
            <w:pPr>
              <w:pStyle w:val="55"/>
              <w:bidi w:val="0"/>
              <w:rPr>
                <w:rFonts w:hint="default"/>
              </w:rPr>
            </w:pPr>
            <w:r>
              <w:rPr>
                <w:rFonts w:hint="default"/>
              </w:rPr>
              <w:t>预测因子</w:t>
            </w:r>
          </w:p>
        </w:tc>
        <w:tc>
          <w:tcPr>
            <w:tcW w:w="2255" w:type="pct"/>
            <w:gridSpan w:val="5"/>
            <w:vMerge w:val="restart"/>
            <w:vAlign w:val="center"/>
          </w:tcPr>
          <w:p w14:paraId="31AE3902">
            <w:pPr>
              <w:pStyle w:val="55"/>
              <w:bidi w:val="0"/>
              <w:rPr>
                <w:rFonts w:hint="default"/>
              </w:rPr>
            </w:pPr>
            <w:r>
              <w:rPr>
                <w:rFonts w:hint="default"/>
              </w:rPr>
              <w:t>预测因子（</w:t>
            </w:r>
            <w:r>
              <w:rPr>
                <w:rFonts w:hint="eastAsia"/>
                <w:lang w:val="en-US" w:eastAsia="zh-CN"/>
              </w:rPr>
              <w:t>颗粒物、</w:t>
            </w:r>
            <w:r>
              <w:rPr>
                <w:rFonts w:hint="default"/>
                <w:lang w:val="en-US" w:eastAsia="zh-CN"/>
              </w:rPr>
              <w:t>非甲烷总烃</w:t>
            </w:r>
            <w:r>
              <w:rPr>
                <w:rFonts w:hint="eastAsia"/>
                <w:lang w:val="en-US" w:eastAsia="zh-CN"/>
              </w:rPr>
              <w:t>、HCl</w:t>
            </w:r>
            <w:r>
              <w:rPr>
                <w:rFonts w:hint="default"/>
              </w:rPr>
              <w:t>）</w:t>
            </w:r>
          </w:p>
        </w:tc>
        <w:tc>
          <w:tcPr>
            <w:tcW w:w="1404" w:type="pct"/>
            <w:gridSpan w:val="4"/>
            <w:vAlign w:val="center"/>
          </w:tcPr>
          <w:p w14:paraId="2CC6D191">
            <w:pPr>
              <w:pStyle w:val="55"/>
              <w:bidi w:val="0"/>
              <w:rPr>
                <w:rFonts w:hint="default"/>
                <w:lang w:eastAsia="zh-CN"/>
              </w:rPr>
            </w:pPr>
            <w:r>
              <w:rPr>
                <w:rFonts w:hint="default"/>
              </w:rPr>
              <w:t>包括二次PM2.5□</w:t>
            </w:r>
          </w:p>
        </w:tc>
      </w:tr>
      <w:tr w14:paraId="5FAA3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539" w:type="pct"/>
            <w:vMerge w:val="continue"/>
            <w:vAlign w:val="center"/>
          </w:tcPr>
          <w:p w14:paraId="3D07F97E">
            <w:pPr>
              <w:pStyle w:val="55"/>
              <w:bidi w:val="0"/>
              <w:rPr>
                <w:rFonts w:hint="default"/>
              </w:rPr>
            </w:pPr>
          </w:p>
        </w:tc>
        <w:tc>
          <w:tcPr>
            <w:tcW w:w="800" w:type="pct"/>
            <w:vMerge w:val="continue"/>
            <w:vAlign w:val="center"/>
          </w:tcPr>
          <w:p w14:paraId="437ABAA9">
            <w:pPr>
              <w:pStyle w:val="55"/>
              <w:bidi w:val="0"/>
              <w:rPr>
                <w:rFonts w:hint="default"/>
              </w:rPr>
            </w:pPr>
          </w:p>
        </w:tc>
        <w:tc>
          <w:tcPr>
            <w:tcW w:w="2255" w:type="pct"/>
            <w:gridSpan w:val="5"/>
            <w:vMerge w:val="continue"/>
            <w:vAlign w:val="center"/>
          </w:tcPr>
          <w:p w14:paraId="2236CCAA">
            <w:pPr>
              <w:pStyle w:val="55"/>
              <w:bidi w:val="0"/>
              <w:rPr>
                <w:rFonts w:hint="default"/>
              </w:rPr>
            </w:pPr>
          </w:p>
        </w:tc>
        <w:tc>
          <w:tcPr>
            <w:tcW w:w="1404" w:type="pct"/>
            <w:gridSpan w:val="4"/>
            <w:vAlign w:val="center"/>
          </w:tcPr>
          <w:p w14:paraId="5F25D881">
            <w:pPr>
              <w:pStyle w:val="55"/>
              <w:bidi w:val="0"/>
              <w:rPr>
                <w:rFonts w:hint="default"/>
                <w:lang w:eastAsia="zh-CN"/>
              </w:rPr>
            </w:pPr>
            <w:r>
              <w:rPr>
                <w:rFonts w:hint="default"/>
              </w:rPr>
              <w:t>不包括二次PM2.5</w:t>
            </w:r>
            <w:r>
              <w:rPr>
                <w:rFonts w:hint="default"/>
                <w:lang w:eastAsia="zh-CN"/>
              </w:rPr>
              <w:t>☑</w:t>
            </w:r>
          </w:p>
        </w:tc>
      </w:tr>
      <w:tr w14:paraId="36D58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539" w:type="pct"/>
            <w:vMerge w:val="continue"/>
            <w:vAlign w:val="center"/>
          </w:tcPr>
          <w:p w14:paraId="1E7E7CBD">
            <w:pPr>
              <w:pStyle w:val="55"/>
              <w:bidi w:val="0"/>
              <w:rPr>
                <w:rFonts w:hint="default"/>
              </w:rPr>
            </w:pPr>
          </w:p>
        </w:tc>
        <w:tc>
          <w:tcPr>
            <w:tcW w:w="800" w:type="pct"/>
            <w:vAlign w:val="center"/>
          </w:tcPr>
          <w:p w14:paraId="52FA99D9">
            <w:pPr>
              <w:pStyle w:val="55"/>
              <w:bidi w:val="0"/>
              <w:rPr>
                <w:rFonts w:hint="default"/>
              </w:rPr>
            </w:pPr>
            <w:r>
              <w:rPr>
                <w:rFonts w:hint="default"/>
              </w:rPr>
              <w:t>正常排放</w:t>
            </w:r>
          </w:p>
          <w:p w14:paraId="5B8AFD6F">
            <w:pPr>
              <w:pStyle w:val="55"/>
              <w:bidi w:val="0"/>
              <w:rPr>
                <w:rFonts w:hint="default"/>
              </w:rPr>
            </w:pPr>
            <w:r>
              <w:rPr>
                <w:rFonts w:hint="default"/>
              </w:rPr>
              <w:t>短期浓度贡献值</w:t>
            </w:r>
          </w:p>
        </w:tc>
        <w:tc>
          <w:tcPr>
            <w:tcW w:w="2255" w:type="pct"/>
            <w:gridSpan w:val="5"/>
            <w:vAlign w:val="center"/>
          </w:tcPr>
          <w:p w14:paraId="7B6A3051">
            <w:pPr>
              <w:pStyle w:val="55"/>
              <w:bidi w:val="0"/>
              <w:rPr>
                <w:rFonts w:hint="eastAsia" w:eastAsia="楷体"/>
                <w:lang w:eastAsia="zh-CN"/>
              </w:rPr>
            </w:pPr>
            <w:r>
              <w:rPr>
                <w:rFonts w:hint="default"/>
              </w:rPr>
              <w:t>C本项目最大占标率≤100%</w:t>
            </w:r>
            <w:r>
              <w:rPr>
                <w:rFonts w:hint="eastAsia"/>
                <w:lang w:eastAsia="zh-CN"/>
              </w:rPr>
              <w:t>□</w:t>
            </w:r>
          </w:p>
        </w:tc>
        <w:tc>
          <w:tcPr>
            <w:tcW w:w="1404" w:type="pct"/>
            <w:gridSpan w:val="4"/>
            <w:vAlign w:val="center"/>
          </w:tcPr>
          <w:p w14:paraId="4B6C4A76">
            <w:pPr>
              <w:pStyle w:val="55"/>
              <w:bidi w:val="0"/>
              <w:rPr>
                <w:rFonts w:hint="default"/>
              </w:rPr>
            </w:pPr>
            <w:r>
              <w:rPr>
                <w:rFonts w:hint="default"/>
              </w:rPr>
              <w:t>C本项目最大占标率&gt;100%□</w:t>
            </w:r>
          </w:p>
        </w:tc>
      </w:tr>
      <w:tr w14:paraId="71F41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539" w:type="pct"/>
            <w:vMerge w:val="continue"/>
            <w:vAlign w:val="center"/>
          </w:tcPr>
          <w:p w14:paraId="187D80D5">
            <w:pPr>
              <w:pStyle w:val="55"/>
              <w:bidi w:val="0"/>
              <w:rPr>
                <w:rFonts w:hint="default"/>
              </w:rPr>
            </w:pPr>
          </w:p>
        </w:tc>
        <w:tc>
          <w:tcPr>
            <w:tcW w:w="800" w:type="pct"/>
            <w:vMerge w:val="restart"/>
            <w:vAlign w:val="center"/>
          </w:tcPr>
          <w:p w14:paraId="244819A6">
            <w:pPr>
              <w:pStyle w:val="55"/>
              <w:bidi w:val="0"/>
              <w:rPr>
                <w:rFonts w:hint="default"/>
              </w:rPr>
            </w:pPr>
            <w:r>
              <w:rPr>
                <w:rFonts w:hint="default"/>
              </w:rPr>
              <w:t>正常排放年均浓度贡献值</w:t>
            </w:r>
          </w:p>
        </w:tc>
        <w:tc>
          <w:tcPr>
            <w:tcW w:w="430" w:type="pct"/>
            <w:vAlign w:val="center"/>
          </w:tcPr>
          <w:p w14:paraId="47DDDF2B">
            <w:pPr>
              <w:pStyle w:val="55"/>
              <w:bidi w:val="0"/>
              <w:rPr>
                <w:rFonts w:hint="default"/>
              </w:rPr>
            </w:pPr>
            <w:r>
              <w:rPr>
                <w:rFonts w:hint="default"/>
              </w:rPr>
              <w:t>一类区</w:t>
            </w:r>
          </w:p>
        </w:tc>
        <w:tc>
          <w:tcPr>
            <w:tcW w:w="1824" w:type="pct"/>
            <w:gridSpan w:val="4"/>
            <w:vAlign w:val="center"/>
          </w:tcPr>
          <w:p w14:paraId="5DB3F2FF">
            <w:pPr>
              <w:pStyle w:val="55"/>
              <w:bidi w:val="0"/>
              <w:rPr>
                <w:rFonts w:hint="default"/>
              </w:rPr>
            </w:pPr>
            <w:r>
              <w:rPr>
                <w:rFonts w:hint="default"/>
              </w:rPr>
              <w:t>C本项目最大占标率≤10%□</w:t>
            </w:r>
          </w:p>
        </w:tc>
        <w:tc>
          <w:tcPr>
            <w:tcW w:w="1404" w:type="pct"/>
            <w:gridSpan w:val="4"/>
            <w:vAlign w:val="center"/>
          </w:tcPr>
          <w:p w14:paraId="4ACB6782">
            <w:pPr>
              <w:pStyle w:val="55"/>
              <w:bidi w:val="0"/>
              <w:rPr>
                <w:rFonts w:hint="default"/>
              </w:rPr>
            </w:pPr>
            <w:r>
              <w:rPr>
                <w:rFonts w:hint="default"/>
              </w:rPr>
              <w:t>C本项目最大占标率&gt;10%□</w:t>
            </w:r>
          </w:p>
        </w:tc>
      </w:tr>
      <w:tr w14:paraId="13EFC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539" w:type="pct"/>
            <w:vMerge w:val="continue"/>
            <w:vAlign w:val="center"/>
          </w:tcPr>
          <w:p w14:paraId="3FDE2B74">
            <w:pPr>
              <w:pStyle w:val="55"/>
              <w:bidi w:val="0"/>
              <w:rPr>
                <w:rFonts w:hint="default"/>
              </w:rPr>
            </w:pPr>
          </w:p>
        </w:tc>
        <w:tc>
          <w:tcPr>
            <w:tcW w:w="800" w:type="pct"/>
            <w:vMerge w:val="continue"/>
            <w:vAlign w:val="center"/>
          </w:tcPr>
          <w:p w14:paraId="4DF7E011">
            <w:pPr>
              <w:pStyle w:val="55"/>
              <w:bidi w:val="0"/>
              <w:rPr>
                <w:rFonts w:hint="default"/>
              </w:rPr>
            </w:pPr>
          </w:p>
        </w:tc>
        <w:tc>
          <w:tcPr>
            <w:tcW w:w="430" w:type="pct"/>
            <w:vAlign w:val="center"/>
          </w:tcPr>
          <w:p w14:paraId="44CD105F">
            <w:pPr>
              <w:pStyle w:val="55"/>
              <w:bidi w:val="0"/>
              <w:rPr>
                <w:rFonts w:hint="default"/>
              </w:rPr>
            </w:pPr>
            <w:r>
              <w:rPr>
                <w:rFonts w:hint="default"/>
              </w:rPr>
              <w:t>二类区</w:t>
            </w:r>
          </w:p>
        </w:tc>
        <w:tc>
          <w:tcPr>
            <w:tcW w:w="1824" w:type="pct"/>
            <w:gridSpan w:val="4"/>
            <w:vAlign w:val="center"/>
          </w:tcPr>
          <w:p w14:paraId="3109FE2F">
            <w:pPr>
              <w:pStyle w:val="55"/>
              <w:bidi w:val="0"/>
              <w:rPr>
                <w:rFonts w:hint="default"/>
              </w:rPr>
            </w:pPr>
            <w:r>
              <w:rPr>
                <w:rFonts w:hint="default"/>
              </w:rPr>
              <w:t>C本项目最大占标率≤30%□</w:t>
            </w:r>
          </w:p>
        </w:tc>
        <w:tc>
          <w:tcPr>
            <w:tcW w:w="1404" w:type="pct"/>
            <w:gridSpan w:val="4"/>
            <w:vAlign w:val="center"/>
          </w:tcPr>
          <w:p w14:paraId="3E8F9C20">
            <w:pPr>
              <w:pStyle w:val="55"/>
              <w:bidi w:val="0"/>
              <w:rPr>
                <w:rFonts w:hint="default"/>
              </w:rPr>
            </w:pPr>
            <w:r>
              <w:rPr>
                <w:rFonts w:hint="default"/>
              </w:rPr>
              <w:t>C本项目最大占标</w:t>
            </w:r>
          </w:p>
          <w:p w14:paraId="75519FF9">
            <w:pPr>
              <w:pStyle w:val="55"/>
              <w:bidi w:val="0"/>
              <w:rPr>
                <w:rFonts w:hint="default"/>
              </w:rPr>
            </w:pPr>
            <w:r>
              <w:rPr>
                <w:rFonts w:hint="default"/>
              </w:rPr>
              <w:t>率&gt;30%□</w:t>
            </w:r>
          </w:p>
        </w:tc>
      </w:tr>
      <w:tr w14:paraId="43822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539" w:type="pct"/>
            <w:vMerge w:val="continue"/>
            <w:vAlign w:val="center"/>
          </w:tcPr>
          <w:p w14:paraId="064159A4">
            <w:pPr>
              <w:pStyle w:val="55"/>
              <w:bidi w:val="0"/>
              <w:rPr>
                <w:rFonts w:hint="default"/>
              </w:rPr>
            </w:pPr>
          </w:p>
        </w:tc>
        <w:tc>
          <w:tcPr>
            <w:tcW w:w="800" w:type="pct"/>
            <w:vMerge w:val="restart"/>
            <w:vAlign w:val="center"/>
          </w:tcPr>
          <w:p w14:paraId="783853AA">
            <w:pPr>
              <w:pStyle w:val="55"/>
              <w:bidi w:val="0"/>
              <w:rPr>
                <w:rFonts w:hint="default"/>
              </w:rPr>
            </w:pPr>
            <w:r>
              <w:rPr>
                <w:rFonts w:hint="default"/>
              </w:rPr>
              <w:t>非正常1h</w:t>
            </w:r>
          </w:p>
          <w:p w14:paraId="57BD9F59">
            <w:pPr>
              <w:pStyle w:val="55"/>
              <w:bidi w:val="0"/>
              <w:rPr>
                <w:rFonts w:hint="default"/>
              </w:rPr>
            </w:pPr>
            <w:r>
              <w:rPr>
                <w:rFonts w:hint="default"/>
              </w:rPr>
              <w:t>浓度贡献值</w:t>
            </w:r>
          </w:p>
        </w:tc>
        <w:tc>
          <w:tcPr>
            <w:tcW w:w="1068" w:type="pct"/>
            <w:gridSpan w:val="2"/>
            <w:vAlign w:val="center"/>
          </w:tcPr>
          <w:p w14:paraId="29F6FDE9">
            <w:pPr>
              <w:pStyle w:val="55"/>
              <w:bidi w:val="0"/>
              <w:rPr>
                <w:rFonts w:hint="default"/>
              </w:rPr>
            </w:pPr>
            <w:r>
              <w:rPr>
                <w:rFonts w:hint="default"/>
              </w:rPr>
              <w:t>非正常持续时长</w:t>
            </w:r>
          </w:p>
        </w:tc>
        <w:tc>
          <w:tcPr>
            <w:tcW w:w="1669" w:type="pct"/>
            <w:gridSpan w:val="4"/>
            <w:vMerge w:val="restart"/>
            <w:vAlign w:val="center"/>
          </w:tcPr>
          <w:p w14:paraId="11380247">
            <w:pPr>
              <w:pStyle w:val="55"/>
              <w:bidi w:val="0"/>
              <w:rPr>
                <w:rFonts w:hint="default"/>
              </w:rPr>
            </w:pPr>
            <w:r>
              <w:rPr>
                <w:rFonts w:hint="default"/>
              </w:rPr>
              <w:t>C非正常占标率≤100%□</w:t>
            </w:r>
          </w:p>
        </w:tc>
        <w:tc>
          <w:tcPr>
            <w:tcW w:w="922" w:type="pct"/>
            <w:gridSpan w:val="3"/>
            <w:vMerge w:val="restart"/>
            <w:vAlign w:val="center"/>
          </w:tcPr>
          <w:p w14:paraId="2F1CAEB8">
            <w:pPr>
              <w:pStyle w:val="55"/>
              <w:bidi w:val="0"/>
              <w:rPr>
                <w:rFonts w:hint="eastAsia" w:eastAsia="楷体"/>
                <w:lang w:eastAsia="zh-CN"/>
              </w:rPr>
            </w:pPr>
            <w:r>
              <w:rPr>
                <w:rFonts w:hint="default"/>
              </w:rPr>
              <w:t>C非正常占标率&gt;100%</w:t>
            </w:r>
            <w:r>
              <w:rPr>
                <w:rFonts w:hint="eastAsia"/>
                <w:lang w:eastAsia="zh-CN"/>
              </w:rPr>
              <w:t>☑</w:t>
            </w:r>
          </w:p>
        </w:tc>
      </w:tr>
      <w:tr w14:paraId="6041A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539" w:type="pct"/>
            <w:vMerge w:val="continue"/>
            <w:vAlign w:val="center"/>
          </w:tcPr>
          <w:p w14:paraId="139C327E">
            <w:pPr>
              <w:pStyle w:val="55"/>
              <w:bidi w:val="0"/>
              <w:rPr>
                <w:rFonts w:hint="default"/>
              </w:rPr>
            </w:pPr>
          </w:p>
        </w:tc>
        <w:tc>
          <w:tcPr>
            <w:tcW w:w="800" w:type="pct"/>
            <w:vMerge w:val="continue"/>
            <w:vAlign w:val="center"/>
          </w:tcPr>
          <w:p w14:paraId="17F3A296">
            <w:pPr>
              <w:pStyle w:val="55"/>
              <w:bidi w:val="0"/>
              <w:rPr>
                <w:rFonts w:hint="default"/>
              </w:rPr>
            </w:pPr>
          </w:p>
        </w:tc>
        <w:tc>
          <w:tcPr>
            <w:tcW w:w="1068" w:type="pct"/>
            <w:gridSpan w:val="2"/>
            <w:vAlign w:val="center"/>
          </w:tcPr>
          <w:p w14:paraId="5721EC51">
            <w:pPr>
              <w:pStyle w:val="55"/>
              <w:bidi w:val="0"/>
              <w:rPr>
                <w:rFonts w:hint="default"/>
              </w:rPr>
            </w:pPr>
            <w:r>
              <w:rPr>
                <w:rFonts w:hint="default"/>
              </w:rPr>
              <w:t>（</w:t>
            </w:r>
            <w:r>
              <w:rPr>
                <w:rFonts w:hint="eastAsia"/>
                <w:lang w:val="en-US" w:eastAsia="zh-CN"/>
              </w:rPr>
              <w:t>1</w:t>
            </w:r>
            <w:r>
              <w:rPr>
                <w:rFonts w:hint="default"/>
              </w:rPr>
              <w:t>）h</w:t>
            </w:r>
          </w:p>
        </w:tc>
        <w:tc>
          <w:tcPr>
            <w:tcW w:w="1669" w:type="pct"/>
            <w:gridSpan w:val="4"/>
            <w:vMerge w:val="continue"/>
            <w:vAlign w:val="center"/>
          </w:tcPr>
          <w:p w14:paraId="16624552">
            <w:pPr>
              <w:pStyle w:val="55"/>
              <w:bidi w:val="0"/>
              <w:rPr>
                <w:rFonts w:hint="default"/>
              </w:rPr>
            </w:pPr>
          </w:p>
        </w:tc>
        <w:tc>
          <w:tcPr>
            <w:tcW w:w="922" w:type="pct"/>
            <w:gridSpan w:val="3"/>
            <w:vMerge w:val="continue"/>
            <w:vAlign w:val="center"/>
          </w:tcPr>
          <w:p w14:paraId="75F07661">
            <w:pPr>
              <w:pStyle w:val="55"/>
              <w:bidi w:val="0"/>
              <w:rPr>
                <w:rFonts w:hint="default"/>
              </w:rPr>
            </w:pPr>
          </w:p>
        </w:tc>
      </w:tr>
      <w:tr w14:paraId="11987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539" w:type="pct"/>
            <w:vMerge w:val="continue"/>
            <w:vAlign w:val="center"/>
          </w:tcPr>
          <w:p w14:paraId="36DFA5CE">
            <w:pPr>
              <w:pStyle w:val="55"/>
              <w:bidi w:val="0"/>
              <w:rPr>
                <w:rFonts w:hint="default"/>
              </w:rPr>
            </w:pPr>
          </w:p>
        </w:tc>
        <w:tc>
          <w:tcPr>
            <w:tcW w:w="800" w:type="pct"/>
            <w:vAlign w:val="center"/>
          </w:tcPr>
          <w:p w14:paraId="5A9F327D">
            <w:pPr>
              <w:pStyle w:val="55"/>
              <w:bidi w:val="0"/>
              <w:rPr>
                <w:rFonts w:hint="default"/>
              </w:rPr>
            </w:pPr>
            <w:r>
              <w:rPr>
                <w:rFonts w:hint="default"/>
              </w:rPr>
              <w:t>保证率日平均浓度和年平均浓度叠加值</w:t>
            </w:r>
          </w:p>
        </w:tc>
        <w:tc>
          <w:tcPr>
            <w:tcW w:w="2255" w:type="pct"/>
            <w:gridSpan w:val="5"/>
            <w:vAlign w:val="center"/>
          </w:tcPr>
          <w:p w14:paraId="11ABFD1D">
            <w:pPr>
              <w:pStyle w:val="55"/>
              <w:bidi w:val="0"/>
              <w:rPr>
                <w:rFonts w:hint="default"/>
              </w:rPr>
            </w:pPr>
            <w:r>
              <w:rPr>
                <w:rFonts w:hint="default"/>
              </w:rPr>
              <w:t>C叠加达标□</w:t>
            </w:r>
          </w:p>
        </w:tc>
        <w:tc>
          <w:tcPr>
            <w:tcW w:w="1404" w:type="pct"/>
            <w:gridSpan w:val="4"/>
            <w:vAlign w:val="center"/>
          </w:tcPr>
          <w:p w14:paraId="297267D7">
            <w:pPr>
              <w:pStyle w:val="55"/>
              <w:bidi w:val="0"/>
              <w:rPr>
                <w:rFonts w:hint="default"/>
              </w:rPr>
            </w:pPr>
            <w:r>
              <w:rPr>
                <w:rFonts w:hint="default"/>
              </w:rPr>
              <w:t>C叠加不达标□</w:t>
            </w:r>
          </w:p>
        </w:tc>
      </w:tr>
      <w:tr w14:paraId="13A08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539" w:type="pct"/>
            <w:vMerge w:val="continue"/>
            <w:vAlign w:val="center"/>
          </w:tcPr>
          <w:p w14:paraId="317C0D69">
            <w:pPr>
              <w:pStyle w:val="55"/>
              <w:bidi w:val="0"/>
              <w:rPr>
                <w:rFonts w:hint="default"/>
              </w:rPr>
            </w:pPr>
          </w:p>
        </w:tc>
        <w:tc>
          <w:tcPr>
            <w:tcW w:w="800" w:type="pct"/>
            <w:vAlign w:val="center"/>
          </w:tcPr>
          <w:p w14:paraId="0C898B87">
            <w:pPr>
              <w:pStyle w:val="55"/>
              <w:bidi w:val="0"/>
              <w:rPr>
                <w:rFonts w:hint="default"/>
              </w:rPr>
            </w:pPr>
            <w:r>
              <w:rPr>
                <w:rFonts w:hint="default"/>
              </w:rPr>
              <w:t>区域环境质量的整体变化情况</w:t>
            </w:r>
          </w:p>
        </w:tc>
        <w:tc>
          <w:tcPr>
            <w:tcW w:w="2255" w:type="pct"/>
            <w:gridSpan w:val="5"/>
            <w:vAlign w:val="center"/>
          </w:tcPr>
          <w:p w14:paraId="4BB47EF4">
            <w:pPr>
              <w:pStyle w:val="55"/>
              <w:bidi w:val="0"/>
              <w:rPr>
                <w:rFonts w:hint="default"/>
              </w:rPr>
            </w:pPr>
            <w:r>
              <w:rPr>
                <w:rFonts w:hint="default"/>
              </w:rPr>
              <w:t>k≤-20%□</w:t>
            </w:r>
          </w:p>
        </w:tc>
        <w:tc>
          <w:tcPr>
            <w:tcW w:w="1404" w:type="pct"/>
            <w:gridSpan w:val="4"/>
            <w:vAlign w:val="center"/>
          </w:tcPr>
          <w:p w14:paraId="3B9A646F">
            <w:pPr>
              <w:pStyle w:val="55"/>
              <w:bidi w:val="0"/>
              <w:rPr>
                <w:rFonts w:hint="default"/>
              </w:rPr>
            </w:pPr>
            <w:r>
              <w:rPr>
                <w:rFonts w:hint="default"/>
              </w:rPr>
              <w:t>k&gt;-20%□</w:t>
            </w:r>
          </w:p>
        </w:tc>
      </w:tr>
      <w:tr w14:paraId="4D07C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 w:type="pct"/>
          <w:trHeight w:val="397" w:hRule="atLeast"/>
        </w:trPr>
        <w:tc>
          <w:tcPr>
            <w:tcW w:w="539" w:type="pct"/>
            <w:vMerge w:val="restart"/>
            <w:vAlign w:val="center"/>
          </w:tcPr>
          <w:p w14:paraId="716729EA">
            <w:pPr>
              <w:pStyle w:val="55"/>
              <w:bidi w:val="0"/>
              <w:rPr>
                <w:rFonts w:hint="default"/>
              </w:rPr>
            </w:pPr>
            <w:r>
              <w:rPr>
                <w:rFonts w:hint="default"/>
              </w:rPr>
              <w:t>环境监测计划</w:t>
            </w:r>
          </w:p>
        </w:tc>
        <w:tc>
          <w:tcPr>
            <w:tcW w:w="800" w:type="pct"/>
            <w:vMerge w:val="restart"/>
            <w:vAlign w:val="center"/>
          </w:tcPr>
          <w:p w14:paraId="444A01AD">
            <w:pPr>
              <w:pStyle w:val="55"/>
              <w:bidi w:val="0"/>
              <w:rPr>
                <w:rFonts w:hint="default"/>
              </w:rPr>
            </w:pPr>
            <w:r>
              <w:rPr>
                <w:rFonts w:hint="default"/>
              </w:rPr>
              <w:t>污染源监测</w:t>
            </w:r>
          </w:p>
        </w:tc>
        <w:tc>
          <w:tcPr>
            <w:tcW w:w="1068" w:type="pct"/>
            <w:gridSpan w:val="2"/>
            <w:vMerge w:val="restart"/>
            <w:vAlign w:val="center"/>
          </w:tcPr>
          <w:p w14:paraId="512CEF7E">
            <w:pPr>
              <w:pStyle w:val="55"/>
              <w:bidi w:val="0"/>
              <w:rPr>
                <w:rFonts w:hint="default"/>
              </w:rPr>
            </w:pPr>
            <w:r>
              <w:rPr>
                <w:rFonts w:hint="default"/>
              </w:rPr>
              <w:t>监测因子：（</w:t>
            </w:r>
            <w:r>
              <w:rPr>
                <w:rFonts w:hint="default"/>
                <w:lang w:val="en-US" w:eastAsia="zh-CN"/>
              </w:rPr>
              <w:t>非甲烷总烃、颗粒物、</w:t>
            </w:r>
            <w:r>
              <w:rPr>
                <w:rFonts w:hint="eastAsia"/>
                <w:lang w:val="en-US" w:eastAsia="zh-CN"/>
              </w:rPr>
              <w:t>HCl、</w:t>
            </w:r>
            <w:r>
              <w:rPr>
                <w:rFonts w:hint="default"/>
                <w:lang w:val="en-US" w:eastAsia="zh-CN"/>
              </w:rPr>
              <w:t>臭气浓度</w:t>
            </w:r>
            <w:r>
              <w:rPr>
                <w:rFonts w:hint="default"/>
              </w:rPr>
              <w:t>）</w:t>
            </w:r>
          </w:p>
        </w:tc>
        <w:tc>
          <w:tcPr>
            <w:tcW w:w="1669" w:type="pct"/>
            <w:gridSpan w:val="4"/>
            <w:vAlign w:val="center"/>
          </w:tcPr>
          <w:p w14:paraId="4DBF969C">
            <w:pPr>
              <w:pStyle w:val="55"/>
              <w:bidi w:val="0"/>
              <w:rPr>
                <w:rFonts w:hint="default"/>
                <w:lang w:eastAsia="zh-CN"/>
              </w:rPr>
            </w:pPr>
            <w:r>
              <w:rPr>
                <w:rFonts w:hint="default"/>
              </w:rPr>
              <w:t>有组织废气监测</w:t>
            </w:r>
            <w:r>
              <w:rPr>
                <w:rFonts w:hint="default"/>
                <w:lang w:eastAsia="zh-CN"/>
              </w:rPr>
              <w:t>☑</w:t>
            </w:r>
          </w:p>
        </w:tc>
        <w:tc>
          <w:tcPr>
            <w:tcW w:w="919" w:type="pct"/>
            <w:gridSpan w:val="2"/>
            <w:vMerge w:val="restart"/>
            <w:vAlign w:val="center"/>
          </w:tcPr>
          <w:p w14:paraId="41A9C07A">
            <w:pPr>
              <w:pStyle w:val="55"/>
              <w:bidi w:val="0"/>
              <w:rPr>
                <w:rFonts w:hint="default"/>
              </w:rPr>
            </w:pPr>
            <w:r>
              <w:rPr>
                <w:rFonts w:hint="default"/>
              </w:rPr>
              <w:t>无监测□</w:t>
            </w:r>
          </w:p>
        </w:tc>
      </w:tr>
      <w:tr w14:paraId="6300E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 w:type="pct"/>
          <w:trHeight w:val="397" w:hRule="atLeast"/>
        </w:trPr>
        <w:tc>
          <w:tcPr>
            <w:tcW w:w="539" w:type="pct"/>
            <w:vMerge w:val="continue"/>
            <w:vAlign w:val="center"/>
          </w:tcPr>
          <w:p w14:paraId="562F2092">
            <w:pPr>
              <w:pStyle w:val="55"/>
              <w:bidi w:val="0"/>
              <w:rPr>
                <w:rFonts w:hint="default"/>
              </w:rPr>
            </w:pPr>
          </w:p>
        </w:tc>
        <w:tc>
          <w:tcPr>
            <w:tcW w:w="800" w:type="pct"/>
            <w:vMerge w:val="continue"/>
            <w:vAlign w:val="center"/>
          </w:tcPr>
          <w:p w14:paraId="5B3189DE">
            <w:pPr>
              <w:pStyle w:val="55"/>
              <w:bidi w:val="0"/>
              <w:rPr>
                <w:rFonts w:hint="default"/>
              </w:rPr>
            </w:pPr>
          </w:p>
        </w:tc>
        <w:tc>
          <w:tcPr>
            <w:tcW w:w="1068" w:type="pct"/>
            <w:gridSpan w:val="2"/>
            <w:vMerge w:val="continue"/>
            <w:vAlign w:val="center"/>
          </w:tcPr>
          <w:p w14:paraId="23CE8BE3">
            <w:pPr>
              <w:pStyle w:val="55"/>
              <w:bidi w:val="0"/>
              <w:rPr>
                <w:rFonts w:hint="default"/>
              </w:rPr>
            </w:pPr>
          </w:p>
        </w:tc>
        <w:tc>
          <w:tcPr>
            <w:tcW w:w="1669" w:type="pct"/>
            <w:gridSpan w:val="4"/>
            <w:vAlign w:val="center"/>
          </w:tcPr>
          <w:p w14:paraId="5649CE5E">
            <w:pPr>
              <w:pStyle w:val="55"/>
              <w:bidi w:val="0"/>
              <w:rPr>
                <w:rFonts w:hint="default"/>
                <w:lang w:eastAsia="zh-CN"/>
              </w:rPr>
            </w:pPr>
            <w:r>
              <w:rPr>
                <w:rFonts w:hint="default"/>
              </w:rPr>
              <w:t>无组织废气监测</w:t>
            </w:r>
            <w:r>
              <w:rPr>
                <w:rFonts w:hint="default"/>
                <w:lang w:eastAsia="zh-CN"/>
              </w:rPr>
              <w:t>☑</w:t>
            </w:r>
          </w:p>
        </w:tc>
        <w:tc>
          <w:tcPr>
            <w:tcW w:w="919" w:type="pct"/>
            <w:gridSpan w:val="2"/>
            <w:vMerge w:val="continue"/>
            <w:vAlign w:val="center"/>
          </w:tcPr>
          <w:p w14:paraId="38B0F1E8">
            <w:pPr>
              <w:pStyle w:val="55"/>
              <w:bidi w:val="0"/>
              <w:rPr>
                <w:rFonts w:hint="default"/>
              </w:rPr>
            </w:pPr>
          </w:p>
        </w:tc>
      </w:tr>
      <w:tr w14:paraId="5EE54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 w:type="pct"/>
          <w:trHeight w:val="397" w:hRule="atLeast"/>
        </w:trPr>
        <w:tc>
          <w:tcPr>
            <w:tcW w:w="539" w:type="pct"/>
            <w:vMerge w:val="continue"/>
            <w:vAlign w:val="center"/>
          </w:tcPr>
          <w:p w14:paraId="71F22A7C">
            <w:pPr>
              <w:pStyle w:val="55"/>
              <w:bidi w:val="0"/>
              <w:rPr>
                <w:rFonts w:hint="default"/>
              </w:rPr>
            </w:pPr>
          </w:p>
        </w:tc>
        <w:tc>
          <w:tcPr>
            <w:tcW w:w="800" w:type="pct"/>
            <w:vAlign w:val="center"/>
          </w:tcPr>
          <w:p w14:paraId="4D0DC6D1">
            <w:pPr>
              <w:pStyle w:val="55"/>
              <w:bidi w:val="0"/>
              <w:rPr>
                <w:rFonts w:hint="default"/>
              </w:rPr>
            </w:pPr>
            <w:r>
              <w:rPr>
                <w:rFonts w:hint="default"/>
              </w:rPr>
              <w:t>环境质量监测</w:t>
            </w:r>
          </w:p>
        </w:tc>
        <w:tc>
          <w:tcPr>
            <w:tcW w:w="1068" w:type="pct"/>
            <w:gridSpan w:val="2"/>
            <w:vAlign w:val="center"/>
          </w:tcPr>
          <w:p w14:paraId="1C7DD6DE">
            <w:pPr>
              <w:pStyle w:val="55"/>
              <w:bidi w:val="0"/>
              <w:rPr>
                <w:rFonts w:hint="default"/>
              </w:rPr>
            </w:pPr>
            <w:r>
              <w:rPr>
                <w:rFonts w:hint="default"/>
              </w:rPr>
              <w:t>监测因子：（）</w:t>
            </w:r>
          </w:p>
        </w:tc>
        <w:tc>
          <w:tcPr>
            <w:tcW w:w="1669" w:type="pct"/>
            <w:gridSpan w:val="4"/>
            <w:vAlign w:val="center"/>
          </w:tcPr>
          <w:p w14:paraId="38E27B12">
            <w:pPr>
              <w:pStyle w:val="55"/>
              <w:bidi w:val="0"/>
              <w:rPr>
                <w:rFonts w:hint="default"/>
              </w:rPr>
            </w:pPr>
            <w:r>
              <w:rPr>
                <w:rFonts w:hint="default"/>
              </w:rPr>
              <w:t>监测点位数（）</w:t>
            </w:r>
          </w:p>
        </w:tc>
        <w:tc>
          <w:tcPr>
            <w:tcW w:w="919" w:type="pct"/>
            <w:gridSpan w:val="2"/>
            <w:vAlign w:val="center"/>
          </w:tcPr>
          <w:p w14:paraId="6105B6D6">
            <w:pPr>
              <w:pStyle w:val="55"/>
              <w:bidi w:val="0"/>
              <w:rPr>
                <w:rFonts w:hint="default"/>
                <w:lang w:eastAsia="zh-CN"/>
              </w:rPr>
            </w:pPr>
            <w:r>
              <w:rPr>
                <w:rFonts w:hint="default"/>
              </w:rPr>
              <w:t>无监测</w:t>
            </w:r>
            <w:r>
              <w:rPr>
                <w:rFonts w:hint="default"/>
                <w:lang w:eastAsia="zh-CN"/>
              </w:rPr>
              <w:t>☑</w:t>
            </w:r>
          </w:p>
        </w:tc>
      </w:tr>
      <w:tr w14:paraId="269C2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 w:type="pct"/>
          <w:trHeight w:val="397" w:hRule="atLeast"/>
        </w:trPr>
        <w:tc>
          <w:tcPr>
            <w:tcW w:w="539" w:type="pct"/>
            <w:vMerge w:val="restart"/>
            <w:vAlign w:val="center"/>
          </w:tcPr>
          <w:p w14:paraId="375F6024">
            <w:pPr>
              <w:pStyle w:val="55"/>
              <w:bidi w:val="0"/>
              <w:rPr>
                <w:rFonts w:hint="default"/>
              </w:rPr>
            </w:pPr>
            <w:r>
              <w:rPr>
                <w:rFonts w:hint="default"/>
              </w:rPr>
              <w:t>评价结论</w:t>
            </w:r>
          </w:p>
        </w:tc>
        <w:tc>
          <w:tcPr>
            <w:tcW w:w="800" w:type="pct"/>
            <w:vAlign w:val="center"/>
          </w:tcPr>
          <w:p w14:paraId="0BD38BA9">
            <w:pPr>
              <w:pStyle w:val="55"/>
              <w:bidi w:val="0"/>
              <w:rPr>
                <w:rFonts w:hint="default"/>
              </w:rPr>
            </w:pPr>
            <w:r>
              <w:rPr>
                <w:rFonts w:hint="default"/>
              </w:rPr>
              <w:t>环境影响</w:t>
            </w:r>
          </w:p>
        </w:tc>
        <w:tc>
          <w:tcPr>
            <w:tcW w:w="3657" w:type="pct"/>
            <w:gridSpan w:val="8"/>
            <w:vAlign w:val="center"/>
          </w:tcPr>
          <w:p w14:paraId="580C0B58">
            <w:pPr>
              <w:pStyle w:val="55"/>
              <w:bidi w:val="0"/>
              <w:rPr>
                <w:rFonts w:hint="default"/>
              </w:rPr>
            </w:pPr>
            <w:r>
              <w:rPr>
                <w:rFonts w:hint="default"/>
              </w:rPr>
              <w:t>可以接受</w:t>
            </w:r>
            <w:r>
              <w:rPr>
                <w:rFonts w:hint="default"/>
                <w:lang w:eastAsia="zh-CN"/>
              </w:rPr>
              <w:t>☑</w:t>
            </w:r>
            <w:r>
              <w:rPr>
                <w:rFonts w:hint="default"/>
              </w:rPr>
              <w:t>不可以接受□</w:t>
            </w:r>
          </w:p>
        </w:tc>
      </w:tr>
      <w:tr w14:paraId="4E431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 w:type="pct"/>
          <w:trHeight w:val="397" w:hRule="atLeast"/>
        </w:trPr>
        <w:tc>
          <w:tcPr>
            <w:tcW w:w="539" w:type="pct"/>
            <w:vMerge w:val="continue"/>
            <w:vAlign w:val="center"/>
          </w:tcPr>
          <w:p w14:paraId="64D3C40C">
            <w:pPr>
              <w:pStyle w:val="55"/>
              <w:bidi w:val="0"/>
              <w:rPr>
                <w:rFonts w:hint="default"/>
              </w:rPr>
            </w:pPr>
          </w:p>
        </w:tc>
        <w:tc>
          <w:tcPr>
            <w:tcW w:w="800" w:type="pct"/>
            <w:vAlign w:val="center"/>
          </w:tcPr>
          <w:p w14:paraId="57A8D82C">
            <w:pPr>
              <w:pStyle w:val="55"/>
              <w:bidi w:val="0"/>
              <w:rPr>
                <w:rFonts w:hint="default"/>
              </w:rPr>
            </w:pPr>
            <w:r>
              <w:rPr>
                <w:rFonts w:hint="default"/>
              </w:rPr>
              <w:t>大气环境防护距离</w:t>
            </w:r>
          </w:p>
        </w:tc>
        <w:tc>
          <w:tcPr>
            <w:tcW w:w="3657" w:type="pct"/>
            <w:gridSpan w:val="8"/>
            <w:vAlign w:val="center"/>
          </w:tcPr>
          <w:p w14:paraId="27331412">
            <w:pPr>
              <w:pStyle w:val="55"/>
              <w:bidi w:val="0"/>
              <w:rPr>
                <w:rFonts w:hint="default"/>
              </w:rPr>
            </w:pPr>
            <w:r>
              <w:rPr>
                <w:rFonts w:hint="default"/>
              </w:rPr>
              <w:t>距（）厂界最远（）m</w:t>
            </w:r>
          </w:p>
        </w:tc>
      </w:tr>
      <w:tr w14:paraId="018D9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 w:type="pct"/>
          <w:trHeight w:val="397" w:hRule="atLeast"/>
        </w:trPr>
        <w:tc>
          <w:tcPr>
            <w:tcW w:w="539" w:type="pct"/>
            <w:vMerge w:val="continue"/>
            <w:vAlign w:val="center"/>
          </w:tcPr>
          <w:p w14:paraId="1C4B0AB5">
            <w:pPr>
              <w:pStyle w:val="55"/>
              <w:bidi w:val="0"/>
              <w:rPr>
                <w:rFonts w:hint="default"/>
              </w:rPr>
            </w:pPr>
          </w:p>
        </w:tc>
        <w:tc>
          <w:tcPr>
            <w:tcW w:w="800" w:type="pct"/>
            <w:vAlign w:val="center"/>
          </w:tcPr>
          <w:p w14:paraId="69C83387">
            <w:pPr>
              <w:pStyle w:val="55"/>
              <w:bidi w:val="0"/>
              <w:rPr>
                <w:rFonts w:hint="default"/>
              </w:rPr>
            </w:pPr>
            <w:r>
              <w:rPr>
                <w:rFonts w:hint="default"/>
              </w:rPr>
              <w:t>污染源年排放量</w:t>
            </w:r>
          </w:p>
        </w:tc>
        <w:tc>
          <w:tcPr>
            <w:tcW w:w="1068" w:type="pct"/>
            <w:gridSpan w:val="2"/>
            <w:vAlign w:val="center"/>
          </w:tcPr>
          <w:p w14:paraId="474E0714">
            <w:pPr>
              <w:pStyle w:val="55"/>
              <w:bidi w:val="0"/>
              <w:rPr>
                <w:rFonts w:hint="default"/>
              </w:rPr>
            </w:pPr>
            <w:r>
              <w:rPr>
                <w:rFonts w:hint="default"/>
              </w:rPr>
              <w:t>SO</w:t>
            </w:r>
            <w:r>
              <w:rPr>
                <w:rFonts w:hint="default"/>
                <w:vertAlign w:val="subscript"/>
              </w:rPr>
              <w:t>2</w:t>
            </w:r>
            <w:r>
              <w:rPr>
                <w:rFonts w:hint="default"/>
              </w:rPr>
              <w:t>:</w:t>
            </w:r>
            <w:r>
              <w:rPr>
                <w:rFonts w:hint="default"/>
                <w:lang w:eastAsia="zh-CN"/>
              </w:rPr>
              <w:t>（）</w:t>
            </w:r>
            <w:r>
              <w:rPr>
                <w:rFonts w:hint="default"/>
              </w:rPr>
              <w:t>t/a</w:t>
            </w:r>
          </w:p>
        </w:tc>
        <w:tc>
          <w:tcPr>
            <w:tcW w:w="678" w:type="pct"/>
            <w:gridSpan w:val="2"/>
            <w:vAlign w:val="center"/>
          </w:tcPr>
          <w:p w14:paraId="3142C3F8">
            <w:pPr>
              <w:pStyle w:val="55"/>
              <w:bidi w:val="0"/>
              <w:rPr>
                <w:rFonts w:hint="default"/>
                <w:highlight w:val="none"/>
              </w:rPr>
            </w:pPr>
            <w:r>
              <w:rPr>
                <w:rFonts w:hint="default"/>
                <w:highlight w:val="none"/>
              </w:rPr>
              <w:t>NOx:</w:t>
            </w:r>
            <w:r>
              <w:rPr>
                <w:rFonts w:hint="default"/>
                <w:highlight w:val="none"/>
                <w:lang w:eastAsia="zh-CN"/>
              </w:rPr>
              <w:t>（）</w:t>
            </w:r>
            <w:r>
              <w:rPr>
                <w:rFonts w:hint="default"/>
                <w:highlight w:val="none"/>
              </w:rPr>
              <w:t>t/a</w:t>
            </w:r>
          </w:p>
        </w:tc>
        <w:tc>
          <w:tcPr>
            <w:tcW w:w="990" w:type="pct"/>
            <w:gridSpan w:val="2"/>
            <w:vAlign w:val="center"/>
          </w:tcPr>
          <w:p w14:paraId="1CB723E1">
            <w:pPr>
              <w:pStyle w:val="55"/>
              <w:bidi w:val="0"/>
              <w:rPr>
                <w:rFonts w:hint="default"/>
                <w:highlight w:val="none"/>
              </w:rPr>
            </w:pPr>
            <w:r>
              <w:rPr>
                <w:rFonts w:hint="default"/>
                <w:highlight w:val="none"/>
              </w:rPr>
              <w:t>颗粒物</w:t>
            </w:r>
            <w:r>
              <w:rPr>
                <w:rFonts w:hint="default"/>
                <w:highlight w:val="none"/>
                <w:lang w:eastAsia="zh-CN"/>
              </w:rPr>
              <w:t>：（</w:t>
            </w:r>
            <w:r>
              <w:rPr>
                <w:rFonts w:hint="eastAsia"/>
                <w:highlight w:val="none"/>
                <w:lang w:val="en-US" w:eastAsia="zh-CN"/>
              </w:rPr>
              <w:t>3.393</w:t>
            </w:r>
            <w:r>
              <w:rPr>
                <w:rFonts w:hint="default"/>
                <w:highlight w:val="none"/>
                <w:lang w:eastAsia="zh-CN"/>
              </w:rPr>
              <w:t>）</w:t>
            </w:r>
            <w:r>
              <w:rPr>
                <w:rFonts w:hint="default"/>
                <w:highlight w:val="none"/>
              </w:rPr>
              <w:t>t/a</w:t>
            </w:r>
          </w:p>
        </w:tc>
        <w:tc>
          <w:tcPr>
            <w:tcW w:w="919" w:type="pct"/>
            <w:gridSpan w:val="2"/>
            <w:vAlign w:val="center"/>
          </w:tcPr>
          <w:p w14:paraId="42CFFC9B">
            <w:pPr>
              <w:pStyle w:val="55"/>
              <w:bidi w:val="0"/>
              <w:rPr>
                <w:rFonts w:hint="default"/>
                <w:highlight w:val="none"/>
              </w:rPr>
            </w:pPr>
            <w:r>
              <w:rPr>
                <w:rFonts w:hint="default"/>
                <w:highlight w:val="none"/>
              </w:rPr>
              <w:t>VOCs：（</w:t>
            </w:r>
            <w:r>
              <w:rPr>
                <w:rFonts w:hint="eastAsia"/>
                <w:highlight w:val="none"/>
                <w:lang w:val="en-US" w:eastAsia="zh-CN"/>
              </w:rPr>
              <w:t>5.693</w:t>
            </w:r>
            <w:r>
              <w:rPr>
                <w:rFonts w:hint="default"/>
                <w:highlight w:val="none"/>
              </w:rPr>
              <w:t>）t/a</w:t>
            </w:r>
          </w:p>
        </w:tc>
      </w:tr>
      <w:tr w14:paraId="3DB79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 w:type="pct"/>
          <w:trHeight w:val="397" w:hRule="atLeast"/>
        </w:trPr>
        <w:tc>
          <w:tcPr>
            <w:tcW w:w="4997" w:type="pct"/>
            <w:gridSpan w:val="10"/>
            <w:vAlign w:val="center"/>
          </w:tcPr>
          <w:p w14:paraId="31911AEC">
            <w:pPr>
              <w:pStyle w:val="55"/>
              <w:bidi w:val="0"/>
              <w:rPr>
                <w:rFonts w:hint="default"/>
              </w:rPr>
            </w:pPr>
            <w:r>
              <w:rPr>
                <w:rFonts w:hint="default"/>
              </w:rPr>
              <w:t>注：</w:t>
            </w:r>
            <w:r>
              <w:rPr>
                <w:rFonts w:hint="default"/>
                <w:lang w:eastAsia="zh-CN"/>
              </w:rPr>
              <w:t>“</w:t>
            </w:r>
            <w:r>
              <w:rPr>
                <w:rFonts w:hint="default"/>
              </w:rPr>
              <w:t>□</w:t>
            </w:r>
            <w:r>
              <w:rPr>
                <w:rFonts w:hint="default"/>
                <w:lang w:eastAsia="zh-CN"/>
              </w:rPr>
              <w:t>”</w:t>
            </w:r>
            <w:r>
              <w:rPr>
                <w:rFonts w:hint="default"/>
              </w:rPr>
              <w:t>，填</w:t>
            </w:r>
            <w:r>
              <w:rPr>
                <w:rFonts w:hint="default"/>
                <w:lang w:eastAsia="zh-CN"/>
              </w:rPr>
              <w:t>“</w:t>
            </w:r>
            <w:r>
              <w:rPr>
                <w:rFonts w:hint="default"/>
              </w:rPr>
              <w:t>√</w:t>
            </w:r>
            <w:r>
              <w:rPr>
                <w:rFonts w:hint="default"/>
                <w:lang w:eastAsia="zh-CN"/>
              </w:rPr>
              <w:t>”</w:t>
            </w:r>
            <w:r>
              <w:rPr>
                <w:rFonts w:hint="default"/>
              </w:rPr>
              <w:t>；</w:t>
            </w:r>
            <w:r>
              <w:rPr>
                <w:rFonts w:hint="default"/>
                <w:lang w:eastAsia="zh-CN"/>
              </w:rPr>
              <w:t>“</w:t>
            </w:r>
            <w:r>
              <w:rPr>
                <w:rFonts w:hint="default"/>
              </w:rPr>
              <w:t>（）</w:t>
            </w:r>
            <w:r>
              <w:rPr>
                <w:rFonts w:hint="default"/>
                <w:lang w:eastAsia="zh-CN"/>
              </w:rPr>
              <w:t>”</w:t>
            </w:r>
            <w:r>
              <w:rPr>
                <w:rFonts w:hint="default"/>
              </w:rPr>
              <w:t>为内容填写项</w:t>
            </w:r>
          </w:p>
        </w:tc>
      </w:tr>
    </w:tbl>
    <w:p w14:paraId="09FF5A9D">
      <w:pPr>
        <w:pStyle w:val="90"/>
        <w:bidi w:val="0"/>
        <w:ind w:left="0" w:leftChars="0" w:firstLine="0" w:firstLineChars="0"/>
      </w:pPr>
      <w:bookmarkStart w:id="57" w:name="_Toc4698"/>
      <w:r>
        <w:rPr>
          <w:rFonts w:hint="eastAsia"/>
        </w:rPr>
        <w:t>地表水环境</w:t>
      </w:r>
      <w:r>
        <w:t>影响分析</w:t>
      </w:r>
      <w:bookmarkEnd w:id="57"/>
    </w:p>
    <w:p w14:paraId="63465206">
      <w:pPr>
        <w:pStyle w:val="47"/>
        <w:ind w:firstLine="482"/>
        <w:rPr>
          <w:rFonts w:hint="eastAsia"/>
          <w:lang w:val="en-US" w:eastAsia="zh-CN"/>
        </w:rPr>
      </w:pPr>
      <w:r>
        <w:rPr>
          <w:rFonts w:hint="eastAsia"/>
        </w:rPr>
        <w:t>项目</w:t>
      </w:r>
      <w:r>
        <w:rPr>
          <w:rFonts w:hint="eastAsia"/>
          <w:lang w:val="en-US" w:eastAsia="zh-CN"/>
        </w:rPr>
        <w:t>生产废水循环使用不外排，</w:t>
      </w:r>
      <w:r>
        <w:rPr>
          <w:rFonts w:hint="eastAsia"/>
        </w:rPr>
        <w:t>废水主要</w:t>
      </w:r>
      <w:r>
        <w:rPr>
          <w:rFonts w:hint="eastAsia"/>
          <w:lang w:val="en-US" w:eastAsia="zh-CN"/>
        </w:rPr>
        <w:t>为</w:t>
      </w:r>
      <w:r>
        <w:rPr>
          <w:rFonts w:hint="eastAsia"/>
        </w:rPr>
        <w:t>生活污水</w:t>
      </w:r>
      <w:r>
        <w:rPr>
          <w:rFonts w:hint="eastAsia"/>
          <w:lang w:eastAsia="zh-CN"/>
        </w:rPr>
        <w:t>，</w:t>
      </w:r>
      <w:r>
        <w:rPr>
          <w:rFonts w:hint="eastAsia"/>
          <w:lang w:val="en-US" w:eastAsia="zh-CN"/>
        </w:rPr>
        <w:t>排放量为</w:t>
      </w:r>
      <w:r>
        <w:rPr>
          <w:rFonts w:hint="eastAsia"/>
        </w:rPr>
        <w:t>1.6m</w:t>
      </w:r>
      <w:r>
        <w:rPr>
          <w:rFonts w:hint="eastAsia"/>
          <w:vertAlign w:val="superscript"/>
        </w:rPr>
        <w:t>3</w:t>
      </w:r>
      <w:r>
        <w:rPr>
          <w:rFonts w:hint="eastAsia"/>
        </w:rPr>
        <w:t>/d</w:t>
      </w:r>
      <w:r>
        <w:rPr>
          <w:rFonts w:hint="default" w:ascii="Times New Roman" w:hAnsi="Times New Roman" w:eastAsia="楷体" w:cs="Times New Roman"/>
          <w:sz w:val="28"/>
          <w:szCs w:val="28"/>
          <w:lang w:val="en-US" w:eastAsia="zh-CN"/>
        </w:rPr>
        <w:t>（</w:t>
      </w:r>
      <w:r>
        <w:rPr>
          <w:rFonts w:hint="eastAsia" w:ascii="Times New Roman" w:hAnsi="Times New Roman" w:cs="Times New Roman"/>
          <w:sz w:val="28"/>
          <w:szCs w:val="28"/>
          <w:lang w:val="en-US" w:eastAsia="zh-CN"/>
        </w:rPr>
        <w:t>48</w:t>
      </w:r>
      <w:r>
        <w:rPr>
          <w:rFonts w:hint="default" w:ascii="Times New Roman" w:hAnsi="Times New Roman" w:eastAsia="楷体" w:cs="Times New Roman"/>
          <w:sz w:val="28"/>
          <w:szCs w:val="28"/>
          <w:lang w:val="en-US" w:eastAsia="zh-CN"/>
        </w:rPr>
        <w:t>0m</w:t>
      </w:r>
      <w:r>
        <w:rPr>
          <w:rFonts w:hint="default" w:ascii="Times New Roman" w:hAnsi="Times New Roman" w:eastAsia="楷体" w:cs="Times New Roman"/>
          <w:sz w:val="28"/>
          <w:szCs w:val="28"/>
          <w:vertAlign w:val="superscript"/>
          <w:lang w:val="en-US" w:eastAsia="zh-CN"/>
        </w:rPr>
        <w:t>3</w:t>
      </w:r>
      <w:r>
        <w:rPr>
          <w:rFonts w:hint="default" w:ascii="Times New Roman" w:hAnsi="Times New Roman" w:eastAsia="楷体" w:cs="Times New Roman"/>
          <w:sz w:val="28"/>
          <w:szCs w:val="28"/>
          <w:lang w:val="en-US" w:eastAsia="zh-CN"/>
        </w:rPr>
        <w:t>/a）</w:t>
      </w:r>
      <w:r>
        <w:rPr>
          <w:rFonts w:hint="eastAsia" w:ascii="Times New Roman" w:hAnsi="Times New Roman" w:cs="Times New Roman"/>
          <w:sz w:val="28"/>
          <w:szCs w:val="28"/>
          <w:lang w:val="en-US" w:eastAsia="zh-CN"/>
        </w:rPr>
        <w:t>，主要污染物为COD、BOD</w:t>
      </w:r>
      <w:r>
        <w:rPr>
          <w:rFonts w:hint="eastAsia" w:ascii="Times New Roman" w:hAnsi="Times New Roman" w:cs="Times New Roman"/>
          <w:sz w:val="28"/>
          <w:szCs w:val="28"/>
          <w:vertAlign w:val="subscript"/>
          <w:lang w:val="en-US" w:eastAsia="zh-CN"/>
        </w:rPr>
        <w:t>5</w:t>
      </w:r>
      <w:r>
        <w:rPr>
          <w:rFonts w:hint="eastAsia" w:ascii="Times New Roman" w:hAnsi="Times New Roman" w:cs="Times New Roman"/>
          <w:sz w:val="28"/>
          <w:szCs w:val="28"/>
          <w:lang w:val="en-US" w:eastAsia="zh-CN"/>
        </w:rPr>
        <w:t>、悬浮物、氨氮、总氮、总磷等，产生浓度及产生量分别为：COD300mg/L、</w:t>
      </w:r>
      <w:r>
        <w:rPr>
          <w:rFonts w:hint="eastAsia" w:cs="Times New Roman"/>
          <w:sz w:val="28"/>
          <w:szCs w:val="28"/>
          <w:lang w:val="en-US" w:eastAsia="zh-CN"/>
        </w:rPr>
        <w:t>0.144</w:t>
      </w:r>
      <w:r>
        <w:rPr>
          <w:rFonts w:hint="eastAsia" w:ascii="Times New Roman" w:hAnsi="Times New Roman" w:cs="Times New Roman"/>
          <w:sz w:val="28"/>
          <w:szCs w:val="28"/>
          <w:lang w:val="en-US" w:eastAsia="zh-CN"/>
        </w:rPr>
        <w:t>t/a；BOD</w:t>
      </w:r>
      <w:r>
        <w:rPr>
          <w:rFonts w:hint="eastAsia" w:ascii="Times New Roman" w:hAnsi="Times New Roman" w:cs="Times New Roman"/>
          <w:sz w:val="28"/>
          <w:szCs w:val="28"/>
          <w:vertAlign w:val="subscript"/>
          <w:lang w:val="en-US" w:eastAsia="zh-CN"/>
        </w:rPr>
        <w:t>5</w:t>
      </w:r>
      <w:r>
        <w:rPr>
          <w:rFonts w:hint="eastAsia" w:ascii="Times New Roman" w:hAnsi="Times New Roman" w:cs="Times New Roman"/>
          <w:sz w:val="28"/>
          <w:szCs w:val="28"/>
          <w:lang w:val="en-US" w:eastAsia="zh-CN"/>
        </w:rPr>
        <w:t>150mg/L、0.0</w:t>
      </w:r>
      <w:r>
        <w:rPr>
          <w:rFonts w:hint="eastAsia" w:cs="Times New Roman"/>
          <w:sz w:val="28"/>
          <w:szCs w:val="28"/>
          <w:lang w:val="en-US" w:eastAsia="zh-CN"/>
        </w:rPr>
        <w:t>72</w:t>
      </w:r>
      <w:r>
        <w:rPr>
          <w:rFonts w:hint="eastAsia" w:ascii="Times New Roman" w:hAnsi="Times New Roman" w:cs="Times New Roman"/>
          <w:sz w:val="28"/>
          <w:szCs w:val="28"/>
          <w:lang w:val="en-US" w:eastAsia="zh-CN"/>
        </w:rPr>
        <w:t>t/a；SS170mg/L、0.0</w:t>
      </w:r>
      <w:r>
        <w:rPr>
          <w:rFonts w:hint="eastAsia" w:cs="Times New Roman"/>
          <w:sz w:val="28"/>
          <w:szCs w:val="28"/>
          <w:lang w:val="en-US" w:eastAsia="zh-CN"/>
        </w:rPr>
        <w:t>82</w:t>
      </w:r>
      <w:r>
        <w:rPr>
          <w:rFonts w:hint="eastAsia" w:ascii="Times New Roman" w:hAnsi="Times New Roman" w:cs="Times New Roman"/>
          <w:sz w:val="28"/>
          <w:szCs w:val="28"/>
          <w:lang w:val="en-US" w:eastAsia="zh-CN"/>
        </w:rPr>
        <w:t>t/a；氨氮20mg/L、0.00</w:t>
      </w:r>
      <w:r>
        <w:rPr>
          <w:rFonts w:hint="eastAsia" w:cs="Times New Roman"/>
          <w:sz w:val="28"/>
          <w:szCs w:val="28"/>
          <w:lang w:val="en-US" w:eastAsia="zh-CN"/>
        </w:rPr>
        <w:t>96</w:t>
      </w:r>
      <w:r>
        <w:rPr>
          <w:rFonts w:hint="eastAsia" w:ascii="Times New Roman" w:hAnsi="Times New Roman" w:cs="Times New Roman"/>
          <w:sz w:val="28"/>
          <w:szCs w:val="28"/>
          <w:lang w:val="en-US" w:eastAsia="zh-CN"/>
        </w:rPr>
        <w:t>t/a；总氮25mg/L、0.0</w:t>
      </w:r>
      <w:r>
        <w:rPr>
          <w:rFonts w:hint="eastAsia" w:cs="Times New Roman"/>
          <w:sz w:val="28"/>
          <w:szCs w:val="28"/>
          <w:lang w:val="en-US" w:eastAsia="zh-CN"/>
        </w:rPr>
        <w:t>12</w:t>
      </w:r>
      <w:r>
        <w:rPr>
          <w:rFonts w:hint="eastAsia" w:ascii="Times New Roman" w:hAnsi="Times New Roman" w:cs="Times New Roman"/>
          <w:sz w:val="28"/>
          <w:szCs w:val="28"/>
          <w:lang w:val="en-US" w:eastAsia="zh-CN"/>
        </w:rPr>
        <w:t>t/a；总磷2mg/L、0.00</w:t>
      </w:r>
      <w:r>
        <w:rPr>
          <w:rFonts w:hint="eastAsia" w:cs="Times New Roman"/>
          <w:sz w:val="28"/>
          <w:szCs w:val="28"/>
          <w:lang w:val="en-US" w:eastAsia="zh-CN"/>
        </w:rPr>
        <w:t>1</w:t>
      </w:r>
      <w:r>
        <w:rPr>
          <w:rFonts w:hint="eastAsia" w:ascii="Times New Roman" w:hAnsi="Times New Roman" w:cs="Times New Roman"/>
          <w:sz w:val="28"/>
          <w:szCs w:val="28"/>
          <w:lang w:val="en-US" w:eastAsia="zh-CN"/>
        </w:rPr>
        <w:t>t/a</w:t>
      </w:r>
      <w:r>
        <w:rPr>
          <w:rFonts w:hint="eastAsia" w:cs="Times New Roman"/>
          <w:sz w:val="28"/>
          <w:szCs w:val="28"/>
          <w:lang w:val="en-US" w:eastAsia="zh-CN"/>
        </w:rPr>
        <w:t>，全部泼洒厂区抑尘，不外排</w:t>
      </w:r>
      <w:r>
        <w:rPr>
          <w:rFonts w:hint="eastAsia"/>
          <w:lang w:val="en-US" w:eastAsia="zh-CN"/>
        </w:rPr>
        <w:t>。</w:t>
      </w:r>
    </w:p>
    <w:p w14:paraId="18100B10">
      <w:pPr>
        <w:pStyle w:val="90"/>
        <w:bidi w:val="0"/>
        <w:ind w:left="0" w:leftChars="0" w:firstLine="0" w:firstLineChars="0"/>
      </w:pPr>
      <w:bookmarkStart w:id="58" w:name="_Toc24167"/>
      <w:r>
        <w:rPr>
          <w:rFonts w:hint="eastAsia"/>
        </w:rPr>
        <w:t>地</w:t>
      </w:r>
      <w:r>
        <w:rPr>
          <w:rFonts w:hint="eastAsia"/>
          <w:lang w:val="en-US" w:eastAsia="zh-CN"/>
        </w:rPr>
        <w:t>下</w:t>
      </w:r>
      <w:r>
        <w:rPr>
          <w:rFonts w:hint="eastAsia"/>
        </w:rPr>
        <w:t>水环境</w:t>
      </w:r>
      <w:r>
        <w:t>影响分析</w:t>
      </w:r>
      <w:bookmarkEnd w:id="58"/>
    </w:p>
    <w:p w14:paraId="61C5B11F">
      <w:pPr>
        <w:pStyle w:val="92"/>
        <w:bidi w:val="0"/>
        <w:ind w:left="0" w:leftChars="0" w:firstLine="0" w:firstLineChars="0"/>
        <w:rPr>
          <w:rFonts w:hint="eastAsia"/>
        </w:rPr>
      </w:pPr>
      <w:r>
        <w:rPr>
          <w:rFonts w:hint="eastAsia"/>
        </w:rPr>
        <w:t>区域水文地质条件</w:t>
      </w:r>
    </w:p>
    <w:p w14:paraId="4B12B88F">
      <w:pPr>
        <w:pStyle w:val="47"/>
        <w:rPr>
          <w:rFonts w:hint="default" w:eastAsia="楷体"/>
          <w:lang w:val="en-US" w:eastAsia="zh-CN"/>
        </w:rPr>
      </w:pPr>
      <w:r>
        <w:rPr>
          <w:rFonts w:hint="eastAsia"/>
          <w:lang w:eastAsia="zh-CN"/>
        </w:rPr>
        <w:t>（</w:t>
      </w:r>
      <w:r>
        <w:rPr>
          <w:rFonts w:hint="eastAsia"/>
          <w:lang w:val="en-US" w:eastAsia="zh-CN"/>
        </w:rPr>
        <w:t>1</w:t>
      </w:r>
      <w:r>
        <w:rPr>
          <w:rFonts w:hint="eastAsia"/>
          <w:lang w:eastAsia="zh-CN"/>
        </w:rPr>
        <w:t>）</w:t>
      </w:r>
      <w:r>
        <w:rPr>
          <w:rFonts w:hint="eastAsia"/>
          <w:lang w:val="en-US" w:eastAsia="zh-CN"/>
        </w:rPr>
        <w:t>地质构造</w:t>
      </w:r>
    </w:p>
    <w:p w14:paraId="75DDDE76">
      <w:pPr>
        <w:pStyle w:val="47"/>
        <w:rPr>
          <w:rFonts w:hint="eastAsia"/>
        </w:rPr>
      </w:pPr>
      <w:r>
        <w:rPr>
          <w:rFonts w:hint="eastAsia"/>
        </w:rPr>
        <w:t>顺平县大地构造部位处于燕山隆褶带的涞易隆褶区南段，是华北断块中太行山隆断与冀中凹陷的过度地段。新构造分区属于太行山——燕山断块隆起区的狼牙山——玉皇坨断凸中部。西部为小五台山——太白维山掀斜式断凸，东部为冀鲁断凹区的固安——保定断凹，地史上是长期隆起与凹陷差异运动最强烈地区。本区在构造体系上属于祁吕贺兰山字型东翼弧之东侧和新华夏系复合部位。</w:t>
      </w:r>
    </w:p>
    <w:p w14:paraId="62622783">
      <w:pPr>
        <w:pStyle w:val="47"/>
        <w:ind w:firstLine="482"/>
        <w:rPr>
          <w:rFonts w:hint="eastAsia" w:eastAsia="楷体"/>
          <w:lang w:eastAsia="zh-CN"/>
        </w:rPr>
      </w:pPr>
      <w:r>
        <w:rPr>
          <w:rFonts w:hint="eastAsia"/>
          <w:lang w:eastAsia="zh-CN"/>
        </w:rPr>
        <w:t>（</w:t>
      </w:r>
      <w:r>
        <w:rPr>
          <w:rFonts w:hint="eastAsia"/>
          <w:lang w:val="en-US" w:eastAsia="zh-CN"/>
        </w:rPr>
        <w:t>2</w:t>
      </w:r>
      <w:r>
        <w:rPr>
          <w:rFonts w:hint="eastAsia"/>
          <w:lang w:eastAsia="zh-CN"/>
        </w:rPr>
        <w:t>）地层岩性</w:t>
      </w:r>
    </w:p>
    <w:p w14:paraId="3B90F87F">
      <w:pPr>
        <w:pStyle w:val="47"/>
        <w:ind w:firstLine="482"/>
        <w:rPr>
          <w:rFonts w:hint="eastAsia" w:eastAsia="楷体"/>
          <w:lang w:eastAsia="zh-CN"/>
        </w:rPr>
      </w:pPr>
      <w:r>
        <w:rPr>
          <w:rFonts w:hint="eastAsia" w:eastAsia="楷体"/>
          <w:lang w:eastAsia="zh-CN"/>
        </w:rPr>
        <w:t>根据区域资料，地质基底为华北古地台的一部分，区域内被巨厚的海相灰岩、白云岩夹薄层砂泥岩及松散的河流相沉积物所覆盖，自上而下地层划分为第四系、第三系。</w:t>
      </w:r>
    </w:p>
    <w:p w14:paraId="759D3165">
      <w:pPr>
        <w:pStyle w:val="47"/>
        <w:ind w:firstLine="482"/>
        <w:rPr>
          <w:rFonts w:hint="eastAsia" w:eastAsia="楷体"/>
          <w:lang w:eastAsia="zh-CN"/>
        </w:rPr>
      </w:pPr>
      <w:r>
        <w:rPr>
          <w:rFonts w:hint="eastAsia" w:eastAsia="楷体"/>
          <w:lang w:eastAsia="zh-CN"/>
        </w:rPr>
        <w:t>①第四系（Q）</w:t>
      </w:r>
    </w:p>
    <w:p w14:paraId="2F2DC01B">
      <w:pPr>
        <w:pStyle w:val="47"/>
        <w:ind w:firstLine="482"/>
        <w:rPr>
          <w:rFonts w:hint="eastAsia" w:eastAsia="楷体"/>
          <w:lang w:eastAsia="zh-CN"/>
        </w:rPr>
      </w:pPr>
      <w:r>
        <w:rPr>
          <w:rFonts w:hint="eastAsia"/>
          <w:lang w:val="en-US" w:eastAsia="zh-CN"/>
        </w:rPr>
        <w:t>a</w:t>
      </w:r>
      <w:r>
        <w:rPr>
          <w:rFonts w:hint="eastAsia" w:eastAsia="楷体"/>
          <w:lang w:eastAsia="zh-CN"/>
        </w:rPr>
        <w:t>全新统系（Q4）</w:t>
      </w:r>
    </w:p>
    <w:p w14:paraId="7F17C2AE">
      <w:pPr>
        <w:pStyle w:val="47"/>
        <w:ind w:firstLine="482"/>
        <w:rPr>
          <w:rFonts w:hint="eastAsia" w:eastAsia="楷体"/>
          <w:lang w:eastAsia="zh-CN"/>
        </w:rPr>
      </w:pPr>
      <w:r>
        <w:rPr>
          <w:rFonts w:hint="eastAsia" w:eastAsia="楷体"/>
          <w:lang w:eastAsia="zh-CN"/>
        </w:rPr>
        <w:t>区域广泛分布，未成岩，主要由黄色黏土质粉砂、细砂岩、灰黄、灰色、灰黑色含淤泥质的亚黏土、亚砂土夹砂、淤泥层及泥炭组成，土质疏松，常见未钙化的古土壤层，夹有1～2层海相层。埋藏厚度一般为20～30m。</w:t>
      </w:r>
    </w:p>
    <w:p w14:paraId="10B057C0">
      <w:pPr>
        <w:pStyle w:val="47"/>
        <w:ind w:firstLine="482"/>
        <w:rPr>
          <w:rFonts w:hint="eastAsia" w:eastAsia="楷体"/>
          <w:lang w:eastAsia="zh-CN"/>
        </w:rPr>
      </w:pPr>
      <w:r>
        <w:rPr>
          <w:rFonts w:hint="eastAsia"/>
          <w:lang w:val="en-US" w:eastAsia="zh-CN"/>
        </w:rPr>
        <w:t>b</w:t>
      </w:r>
      <w:r>
        <w:rPr>
          <w:rFonts w:hint="eastAsia" w:eastAsia="楷体"/>
          <w:lang w:eastAsia="zh-CN"/>
        </w:rPr>
        <w:t>上更新统（Q3）</w:t>
      </w:r>
    </w:p>
    <w:p w14:paraId="01A84E72">
      <w:pPr>
        <w:pStyle w:val="47"/>
        <w:ind w:firstLine="482"/>
        <w:rPr>
          <w:rFonts w:hint="eastAsia" w:eastAsia="楷体"/>
          <w:lang w:eastAsia="zh-CN"/>
        </w:rPr>
      </w:pPr>
      <w:r>
        <w:rPr>
          <w:rFonts w:hint="eastAsia" w:eastAsia="楷体"/>
          <w:lang w:eastAsia="zh-CN"/>
        </w:rPr>
        <w:t>由一套冲积、洪积和冲积、湖积为主的沉积物，主要由黄色、灰黄色具黄土状结构的粉砂质亚砂土、亚黏土夹灰绿、灰黑色泥质细砂、亚黏土、泥碳层组成。地层中夹有2～3层海相层，埋藏厚度一般为40～170m。</w:t>
      </w:r>
    </w:p>
    <w:p w14:paraId="23BAB0AA">
      <w:pPr>
        <w:pStyle w:val="47"/>
        <w:ind w:firstLine="482"/>
        <w:rPr>
          <w:rFonts w:hint="eastAsia" w:eastAsia="楷体"/>
          <w:lang w:eastAsia="zh-CN"/>
        </w:rPr>
      </w:pPr>
      <w:r>
        <w:rPr>
          <w:rFonts w:hint="eastAsia"/>
          <w:lang w:val="en-US" w:eastAsia="zh-CN"/>
        </w:rPr>
        <w:t>c</w:t>
      </w:r>
      <w:r>
        <w:rPr>
          <w:rFonts w:hint="eastAsia" w:eastAsia="楷体"/>
          <w:lang w:eastAsia="zh-CN"/>
        </w:rPr>
        <w:t>中更新统（Q2）</w:t>
      </w:r>
    </w:p>
    <w:p w14:paraId="0F152827">
      <w:pPr>
        <w:pStyle w:val="47"/>
        <w:ind w:firstLine="482"/>
        <w:rPr>
          <w:rFonts w:hint="eastAsia" w:eastAsia="楷体"/>
          <w:lang w:eastAsia="zh-CN"/>
        </w:rPr>
      </w:pPr>
      <w:r>
        <w:rPr>
          <w:rFonts w:hint="eastAsia" w:eastAsia="楷体"/>
          <w:lang w:eastAsia="zh-CN"/>
        </w:rPr>
        <w:t>由一套冲积、洪积和冲积、湖积为主的沉积物，与上更新统基本一致，含冰川、冰水堆积泥砂及砂卵石层，埋藏厚度一般为100～225m。</w:t>
      </w:r>
    </w:p>
    <w:p w14:paraId="7DC20CEC">
      <w:pPr>
        <w:pStyle w:val="47"/>
        <w:ind w:firstLine="482"/>
        <w:rPr>
          <w:rFonts w:hint="eastAsia" w:eastAsia="楷体"/>
          <w:lang w:eastAsia="zh-CN"/>
        </w:rPr>
      </w:pPr>
      <w:r>
        <w:rPr>
          <w:rFonts w:hint="eastAsia"/>
          <w:lang w:val="en-US" w:eastAsia="zh-CN"/>
        </w:rPr>
        <w:t>d</w:t>
      </w:r>
      <w:r>
        <w:rPr>
          <w:rFonts w:hint="eastAsia" w:eastAsia="楷体"/>
          <w:lang w:eastAsia="zh-CN"/>
        </w:rPr>
        <w:t>下更新统（Q1）</w:t>
      </w:r>
    </w:p>
    <w:p w14:paraId="5D4BFA60">
      <w:pPr>
        <w:pStyle w:val="47"/>
        <w:ind w:firstLine="482"/>
        <w:rPr>
          <w:rFonts w:hint="eastAsia" w:eastAsia="楷体"/>
          <w:lang w:eastAsia="zh-CN"/>
        </w:rPr>
      </w:pPr>
      <w:r>
        <w:rPr>
          <w:rFonts w:hint="eastAsia" w:eastAsia="楷体"/>
          <w:lang w:eastAsia="zh-CN"/>
        </w:rPr>
        <w:t>由粘土、亚黏土夹砂砾石层堆积物组成，普遍含铁锰结核，局部粘土含风化长石砂砾，具不明显的混粒结构，沉积了厚度较大的冲积、洪积与冰川、冰水相堆积物，其间夹有湖沼相，以棕红色为基色、混锈黄色、灰绿色及斑杂色粘土夹砂层，属河流湖泊相堆积。埋藏厚度一般为100～400m。</w:t>
      </w:r>
    </w:p>
    <w:p w14:paraId="7F54466C">
      <w:pPr>
        <w:pStyle w:val="47"/>
        <w:ind w:firstLine="482"/>
        <w:rPr>
          <w:rFonts w:hint="eastAsia" w:eastAsia="楷体"/>
          <w:lang w:eastAsia="zh-CN"/>
        </w:rPr>
      </w:pPr>
      <w:r>
        <w:rPr>
          <w:rFonts w:hint="eastAsia" w:eastAsia="楷体"/>
          <w:lang w:eastAsia="zh-CN"/>
        </w:rPr>
        <w:t>②第三系（R）</w:t>
      </w:r>
    </w:p>
    <w:p w14:paraId="08064459">
      <w:pPr>
        <w:pStyle w:val="47"/>
        <w:ind w:firstLine="482"/>
        <w:rPr>
          <w:rFonts w:hint="eastAsia" w:eastAsia="楷体"/>
          <w:lang w:eastAsia="zh-CN"/>
        </w:rPr>
      </w:pPr>
      <w:r>
        <w:rPr>
          <w:rFonts w:hint="eastAsia"/>
          <w:lang w:val="en-US" w:eastAsia="zh-CN"/>
        </w:rPr>
        <w:t>a</w:t>
      </w:r>
      <w:r>
        <w:rPr>
          <w:rFonts w:hint="eastAsia" w:eastAsia="楷体"/>
          <w:lang w:eastAsia="zh-CN"/>
        </w:rPr>
        <w:t>上第三系（N）</w:t>
      </w:r>
    </w:p>
    <w:p w14:paraId="0803437C">
      <w:pPr>
        <w:pStyle w:val="47"/>
        <w:ind w:firstLine="482"/>
        <w:rPr>
          <w:rFonts w:hint="eastAsia" w:eastAsia="楷体"/>
          <w:lang w:eastAsia="zh-CN"/>
        </w:rPr>
      </w:pPr>
      <w:r>
        <w:rPr>
          <w:rFonts w:hint="eastAsia" w:eastAsia="楷体"/>
          <w:lang w:eastAsia="zh-CN"/>
        </w:rPr>
        <w:t>上新统和中新统的明化镇组和馆陶组，岩性主要为砂岩与泥岩互层，底部为厚层燧石砾岩层，底界埋深1350～2080m。自上而下分两组：</w:t>
      </w:r>
    </w:p>
    <w:p w14:paraId="0E7E0048">
      <w:pPr>
        <w:pStyle w:val="47"/>
        <w:ind w:firstLine="482"/>
        <w:rPr>
          <w:rFonts w:hint="eastAsia" w:eastAsia="楷体"/>
          <w:lang w:eastAsia="zh-CN"/>
        </w:rPr>
      </w:pPr>
      <w:r>
        <w:rPr>
          <w:rFonts w:hint="eastAsia" w:eastAsia="楷体"/>
          <w:lang w:eastAsia="zh-CN"/>
        </w:rPr>
        <w:t>明化镇组由一套河流相灰黄、棕黄、棕红色砂岩、少量灰绿色砂岩夹泥岩组成，埋藏厚度一般为1500m左右。</w:t>
      </w:r>
    </w:p>
    <w:p w14:paraId="2E203001">
      <w:pPr>
        <w:pStyle w:val="47"/>
        <w:ind w:firstLine="482"/>
        <w:rPr>
          <w:rFonts w:hint="eastAsia" w:eastAsia="楷体"/>
          <w:lang w:eastAsia="zh-CN"/>
        </w:rPr>
      </w:pPr>
      <w:r>
        <w:rPr>
          <w:rFonts w:hint="eastAsia" w:eastAsia="楷体"/>
          <w:lang w:eastAsia="zh-CN"/>
        </w:rPr>
        <w:t>馆陶组上部为浅灰、灰白色细砂岩、粉砂岩，与暗紫红、浅黄灰色泥岩不等厚互层；中部为暗紫红色泥岩夹灰白色砂岩；下部为灰白色砂岩、含砾砂岩、灰绿色粉砂岩夹暗紫红、灰绿、灰色泥岩，底部有7m厚的杂色石英、燧石砾岩，总厚度大于100～700m。</w:t>
      </w:r>
    </w:p>
    <w:p w14:paraId="5B5321A9">
      <w:pPr>
        <w:pStyle w:val="47"/>
        <w:ind w:firstLine="482"/>
        <w:rPr>
          <w:rFonts w:hint="eastAsia" w:eastAsia="楷体"/>
          <w:lang w:eastAsia="zh-CN"/>
        </w:rPr>
      </w:pPr>
      <w:r>
        <w:rPr>
          <w:rFonts w:hint="eastAsia"/>
          <w:lang w:val="en-US" w:eastAsia="zh-CN"/>
        </w:rPr>
        <w:t>b</w:t>
      </w:r>
      <w:r>
        <w:rPr>
          <w:rFonts w:hint="eastAsia" w:eastAsia="楷体"/>
          <w:lang w:eastAsia="zh-CN"/>
        </w:rPr>
        <w:t>下第三系（E）</w:t>
      </w:r>
    </w:p>
    <w:p w14:paraId="1E48D4ED">
      <w:pPr>
        <w:pStyle w:val="47"/>
        <w:ind w:firstLine="482"/>
        <w:rPr>
          <w:rFonts w:hint="eastAsia" w:eastAsia="楷体"/>
          <w:lang w:eastAsia="zh-CN"/>
        </w:rPr>
      </w:pPr>
      <w:r>
        <w:rPr>
          <w:rFonts w:hint="eastAsia" w:eastAsia="楷体"/>
          <w:lang w:eastAsia="zh-CN"/>
        </w:rPr>
        <w:t>为渐新统和始新统，古始新统，岩性主要为泥岩、页岩、砂岩、泥膏岩、钙质泥岩、钙质砾岩、白云岩等，底板埋深1480～3300m。</w:t>
      </w:r>
    </w:p>
    <w:p w14:paraId="226E1B50">
      <w:pPr>
        <w:pStyle w:val="47"/>
        <w:ind w:firstLine="482"/>
        <w:rPr>
          <w:rFonts w:hint="eastAsia" w:eastAsia="楷体"/>
          <w:lang w:eastAsia="zh-CN"/>
        </w:rPr>
      </w:pPr>
      <w:r>
        <w:rPr>
          <w:rFonts w:hint="eastAsia"/>
          <w:lang w:eastAsia="zh-CN"/>
        </w:rPr>
        <w:t>（</w:t>
      </w:r>
      <w:r>
        <w:rPr>
          <w:rFonts w:hint="eastAsia"/>
          <w:lang w:val="en-US" w:eastAsia="zh-CN"/>
        </w:rPr>
        <w:t>3</w:t>
      </w:r>
      <w:r>
        <w:rPr>
          <w:rFonts w:hint="eastAsia"/>
          <w:lang w:eastAsia="zh-CN"/>
        </w:rPr>
        <w:t>）</w:t>
      </w:r>
      <w:r>
        <w:rPr>
          <w:rFonts w:hint="eastAsia" w:eastAsia="楷体"/>
          <w:lang w:eastAsia="zh-CN"/>
        </w:rPr>
        <w:t>区域水文地质</w:t>
      </w:r>
    </w:p>
    <w:p w14:paraId="2B017A4C">
      <w:pPr>
        <w:pStyle w:val="47"/>
        <w:ind w:firstLine="482"/>
        <w:rPr>
          <w:rFonts w:hint="eastAsia" w:eastAsia="楷体"/>
          <w:lang w:eastAsia="zh-CN"/>
        </w:rPr>
      </w:pPr>
      <w:r>
        <w:rPr>
          <w:rFonts w:hint="eastAsia" w:ascii="楷体" w:hAnsi="楷体" w:eastAsia="楷体" w:cs="楷体"/>
          <w:lang w:eastAsia="zh-CN"/>
        </w:rPr>
        <w:t>①</w:t>
      </w:r>
      <w:r>
        <w:rPr>
          <w:rFonts w:hint="eastAsia" w:eastAsia="楷体"/>
          <w:lang w:eastAsia="zh-CN"/>
        </w:rPr>
        <w:t>含水层组划分</w:t>
      </w:r>
    </w:p>
    <w:p w14:paraId="4F4789F5">
      <w:pPr>
        <w:pStyle w:val="47"/>
        <w:ind w:firstLine="482"/>
        <w:rPr>
          <w:rFonts w:hint="eastAsia" w:eastAsia="楷体"/>
          <w:lang w:eastAsia="zh-CN"/>
        </w:rPr>
      </w:pPr>
      <w:r>
        <w:rPr>
          <w:rFonts w:hint="eastAsia" w:eastAsia="楷体"/>
          <w:lang w:eastAsia="zh-CN"/>
        </w:rPr>
        <w:t>项目区地下水类型为第四系松散岩类孔隙水。依据规划场地地下水埋藏特征，松散岩类孔隙浅层地下水是本次评价的主要评价层位，其地下水赋存特征叙述如下：</w:t>
      </w:r>
    </w:p>
    <w:p w14:paraId="5FBE50FC">
      <w:pPr>
        <w:pStyle w:val="47"/>
        <w:ind w:firstLine="482"/>
        <w:rPr>
          <w:rFonts w:hint="eastAsia" w:eastAsia="楷体"/>
          <w:lang w:eastAsia="zh-CN"/>
        </w:rPr>
      </w:pPr>
      <w:r>
        <w:rPr>
          <w:rFonts w:hint="eastAsia" w:eastAsia="楷体"/>
          <w:lang w:eastAsia="zh-CN"/>
        </w:rPr>
        <w:t>园区所在区域位于太行山山前断层东侧，有数百米第三系、第四系覆盖层，处于界河冲洪积扇的中上游地段，第I含水组主要赋存于第四系全新统地层中，第II含水组赋存于第四系上更新统地层中，两个含水组连通性好，可看作为一个浅层含水层。该含水层主要补给来源为大气降水入渗，地下水的径流条件较好，本区水文地质条件较好，属强富水区。</w:t>
      </w:r>
    </w:p>
    <w:p w14:paraId="6B5ACAF6">
      <w:pPr>
        <w:pStyle w:val="47"/>
        <w:ind w:firstLine="482"/>
        <w:rPr>
          <w:rFonts w:hint="eastAsia" w:eastAsia="楷体"/>
          <w:lang w:eastAsia="zh-CN"/>
        </w:rPr>
      </w:pPr>
      <w:r>
        <w:rPr>
          <w:rFonts w:hint="eastAsia" w:eastAsia="楷体"/>
          <w:lang w:eastAsia="zh-CN"/>
        </w:rPr>
        <w:t>第I含水岩组，底板埋深20</w:t>
      </w:r>
      <w:r>
        <w:rPr>
          <w:rFonts w:hint="default" w:ascii="Times New Roman" w:hAnsi="Times New Roman" w:eastAsia="楷体" w:cs="Times New Roman"/>
          <w:lang w:eastAsia="zh-CN"/>
        </w:rPr>
        <w:t>~</w:t>
      </w:r>
      <w:r>
        <w:rPr>
          <w:rFonts w:hint="eastAsia" w:eastAsia="楷体"/>
          <w:lang w:eastAsia="zh-CN"/>
        </w:rPr>
        <w:t>40米，有1</w:t>
      </w:r>
      <w:r>
        <w:rPr>
          <w:rFonts w:hint="default" w:ascii="Times New Roman" w:hAnsi="Times New Roman" w:eastAsia="楷体" w:cs="Times New Roman"/>
          <w:lang w:eastAsia="zh-CN"/>
        </w:rPr>
        <w:t>~</w:t>
      </w:r>
      <w:r>
        <w:rPr>
          <w:rFonts w:hint="eastAsia" w:eastAsia="楷体"/>
          <w:lang w:eastAsia="zh-CN"/>
        </w:rPr>
        <w:t>2个含水层，第一层呈透镜状分布，第二层水平方向分布较为稳定。含水层岩性以中细砂为主，单层厚2</w:t>
      </w:r>
      <w:r>
        <w:rPr>
          <w:rFonts w:hint="default" w:ascii="Times New Roman" w:hAnsi="Times New Roman" w:eastAsia="楷体" w:cs="Times New Roman"/>
          <w:lang w:eastAsia="zh-CN"/>
        </w:rPr>
        <w:t>~</w:t>
      </w:r>
      <w:r>
        <w:rPr>
          <w:rFonts w:hint="eastAsia" w:eastAsia="楷体"/>
          <w:lang w:eastAsia="zh-CN"/>
        </w:rPr>
        <w:t>10米。两个污灌反漏斗区单位涌水量5</w:t>
      </w:r>
      <w:r>
        <w:rPr>
          <w:rFonts w:hint="default" w:ascii="Times New Roman" w:hAnsi="Times New Roman" w:eastAsia="楷体" w:cs="Times New Roman"/>
          <w:lang w:eastAsia="zh-CN"/>
        </w:rPr>
        <w:t>~</w:t>
      </w:r>
      <w:r>
        <w:rPr>
          <w:rFonts w:hint="eastAsia" w:eastAsia="楷体"/>
          <w:lang w:eastAsia="zh-CN"/>
        </w:rPr>
        <w:t>10m</w:t>
      </w:r>
      <w:r>
        <w:rPr>
          <w:rFonts w:hint="eastAsia" w:eastAsia="楷体"/>
          <w:vertAlign w:val="superscript"/>
          <w:lang w:eastAsia="zh-CN"/>
        </w:rPr>
        <w:t>3</w:t>
      </w:r>
      <w:r>
        <w:rPr>
          <w:rFonts w:hint="eastAsia" w:eastAsia="楷体"/>
          <w:lang w:eastAsia="zh-CN"/>
        </w:rPr>
        <w:t>/h·m。开采漏斗地段已部分或全部被疏干。含水层隔水底板厚5</w:t>
      </w:r>
      <w:r>
        <w:rPr>
          <w:rFonts w:hint="default" w:ascii="Times New Roman" w:hAnsi="Times New Roman" w:eastAsia="楷体" w:cs="Times New Roman"/>
          <w:lang w:eastAsia="zh-CN"/>
        </w:rPr>
        <w:t>~</w:t>
      </w:r>
      <w:r>
        <w:rPr>
          <w:rFonts w:hint="eastAsia" w:eastAsia="楷体"/>
          <w:lang w:eastAsia="zh-CN"/>
        </w:rPr>
        <w:t>15米。</w:t>
      </w:r>
    </w:p>
    <w:p w14:paraId="02947869">
      <w:pPr>
        <w:pStyle w:val="47"/>
        <w:ind w:firstLine="482"/>
        <w:rPr>
          <w:rFonts w:hint="eastAsia" w:eastAsia="楷体"/>
          <w:lang w:eastAsia="zh-CN"/>
        </w:rPr>
      </w:pPr>
      <w:r>
        <w:rPr>
          <w:rFonts w:hint="eastAsia" w:eastAsia="楷体"/>
          <w:lang w:eastAsia="zh-CN"/>
        </w:rPr>
        <w:t>第II含水岩组，底板埋深80</w:t>
      </w:r>
      <w:r>
        <w:rPr>
          <w:rFonts w:hint="default" w:ascii="Times New Roman" w:hAnsi="Times New Roman" w:eastAsia="楷体" w:cs="Times New Roman"/>
          <w:lang w:eastAsia="zh-CN"/>
        </w:rPr>
        <w:t>~</w:t>
      </w:r>
      <w:r>
        <w:rPr>
          <w:rFonts w:hint="eastAsia" w:eastAsia="楷体"/>
          <w:lang w:eastAsia="zh-CN"/>
        </w:rPr>
        <w:t>130米，有7</w:t>
      </w:r>
      <w:r>
        <w:rPr>
          <w:rFonts w:hint="default" w:ascii="Times New Roman" w:hAnsi="Times New Roman" w:eastAsia="楷体" w:cs="Times New Roman"/>
          <w:lang w:eastAsia="zh-CN"/>
        </w:rPr>
        <w:t>~</w:t>
      </w:r>
      <w:r>
        <w:rPr>
          <w:rFonts w:hint="eastAsia" w:eastAsia="楷体"/>
          <w:lang w:eastAsia="zh-CN"/>
        </w:rPr>
        <w:t>10个含水层，单层厚1</w:t>
      </w:r>
      <w:r>
        <w:rPr>
          <w:rFonts w:hint="default" w:ascii="Times New Roman" w:hAnsi="Times New Roman" w:eastAsia="楷体" w:cs="Times New Roman"/>
          <w:lang w:eastAsia="zh-CN"/>
        </w:rPr>
        <w:t>~</w:t>
      </w:r>
      <w:r>
        <w:rPr>
          <w:rFonts w:hint="eastAsia" w:eastAsia="楷体"/>
          <w:lang w:eastAsia="zh-CN"/>
        </w:rPr>
        <w:t>5米，总厚度26</w:t>
      </w:r>
      <w:r>
        <w:rPr>
          <w:rFonts w:hint="default" w:ascii="Times New Roman" w:hAnsi="Times New Roman" w:eastAsia="楷体" w:cs="Times New Roman"/>
          <w:lang w:eastAsia="zh-CN"/>
        </w:rPr>
        <w:t>~</w:t>
      </w:r>
      <w:r>
        <w:rPr>
          <w:rFonts w:hint="eastAsia" w:eastAsia="楷体"/>
          <w:lang w:eastAsia="zh-CN"/>
        </w:rPr>
        <w:t>30米，水平方向分布较稳定，含水层岩性由上至下基本为细砂、中砂、粗砂，富水性中等，单位涌水量10</w:t>
      </w:r>
      <w:r>
        <w:rPr>
          <w:rFonts w:hint="default" w:ascii="Times New Roman" w:hAnsi="Times New Roman" w:eastAsia="楷体" w:cs="Times New Roman"/>
          <w:lang w:eastAsia="zh-CN"/>
        </w:rPr>
        <w:t>~</w:t>
      </w:r>
      <w:r>
        <w:rPr>
          <w:rFonts w:hint="eastAsia" w:eastAsia="楷体"/>
          <w:lang w:eastAsia="zh-CN"/>
        </w:rPr>
        <w:t>30m</w:t>
      </w:r>
      <w:r>
        <w:rPr>
          <w:rFonts w:hint="eastAsia" w:eastAsia="楷体"/>
          <w:vertAlign w:val="superscript"/>
          <w:lang w:eastAsia="zh-CN"/>
        </w:rPr>
        <w:t>3</w:t>
      </w:r>
      <w:r>
        <w:rPr>
          <w:rFonts w:hint="eastAsia" w:eastAsia="楷体"/>
          <w:lang w:eastAsia="zh-CN"/>
        </w:rPr>
        <w:t>/h·m，渗透系数15m/d左右，下伏隔水层30</w:t>
      </w:r>
      <w:r>
        <w:rPr>
          <w:rFonts w:hint="default" w:ascii="Times New Roman" w:hAnsi="Times New Roman" w:eastAsia="楷体" w:cs="Times New Roman"/>
          <w:lang w:eastAsia="zh-CN"/>
        </w:rPr>
        <w:t>~</w:t>
      </w:r>
      <w:r>
        <w:rPr>
          <w:rFonts w:hint="eastAsia" w:eastAsia="楷体"/>
          <w:lang w:eastAsia="zh-CN"/>
        </w:rPr>
        <w:t>35米厚。该含水岩组是该区域水源开采层，因补给条件差，地下水水位迅速下降，目前地下水位埋深已下降至30</w:t>
      </w:r>
      <w:r>
        <w:rPr>
          <w:rFonts w:hint="default" w:ascii="Times New Roman" w:hAnsi="Times New Roman" w:eastAsia="楷体" w:cs="Times New Roman"/>
          <w:lang w:eastAsia="zh-CN"/>
        </w:rPr>
        <w:t>~</w:t>
      </w:r>
      <w:r>
        <w:rPr>
          <w:rFonts w:hint="eastAsia" w:eastAsia="楷体"/>
          <w:lang w:eastAsia="zh-CN"/>
        </w:rPr>
        <w:t>40米。</w:t>
      </w:r>
    </w:p>
    <w:p w14:paraId="6DE2B161">
      <w:pPr>
        <w:pStyle w:val="47"/>
        <w:ind w:firstLine="482"/>
        <w:rPr>
          <w:rFonts w:hint="eastAsia" w:eastAsia="楷体"/>
          <w:lang w:eastAsia="zh-CN"/>
        </w:rPr>
      </w:pPr>
      <w:r>
        <w:rPr>
          <w:rFonts w:hint="eastAsia" w:eastAsia="楷体"/>
          <w:lang w:eastAsia="zh-CN"/>
        </w:rPr>
        <w:t>第III含水岩组，底板埋深200</w:t>
      </w:r>
      <w:r>
        <w:rPr>
          <w:rFonts w:hint="default" w:ascii="Times New Roman" w:hAnsi="Times New Roman" w:eastAsia="楷体" w:cs="Times New Roman"/>
          <w:lang w:eastAsia="zh-CN"/>
        </w:rPr>
        <w:t>~</w:t>
      </w:r>
      <w:r>
        <w:rPr>
          <w:rFonts w:hint="eastAsia" w:eastAsia="楷体"/>
          <w:lang w:eastAsia="zh-CN"/>
        </w:rPr>
        <w:t>280米，有7</w:t>
      </w:r>
      <w:r>
        <w:rPr>
          <w:rFonts w:hint="default" w:ascii="Times New Roman" w:hAnsi="Times New Roman" w:eastAsia="楷体" w:cs="Times New Roman"/>
          <w:lang w:eastAsia="zh-CN"/>
        </w:rPr>
        <w:t>~</w:t>
      </w:r>
      <w:r>
        <w:rPr>
          <w:rFonts w:hint="eastAsia" w:eastAsia="楷体"/>
          <w:lang w:eastAsia="zh-CN"/>
        </w:rPr>
        <w:t>8个含水层，单层厚2</w:t>
      </w:r>
      <w:r>
        <w:rPr>
          <w:rFonts w:hint="default" w:ascii="Times New Roman" w:hAnsi="Times New Roman" w:eastAsia="楷体" w:cs="Times New Roman"/>
          <w:lang w:eastAsia="zh-CN"/>
        </w:rPr>
        <w:t>~</w:t>
      </w:r>
      <w:r>
        <w:rPr>
          <w:rFonts w:hint="eastAsia" w:eastAsia="楷体"/>
          <w:lang w:eastAsia="zh-CN"/>
        </w:rPr>
        <w:t>5米，总厚度20</w:t>
      </w:r>
      <w:r>
        <w:rPr>
          <w:rFonts w:hint="default" w:ascii="Times New Roman" w:hAnsi="Times New Roman" w:eastAsia="楷体" w:cs="Times New Roman"/>
          <w:lang w:eastAsia="zh-CN"/>
        </w:rPr>
        <w:t>~</w:t>
      </w:r>
      <w:r>
        <w:rPr>
          <w:rFonts w:hint="eastAsia" w:eastAsia="楷体"/>
          <w:lang w:eastAsia="zh-CN"/>
        </w:rPr>
        <w:t>30米，含水层岩性以压实的粗砂、中砂为主，单位涌水量5</w:t>
      </w:r>
      <w:r>
        <w:rPr>
          <w:rFonts w:hint="default" w:ascii="Times New Roman" w:hAnsi="Times New Roman" w:eastAsia="楷体" w:cs="Times New Roman"/>
          <w:lang w:eastAsia="zh-CN"/>
        </w:rPr>
        <w:t>~</w:t>
      </w:r>
      <w:r>
        <w:rPr>
          <w:rFonts w:hint="eastAsia" w:eastAsia="楷体"/>
          <w:lang w:eastAsia="zh-CN"/>
        </w:rPr>
        <w:t>10m</w:t>
      </w:r>
      <w:r>
        <w:rPr>
          <w:rFonts w:hint="eastAsia" w:eastAsia="楷体"/>
          <w:vertAlign w:val="superscript"/>
          <w:lang w:eastAsia="zh-CN"/>
        </w:rPr>
        <w:t>3</w:t>
      </w:r>
      <w:r>
        <w:rPr>
          <w:rFonts w:hint="eastAsia" w:eastAsia="楷体"/>
          <w:lang w:eastAsia="zh-CN"/>
        </w:rPr>
        <w:t>/h·m，下伏隔水层厚10</w:t>
      </w:r>
      <w:r>
        <w:rPr>
          <w:rFonts w:hint="default" w:ascii="Times New Roman" w:hAnsi="Times New Roman" w:eastAsia="楷体" w:cs="Times New Roman"/>
          <w:lang w:eastAsia="zh-CN"/>
        </w:rPr>
        <w:t>~</w:t>
      </w:r>
      <w:r>
        <w:rPr>
          <w:rFonts w:hint="eastAsia" w:eastAsia="楷体"/>
          <w:lang w:eastAsia="zh-CN"/>
        </w:rPr>
        <w:t>20米。</w:t>
      </w:r>
    </w:p>
    <w:p w14:paraId="28D9C93B">
      <w:pPr>
        <w:pStyle w:val="47"/>
        <w:ind w:firstLine="482"/>
        <w:rPr>
          <w:rFonts w:hint="eastAsia" w:eastAsia="楷体"/>
          <w:lang w:eastAsia="zh-CN"/>
        </w:rPr>
      </w:pPr>
      <w:r>
        <w:rPr>
          <w:rFonts w:hint="eastAsia" w:eastAsia="楷体"/>
          <w:lang w:eastAsia="zh-CN"/>
        </w:rPr>
        <w:t>第IV含水岩组，底板埋深350</w:t>
      </w:r>
      <w:r>
        <w:rPr>
          <w:rFonts w:hint="default" w:ascii="Times New Roman" w:hAnsi="Times New Roman" w:eastAsia="楷体" w:cs="Times New Roman"/>
          <w:lang w:eastAsia="zh-CN"/>
        </w:rPr>
        <w:t>~</w:t>
      </w:r>
      <w:r>
        <w:rPr>
          <w:rFonts w:hint="eastAsia" w:eastAsia="楷体"/>
          <w:lang w:eastAsia="zh-CN"/>
        </w:rPr>
        <w:t>400米，含水层总厚35</w:t>
      </w:r>
      <w:r>
        <w:rPr>
          <w:rFonts w:hint="default" w:ascii="Times New Roman" w:hAnsi="Times New Roman" w:eastAsia="楷体" w:cs="Times New Roman"/>
          <w:lang w:eastAsia="zh-CN"/>
        </w:rPr>
        <w:t>~</w:t>
      </w:r>
      <w:r>
        <w:rPr>
          <w:rFonts w:hint="eastAsia" w:eastAsia="楷体"/>
          <w:lang w:eastAsia="zh-CN"/>
        </w:rPr>
        <w:t>50米。岩性以固结或风化的中粗砂为主，单位涌水量普遍小于2.0m</w:t>
      </w:r>
      <w:r>
        <w:rPr>
          <w:rFonts w:hint="eastAsia" w:eastAsia="楷体"/>
          <w:vertAlign w:val="superscript"/>
          <w:lang w:eastAsia="zh-CN"/>
        </w:rPr>
        <w:t>3</w:t>
      </w:r>
      <w:r>
        <w:rPr>
          <w:rFonts w:hint="eastAsia" w:eastAsia="楷体"/>
          <w:lang w:eastAsia="zh-CN"/>
        </w:rPr>
        <w:t>/h·m，渗透系数小于2.0m/d。评价区域水文地质图见图6-27。</w:t>
      </w:r>
    </w:p>
    <w:p w14:paraId="58E45766">
      <w:pPr>
        <w:pStyle w:val="47"/>
        <w:ind w:firstLine="482"/>
        <w:rPr>
          <w:rFonts w:hint="eastAsia" w:eastAsia="楷体"/>
          <w:lang w:eastAsia="zh-CN"/>
        </w:rPr>
      </w:pPr>
      <w:r>
        <w:rPr>
          <w:rFonts w:hint="eastAsia" w:eastAsia="楷体"/>
          <w:lang w:eastAsia="zh-CN"/>
        </w:rPr>
        <w:t>调查评价区及项目选址位于该水文地质单元内，根据本次调查区域内水井分布现状，目前以开采浅层地下水为主，成井深均在55</w:t>
      </w:r>
      <w:r>
        <w:rPr>
          <w:rFonts w:hint="default" w:ascii="Times New Roman" w:hAnsi="Times New Roman" w:eastAsia="楷体" w:cs="Times New Roman"/>
          <w:lang w:eastAsia="zh-CN"/>
        </w:rPr>
        <w:t>~</w:t>
      </w:r>
      <w:r>
        <w:rPr>
          <w:rFonts w:hint="eastAsia" w:eastAsia="楷体"/>
          <w:lang w:eastAsia="zh-CN"/>
        </w:rPr>
        <w:t>90m之间，由此可见本区目前以开采浅层地下水为主，故本次评价只对第四系浅层水进行评价。</w:t>
      </w:r>
    </w:p>
    <w:p w14:paraId="79A3EF54">
      <w:pPr>
        <w:pStyle w:val="47"/>
        <w:ind w:firstLine="482"/>
        <w:rPr>
          <w:rFonts w:hint="eastAsia" w:eastAsia="楷体"/>
          <w:lang w:eastAsia="zh-CN"/>
        </w:rPr>
      </w:pPr>
    </w:p>
    <w:p w14:paraId="2E1D8FE0">
      <w:pPr>
        <w:pStyle w:val="47"/>
        <w:ind w:firstLine="482"/>
        <w:rPr>
          <w:rFonts w:hint="eastAsia" w:eastAsia="楷体"/>
          <w:lang w:eastAsia="zh-CN"/>
        </w:rPr>
      </w:pPr>
    </w:p>
    <w:p w14:paraId="3D1CC573">
      <w:pPr>
        <w:pStyle w:val="47"/>
        <w:ind w:firstLine="482"/>
        <w:rPr>
          <w:rFonts w:hint="eastAsia" w:eastAsia="楷体"/>
          <w:lang w:eastAsia="zh-CN"/>
        </w:rPr>
      </w:pPr>
    </w:p>
    <w:p w14:paraId="0761F095">
      <w:pPr>
        <w:pStyle w:val="47"/>
        <w:ind w:firstLine="482"/>
        <w:rPr>
          <w:rFonts w:hint="eastAsia" w:eastAsia="楷体"/>
          <w:lang w:eastAsia="zh-CN"/>
        </w:rPr>
      </w:pPr>
    </w:p>
    <w:p w14:paraId="0363BB55">
      <w:pPr>
        <w:pStyle w:val="47"/>
        <w:ind w:firstLine="482"/>
        <w:rPr>
          <w:rFonts w:hint="eastAsia" w:eastAsia="楷体"/>
          <w:lang w:eastAsia="zh-CN"/>
        </w:rPr>
      </w:pPr>
    </w:p>
    <w:p w14:paraId="4B26B535">
      <w:pPr>
        <w:pStyle w:val="47"/>
        <w:ind w:firstLine="482"/>
        <w:rPr>
          <w:rFonts w:hint="eastAsia" w:eastAsia="楷体"/>
          <w:lang w:eastAsia="zh-CN"/>
        </w:rPr>
      </w:pPr>
    </w:p>
    <w:p w14:paraId="4B7DB9F3">
      <w:pPr>
        <w:pStyle w:val="47"/>
        <w:ind w:firstLine="482"/>
        <w:rPr>
          <w:rFonts w:hint="eastAsia" w:eastAsia="楷体"/>
          <w:lang w:eastAsia="zh-CN"/>
        </w:rPr>
      </w:pPr>
    </w:p>
    <w:p w14:paraId="326D5A11">
      <w:pPr>
        <w:pStyle w:val="47"/>
        <w:ind w:left="0" w:leftChars="0" w:firstLine="0" w:firstLineChars="0"/>
        <w:rPr>
          <w:rFonts w:hint="eastAsia" w:eastAsia="楷体"/>
          <w:lang w:eastAsia="zh-CN"/>
        </w:rPr>
      </w:pPr>
    </w:p>
    <w:p w14:paraId="6E90553F">
      <w:pPr>
        <w:pStyle w:val="47"/>
        <w:ind w:firstLine="482"/>
        <w:rPr>
          <w:rFonts w:hint="eastAsia" w:eastAsia="楷体"/>
          <w:lang w:eastAsia="zh-CN"/>
        </w:rPr>
      </w:pPr>
      <w:r>
        <w:rPr>
          <w:sz w:val="28"/>
        </w:rPr>
        <mc:AlternateContent>
          <mc:Choice Requires="wpg">
            <w:drawing>
              <wp:anchor distT="0" distB="0" distL="114300" distR="114300" simplePos="0" relativeHeight="251670528" behindDoc="0" locked="0" layoutInCell="1" allowOverlap="1">
                <wp:simplePos x="0" y="0"/>
                <wp:positionH relativeFrom="column">
                  <wp:posOffset>673100</wp:posOffset>
                </wp:positionH>
                <wp:positionV relativeFrom="paragraph">
                  <wp:posOffset>2540</wp:posOffset>
                </wp:positionV>
                <wp:extent cx="4709160" cy="4715510"/>
                <wp:effectExtent l="0" t="0" r="15240" b="8890"/>
                <wp:wrapNone/>
                <wp:docPr id="1" name="组合 1"/>
                <wp:cNvGraphicFramePr/>
                <a:graphic xmlns:a="http://schemas.openxmlformats.org/drawingml/2006/main">
                  <a:graphicData uri="http://schemas.microsoft.com/office/word/2010/wordprocessingGroup">
                    <wpg:wgp>
                      <wpg:cNvGrpSpPr/>
                      <wpg:grpSpPr>
                        <a:xfrm>
                          <a:off x="0" y="0"/>
                          <a:ext cx="4709160" cy="4715510"/>
                          <a:chOff x="6424" y="1929906"/>
                          <a:chExt cx="7416" cy="7426"/>
                        </a:xfrm>
                      </wpg:grpSpPr>
                      <pic:pic xmlns:pic="http://schemas.openxmlformats.org/drawingml/2006/picture">
                        <pic:nvPicPr>
                          <pic:cNvPr id="16" name="图片 5" descr="底图"/>
                          <pic:cNvPicPr>
                            <a:picLocks noChangeAspect="1"/>
                          </pic:cNvPicPr>
                        </pic:nvPicPr>
                        <pic:blipFill>
                          <a:blip r:embed="rId26"/>
                          <a:stretch>
                            <a:fillRect/>
                          </a:stretch>
                        </pic:blipFill>
                        <pic:spPr>
                          <a:xfrm>
                            <a:off x="6424" y="1929906"/>
                            <a:ext cx="7416" cy="7426"/>
                          </a:xfrm>
                          <a:prstGeom prst="rect">
                            <a:avLst/>
                          </a:prstGeom>
                          <a:noFill/>
                          <a:ln>
                            <a:noFill/>
                          </a:ln>
                        </pic:spPr>
                      </pic:pic>
                      <wps:wsp>
                        <wps:cNvPr id="24" name="椭圆 24"/>
                        <wps:cNvSpPr/>
                        <wps:spPr>
                          <a:xfrm>
                            <a:off x="9090" y="1932440"/>
                            <a:ext cx="110" cy="100"/>
                          </a:xfrm>
                          <a:prstGeom prst="ellipse">
                            <a:avLst/>
                          </a:prstGeom>
                          <a:solidFill>
                            <a:srgbClr val="7030A0"/>
                          </a:solidFill>
                          <a:ln>
                            <a:solidFill>
                              <a:srgbClr val="7030A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25" name="圆角矩形标注 25"/>
                        <wps:cNvSpPr/>
                        <wps:spPr>
                          <a:xfrm>
                            <a:off x="7921" y="1933710"/>
                            <a:ext cx="1123" cy="504"/>
                          </a:xfrm>
                          <a:prstGeom prst="wedgeRoundRectCallout">
                            <a:avLst>
                              <a:gd name="adj1" fmla="val 58956"/>
                              <a:gd name="adj2" fmla="val -287499"/>
                              <a:gd name="adj3" fmla="val 16667"/>
                            </a:avLst>
                          </a:prstGeom>
                          <a:solidFill>
                            <a:schemeClr val="bg1"/>
                          </a:solidFill>
                          <a:ln>
                            <a:solidFill>
                              <a:srgbClr val="7030A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74573389">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eastAsia" w:ascii="楷体" w:hAnsi="楷体" w:eastAsia="楷体" w:cs="楷体"/>
                                  <w:b/>
                                  <w:bCs/>
                                  <w:color w:val="7030A0"/>
                                  <w:lang w:val="en-US" w:eastAsia="zh-CN"/>
                                </w:rPr>
                              </w:pPr>
                              <w:r>
                                <w:rPr>
                                  <w:rFonts w:hint="eastAsia" w:ascii="楷体" w:hAnsi="楷体" w:eastAsia="楷体" w:cs="楷体"/>
                                  <w:b/>
                                  <w:bCs/>
                                  <w:color w:val="7030A0"/>
                                  <w:lang w:val="en-US" w:eastAsia="zh-CN"/>
                                </w:rPr>
                                <w:t>本项目</w:t>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_x0000_s1026" o:spid="_x0000_s1026" o:spt="203" style="position:absolute;left:0pt;margin-left:53pt;margin-top:0.2pt;height:371.3pt;width:370.8pt;z-index:251670528;mso-width-relative:page;mso-height-relative:page;" coordorigin="6424,1929906" coordsize="7416,7426" o:gfxdata="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">
                <o:lock v:ext="edit" aspectratio="f"/>
                <v:shape id="图片 5" o:spid="_x0000_s1026" o:spt="75" alt="底图" type="#_x0000_t75" style="position:absolute;left:6424;top:1929906;height:7426;width:7416;" filled="f" o:preferrelative="t" stroked="f" coordsize="21600,21600" o:gfxdata="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AEnawttAAAANsAAAAPAAAA&#10;AAAAAAEAIAAAACIAAABkcnMvZG93bnJldi54bWxQSwECFAAUAAAACACHTuJAMy8FnjsAAAA5AAAA&#10;EAAAAAAAAAABACAAAAADAQAAZHJzL3NoYXBleG1sLnhtbFBLBQYAAAAABgAGAFsBAACtAwAAAAA=&#10;">
                  <v:fill on="f" focussize="0,0"/>
                  <v:stroke on="f"/>
                  <v:imagedata r:id="rId26" o:title=""/>
                  <o:lock v:ext="edit" aspectratio="t"/>
                </v:shape>
                <v:shape id="_x0000_s1026" o:spid="_x0000_s1026" o:spt="3" type="#_x0000_t3" style="position:absolute;left:9090;top:1932440;height:100;width:110;v-text-anchor:middle;" fillcolor="#7030A0" filled="t" stroked="t" coordsize="21600,21600" o:gfxdata="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o6PVvQAA&#10;ANsAAAAPAAAAAAAAAAEAIAAAACIAAABkcnMvZG93bnJldi54bWxQSwECFAAUAAAACACHTuJAMy8F&#10;njsAAAA5AAAAEAAAAAAAAAABACAAAAAMAQAAZHJzL3NoYXBleG1sLnhtbFBLBQYAAAAABgAGAFsB&#10;AAC2AwAAAAA=&#10;">
                  <v:fill on="t" focussize="0,0"/>
                  <v:stroke weight="1pt" color="#7030A0 [2404]" miterlimit="8" joinstyle="miter"/>
                  <v:imagedata o:title=""/>
                  <o:lock v:ext="edit" aspectratio="f"/>
                </v:shape>
                <v:shape id="_x0000_s1026" o:spid="_x0000_s1026" o:spt="62" type="#_x0000_t62" style="position:absolute;left:7921;top:1933710;height:504;width:1123;v-text-anchor:middle;" fillcolor="#FFFFFF [3212]" filled="t" stroked="t" coordsize="21600,21600" o:gfxdata="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hondC/&#10;AAAA2wAAAA8AAAAAAAAAAQAgAAAAIgAAAGRycy9kb3ducmV2LnhtbFBLAQIUABQAAAAIAIdO4kAz&#10;LwWeOwAAADkAAAAQAAAAAAAAAAEAIAAAAA4BAABkcnMvc2hhcGV4bWwueG1sUEsFBgAAAAAGAAYA&#10;WwEAALgDAAAAAA==&#10;" adj="23534,-51300,14400">
                  <v:fill on="t" focussize="0,0"/>
                  <v:stroke weight="1pt" color="#7030A0 [2404]" miterlimit="8" joinstyle="miter"/>
                  <v:imagedata o:title=""/>
                  <o:lock v:ext="edit" aspectratio="f"/>
                  <v:textbox>
                    <w:txbxContent>
                      <w:p w14:paraId="74573389">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eastAsia" w:ascii="楷体" w:hAnsi="楷体" w:eastAsia="楷体" w:cs="楷体"/>
                            <w:b/>
                            <w:bCs/>
                            <w:color w:val="7030A0"/>
                            <w:lang w:val="en-US" w:eastAsia="zh-CN"/>
                          </w:rPr>
                        </w:pPr>
                        <w:r>
                          <w:rPr>
                            <w:rFonts w:hint="eastAsia" w:ascii="楷体" w:hAnsi="楷体" w:eastAsia="楷体" w:cs="楷体"/>
                            <w:b/>
                            <w:bCs/>
                            <w:color w:val="7030A0"/>
                            <w:lang w:val="en-US" w:eastAsia="zh-CN"/>
                          </w:rPr>
                          <w:t>本项目</w:t>
                        </w:r>
                      </w:p>
                    </w:txbxContent>
                  </v:textbox>
                </v:shape>
              </v:group>
            </w:pict>
          </mc:Fallback>
        </mc:AlternateContent>
      </w:r>
    </w:p>
    <w:p w14:paraId="49D7E11D">
      <w:pPr>
        <w:pStyle w:val="47"/>
        <w:ind w:firstLine="482"/>
        <w:rPr>
          <w:rFonts w:hint="eastAsia" w:eastAsia="楷体"/>
          <w:lang w:eastAsia="zh-CN"/>
        </w:rPr>
      </w:pPr>
    </w:p>
    <w:p w14:paraId="3A404231">
      <w:pPr>
        <w:pStyle w:val="12"/>
        <w:ind w:firstLine="480"/>
        <w:rPr>
          <w:sz w:val="24"/>
        </w:rPr>
      </w:pPr>
    </w:p>
    <w:p w14:paraId="0FD52FFE">
      <w:pPr>
        <w:pStyle w:val="12"/>
        <w:rPr>
          <w:sz w:val="24"/>
        </w:rPr>
      </w:pPr>
    </w:p>
    <w:p w14:paraId="1EE628EC">
      <w:pPr>
        <w:pStyle w:val="12"/>
        <w:ind w:firstLine="480"/>
        <w:rPr>
          <w:sz w:val="24"/>
        </w:rPr>
      </w:pPr>
    </w:p>
    <w:p w14:paraId="23325CA4">
      <w:pPr>
        <w:pStyle w:val="12"/>
        <w:ind w:firstLine="480"/>
        <w:rPr>
          <w:sz w:val="24"/>
        </w:rPr>
      </w:pPr>
    </w:p>
    <w:p w14:paraId="5143295D">
      <w:pPr>
        <w:pStyle w:val="12"/>
        <w:ind w:firstLine="480"/>
        <w:rPr>
          <w:sz w:val="24"/>
        </w:rPr>
      </w:pPr>
    </w:p>
    <w:p w14:paraId="75D5B43B">
      <w:pPr>
        <w:pStyle w:val="12"/>
        <w:ind w:firstLine="480"/>
        <w:rPr>
          <w:sz w:val="24"/>
        </w:rPr>
      </w:pPr>
    </w:p>
    <w:p w14:paraId="07AB5EA1">
      <w:pPr>
        <w:pStyle w:val="12"/>
        <w:ind w:firstLine="480"/>
        <w:rPr>
          <w:sz w:val="24"/>
        </w:rPr>
      </w:pPr>
    </w:p>
    <w:p w14:paraId="56E0BF62">
      <w:pPr>
        <w:pStyle w:val="12"/>
        <w:ind w:firstLine="480"/>
        <w:rPr>
          <w:sz w:val="24"/>
        </w:rPr>
      </w:pPr>
    </w:p>
    <w:p w14:paraId="63724BBD">
      <w:pPr>
        <w:pStyle w:val="12"/>
        <w:ind w:firstLine="480"/>
        <w:rPr>
          <w:sz w:val="24"/>
        </w:rPr>
      </w:pPr>
    </w:p>
    <w:p w14:paraId="7EC62A0C">
      <w:pPr>
        <w:pStyle w:val="12"/>
        <w:ind w:firstLine="480"/>
        <w:rPr>
          <w:sz w:val="24"/>
        </w:rPr>
      </w:pPr>
    </w:p>
    <w:p w14:paraId="2097ED93">
      <w:pPr>
        <w:pStyle w:val="12"/>
        <w:ind w:firstLine="480"/>
        <w:rPr>
          <w:sz w:val="24"/>
        </w:rPr>
      </w:pPr>
    </w:p>
    <w:p w14:paraId="5D70F97A">
      <w:pPr>
        <w:pStyle w:val="12"/>
        <w:ind w:left="0" w:leftChars="0" w:firstLine="0" w:firstLineChars="0"/>
        <w:rPr>
          <w:sz w:val="24"/>
        </w:rPr>
      </w:pPr>
    </w:p>
    <w:p w14:paraId="68CB523C">
      <w:pPr>
        <w:ind w:left="0" w:leftChars="0" w:firstLine="0" w:firstLineChars="0"/>
        <w:jc w:val="both"/>
        <w:rPr>
          <w:sz w:val="24"/>
        </w:rPr>
      </w:pPr>
    </w:p>
    <w:p w14:paraId="1DEEABD2">
      <w:pPr>
        <w:snapToGrid w:val="0"/>
        <w:spacing w:line="500" w:lineRule="exact"/>
        <w:jc w:val="center"/>
        <w:rPr>
          <w:rFonts w:eastAsia="黑体"/>
          <w:b/>
          <w:sz w:val="24"/>
        </w:rPr>
      </w:pPr>
      <w:r>
        <w:rPr>
          <w:rFonts w:eastAsia="黑体"/>
          <w:b/>
          <w:sz w:val="24"/>
        </w:rPr>
        <w:t>图6-2</w:t>
      </w:r>
      <w:r>
        <w:rPr>
          <w:rFonts w:hint="eastAsia" w:eastAsia="黑体"/>
          <w:b/>
          <w:sz w:val="24"/>
        </w:rPr>
        <w:t>7</w:t>
      </w:r>
      <w:r>
        <w:rPr>
          <w:rFonts w:eastAsia="黑体"/>
          <w:b/>
          <w:sz w:val="24"/>
        </w:rPr>
        <w:t xml:space="preserve">   水文地质图</w:t>
      </w:r>
    </w:p>
    <w:p w14:paraId="1F4AC881">
      <w:pPr>
        <w:pStyle w:val="47"/>
        <w:bidi w:val="0"/>
        <w:rPr>
          <w:rFonts w:hint="default" w:ascii="Times New Roman" w:hAnsi="Times New Roman" w:eastAsia="楷体" w:cs="Times New Roman"/>
        </w:rPr>
      </w:pPr>
      <w:r>
        <w:rPr>
          <w:rFonts w:hint="default" w:ascii="Times New Roman" w:hAnsi="Times New Roman" w:eastAsia="楷体" w:cs="Times New Roman"/>
          <w:lang w:eastAsia="zh-CN"/>
        </w:rPr>
        <w:t>（</w:t>
      </w:r>
      <w:r>
        <w:rPr>
          <w:rFonts w:hint="default" w:ascii="Times New Roman" w:hAnsi="Times New Roman" w:eastAsia="楷体" w:cs="Times New Roman"/>
          <w:lang w:val="en-US" w:eastAsia="zh-CN"/>
        </w:rPr>
        <w:t>4</w:t>
      </w:r>
      <w:r>
        <w:rPr>
          <w:rFonts w:hint="default" w:ascii="Times New Roman" w:hAnsi="Times New Roman" w:eastAsia="楷体" w:cs="Times New Roman"/>
          <w:lang w:eastAsia="zh-CN"/>
        </w:rPr>
        <w:t>）</w:t>
      </w:r>
      <w:r>
        <w:rPr>
          <w:rFonts w:hint="default" w:ascii="Times New Roman" w:hAnsi="Times New Roman" w:eastAsia="楷体" w:cs="Times New Roman"/>
        </w:rPr>
        <w:t>地下水补、径、排特征</w:t>
      </w:r>
    </w:p>
    <w:p w14:paraId="610DFFF7">
      <w:pPr>
        <w:pStyle w:val="47"/>
        <w:bidi w:val="0"/>
        <w:rPr>
          <w:rFonts w:hint="default" w:ascii="Times New Roman" w:hAnsi="Times New Roman" w:eastAsia="楷体" w:cs="Times New Roman"/>
        </w:rPr>
      </w:pPr>
      <w:r>
        <w:rPr>
          <w:rFonts w:hint="default" w:ascii="Times New Roman" w:hAnsi="Times New Roman" w:eastAsia="楷体" w:cs="Times New Roman"/>
        </w:rPr>
        <w:t>①地下水补给条件</w:t>
      </w:r>
    </w:p>
    <w:p w14:paraId="51367477">
      <w:pPr>
        <w:pStyle w:val="47"/>
        <w:bidi w:val="0"/>
        <w:rPr>
          <w:rFonts w:hint="default" w:ascii="Times New Roman" w:hAnsi="Times New Roman" w:eastAsia="楷体" w:cs="Times New Roman"/>
        </w:rPr>
      </w:pPr>
      <w:r>
        <w:rPr>
          <w:rFonts w:hint="default" w:ascii="Times New Roman" w:hAnsi="Times New Roman" w:eastAsia="楷体" w:cs="Times New Roman"/>
        </w:rPr>
        <w:t>调查评价区内第Ⅰ</w:t>
      </w:r>
      <w:r>
        <w:rPr>
          <w:rFonts w:hint="default" w:ascii="Times New Roman" w:hAnsi="Times New Roman" w:eastAsia="楷体" w:cs="Times New Roman"/>
          <w:lang w:val="en-US" w:eastAsia="zh-CN"/>
        </w:rPr>
        <w:t>+</w:t>
      </w:r>
      <w:r>
        <w:rPr>
          <w:rFonts w:hint="default" w:ascii="Times New Roman" w:hAnsi="Times New Roman" w:eastAsia="楷体" w:cs="Times New Roman"/>
        </w:rPr>
        <w:t>Ⅱ含水组，主要接受入渗补给，其次是侧向径流补给和越流补给；而第Ⅲ含水组，地下水主要接受侧向径流及相邻含水组的越流补给。</w:t>
      </w:r>
    </w:p>
    <w:p w14:paraId="6C2BF31F">
      <w:pPr>
        <w:pStyle w:val="47"/>
        <w:bidi w:val="0"/>
        <w:rPr>
          <w:rFonts w:hint="default" w:ascii="Times New Roman" w:hAnsi="Times New Roman" w:eastAsia="楷体" w:cs="Times New Roman"/>
        </w:rPr>
      </w:pPr>
      <w:r>
        <w:rPr>
          <w:rFonts w:hint="default" w:ascii="Times New Roman" w:hAnsi="Times New Roman" w:eastAsia="楷体" w:cs="Times New Roman"/>
        </w:rPr>
        <w:t>入渗补给主要包括降水入渗、灌溉回归、河水入渗、渠系及渠灌入渗等。</w:t>
      </w:r>
    </w:p>
    <w:p w14:paraId="377C8767">
      <w:pPr>
        <w:pStyle w:val="47"/>
        <w:bidi w:val="0"/>
        <w:rPr>
          <w:rFonts w:hint="default" w:ascii="Times New Roman" w:hAnsi="Times New Roman" w:eastAsia="楷体" w:cs="Times New Roman"/>
        </w:rPr>
      </w:pPr>
      <w:r>
        <w:rPr>
          <w:rFonts w:hint="default" w:ascii="Times New Roman" w:hAnsi="Times New Roman" w:eastAsia="楷体" w:cs="Times New Roman"/>
        </w:rPr>
        <w:t>本区第四系各含水（层）组之间，往往有厚度不等的弱透水层或相对隔水层相间出现。由于自然及人为因素的影响，往往具有一定的水头差，因此将不同程度地产生垂直渗流，即层（组）间越流补给与排泄。由于第Ⅲ、Ⅳ含水组之间分布着厚度大、连续性强、固结—半固结状粘土、亚粘土，其越流补给强度一般较微弱，可将之忽略不计。</w:t>
      </w:r>
    </w:p>
    <w:p w14:paraId="7559A1D6">
      <w:pPr>
        <w:pStyle w:val="47"/>
        <w:bidi w:val="0"/>
        <w:rPr>
          <w:rFonts w:hint="default" w:ascii="Times New Roman" w:hAnsi="Times New Roman" w:eastAsia="楷体" w:cs="Times New Roman"/>
        </w:rPr>
      </w:pPr>
      <w:r>
        <w:rPr>
          <w:rFonts w:hint="default" w:ascii="Times New Roman" w:hAnsi="Times New Roman" w:eastAsia="楷体" w:cs="Times New Roman"/>
        </w:rPr>
        <w:t>②地下水径流条件</w:t>
      </w:r>
    </w:p>
    <w:p w14:paraId="02563801">
      <w:pPr>
        <w:pStyle w:val="47"/>
        <w:bidi w:val="0"/>
        <w:rPr>
          <w:rFonts w:hint="default" w:ascii="Times New Roman" w:hAnsi="Times New Roman" w:eastAsia="楷体" w:cs="Times New Roman"/>
        </w:rPr>
      </w:pPr>
      <w:r>
        <w:rPr>
          <w:rFonts w:hint="default" w:ascii="Times New Roman" w:hAnsi="Times New Roman" w:eastAsia="楷体" w:cs="Times New Roman"/>
        </w:rPr>
        <w:t>本区第Ⅰ+Ⅱ含水组与第Ⅲ含水组地下水径流方向及径流特征基本一致，总体地下水径流方向均与地形倾向和地表水径流方向大致相同，由西向东汇流，冲积扇区地下水径流条件良好，水力坡度约1.1‰，导水系数均大于1000m</w:t>
      </w:r>
      <w:r>
        <w:rPr>
          <w:rFonts w:hint="default" w:ascii="Times New Roman" w:hAnsi="Times New Roman" w:eastAsia="楷体" w:cs="Times New Roman"/>
          <w:vertAlign w:val="superscript"/>
        </w:rPr>
        <w:t>2</w:t>
      </w:r>
      <w:r>
        <w:rPr>
          <w:rFonts w:hint="default" w:ascii="Times New Roman" w:hAnsi="Times New Roman" w:eastAsia="楷体" w:cs="Times New Roman"/>
        </w:rPr>
        <w:t>/d。</w:t>
      </w:r>
    </w:p>
    <w:p w14:paraId="505980F3">
      <w:pPr>
        <w:pStyle w:val="47"/>
        <w:bidi w:val="0"/>
        <w:rPr>
          <w:rFonts w:hint="default" w:ascii="Times New Roman" w:hAnsi="Times New Roman" w:eastAsia="楷体" w:cs="Times New Roman"/>
        </w:rPr>
      </w:pPr>
      <w:r>
        <w:rPr>
          <w:rFonts w:hint="default" w:ascii="Times New Roman" w:hAnsi="Times New Roman" w:eastAsia="楷体" w:cs="Times New Roman"/>
        </w:rPr>
        <w:t>③地下水排泄条件</w:t>
      </w:r>
    </w:p>
    <w:p w14:paraId="2D090932">
      <w:pPr>
        <w:pStyle w:val="47"/>
        <w:bidi w:val="0"/>
        <w:rPr>
          <w:rFonts w:hint="default" w:ascii="Times New Roman" w:hAnsi="Times New Roman" w:eastAsia="楷体" w:cs="Times New Roman"/>
        </w:rPr>
      </w:pPr>
      <w:r>
        <w:rPr>
          <w:rFonts w:hint="default" w:ascii="Times New Roman" w:hAnsi="Times New Roman" w:eastAsia="楷体" w:cs="Times New Roman"/>
        </w:rPr>
        <w:t>随着对第Ⅰ+Ⅱ含水组地下水的超量开采，水位呈区域性下降，使其排泄形式趋于简单。人工开采为主要排泄方式，其次是下游的径流排泄和向第Ⅲ含水组的越流排泄，第Ⅲ含水组地下水排泄方式也以人工开采为主，径流和越流排泄次之。</w:t>
      </w:r>
    </w:p>
    <w:p w14:paraId="5E638114">
      <w:pPr>
        <w:pStyle w:val="47"/>
        <w:bidi w:val="0"/>
      </w:pPr>
      <w:r>
        <w:t>该区域地下水主要受大气降雨、工农业开采等因素影响，主要分为三个时期，枯水期由于农灌开采地下水，地下水位逐渐持续下降，6月份为最低水位期，丰水期由于接受大气降雨及其他形式补给，地下水位逐渐回升，最高水位出现在9-10月份，调整期是12月到次年的3月份，水位缓慢回升。</w:t>
      </w:r>
    </w:p>
    <w:p w14:paraId="3520220A">
      <w:pPr>
        <w:pStyle w:val="47"/>
        <w:bidi w:val="0"/>
      </w:pPr>
      <w:r>
        <w:t>①地下水位年内变化</w:t>
      </w:r>
    </w:p>
    <w:p w14:paraId="5658829E">
      <w:pPr>
        <w:pStyle w:val="47"/>
        <w:bidi w:val="0"/>
      </w:pPr>
      <w:r>
        <w:t>受农业开采影响显著，一般每年三月开始农田灌溉，地下水位不断下降；到6、7月份，雨季来临，水位开始回升；到9-11月，少量开采，又使水位短暂下降，尔后又缓慢回升。</w:t>
      </w:r>
    </w:p>
    <w:p w14:paraId="6516B0FC">
      <w:pPr>
        <w:pStyle w:val="12"/>
      </w:pPr>
      <w:r>
        <w:rPr>
          <w:color w:val="0000FF"/>
        </w:rPr>
        <w:drawing>
          <wp:anchor distT="0" distB="0" distL="114300" distR="114300" simplePos="0" relativeHeight="251663360" behindDoc="0" locked="0" layoutInCell="1" allowOverlap="1">
            <wp:simplePos x="0" y="0"/>
            <wp:positionH relativeFrom="column">
              <wp:posOffset>620395</wp:posOffset>
            </wp:positionH>
            <wp:positionV relativeFrom="paragraph">
              <wp:posOffset>69215</wp:posOffset>
            </wp:positionV>
            <wp:extent cx="4223385" cy="1985010"/>
            <wp:effectExtent l="9525" t="9525" r="15240" b="24765"/>
            <wp:wrapNone/>
            <wp:docPr id="2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
                    <pic:cNvPicPr>
                      <a:picLocks noChangeAspect="1"/>
                    </pic:cNvPicPr>
                  </pic:nvPicPr>
                  <pic:blipFill>
                    <a:blip r:embed="rId27"/>
                    <a:srcRect l="1477" t="11731" r="1646" b="2875"/>
                    <a:stretch>
                      <a:fillRect/>
                    </a:stretch>
                  </pic:blipFill>
                  <pic:spPr>
                    <a:xfrm>
                      <a:off x="0" y="0"/>
                      <a:ext cx="4223385" cy="1985010"/>
                    </a:xfrm>
                    <a:prstGeom prst="rect">
                      <a:avLst/>
                    </a:prstGeom>
                    <a:noFill/>
                    <a:ln w="6350" cap="flat" cmpd="sng">
                      <a:solidFill>
                        <a:srgbClr val="000000"/>
                      </a:solidFill>
                      <a:prstDash val="solid"/>
                      <a:miter/>
                      <a:headEnd type="none" w="med" len="med"/>
                      <a:tailEnd type="none" w="med" len="med"/>
                    </a:ln>
                  </pic:spPr>
                </pic:pic>
              </a:graphicData>
            </a:graphic>
          </wp:anchor>
        </w:drawing>
      </w:r>
    </w:p>
    <w:p w14:paraId="59D56675">
      <w:pPr>
        <w:spacing w:line="500" w:lineRule="exact"/>
        <w:ind w:firstLine="480" w:firstLineChars="200"/>
        <w:rPr>
          <w:sz w:val="24"/>
          <w:szCs w:val="28"/>
        </w:rPr>
      </w:pPr>
    </w:p>
    <w:p w14:paraId="07EB4DB0">
      <w:pPr>
        <w:spacing w:line="500" w:lineRule="exact"/>
        <w:ind w:firstLine="480" w:firstLineChars="200"/>
        <w:rPr>
          <w:sz w:val="24"/>
          <w:szCs w:val="28"/>
        </w:rPr>
      </w:pPr>
    </w:p>
    <w:p w14:paraId="2C87F416">
      <w:pPr>
        <w:spacing w:line="500" w:lineRule="exact"/>
        <w:ind w:firstLine="480" w:firstLineChars="200"/>
        <w:rPr>
          <w:sz w:val="24"/>
          <w:szCs w:val="28"/>
        </w:rPr>
      </w:pPr>
    </w:p>
    <w:p w14:paraId="753ABF1A">
      <w:pPr>
        <w:spacing w:line="500" w:lineRule="exact"/>
        <w:ind w:firstLine="480" w:firstLineChars="200"/>
        <w:rPr>
          <w:sz w:val="24"/>
          <w:szCs w:val="28"/>
        </w:rPr>
      </w:pPr>
    </w:p>
    <w:p w14:paraId="27B212D5">
      <w:pPr>
        <w:spacing w:line="500" w:lineRule="exact"/>
        <w:ind w:firstLine="480" w:firstLineChars="200"/>
        <w:rPr>
          <w:sz w:val="24"/>
          <w:szCs w:val="28"/>
        </w:rPr>
      </w:pPr>
    </w:p>
    <w:p w14:paraId="719C2376">
      <w:pPr>
        <w:spacing w:line="500" w:lineRule="exact"/>
        <w:ind w:firstLine="480" w:firstLineChars="200"/>
        <w:rPr>
          <w:sz w:val="24"/>
          <w:szCs w:val="28"/>
        </w:rPr>
      </w:pPr>
    </w:p>
    <w:p w14:paraId="225BB703">
      <w:pPr>
        <w:pStyle w:val="98"/>
        <w:bidi w:val="0"/>
        <w:ind w:left="0" w:leftChars="0" w:firstLine="0" w:firstLineChars="0"/>
      </w:pPr>
      <w:r>
        <w:t>浅层地下水水位年内变化曲线</w:t>
      </w:r>
    </w:p>
    <w:p w14:paraId="6E9259C6">
      <w:pPr>
        <w:pStyle w:val="47"/>
        <w:bidi w:val="0"/>
      </w:pPr>
      <w:r>
        <w:t>②地下水位年际变化</w:t>
      </w:r>
    </w:p>
    <w:p w14:paraId="057D8545">
      <w:pPr>
        <w:pStyle w:val="47"/>
        <w:bidi w:val="0"/>
      </w:pPr>
      <w:r>
        <w:t>一方面与年降水量变化一致，年降水量达，地下水位回升，反之则下降；另一方面95年后，由于华北地区降水量减少，而开采量不断扩大，地下水位呈逐年下降趋势，下降速率0.48m/a。</w:t>
      </w:r>
    </w:p>
    <w:p w14:paraId="741FB4E1">
      <w:pPr>
        <w:spacing w:line="500" w:lineRule="exact"/>
        <w:ind w:firstLine="480" w:firstLineChars="200"/>
        <w:rPr>
          <w:sz w:val="24"/>
          <w:szCs w:val="28"/>
        </w:rPr>
      </w:pPr>
      <w:r>
        <w:rPr>
          <w:color w:val="0000FF"/>
        </w:rPr>
        <w:drawing>
          <wp:anchor distT="0" distB="0" distL="114300" distR="114300" simplePos="0" relativeHeight="251664384" behindDoc="0" locked="0" layoutInCell="1" allowOverlap="1">
            <wp:simplePos x="0" y="0"/>
            <wp:positionH relativeFrom="column">
              <wp:posOffset>250825</wp:posOffset>
            </wp:positionH>
            <wp:positionV relativeFrom="paragraph">
              <wp:posOffset>121285</wp:posOffset>
            </wp:positionV>
            <wp:extent cx="4867910" cy="2301875"/>
            <wp:effectExtent l="0" t="0" r="0" b="3175"/>
            <wp:wrapNone/>
            <wp:docPr id="23" name="图片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21"/>
                    <pic:cNvPicPr>
                      <a:picLocks noChangeAspect="1"/>
                    </pic:cNvPicPr>
                  </pic:nvPicPr>
                  <pic:blipFill>
                    <a:blip r:embed="rId28"/>
                    <a:stretch>
                      <a:fillRect/>
                    </a:stretch>
                  </pic:blipFill>
                  <pic:spPr>
                    <a:xfrm>
                      <a:off x="0" y="0"/>
                      <a:ext cx="4867910" cy="2301875"/>
                    </a:xfrm>
                    <a:prstGeom prst="rect">
                      <a:avLst/>
                    </a:prstGeom>
                    <a:noFill/>
                    <a:ln>
                      <a:noFill/>
                    </a:ln>
                  </pic:spPr>
                </pic:pic>
              </a:graphicData>
            </a:graphic>
          </wp:anchor>
        </w:drawing>
      </w:r>
    </w:p>
    <w:p w14:paraId="7BB5C4C7">
      <w:pPr>
        <w:spacing w:line="500" w:lineRule="exact"/>
        <w:ind w:firstLine="480" w:firstLineChars="200"/>
        <w:rPr>
          <w:sz w:val="24"/>
          <w:szCs w:val="28"/>
        </w:rPr>
      </w:pPr>
    </w:p>
    <w:p w14:paraId="3736EBC9">
      <w:pPr>
        <w:spacing w:line="500" w:lineRule="exact"/>
        <w:ind w:firstLine="480" w:firstLineChars="200"/>
        <w:rPr>
          <w:sz w:val="24"/>
          <w:szCs w:val="28"/>
        </w:rPr>
      </w:pPr>
    </w:p>
    <w:p w14:paraId="63354455">
      <w:pPr>
        <w:spacing w:line="500" w:lineRule="exact"/>
        <w:ind w:firstLine="480" w:firstLineChars="200"/>
        <w:rPr>
          <w:sz w:val="24"/>
          <w:szCs w:val="28"/>
        </w:rPr>
      </w:pPr>
    </w:p>
    <w:p w14:paraId="27C2F0A7">
      <w:pPr>
        <w:spacing w:line="500" w:lineRule="exact"/>
        <w:ind w:firstLine="480" w:firstLineChars="200"/>
        <w:rPr>
          <w:sz w:val="24"/>
          <w:szCs w:val="28"/>
        </w:rPr>
      </w:pPr>
    </w:p>
    <w:p w14:paraId="14CC4987">
      <w:pPr>
        <w:spacing w:line="500" w:lineRule="exact"/>
        <w:ind w:firstLine="480" w:firstLineChars="200"/>
        <w:rPr>
          <w:sz w:val="24"/>
          <w:szCs w:val="28"/>
        </w:rPr>
      </w:pPr>
    </w:p>
    <w:p w14:paraId="3270ACAE">
      <w:pPr>
        <w:spacing w:line="500" w:lineRule="exact"/>
        <w:ind w:firstLine="480" w:firstLineChars="200"/>
        <w:rPr>
          <w:sz w:val="24"/>
          <w:szCs w:val="28"/>
        </w:rPr>
      </w:pPr>
    </w:p>
    <w:p w14:paraId="57FE9275">
      <w:pPr>
        <w:spacing w:line="500" w:lineRule="exact"/>
        <w:ind w:firstLine="480" w:firstLineChars="200"/>
        <w:rPr>
          <w:sz w:val="24"/>
          <w:szCs w:val="28"/>
        </w:rPr>
      </w:pPr>
    </w:p>
    <w:p w14:paraId="118E75E8">
      <w:pPr>
        <w:pStyle w:val="98"/>
        <w:bidi w:val="0"/>
        <w:ind w:left="0" w:leftChars="0" w:firstLine="0" w:firstLineChars="0"/>
      </w:pPr>
      <w:r>
        <w:t>浅层地下水水位埋深多年变化曲线</w:t>
      </w:r>
    </w:p>
    <w:p w14:paraId="1ED33A11">
      <w:pPr>
        <w:pStyle w:val="12"/>
        <w:keepNext w:val="0"/>
        <w:keepLines w:val="0"/>
        <w:pageBreakBefore w:val="0"/>
        <w:widowControl w:val="0"/>
        <w:kinsoku/>
        <w:wordWrap/>
        <w:overflowPunct/>
        <w:topLinePunct w:val="0"/>
        <w:autoSpaceDE/>
        <w:autoSpaceDN/>
        <w:bidi w:val="0"/>
        <w:adjustRightInd w:val="0"/>
        <w:snapToGrid w:val="0"/>
        <w:spacing w:line="500" w:lineRule="exact"/>
        <w:ind w:firstLine="480"/>
        <w:textAlignment w:val="auto"/>
        <w:rPr>
          <w:rFonts w:hint="default" w:ascii="Times New Roman" w:hAnsi="Times New Roman" w:eastAsia="楷体" w:cs="Times New Roman"/>
          <w:sz w:val="28"/>
          <w:szCs w:val="28"/>
        </w:rPr>
      </w:pPr>
      <w:r>
        <w:rPr>
          <w:rFonts w:hint="default" w:ascii="Times New Roman" w:hAnsi="Times New Roman" w:eastAsia="楷体" w:cs="Times New Roman"/>
          <w:sz w:val="28"/>
          <w:szCs w:val="28"/>
          <w:lang w:eastAsia="zh-CN"/>
        </w:rPr>
        <w:t>（</w:t>
      </w:r>
      <w:r>
        <w:rPr>
          <w:rFonts w:hint="default" w:ascii="Times New Roman" w:hAnsi="Times New Roman" w:eastAsia="楷体" w:cs="Times New Roman"/>
          <w:sz w:val="28"/>
          <w:szCs w:val="28"/>
          <w:lang w:val="en-US" w:eastAsia="zh-CN"/>
        </w:rPr>
        <w:t>5</w:t>
      </w:r>
      <w:r>
        <w:rPr>
          <w:rFonts w:hint="default" w:ascii="Times New Roman" w:hAnsi="Times New Roman" w:eastAsia="楷体" w:cs="Times New Roman"/>
          <w:sz w:val="28"/>
          <w:szCs w:val="28"/>
          <w:lang w:eastAsia="zh-CN"/>
        </w:rPr>
        <w:t>）</w:t>
      </w:r>
      <w:r>
        <w:rPr>
          <w:rFonts w:hint="default" w:ascii="Times New Roman" w:hAnsi="Times New Roman" w:eastAsia="楷体" w:cs="Times New Roman"/>
          <w:sz w:val="28"/>
          <w:szCs w:val="28"/>
        </w:rPr>
        <w:t>区域地下水化学类型</w:t>
      </w:r>
    </w:p>
    <w:p w14:paraId="2E37A3E4">
      <w:pPr>
        <w:pStyle w:val="12"/>
        <w:keepNext w:val="0"/>
        <w:keepLines w:val="0"/>
        <w:pageBreakBefore w:val="0"/>
        <w:widowControl w:val="0"/>
        <w:kinsoku/>
        <w:wordWrap/>
        <w:overflowPunct/>
        <w:topLinePunct w:val="0"/>
        <w:autoSpaceDE/>
        <w:autoSpaceDN/>
        <w:bidi w:val="0"/>
        <w:adjustRightInd w:val="0"/>
        <w:snapToGrid w:val="0"/>
        <w:spacing w:line="500" w:lineRule="exact"/>
        <w:ind w:firstLine="480"/>
        <w:textAlignment w:val="auto"/>
        <w:rPr>
          <w:rFonts w:hint="default" w:ascii="Times New Roman" w:hAnsi="Times New Roman" w:eastAsia="楷体" w:cs="Times New Roman"/>
          <w:sz w:val="28"/>
          <w:szCs w:val="28"/>
        </w:rPr>
      </w:pPr>
      <w:r>
        <w:rPr>
          <w:rFonts w:hint="default" w:ascii="Times New Roman" w:hAnsi="Times New Roman" w:eastAsia="楷体" w:cs="Times New Roman"/>
          <w:sz w:val="28"/>
          <w:szCs w:val="28"/>
        </w:rPr>
        <w:t>本区地下水主要为入渗—溶滤型，地下水化学组分从水平及垂向上均具有一定的分带性，地下水化学类型从西往东具有明显的水平分带性。在西部山前冲洪积扇地带，含水层颗粒粗大，地下水补给充沛、循环交替强烈，致使水化学类型较为单一，主要为重碳酸盐型，具有典型的冲洪积扇特征。而至本区东部，随着地下水径流条件的渐次，加之受气候及水文地球化学作用的长期影响，水化学类型逐渐复杂。</w:t>
      </w:r>
    </w:p>
    <w:p w14:paraId="48E2E25D">
      <w:pPr>
        <w:pStyle w:val="12"/>
        <w:keepNext w:val="0"/>
        <w:keepLines w:val="0"/>
        <w:pageBreakBefore w:val="0"/>
        <w:widowControl w:val="0"/>
        <w:kinsoku/>
        <w:wordWrap/>
        <w:overflowPunct/>
        <w:topLinePunct w:val="0"/>
        <w:autoSpaceDE/>
        <w:autoSpaceDN/>
        <w:bidi w:val="0"/>
        <w:adjustRightInd w:val="0"/>
        <w:snapToGrid w:val="0"/>
        <w:spacing w:line="500" w:lineRule="exact"/>
        <w:ind w:firstLine="480"/>
        <w:textAlignment w:val="auto"/>
        <w:rPr>
          <w:rFonts w:hint="default" w:ascii="Times New Roman" w:hAnsi="Times New Roman" w:eastAsia="楷体" w:cs="Times New Roman"/>
          <w:sz w:val="28"/>
          <w:szCs w:val="28"/>
        </w:rPr>
      </w:pPr>
      <w:r>
        <w:rPr>
          <w:rFonts w:hint="default" w:ascii="Times New Roman" w:hAnsi="Times New Roman" w:eastAsia="楷体" w:cs="Times New Roman"/>
          <w:sz w:val="28"/>
          <w:szCs w:val="28"/>
        </w:rPr>
        <w:t>保定平原区地下水类型山前地带至中东部平原，水化学类型有明显的变化规律：地下水类型由HCO</w:t>
      </w:r>
      <w:r>
        <w:rPr>
          <w:rFonts w:hint="default" w:ascii="Times New Roman" w:hAnsi="Times New Roman" w:eastAsia="楷体" w:cs="Times New Roman"/>
          <w:sz w:val="28"/>
          <w:szCs w:val="28"/>
          <w:vertAlign w:val="subscript"/>
        </w:rPr>
        <w:t>3</w:t>
      </w:r>
      <w:r>
        <w:rPr>
          <w:rFonts w:hint="default" w:ascii="Times New Roman" w:hAnsi="Times New Roman" w:eastAsia="楷体" w:cs="Times New Roman"/>
          <w:sz w:val="28"/>
          <w:szCs w:val="28"/>
        </w:rPr>
        <w:t>–Ca·Mg型→HCO</w:t>
      </w:r>
      <w:r>
        <w:rPr>
          <w:rFonts w:hint="default" w:ascii="Times New Roman" w:hAnsi="Times New Roman" w:eastAsia="楷体" w:cs="Times New Roman"/>
          <w:sz w:val="28"/>
          <w:szCs w:val="28"/>
          <w:vertAlign w:val="subscript"/>
        </w:rPr>
        <w:t>3</w:t>
      </w:r>
      <w:r>
        <w:rPr>
          <w:rFonts w:hint="default" w:ascii="Times New Roman" w:hAnsi="Times New Roman" w:eastAsia="楷体" w:cs="Times New Roman"/>
          <w:sz w:val="28"/>
          <w:szCs w:val="28"/>
        </w:rPr>
        <w:t>–Mg·Ca型→HCO</w:t>
      </w:r>
      <w:r>
        <w:rPr>
          <w:rFonts w:hint="default" w:ascii="Times New Roman" w:hAnsi="Times New Roman" w:eastAsia="楷体" w:cs="Times New Roman"/>
          <w:sz w:val="28"/>
          <w:szCs w:val="28"/>
          <w:vertAlign w:val="subscript"/>
        </w:rPr>
        <w:t>3</w:t>
      </w:r>
      <w:r>
        <w:rPr>
          <w:rFonts w:hint="default" w:ascii="Times New Roman" w:hAnsi="Times New Roman" w:eastAsia="楷体" w:cs="Times New Roman"/>
          <w:sz w:val="28"/>
          <w:szCs w:val="28"/>
        </w:rPr>
        <w:t>–Na·Mg型或HCO</w:t>
      </w:r>
      <w:r>
        <w:rPr>
          <w:rFonts w:hint="default" w:ascii="Times New Roman" w:hAnsi="Times New Roman" w:eastAsia="楷体" w:cs="Times New Roman"/>
          <w:sz w:val="28"/>
          <w:szCs w:val="28"/>
          <w:vertAlign w:val="subscript"/>
        </w:rPr>
        <w:t>3</w:t>
      </w:r>
      <w:r>
        <w:rPr>
          <w:rFonts w:hint="default" w:ascii="Times New Roman" w:hAnsi="Times New Roman" w:eastAsia="楷体" w:cs="Times New Roman"/>
          <w:sz w:val="28"/>
          <w:szCs w:val="28"/>
        </w:rPr>
        <w:t>–Mg·Na型过渡。平原区山前至中部京广铁路两侧地带水质较好，水化学类型山前以HCO</w:t>
      </w:r>
      <w:r>
        <w:rPr>
          <w:rFonts w:hint="default" w:ascii="Times New Roman" w:hAnsi="Times New Roman" w:eastAsia="楷体" w:cs="Times New Roman"/>
          <w:sz w:val="28"/>
          <w:szCs w:val="28"/>
          <w:vertAlign w:val="subscript"/>
        </w:rPr>
        <w:t>3</w:t>
      </w:r>
      <w:r>
        <w:rPr>
          <w:rFonts w:hint="default" w:ascii="Times New Roman" w:hAnsi="Times New Roman" w:eastAsia="楷体" w:cs="Times New Roman"/>
          <w:sz w:val="28"/>
          <w:szCs w:val="28"/>
        </w:rPr>
        <w:t>–Ca·Mg型水为主，HCO</w:t>
      </w:r>
      <w:r>
        <w:rPr>
          <w:rFonts w:hint="default" w:ascii="Times New Roman" w:hAnsi="Times New Roman" w:eastAsia="楷体" w:cs="Times New Roman"/>
          <w:sz w:val="28"/>
          <w:szCs w:val="28"/>
          <w:vertAlign w:val="subscript"/>
        </w:rPr>
        <w:t>3</w:t>
      </w:r>
      <w:r>
        <w:rPr>
          <w:rFonts w:hint="default" w:ascii="Times New Roman" w:hAnsi="Times New Roman" w:eastAsia="楷体" w:cs="Times New Roman"/>
          <w:sz w:val="28"/>
          <w:szCs w:val="28"/>
        </w:rPr>
        <w:t>–Ca型水为辅，矿化度小于0.5g/L；中部为带状的HCO</w:t>
      </w:r>
      <w:r>
        <w:rPr>
          <w:rFonts w:hint="default" w:ascii="Times New Roman" w:hAnsi="Times New Roman" w:eastAsia="楷体" w:cs="Times New Roman"/>
          <w:sz w:val="28"/>
          <w:szCs w:val="28"/>
          <w:vertAlign w:val="subscript"/>
        </w:rPr>
        <w:t>3</w:t>
      </w:r>
      <w:r>
        <w:rPr>
          <w:rFonts w:hint="default" w:ascii="Times New Roman" w:hAnsi="Times New Roman" w:eastAsia="楷体" w:cs="Times New Roman"/>
          <w:sz w:val="28"/>
          <w:szCs w:val="28"/>
        </w:rPr>
        <w:t>–Mg·Ca型水，矿化度介于0.3-0.53g/L之间；平原区东部多为HCO</w:t>
      </w:r>
      <w:r>
        <w:rPr>
          <w:rFonts w:hint="default" w:ascii="Times New Roman" w:hAnsi="Times New Roman" w:eastAsia="楷体" w:cs="Times New Roman"/>
          <w:sz w:val="28"/>
          <w:szCs w:val="28"/>
          <w:vertAlign w:val="subscript"/>
        </w:rPr>
        <w:t>3</w:t>
      </w:r>
      <w:r>
        <w:rPr>
          <w:rFonts w:hint="default" w:ascii="Times New Roman" w:hAnsi="Times New Roman" w:eastAsia="楷体" w:cs="Times New Roman"/>
          <w:sz w:val="28"/>
          <w:szCs w:val="28"/>
        </w:rPr>
        <w:t>–Na型水，矿化度小于0.5g/L；项目所在地地下水化学类型为HCO</w:t>
      </w:r>
      <w:r>
        <w:rPr>
          <w:rFonts w:hint="default" w:ascii="Times New Roman" w:hAnsi="Times New Roman" w:eastAsia="楷体" w:cs="Times New Roman"/>
          <w:sz w:val="28"/>
          <w:szCs w:val="28"/>
          <w:vertAlign w:val="subscript"/>
        </w:rPr>
        <w:t>3</w:t>
      </w:r>
      <w:r>
        <w:rPr>
          <w:rFonts w:hint="default" w:ascii="Times New Roman" w:hAnsi="Times New Roman" w:eastAsia="楷体" w:cs="Times New Roman"/>
          <w:sz w:val="28"/>
          <w:szCs w:val="28"/>
        </w:rPr>
        <w:t>—Ca•Mg型水，矿化度小于0.5g/L。</w:t>
      </w:r>
    </w:p>
    <w:p w14:paraId="0F585476">
      <w:pPr>
        <w:pStyle w:val="12"/>
        <w:keepNext w:val="0"/>
        <w:keepLines w:val="0"/>
        <w:pageBreakBefore w:val="0"/>
        <w:widowControl w:val="0"/>
        <w:kinsoku/>
        <w:wordWrap/>
        <w:overflowPunct/>
        <w:topLinePunct w:val="0"/>
        <w:autoSpaceDE/>
        <w:autoSpaceDN/>
        <w:bidi w:val="0"/>
        <w:adjustRightInd w:val="0"/>
        <w:snapToGrid w:val="0"/>
        <w:spacing w:line="500" w:lineRule="exact"/>
        <w:ind w:firstLine="480"/>
        <w:textAlignment w:val="auto"/>
        <w:rPr>
          <w:rFonts w:hint="default" w:ascii="Times New Roman" w:hAnsi="Times New Roman" w:eastAsia="楷体" w:cs="Times New Roman"/>
          <w:sz w:val="28"/>
          <w:szCs w:val="28"/>
        </w:rPr>
      </w:pPr>
      <w:r>
        <w:rPr>
          <w:rFonts w:hint="default" w:ascii="Times New Roman" w:hAnsi="Times New Roman" w:eastAsia="楷体" w:cs="Times New Roman"/>
          <w:sz w:val="28"/>
          <w:szCs w:val="28"/>
        </w:rPr>
        <w:t>地下水化学的垂向分带性，表现为随深度的增加，钠离子含量逐渐增高，而钙离子含量则逐渐降低，PH 值亦相应增大，碱性增强。项目所在地地下水化学类型为HCO</w:t>
      </w:r>
      <w:r>
        <w:rPr>
          <w:rFonts w:hint="default" w:ascii="Times New Roman" w:hAnsi="Times New Roman" w:eastAsia="楷体" w:cs="Times New Roman"/>
          <w:sz w:val="28"/>
          <w:szCs w:val="28"/>
          <w:vertAlign w:val="subscript"/>
        </w:rPr>
        <w:t>3</w:t>
      </w:r>
      <w:r>
        <w:rPr>
          <w:rFonts w:hint="default" w:ascii="Times New Roman" w:hAnsi="Times New Roman" w:eastAsia="楷体" w:cs="Times New Roman"/>
          <w:sz w:val="28"/>
          <w:szCs w:val="28"/>
        </w:rPr>
        <w:t>—Ca•Mg型水，为典型的冲洪积扇地下水特征。</w:t>
      </w:r>
    </w:p>
    <w:p w14:paraId="122E4E9F">
      <w:pPr>
        <w:pStyle w:val="92"/>
        <w:bidi w:val="0"/>
        <w:ind w:left="0" w:leftChars="0" w:firstLine="0" w:firstLineChars="0"/>
        <w:rPr>
          <w:rFonts w:hint="eastAsia"/>
        </w:rPr>
      </w:pPr>
      <w:r>
        <w:rPr>
          <w:rFonts w:hint="eastAsia"/>
        </w:rPr>
        <w:t>地下水环境影响分析</w:t>
      </w:r>
    </w:p>
    <w:p w14:paraId="399287CF">
      <w:pPr>
        <w:pStyle w:val="47"/>
        <w:bidi w:val="0"/>
        <w:rPr>
          <w:rFonts w:hint="eastAsia"/>
        </w:rPr>
      </w:pPr>
      <w:r>
        <w:rPr>
          <w:rFonts w:hint="eastAsia"/>
        </w:rPr>
        <w:t>根据《环境影响评价技术导则</w:t>
      </w:r>
      <w:r>
        <w:rPr>
          <w:rFonts w:hint="eastAsia"/>
          <w:lang w:val="en-US" w:eastAsia="zh-CN"/>
        </w:rPr>
        <w:t xml:space="preserve"> </w:t>
      </w:r>
      <w:r>
        <w:rPr>
          <w:rFonts w:hint="eastAsia"/>
        </w:rPr>
        <w:t>地下水环境》（HJ610-2016）中附录A地下水环境影响评价行业分类表，确定废塑料加工、再生利用为Ⅲ类项目，项目位于保定市顺平县塑料产业循环经济园区北园，项目所在区域不属于集中式饮用水水源准保护区以及其以外的补给径流区，也不属于特殊地下水资源保护区，因此，地下水评价范围内地下水敏感程度为“</w:t>
      </w:r>
      <w:r>
        <w:rPr>
          <w:rFonts w:hint="eastAsia"/>
          <w:lang w:eastAsia="zh-CN"/>
        </w:rPr>
        <w:t>较</w:t>
      </w:r>
      <w:r>
        <w:rPr>
          <w:rFonts w:hint="eastAsia"/>
        </w:rPr>
        <w:t>敏感”。</w:t>
      </w:r>
    </w:p>
    <w:p w14:paraId="75402A5D">
      <w:pPr>
        <w:pStyle w:val="47"/>
        <w:bidi w:val="0"/>
      </w:pPr>
      <w:r>
        <w:rPr>
          <w:rFonts w:hint="eastAsia"/>
        </w:rPr>
        <w:t>项目地下水评价工作等级为三级，地下水三级评价应采用解析法或类比分析法进行预测项目运营过程中对地下水的影响。项目废水主要是生活污水</w:t>
      </w:r>
      <w:r>
        <w:rPr>
          <w:rFonts w:hint="eastAsia"/>
          <w:lang w:eastAsia="zh-CN"/>
        </w:rPr>
        <w:t>及生产废水</w:t>
      </w:r>
      <w:r>
        <w:rPr>
          <w:rFonts w:hint="eastAsia"/>
        </w:rPr>
        <w:t>，污染因子主要是</w:t>
      </w:r>
      <w:r>
        <w:rPr>
          <w:rFonts w:hint="eastAsia"/>
          <w:lang w:val="en-US" w:eastAsia="zh-CN"/>
        </w:rPr>
        <w:t>氨氮、</w:t>
      </w:r>
      <w:r>
        <w:rPr>
          <w:rFonts w:hint="eastAsia"/>
        </w:rPr>
        <w:t>COD和SS，污染物成分简单，废水综合利用或者外运处理，简化分析其对地下水环境的影响。</w:t>
      </w:r>
    </w:p>
    <w:p w14:paraId="594B5A96">
      <w:pPr>
        <w:pStyle w:val="47"/>
        <w:bidi w:val="0"/>
        <w:rPr>
          <w:rFonts w:hint="default"/>
        </w:rPr>
      </w:pPr>
      <w:r>
        <w:rPr>
          <w:rFonts w:hint="default"/>
        </w:rPr>
        <w:t>（1）污染途径</w:t>
      </w:r>
    </w:p>
    <w:p w14:paraId="2B79415A">
      <w:pPr>
        <w:pStyle w:val="47"/>
        <w:bidi w:val="0"/>
      </w:pPr>
      <w:r>
        <w:rPr>
          <w:rFonts w:hint="eastAsia"/>
        </w:rPr>
        <w:t>污染物从污染源进入地下水所经过路径称为地下水污染途径，地下水污染途径是多种多样的。根据工程所处区域的地质情况，项目可能对地下水造成污染的途径主要有：</w:t>
      </w:r>
      <w:r>
        <w:rPr>
          <w:rFonts w:hint="eastAsia"/>
          <w:lang w:val="en-US" w:eastAsia="zh-CN"/>
        </w:rPr>
        <w:t>沉淀池</w:t>
      </w:r>
      <w:r>
        <w:rPr>
          <w:rFonts w:hint="eastAsia"/>
        </w:rPr>
        <w:t>、</w:t>
      </w:r>
      <w:r>
        <w:rPr>
          <w:rFonts w:hint="eastAsia"/>
          <w:lang w:val="en-US" w:eastAsia="zh-CN"/>
        </w:rPr>
        <w:t>防渗旱厕</w:t>
      </w:r>
      <w:r>
        <w:rPr>
          <w:rFonts w:hint="eastAsia"/>
        </w:rPr>
        <w:t>渗漏对地下水造成的污染。</w:t>
      </w:r>
    </w:p>
    <w:p w14:paraId="06604AB6">
      <w:pPr>
        <w:pStyle w:val="47"/>
        <w:bidi w:val="0"/>
        <w:rPr>
          <w:rFonts w:hint="eastAsia"/>
        </w:rPr>
      </w:pPr>
      <w:r>
        <w:rPr>
          <w:rFonts w:hint="eastAsia"/>
        </w:rPr>
        <w:t>（2）正常状况下对地下水影响分析</w:t>
      </w:r>
    </w:p>
    <w:p w14:paraId="5600A1CE">
      <w:pPr>
        <w:pStyle w:val="47"/>
        <w:bidi w:val="0"/>
        <w:rPr>
          <w:rFonts w:hint="eastAsia"/>
        </w:rPr>
      </w:pPr>
      <w:r>
        <w:rPr>
          <w:rFonts w:hint="eastAsia"/>
        </w:rPr>
        <w:t>①对浅层地下水的污染影响</w:t>
      </w:r>
    </w:p>
    <w:p w14:paraId="64040D64">
      <w:pPr>
        <w:pStyle w:val="47"/>
        <w:bidi w:val="0"/>
        <w:rPr>
          <w:rFonts w:hint="eastAsia"/>
        </w:rPr>
      </w:pPr>
      <w:r>
        <w:rPr>
          <w:rFonts w:hint="eastAsia"/>
        </w:rPr>
        <w:t>正常情况下，对地下水的污染主要是由于污染物迁移穿过包气带进入含水层造成。项目场地为粉质粘土层，包气带防污性能为强级，说明浅层地下水不容易受到污染。若废水发生渗漏，污染物不会很快穿过包气带进入浅层地下水，对浅层地下水的污染很小。</w:t>
      </w:r>
    </w:p>
    <w:p w14:paraId="62A745FA">
      <w:pPr>
        <w:pStyle w:val="47"/>
        <w:bidi w:val="0"/>
        <w:rPr>
          <w:rFonts w:hint="eastAsia"/>
        </w:rPr>
      </w:pPr>
      <w:r>
        <w:rPr>
          <w:rFonts w:hint="eastAsia"/>
        </w:rPr>
        <w:t>②对深层地下水的污染影响</w:t>
      </w:r>
    </w:p>
    <w:p w14:paraId="58372BC6">
      <w:pPr>
        <w:pStyle w:val="47"/>
        <w:bidi w:val="0"/>
        <w:rPr>
          <w:rFonts w:hint="eastAsia"/>
        </w:rPr>
      </w:pPr>
      <w:r>
        <w:rPr>
          <w:rFonts w:hint="eastAsia"/>
        </w:rPr>
        <w:t>判断深层地下水是否会受到污染影响，通常分析深层地下水含水组上覆地层的防污性能和有无与浅层地下水的水利联系。通过水文地质条件分析，区内垂直渗入补给条件较差，与浅层地下水水利联系不密切。因此，深层地下水不会受到项目下渗污水的污染影响。</w:t>
      </w:r>
    </w:p>
    <w:p w14:paraId="7205149A">
      <w:pPr>
        <w:pStyle w:val="47"/>
        <w:bidi w:val="0"/>
      </w:pPr>
      <w:r>
        <w:rPr>
          <w:rFonts w:hint="eastAsia"/>
        </w:rPr>
        <w:t>环评要求项目建设区域地面做好分区防渗，项目建设不会对项目区域地下水产生明显影响。</w:t>
      </w:r>
    </w:p>
    <w:p w14:paraId="43701041">
      <w:pPr>
        <w:pStyle w:val="47"/>
        <w:bidi w:val="0"/>
        <w:rPr>
          <w:rFonts w:hint="eastAsia"/>
        </w:rPr>
      </w:pPr>
      <w:r>
        <w:rPr>
          <w:rFonts w:hint="eastAsia"/>
        </w:rPr>
        <w:t>（3）非正常状况下对地下水影响分析</w:t>
      </w:r>
    </w:p>
    <w:p w14:paraId="022145E1">
      <w:pPr>
        <w:pStyle w:val="47"/>
        <w:bidi w:val="0"/>
        <w:rPr>
          <w:rFonts w:hint="eastAsia"/>
        </w:rPr>
      </w:pPr>
      <w:r>
        <w:rPr>
          <w:rFonts w:hint="eastAsia"/>
        </w:rPr>
        <w:t>①影响途径</w:t>
      </w:r>
    </w:p>
    <w:p w14:paraId="200D2D6C">
      <w:pPr>
        <w:pStyle w:val="47"/>
        <w:bidi w:val="0"/>
        <w:rPr>
          <w:rFonts w:hint="eastAsia"/>
        </w:rPr>
      </w:pPr>
      <w:r>
        <w:rPr>
          <w:rFonts w:hint="eastAsia"/>
        </w:rPr>
        <w:t>考虑到非正常情况下建设项目的工艺设备或地下水环境保护措施因系统老化、腐蚀等原因不能正常运行或保护效果达不到设计要求时的运行状况，导致污水或物料跑冒滴漏，首先污染土壤，再通过降雨淋溶经包气带渗透至潜水层污染地下水。一般情况下，包气带的厚度越薄、透水性越好，越容易造成潜水含水层的污染；反之，包气带的厚度越厚、透水性越差，则不容易造成潜水污染。渗透污染是导致浅层地下水污染的主要方式。废水接入地下后，其污染物在地下水系统的迁移途径依次为表土层、包气带、含水带、运移。</w:t>
      </w:r>
    </w:p>
    <w:p w14:paraId="5EEA5525">
      <w:pPr>
        <w:pStyle w:val="47"/>
        <w:bidi w:val="0"/>
      </w:pPr>
      <w:r>
        <w:rPr>
          <w:rFonts w:hint="eastAsia"/>
        </w:rPr>
        <w:t>根据土壤吸附实验相关资料：砂土对COD吸附作用较小，截留率约38%；对氨氮吸附作用较强，截留率可达80%。亚黏土对COD吸附能力较强，截留率可达70%；对氨氮吸附作用更强，截留率平均可达85%</w:t>
      </w:r>
      <w:r>
        <w:rPr>
          <w:rFonts w:hint="eastAsia"/>
          <w:lang w:eastAsia="zh-CN"/>
        </w:rPr>
        <w:t>。</w:t>
      </w:r>
      <w:r>
        <w:rPr>
          <w:rFonts w:hint="eastAsia"/>
        </w:rPr>
        <w:t>该实验结果表明，当污水下渗时，由于包气带微生物降解作用不强，包气带厚度较小，仅靠土壤的吸附作用去除污水中的污染物是很有限的，虽然在污水下渗初期，经过包气带的吸附，污染物会在一定程度上降低，起到了对地下水污染的减缓作用，但其作用随着时间的推移，包气带土壤对污染物的吸附作用趋向饱和，吸附能力降低，污染物浓度增大到初始浓度，当环境容量饱和时，污染物就进入地下水，对地下水产生污染。</w:t>
      </w:r>
    </w:p>
    <w:p w14:paraId="4F412A49">
      <w:pPr>
        <w:pStyle w:val="47"/>
        <w:bidi w:val="0"/>
        <w:rPr>
          <w:rFonts w:hint="eastAsia"/>
        </w:rPr>
      </w:pPr>
      <w:r>
        <w:rPr>
          <w:rFonts w:hint="eastAsia"/>
        </w:rPr>
        <w:t>②预测方法</w:t>
      </w:r>
    </w:p>
    <w:p w14:paraId="71D4FC03">
      <w:pPr>
        <w:pStyle w:val="47"/>
        <w:bidi w:val="0"/>
        <w:rPr>
          <w:rFonts w:hint="eastAsia"/>
          <w:color w:val="000000" w:themeColor="text1"/>
          <w:lang w:eastAsia="zh-CN"/>
          <w14:textFill>
            <w14:solidFill>
              <w14:schemeClr w14:val="tx1"/>
            </w14:solidFill>
          </w14:textFill>
        </w:rPr>
      </w:pPr>
      <w:r>
        <w:rPr>
          <w:rFonts w:hint="eastAsia"/>
          <w:color w:val="000000" w:themeColor="text1"/>
          <w:lang w:val="en-US" w:eastAsia="zh-CN"/>
          <w14:textFill>
            <w14:solidFill>
              <w14:schemeClr w14:val="tx1"/>
            </w14:solidFill>
          </w14:textFill>
        </w:rPr>
        <w:t>根据《环境影响评价技术导则 地下水环境》（HJ610-2016）本项目类别为III类，评价等级为三级。本次预测采用解析法进行地下水影响分析与评价。</w:t>
      </w:r>
    </w:p>
    <w:p w14:paraId="2E2E0D7B">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③预测模型</w:t>
      </w:r>
    </w:p>
    <w:p w14:paraId="63BFF5A9">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评价区域水文地质条件简单，本次地下水环境影响预测评价中，采用一维半无限长多孔介质柱体，一端为定浓度边界预测模型的解析解对厂区污水管道在事故状态时进行预测。计算公式如下：</w:t>
      </w:r>
    </w:p>
    <w:p w14:paraId="7793B42C">
      <w:pPr>
        <w:pStyle w:val="47"/>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color w:val="000000" w:themeColor="text1"/>
          <w:lang w:eastAsia="zh-CN"/>
          <w14:textFill>
            <w14:solidFill>
              <w14:schemeClr w14:val="tx1"/>
            </w14:solidFill>
          </w14:textFill>
        </w:rPr>
      </w:pPr>
      <w:r>
        <w:rPr>
          <w:rFonts w:ascii="Times New Roman" w:hAnsi="Times New Roman" w:eastAsia="宋体" w:cs="宋体"/>
          <w:color w:val="auto"/>
          <w:highlight w:val="none"/>
        </w:rPr>
        <w:drawing>
          <wp:inline distT="0" distB="0" distL="114300" distR="114300">
            <wp:extent cx="2712720" cy="571500"/>
            <wp:effectExtent l="0" t="0" r="11430" b="0"/>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icPr>
                  <pic:blipFill>
                    <a:blip r:embed="rId29"/>
                    <a:stretch>
                      <a:fillRect/>
                    </a:stretch>
                  </pic:blipFill>
                  <pic:spPr>
                    <a:xfrm>
                      <a:off x="0" y="0"/>
                      <a:ext cx="2712720" cy="571500"/>
                    </a:xfrm>
                    <a:prstGeom prst="rect">
                      <a:avLst/>
                    </a:prstGeom>
                    <a:noFill/>
                    <a:ln>
                      <a:noFill/>
                    </a:ln>
                  </pic:spPr>
                </pic:pic>
              </a:graphicData>
            </a:graphic>
          </wp:inline>
        </w:drawing>
      </w:r>
    </w:p>
    <w:p w14:paraId="0E31D3DF">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式中：x—距注入点的距离，m；</w:t>
      </w:r>
    </w:p>
    <w:p w14:paraId="2E2E7A43">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t—时间，d；</w:t>
      </w:r>
    </w:p>
    <w:p w14:paraId="56CDA222">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C（x，t）—t时刻x处的示踪剂浓度，g/l；</w:t>
      </w:r>
    </w:p>
    <w:p w14:paraId="2F49D2ED">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C0—注入的示踪剂浓度，g/l；</w:t>
      </w:r>
    </w:p>
    <w:p w14:paraId="4492AB25">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u—水流速度，m/d； </w:t>
      </w:r>
    </w:p>
    <w:p w14:paraId="5457BC95">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DL—纵向弥散系数，m</w:t>
      </w:r>
      <w:r>
        <w:rPr>
          <w:rFonts w:hint="eastAsia"/>
          <w:color w:val="000000" w:themeColor="text1"/>
          <w:vertAlign w:val="superscript"/>
          <w:lang w:eastAsia="zh-CN"/>
          <w14:textFill>
            <w14:solidFill>
              <w14:schemeClr w14:val="tx1"/>
            </w14:solidFill>
          </w14:textFill>
        </w:rPr>
        <w:t>2</w:t>
      </w:r>
      <w:r>
        <w:rPr>
          <w:rFonts w:hint="eastAsia"/>
          <w:color w:val="000000" w:themeColor="text1"/>
          <w:lang w:eastAsia="zh-CN"/>
          <w14:textFill>
            <w14:solidFill>
              <w14:schemeClr w14:val="tx1"/>
            </w14:solidFill>
          </w14:textFill>
        </w:rPr>
        <w:t>/d；</w:t>
      </w:r>
    </w:p>
    <w:p w14:paraId="58032C16">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erfc（）—余误差函数。</w:t>
      </w:r>
    </w:p>
    <w:p w14:paraId="455CC312">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式中水流速度用达西定律求得：</w:t>
      </w:r>
    </w:p>
    <w:p w14:paraId="6C880E99">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u=KI/n</w:t>
      </w:r>
      <w:r>
        <w:rPr>
          <w:rFonts w:hint="eastAsia"/>
          <w:color w:val="000000" w:themeColor="text1"/>
          <w:vertAlign w:val="subscript"/>
          <w:lang w:eastAsia="zh-CN"/>
          <w14:textFill>
            <w14:solidFill>
              <w14:schemeClr w14:val="tx1"/>
            </w14:solidFill>
          </w14:textFill>
        </w:rPr>
        <w:t>e</w:t>
      </w:r>
    </w:p>
    <w:p w14:paraId="47CCE456">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式中：u—水流速度，m/d； </w:t>
      </w:r>
    </w:p>
    <w:p w14:paraId="24705AC4">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K—含水层渗透系数，m/d；</w:t>
      </w:r>
    </w:p>
    <w:p w14:paraId="60442EF5">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I—含水层水力坡度；</w:t>
      </w:r>
    </w:p>
    <w:p w14:paraId="664CC19E">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n</w:t>
      </w:r>
      <w:r>
        <w:rPr>
          <w:rFonts w:hint="eastAsia"/>
          <w:color w:val="000000" w:themeColor="text1"/>
          <w:vertAlign w:val="subscript"/>
          <w:lang w:eastAsia="zh-CN"/>
          <w14:textFill>
            <w14:solidFill>
              <w14:schemeClr w14:val="tx1"/>
            </w14:solidFill>
          </w14:textFill>
        </w:rPr>
        <w:t>e</w:t>
      </w:r>
      <w:r>
        <w:rPr>
          <w:rFonts w:hint="eastAsia"/>
          <w:color w:val="000000" w:themeColor="text1"/>
          <w:lang w:eastAsia="zh-CN"/>
          <w14:textFill>
            <w14:solidFill>
              <w14:schemeClr w14:val="tx1"/>
            </w14:solidFill>
          </w14:textFill>
        </w:rPr>
        <w:t>—含水层有效孔隙度。</w:t>
      </w:r>
    </w:p>
    <w:p w14:paraId="2F55EEAA">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③预测参数</w:t>
      </w:r>
    </w:p>
    <w:p w14:paraId="4ECD7DB2">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本次评价根据项目评价区及附近地区水文地质勘察数据，水文地质等参数部分引用历史数据，部分采取保守的经验参数确定。</w:t>
      </w:r>
    </w:p>
    <w:p w14:paraId="0A172C2A">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模型中所需参数见</w:t>
      </w:r>
      <w:r>
        <w:rPr>
          <w:rFonts w:hint="eastAsia"/>
          <w:color w:val="000000" w:themeColor="text1"/>
          <w:lang w:val="en-US" w:eastAsia="zh-CN"/>
          <w14:textFill>
            <w14:solidFill>
              <w14:schemeClr w14:val="tx1"/>
            </w14:solidFill>
          </w14:textFill>
        </w:rPr>
        <w:t>下</w:t>
      </w:r>
      <w:r>
        <w:rPr>
          <w:rFonts w:hint="eastAsia"/>
          <w:color w:val="000000" w:themeColor="text1"/>
          <w:lang w:eastAsia="zh-CN"/>
          <w14:textFill>
            <w14:solidFill>
              <w14:schemeClr w14:val="tx1"/>
            </w14:solidFill>
          </w14:textFill>
        </w:rPr>
        <w:t xml:space="preserve">表。 </w:t>
      </w:r>
    </w:p>
    <w:p w14:paraId="4108353A">
      <w:pPr>
        <w:pStyle w:val="94"/>
        <w:bidi w:val="0"/>
        <w:ind w:left="0" w:leftChars="0" w:firstLine="0" w:firstLineChars="0"/>
        <w:rPr>
          <w:rFonts w:hint="eastAsia"/>
          <w:lang w:eastAsia="zh-CN"/>
        </w:rPr>
      </w:pPr>
      <w:r>
        <w:rPr>
          <w:rFonts w:hint="eastAsia"/>
          <w:lang w:eastAsia="zh-CN"/>
        </w:rPr>
        <w:t>模型所需参数一览表</w:t>
      </w:r>
    </w:p>
    <w:tbl>
      <w:tblPr>
        <w:tblStyle w:val="3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1"/>
        <w:gridCol w:w="812"/>
        <w:gridCol w:w="1595"/>
        <w:gridCol w:w="1340"/>
        <w:gridCol w:w="4806"/>
      </w:tblGrid>
      <w:tr w14:paraId="38BEDA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393" w:type="pct"/>
            <w:tcBorders>
              <w:tl2br w:val="nil"/>
              <w:tr2bl w:val="nil"/>
            </w:tcBorders>
            <w:noWrap w:val="0"/>
            <w:vAlign w:val="center"/>
          </w:tcPr>
          <w:p w14:paraId="01737265">
            <w:pPr>
              <w:pStyle w:val="55"/>
              <w:bidi w:val="0"/>
              <w:rPr>
                <w:rFonts w:hint="default"/>
                <w:sz w:val="24"/>
                <w:szCs w:val="24"/>
              </w:rPr>
            </w:pPr>
            <w:r>
              <w:rPr>
                <w:rFonts w:hint="default"/>
                <w:sz w:val="24"/>
                <w:szCs w:val="24"/>
              </w:rPr>
              <w:t>序号</w:t>
            </w:r>
          </w:p>
        </w:tc>
        <w:tc>
          <w:tcPr>
            <w:tcW w:w="437" w:type="pct"/>
            <w:tcBorders>
              <w:tl2br w:val="nil"/>
              <w:tr2bl w:val="nil"/>
            </w:tcBorders>
            <w:noWrap w:val="0"/>
            <w:vAlign w:val="center"/>
          </w:tcPr>
          <w:p w14:paraId="51411460">
            <w:pPr>
              <w:pStyle w:val="55"/>
              <w:bidi w:val="0"/>
              <w:rPr>
                <w:rFonts w:hint="default"/>
                <w:sz w:val="24"/>
                <w:szCs w:val="24"/>
              </w:rPr>
            </w:pPr>
            <w:r>
              <w:rPr>
                <w:rFonts w:hint="default"/>
                <w:sz w:val="24"/>
                <w:szCs w:val="24"/>
              </w:rPr>
              <w:t>参数符号</w:t>
            </w:r>
          </w:p>
        </w:tc>
        <w:tc>
          <w:tcPr>
            <w:tcW w:w="859" w:type="pct"/>
            <w:tcBorders>
              <w:tl2br w:val="nil"/>
              <w:tr2bl w:val="nil"/>
            </w:tcBorders>
            <w:noWrap w:val="0"/>
            <w:vAlign w:val="center"/>
          </w:tcPr>
          <w:p w14:paraId="051D287F">
            <w:pPr>
              <w:pStyle w:val="55"/>
              <w:bidi w:val="0"/>
              <w:rPr>
                <w:rFonts w:hint="default"/>
                <w:sz w:val="24"/>
                <w:szCs w:val="24"/>
              </w:rPr>
            </w:pPr>
            <w:r>
              <w:rPr>
                <w:rFonts w:hint="default"/>
                <w:sz w:val="24"/>
                <w:szCs w:val="24"/>
              </w:rPr>
              <w:t>参数名称</w:t>
            </w:r>
          </w:p>
        </w:tc>
        <w:tc>
          <w:tcPr>
            <w:tcW w:w="721" w:type="pct"/>
            <w:tcBorders>
              <w:tl2br w:val="nil"/>
              <w:tr2bl w:val="nil"/>
            </w:tcBorders>
            <w:noWrap w:val="0"/>
            <w:vAlign w:val="center"/>
          </w:tcPr>
          <w:p w14:paraId="2F32A29C">
            <w:pPr>
              <w:pStyle w:val="55"/>
              <w:bidi w:val="0"/>
              <w:rPr>
                <w:rFonts w:hint="default"/>
                <w:sz w:val="24"/>
                <w:szCs w:val="24"/>
              </w:rPr>
            </w:pPr>
            <w:r>
              <w:rPr>
                <w:rFonts w:hint="default"/>
                <w:sz w:val="24"/>
                <w:szCs w:val="24"/>
              </w:rPr>
              <w:t>参数数值</w:t>
            </w:r>
          </w:p>
        </w:tc>
        <w:tc>
          <w:tcPr>
            <w:tcW w:w="2587" w:type="pct"/>
            <w:tcBorders>
              <w:tl2br w:val="nil"/>
              <w:tr2bl w:val="nil"/>
            </w:tcBorders>
            <w:noWrap w:val="0"/>
            <w:vAlign w:val="center"/>
          </w:tcPr>
          <w:p w14:paraId="06C1C5B4">
            <w:pPr>
              <w:pStyle w:val="55"/>
              <w:bidi w:val="0"/>
              <w:rPr>
                <w:rFonts w:hint="default"/>
                <w:sz w:val="24"/>
                <w:szCs w:val="24"/>
              </w:rPr>
            </w:pPr>
            <w:r>
              <w:rPr>
                <w:rFonts w:hint="default"/>
                <w:sz w:val="24"/>
                <w:szCs w:val="24"/>
              </w:rPr>
              <w:t>数值来源</w:t>
            </w:r>
          </w:p>
        </w:tc>
      </w:tr>
      <w:tr w14:paraId="347115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393" w:type="pct"/>
            <w:tcBorders>
              <w:tl2br w:val="nil"/>
              <w:tr2bl w:val="nil"/>
            </w:tcBorders>
            <w:noWrap w:val="0"/>
            <w:vAlign w:val="center"/>
          </w:tcPr>
          <w:p w14:paraId="535008D3">
            <w:pPr>
              <w:pStyle w:val="55"/>
              <w:bidi w:val="0"/>
              <w:rPr>
                <w:rFonts w:hint="default"/>
                <w:sz w:val="24"/>
                <w:szCs w:val="24"/>
              </w:rPr>
            </w:pPr>
            <w:r>
              <w:rPr>
                <w:rFonts w:hint="default"/>
                <w:sz w:val="24"/>
                <w:szCs w:val="24"/>
              </w:rPr>
              <w:t>1</w:t>
            </w:r>
          </w:p>
        </w:tc>
        <w:tc>
          <w:tcPr>
            <w:tcW w:w="437" w:type="pct"/>
            <w:tcBorders>
              <w:tl2br w:val="nil"/>
              <w:tr2bl w:val="nil"/>
            </w:tcBorders>
            <w:noWrap w:val="0"/>
            <w:vAlign w:val="center"/>
          </w:tcPr>
          <w:p w14:paraId="38C71D09">
            <w:pPr>
              <w:pStyle w:val="55"/>
              <w:bidi w:val="0"/>
              <w:rPr>
                <w:rFonts w:hint="default"/>
                <w:sz w:val="24"/>
                <w:szCs w:val="24"/>
                <w:lang w:val="en-US" w:eastAsia="zh-CN"/>
              </w:rPr>
            </w:pPr>
            <w:r>
              <w:rPr>
                <w:rFonts w:hint="eastAsia"/>
                <w:sz w:val="24"/>
                <w:szCs w:val="24"/>
                <w:lang w:val="en-US" w:eastAsia="zh-CN"/>
              </w:rPr>
              <w:t>/</w:t>
            </w:r>
          </w:p>
        </w:tc>
        <w:tc>
          <w:tcPr>
            <w:tcW w:w="859" w:type="pct"/>
            <w:tcBorders>
              <w:tl2br w:val="nil"/>
              <w:tr2bl w:val="nil"/>
            </w:tcBorders>
            <w:noWrap w:val="0"/>
            <w:vAlign w:val="center"/>
          </w:tcPr>
          <w:p w14:paraId="5683A0FA">
            <w:pPr>
              <w:pStyle w:val="55"/>
              <w:bidi w:val="0"/>
              <w:rPr>
                <w:rFonts w:hint="default"/>
                <w:sz w:val="24"/>
                <w:szCs w:val="24"/>
              </w:rPr>
            </w:pPr>
            <w:r>
              <w:rPr>
                <w:rFonts w:hint="eastAsia"/>
                <w:sz w:val="24"/>
                <w:szCs w:val="24"/>
                <w:lang w:val="en-US" w:eastAsia="zh-CN"/>
              </w:rPr>
              <w:t>污染物浓度</w:t>
            </w:r>
          </w:p>
        </w:tc>
        <w:tc>
          <w:tcPr>
            <w:tcW w:w="721" w:type="pct"/>
            <w:tcBorders>
              <w:tl2br w:val="nil"/>
              <w:tr2bl w:val="nil"/>
            </w:tcBorders>
            <w:noWrap w:val="0"/>
            <w:vAlign w:val="center"/>
          </w:tcPr>
          <w:p w14:paraId="122D7995">
            <w:pPr>
              <w:pStyle w:val="55"/>
              <w:bidi w:val="0"/>
              <w:rPr>
                <w:rFonts w:hint="default"/>
                <w:sz w:val="24"/>
                <w:szCs w:val="24"/>
                <w:lang w:val="en-US" w:eastAsia="zh-CN"/>
              </w:rPr>
            </w:pPr>
            <w:r>
              <w:rPr>
                <w:rFonts w:hint="eastAsia"/>
                <w:sz w:val="24"/>
                <w:szCs w:val="24"/>
                <w:lang w:val="en-US" w:eastAsia="zh-CN"/>
              </w:rPr>
              <w:t>300mg/l</w:t>
            </w:r>
          </w:p>
        </w:tc>
        <w:tc>
          <w:tcPr>
            <w:tcW w:w="2587" w:type="pct"/>
            <w:tcBorders>
              <w:tl2br w:val="nil"/>
              <w:tr2bl w:val="nil"/>
            </w:tcBorders>
            <w:noWrap w:val="0"/>
            <w:vAlign w:val="center"/>
          </w:tcPr>
          <w:p w14:paraId="1FA97F0D">
            <w:pPr>
              <w:pStyle w:val="55"/>
              <w:bidi w:val="0"/>
              <w:rPr>
                <w:rFonts w:hint="default"/>
                <w:sz w:val="24"/>
                <w:szCs w:val="24"/>
                <w:lang w:val="en-US" w:eastAsia="zh-CN"/>
              </w:rPr>
            </w:pPr>
            <w:r>
              <w:rPr>
                <w:rFonts w:hint="default"/>
                <w:sz w:val="24"/>
                <w:szCs w:val="24"/>
                <w:lang w:val="en-US" w:eastAsia="zh-CN"/>
              </w:rPr>
              <w:t>/</w:t>
            </w:r>
          </w:p>
        </w:tc>
      </w:tr>
      <w:tr w14:paraId="29CF4F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393" w:type="pct"/>
            <w:tcBorders>
              <w:tl2br w:val="nil"/>
              <w:tr2bl w:val="nil"/>
            </w:tcBorders>
            <w:noWrap w:val="0"/>
            <w:vAlign w:val="center"/>
          </w:tcPr>
          <w:p w14:paraId="71187787">
            <w:pPr>
              <w:pStyle w:val="55"/>
              <w:bidi w:val="0"/>
              <w:rPr>
                <w:rFonts w:hint="eastAsia" w:eastAsia="楷体"/>
                <w:sz w:val="24"/>
                <w:szCs w:val="24"/>
                <w:lang w:val="en-US" w:eastAsia="zh-CN"/>
              </w:rPr>
            </w:pPr>
            <w:r>
              <w:rPr>
                <w:rFonts w:hint="eastAsia"/>
                <w:sz w:val="24"/>
                <w:szCs w:val="24"/>
                <w:lang w:val="en-US" w:eastAsia="zh-CN"/>
              </w:rPr>
              <w:t>2</w:t>
            </w:r>
          </w:p>
        </w:tc>
        <w:tc>
          <w:tcPr>
            <w:tcW w:w="437" w:type="pct"/>
            <w:tcBorders>
              <w:tl2br w:val="nil"/>
              <w:tr2bl w:val="nil"/>
            </w:tcBorders>
            <w:noWrap w:val="0"/>
            <w:vAlign w:val="center"/>
          </w:tcPr>
          <w:p w14:paraId="2F59A24A">
            <w:pPr>
              <w:pStyle w:val="55"/>
              <w:bidi w:val="0"/>
              <w:rPr>
                <w:rFonts w:hint="eastAsia" w:eastAsia="楷体"/>
                <w:sz w:val="24"/>
                <w:szCs w:val="24"/>
                <w:lang w:val="en-US" w:eastAsia="zh-CN"/>
              </w:rPr>
            </w:pPr>
            <w:r>
              <w:rPr>
                <w:rFonts w:hint="default"/>
                <w:sz w:val="24"/>
                <w:szCs w:val="24"/>
              </w:rPr>
              <w:t>n</w:t>
            </w:r>
            <w:r>
              <w:rPr>
                <w:rFonts w:hint="eastAsia"/>
                <w:sz w:val="24"/>
                <w:szCs w:val="24"/>
                <w:vertAlign w:val="subscript"/>
                <w:lang w:val="en-US" w:eastAsia="zh-CN"/>
              </w:rPr>
              <w:t>e</w:t>
            </w:r>
          </w:p>
        </w:tc>
        <w:tc>
          <w:tcPr>
            <w:tcW w:w="859" w:type="pct"/>
            <w:tcBorders>
              <w:tl2br w:val="nil"/>
              <w:tr2bl w:val="nil"/>
            </w:tcBorders>
            <w:noWrap w:val="0"/>
            <w:vAlign w:val="center"/>
          </w:tcPr>
          <w:p w14:paraId="19DF5E73">
            <w:pPr>
              <w:pStyle w:val="55"/>
              <w:bidi w:val="0"/>
              <w:rPr>
                <w:rFonts w:hint="eastAsia"/>
                <w:sz w:val="24"/>
                <w:szCs w:val="24"/>
                <w:lang w:val="en-US" w:eastAsia="zh-CN"/>
              </w:rPr>
            </w:pPr>
            <w:r>
              <w:rPr>
                <w:rFonts w:hint="default"/>
                <w:sz w:val="24"/>
                <w:szCs w:val="24"/>
              </w:rPr>
              <w:t>有效孔隙度</w:t>
            </w:r>
          </w:p>
        </w:tc>
        <w:tc>
          <w:tcPr>
            <w:tcW w:w="721" w:type="pct"/>
            <w:tcBorders>
              <w:tl2br w:val="nil"/>
              <w:tr2bl w:val="nil"/>
            </w:tcBorders>
            <w:noWrap w:val="0"/>
            <w:vAlign w:val="center"/>
          </w:tcPr>
          <w:p w14:paraId="19CB7A05">
            <w:pPr>
              <w:pStyle w:val="55"/>
              <w:bidi w:val="0"/>
              <w:rPr>
                <w:rFonts w:hint="eastAsia"/>
                <w:sz w:val="24"/>
                <w:szCs w:val="24"/>
                <w:lang w:val="en-US" w:eastAsia="zh-CN"/>
              </w:rPr>
            </w:pPr>
            <w:r>
              <w:rPr>
                <w:rFonts w:hint="eastAsia"/>
                <w:sz w:val="24"/>
                <w:szCs w:val="24"/>
                <w:lang w:val="en-US" w:eastAsia="zh-CN"/>
              </w:rPr>
              <w:t>0.10</w:t>
            </w:r>
          </w:p>
        </w:tc>
        <w:tc>
          <w:tcPr>
            <w:tcW w:w="2587" w:type="pct"/>
            <w:tcBorders>
              <w:tl2br w:val="nil"/>
              <w:tr2bl w:val="nil"/>
            </w:tcBorders>
            <w:noWrap w:val="0"/>
            <w:vAlign w:val="center"/>
          </w:tcPr>
          <w:p w14:paraId="197593EB">
            <w:pPr>
              <w:pStyle w:val="55"/>
              <w:bidi w:val="0"/>
              <w:rPr>
                <w:rFonts w:hint="default"/>
                <w:sz w:val="24"/>
                <w:szCs w:val="24"/>
                <w:lang w:val="en-US" w:eastAsia="zh-CN"/>
              </w:rPr>
            </w:pPr>
            <w:r>
              <w:rPr>
                <w:rFonts w:hint="default"/>
                <w:sz w:val="24"/>
                <w:szCs w:val="24"/>
                <w:lang w:val="en-US" w:eastAsia="zh-CN"/>
              </w:rPr>
              <w:t>根据区域水文地质资料，区域内</w:t>
            </w:r>
            <w:r>
              <w:rPr>
                <w:rFonts w:hint="eastAsia"/>
                <w:sz w:val="24"/>
                <w:szCs w:val="24"/>
                <w:lang w:val="en-US" w:eastAsia="zh-CN"/>
              </w:rPr>
              <w:t>潜水层粉土、粉质黏土</w:t>
            </w:r>
            <w:r>
              <w:rPr>
                <w:rFonts w:hint="default"/>
                <w:sz w:val="24"/>
                <w:szCs w:val="24"/>
                <w:lang w:val="en-US" w:eastAsia="zh-CN"/>
              </w:rPr>
              <w:t>为主，根据经验值，n=0.</w:t>
            </w:r>
            <w:r>
              <w:rPr>
                <w:rFonts w:hint="eastAsia"/>
                <w:sz w:val="24"/>
                <w:szCs w:val="24"/>
                <w:lang w:val="en-US" w:eastAsia="zh-CN"/>
              </w:rPr>
              <w:t>10</w:t>
            </w:r>
          </w:p>
        </w:tc>
      </w:tr>
      <w:tr w14:paraId="679669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393" w:type="pct"/>
            <w:tcBorders>
              <w:tl2br w:val="nil"/>
              <w:tr2bl w:val="nil"/>
            </w:tcBorders>
            <w:noWrap w:val="0"/>
            <w:vAlign w:val="center"/>
          </w:tcPr>
          <w:p w14:paraId="4FC1D2FE">
            <w:pPr>
              <w:pStyle w:val="55"/>
              <w:bidi w:val="0"/>
              <w:rPr>
                <w:rFonts w:hint="eastAsia" w:eastAsia="楷体"/>
                <w:sz w:val="24"/>
                <w:szCs w:val="24"/>
                <w:lang w:eastAsia="zh-CN"/>
              </w:rPr>
            </w:pPr>
            <w:r>
              <w:rPr>
                <w:rFonts w:hint="eastAsia"/>
                <w:sz w:val="24"/>
                <w:szCs w:val="24"/>
                <w:lang w:val="en-US" w:eastAsia="zh-CN"/>
              </w:rPr>
              <w:t>3</w:t>
            </w:r>
          </w:p>
        </w:tc>
        <w:tc>
          <w:tcPr>
            <w:tcW w:w="437" w:type="pct"/>
            <w:tcBorders>
              <w:tl2br w:val="nil"/>
              <w:tr2bl w:val="nil"/>
            </w:tcBorders>
            <w:noWrap w:val="0"/>
            <w:vAlign w:val="center"/>
          </w:tcPr>
          <w:p w14:paraId="06B8C271">
            <w:pPr>
              <w:pStyle w:val="55"/>
              <w:bidi w:val="0"/>
              <w:rPr>
                <w:rFonts w:hint="default"/>
                <w:sz w:val="24"/>
                <w:szCs w:val="24"/>
              </w:rPr>
            </w:pPr>
            <w:r>
              <w:rPr>
                <w:rFonts w:hint="default"/>
                <w:sz w:val="24"/>
                <w:szCs w:val="24"/>
              </w:rPr>
              <w:t>u</w:t>
            </w:r>
          </w:p>
        </w:tc>
        <w:tc>
          <w:tcPr>
            <w:tcW w:w="859" w:type="pct"/>
            <w:tcBorders>
              <w:tl2br w:val="nil"/>
              <w:tr2bl w:val="nil"/>
            </w:tcBorders>
            <w:noWrap w:val="0"/>
            <w:vAlign w:val="center"/>
          </w:tcPr>
          <w:p w14:paraId="0B910BB9">
            <w:pPr>
              <w:pStyle w:val="55"/>
              <w:bidi w:val="0"/>
              <w:rPr>
                <w:rFonts w:hint="default"/>
                <w:sz w:val="24"/>
                <w:szCs w:val="24"/>
              </w:rPr>
            </w:pPr>
            <w:r>
              <w:rPr>
                <w:rFonts w:hint="default"/>
                <w:sz w:val="24"/>
                <w:szCs w:val="24"/>
              </w:rPr>
              <w:t>水流速度</w:t>
            </w:r>
          </w:p>
        </w:tc>
        <w:tc>
          <w:tcPr>
            <w:tcW w:w="721" w:type="pct"/>
            <w:tcBorders>
              <w:tl2br w:val="nil"/>
              <w:tr2bl w:val="nil"/>
            </w:tcBorders>
            <w:noWrap w:val="0"/>
            <w:vAlign w:val="center"/>
          </w:tcPr>
          <w:p w14:paraId="702E08B5">
            <w:pPr>
              <w:pStyle w:val="55"/>
              <w:bidi w:val="0"/>
              <w:rPr>
                <w:rFonts w:hint="default"/>
                <w:sz w:val="24"/>
                <w:szCs w:val="24"/>
              </w:rPr>
            </w:pPr>
            <w:r>
              <w:rPr>
                <w:rFonts w:hint="eastAsia"/>
                <w:sz w:val="24"/>
                <w:szCs w:val="24"/>
                <w:lang w:val="en-US" w:eastAsia="zh-CN"/>
              </w:rPr>
              <w:t>0.0025</w:t>
            </w:r>
            <w:r>
              <w:rPr>
                <w:rFonts w:hint="default"/>
                <w:sz w:val="24"/>
                <w:szCs w:val="24"/>
              </w:rPr>
              <w:t>m/d</w:t>
            </w:r>
          </w:p>
        </w:tc>
        <w:tc>
          <w:tcPr>
            <w:tcW w:w="2587" w:type="pct"/>
            <w:tcBorders>
              <w:tl2br w:val="nil"/>
              <w:tr2bl w:val="nil"/>
            </w:tcBorders>
            <w:noWrap w:val="0"/>
            <w:vAlign w:val="center"/>
          </w:tcPr>
          <w:p w14:paraId="2FE58E90">
            <w:pPr>
              <w:pStyle w:val="55"/>
              <w:bidi w:val="0"/>
              <w:jc w:val="both"/>
              <w:rPr>
                <w:rFonts w:hint="default"/>
                <w:sz w:val="24"/>
                <w:szCs w:val="24"/>
                <w:lang w:val="en-US"/>
              </w:rPr>
            </w:pPr>
            <w:r>
              <w:rPr>
                <w:rFonts w:hint="default"/>
                <w:sz w:val="24"/>
                <w:szCs w:val="24"/>
                <w:lang w:val="en-US" w:eastAsia="zh-CN"/>
              </w:rPr>
              <w:t>本区域第一潜水为</w:t>
            </w:r>
            <w:r>
              <w:rPr>
                <w:rFonts w:hint="eastAsia"/>
                <w:sz w:val="24"/>
                <w:szCs w:val="24"/>
                <w:lang w:val="en-US" w:eastAsia="zh-CN"/>
              </w:rPr>
              <w:t>粉土、粉质黏土</w:t>
            </w:r>
            <w:r>
              <w:rPr>
                <w:rFonts w:hint="default"/>
                <w:sz w:val="24"/>
                <w:szCs w:val="24"/>
                <w:lang w:val="en-US" w:eastAsia="zh-CN"/>
              </w:rPr>
              <w:t>，根据《环境影响评价技术导则 地下水环境》（HJ610-2016）附录B，出于保守考虑，渗透系数取值为</w:t>
            </w:r>
            <w:r>
              <w:rPr>
                <w:rFonts w:hint="eastAsia"/>
                <w:sz w:val="24"/>
                <w:szCs w:val="24"/>
                <w:lang w:val="en-US" w:eastAsia="zh-CN"/>
              </w:rPr>
              <w:t>0.5</w:t>
            </w:r>
            <w:r>
              <w:rPr>
                <w:rFonts w:hint="default"/>
                <w:sz w:val="24"/>
                <w:szCs w:val="24"/>
                <w:lang w:val="en-US" w:eastAsia="zh-CN"/>
              </w:rPr>
              <w:t>m/d</w:t>
            </w:r>
            <w:r>
              <w:rPr>
                <w:rFonts w:hint="eastAsia"/>
                <w:sz w:val="24"/>
                <w:szCs w:val="24"/>
                <w:lang w:val="en-US" w:eastAsia="zh-CN"/>
              </w:rPr>
              <w:t>，</w:t>
            </w:r>
            <w:r>
              <w:rPr>
                <w:rFonts w:hint="eastAsia"/>
                <w:color w:val="000000" w:themeColor="text1"/>
                <w:sz w:val="24"/>
                <w:szCs w:val="24"/>
                <w:lang w:eastAsia="zh-CN"/>
                <w14:textFill>
                  <w14:solidFill>
                    <w14:schemeClr w14:val="tx1"/>
                  </w14:solidFill>
                </w14:textFill>
              </w:rPr>
              <w:t>水力坡度</w:t>
            </w:r>
            <w:r>
              <w:rPr>
                <w:rFonts w:hint="eastAsia"/>
                <w:color w:val="000000" w:themeColor="text1"/>
                <w:sz w:val="24"/>
                <w:szCs w:val="24"/>
                <w:lang w:val="en-US" w:eastAsia="zh-CN"/>
                <w14:textFill>
                  <w14:solidFill>
                    <w14:schemeClr w14:val="tx1"/>
                  </w14:solidFill>
                </w14:textFill>
              </w:rPr>
              <w:t>取值为</w:t>
            </w:r>
            <w:r>
              <w:rPr>
                <w:rFonts w:hint="eastAsia" w:cs="Times New Roman"/>
                <w:color w:val="000000" w:themeColor="text1"/>
                <w:sz w:val="24"/>
                <w:szCs w:val="24"/>
                <w:highlight w:val="none"/>
                <w:lang w:val="en-US" w:eastAsia="zh-CN"/>
                <w14:textFill>
                  <w14:solidFill>
                    <w14:schemeClr w14:val="tx1"/>
                  </w14:solidFill>
                </w14:textFill>
              </w:rPr>
              <w:t>0.5</w:t>
            </w:r>
            <w:r>
              <w:rPr>
                <w:rFonts w:hint="eastAsia"/>
                <w:color w:val="000000" w:themeColor="text1"/>
                <w:sz w:val="24"/>
                <w:szCs w:val="24"/>
                <w14:textFill>
                  <w14:solidFill>
                    <w14:schemeClr w14:val="tx1"/>
                  </w14:solidFill>
                </w14:textFill>
              </w:rPr>
              <w:t>‰</w:t>
            </w:r>
          </w:p>
        </w:tc>
      </w:tr>
      <w:tr w14:paraId="2B6433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393" w:type="pct"/>
            <w:tcBorders>
              <w:tl2br w:val="nil"/>
              <w:tr2bl w:val="nil"/>
            </w:tcBorders>
            <w:noWrap w:val="0"/>
            <w:vAlign w:val="center"/>
          </w:tcPr>
          <w:p w14:paraId="7E8A1317">
            <w:pPr>
              <w:pStyle w:val="55"/>
              <w:bidi w:val="0"/>
              <w:rPr>
                <w:rFonts w:hint="eastAsia" w:eastAsia="楷体"/>
                <w:sz w:val="24"/>
                <w:szCs w:val="24"/>
                <w:lang w:eastAsia="zh-CN"/>
              </w:rPr>
            </w:pPr>
            <w:r>
              <w:rPr>
                <w:rFonts w:hint="eastAsia"/>
                <w:sz w:val="24"/>
                <w:szCs w:val="24"/>
                <w:lang w:val="en-US" w:eastAsia="zh-CN"/>
              </w:rPr>
              <w:t>4</w:t>
            </w:r>
          </w:p>
        </w:tc>
        <w:tc>
          <w:tcPr>
            <w:tcW w:w="437" w:type="pct"/>
            <w:tcBorders>
              <w:tl2br w:val="nil"/>
              <w:tr2bl w:val="nil"/>
            </w:tcBorders>
            <w:noWrap w:val="0"/>
            <w:vAlign w:val="center"/>
          </w:tcPr>
          <w:p w14:paraId="0C3B248A">
            <w:pPr>
              <w:pStyle w:val="55"/>
              <w:bidi w:val="0"/>
              <w:rPr>
                <w:rFonts w:hint="default"/>
                <w:sz w:val="24"/>
                <w:szCs w:val="24"/>
              </w:rPr>
            </w:pPr>
            <w:r>
              <w:rPr>
                <w:rFonts w:hint="default"/>
                <w:sz w:val="24"/>
                <w:szCs w:val="24"/>
              </w:rPr>
              <w:t>DL</w:t>
            </w:r>
          </w:p>
        </w:tc>
        <w:tc>
          <w:tcPr>
            <w:tcW w:w="859" w:type="pct"/>
            <w:tcBorders>
              <w:tl2br w:val="nil"/>
              <w:tr2bl w:val="nil"/>
            </w:tcBorders>
            <w:noWrap w:val="0"/>
            <w:vAlign w:val="center"/>
          </w:tcPr>
          <w:p w14:paraId="11994C93">
            <w:pPr>
              <w:pStyle w:val="55"/>
              <w:bidi w:val="0"/>
              <w:rPr>
                <w:rFonts w:hint="default"/>
                <w:sz w:val="24"/>
                <w:szCs w:val="24"/>
              </w:rPr>
            </w:pPr>
            <w:r>
              <w:rPr>
                <w:rFonts w:hint="default"/>
                <w:sz w:val="24"/>
                <w:szCs w:val="24"/>
              </w:rPr>
              <w:t>弥散系数</w:t>
            </w:r>
          </w:p>
        </w:tc>
        <w:tc>
          <w:tcPr>
            <w:tcW w:w="721" w:type="pct"/>
            <w:tcBorders>
              <w:tl2br w:val="nil"/>
              <w:tr2bl w:val="nil"/>
            </w:tcBorders>
            <w:noWrap w:val="0"/>
            <w:vAlign w:val="center"/>
          </w:tcPr>
          <w:p w14:paraId="56DCD278">
            <w:pPr>
              <w:pStyle w:val="55"/>
              <w:bidi w:val="0"/>
              <w:rPr>
                <w:rFonts w:hint="default"/>
                <w:sz w:val="24"/>
                <w:szCs w:val="24"/>
              </w:rPr>
            </w:pPr>
            <w:r>
              <w:rPr>
                <w:rFonts w:hint="eastAsia"/>
                <w:sz w:val="24"/>
                <w:szCs w:val="24"/>
                <w:lang w:val="en-US" w:eastAsia="zh-CN"/>
              </w:rPr>
              <w:t>0.016</w:t>
            </w:r>
            <w:r>
              <w:rPr>
                <w:rFonts w:hint="default"/>
                <w:sz w:val="24"/>
                <w:szCs w:val="24"/>
              </w:rPr>
              <w:t>m</w:t>
            </w:r>
            <w:r>
              <w:rPr>
                <w:rFonts w:hint="default"/>
                <w:sz w:val="24"/>
                <w:szCs w:val="24"/>
                <w:vertAlign w:val="superscript"/>
              </w:rPr>
              <w:t>2</w:t>
            </w:r>
            <w:r>
              <w:rPr>
                <w:rFonts w:hint="default"/>
                <w:sz w:val="24"/>
                <w:szCs w:val="24"/>
              </w:rPr>
              <w:t>/d</w:t>
            </w:r>
          </w:p>
        </w:tc>
        <w:tc>
          <w:tcPr>
            <w:tcW w:w="2587" w:type="pct"/>
            <w:tcBorders>
              <w:tl2br w:val="nil"/>
              <w:tr2bl w:val="nil"/>
            </w:tcBorders>
            <w:noWrap w:val="0"/>
            <w:vAlign w:val="center"/>
          </w:tcPr>
          <w:p w14:paraId="142724A1">
            <w:pPr>
              <w:pStyle w:val="55"/>
              <w:keepNext w:val="0"/>
              <w:keepLines w:val="0"/>
              <w:pageBreakBefore w:val="0"/>
              <w:widowControl/>
              <w:kinsoku/>
              <w:wordWrap/>
              <w:overflowPunct/>
              <w:topLinePunct w:val="0"/>
              <w:autoSpaceDE/>
              <w:autoSpaceDN/>
              <w:bidi w:val="0"/>
              <w:adjustRightInd w:val="0"/>
              <w:snapToGrid w:val="0"/>
              <w:spacing w:line="360" w:lineRule="auto"/>
              <w:textAlignment w:val="auto"/>
              <w:rPr>
                <w:rFonts w:hint="default"/>
                <w:sz w:val="24"/>
                <w:szCs w:val="24"/>
              </w:rPr>
            </w:pPr>
            <w:r>
              <w:rPr>
                <w:rFonts w:hint="default" w:ascii="Times New Roman" w:hAnsi="Times New Roman" w:eastAsia="宋体" w:cs="Times New Roman"/>
                <w:color w:val="000000" w:themeColor="text1"/>
                <w:sz w:val="24"/>
                <w:szCs w:val="24"/>
                <w14:textFill>
                  <w14:solidFill>
                    <w14:schemeClr w14:val="tx1"/>
                  </w14:solidFill>
                </w14:textFill>
              </w:rPr>
              <w:object>
                <v:shape id="_x0000_i1027" o:spt="75" type="#_x0000_t75" style="height:20.3pt;width:102.8pt;" o:ole="t" filled="f" o:preferrelative="t" stroked="f" coordsize="21600,21600">
                  <v:path/>
                  <v:fill on="f" focussize="0,0"/>
                  <v:stroke on="f"/>
                  <v:imagedata r:id="rId31" o:title=""/>
                  <o:lock v:ext="edit" aspectratio="t"/>
                  <w10:wrap type="none"/>
                  <w10:anchorlock/>
                </v:shape>
                <o:OLEObject Type="Embed" ProgID="Equation.3" ShapeID="_x0000_i1027" DrawAspect="Content" ObjectID="_1468075729" r:id="rId30">
                  <o:LockedField>false</o:LockedField>
                </o:OLEObject>
              </w:object>
            </w:r>
          </w:p>
          <w:p w14:paraId="11CBC6DB">
            <w:pPr>
              <w:pStyle w:val="55"/>
              <w:bidi w:val="0"/>
              <w:jc w:val="both"/>
              <w:rPr>
                <w:rFonts w:hint="default"/>
                <w:sz w:val="24"/>
                <w:szCs w:val="24"/>
              </w:rPr>
            </w:pPr>
            <w:r>
              <w:rPr>
                <w:rFonts w:hint="default"/>
                <w:sz w:val="24"/>
                <w:szCs w:val="24"/>
              </w:rPr>
              <w:t>式中：αm—弥散度；LS—污染物运移的距离（m），根据各状况预测要求，以保守情况计算，取污染物的运移距离按</w:t>
            </w:r>
            <w:r>
              <w:rPr>
                <w:rFonts w:hint="eastAsia"/>
                <w:sz w:val="24"/>
                <w:szCs w:val="24"/>
                <w:lang w:val="en-US" w:eastAsia="zh-CN"/>
              </w:rPr>
              <w:t>2</w:t>
            </w:r>
            <w:r>
              <w:rPr>
                <w:rFonts w:hint="default"/>
                <w:sz w:val="24"/>
                <w:szCs w:val="24"/>
              </w:rPr>
              <w:t>00m计算。按照上式计算可得潜水含水层弥散度αm=</w:t>
            </w:r>
            <w:r>
              <w:rPr>
                <w:rFonts w:hint="eastAsia"/>
                <w:sz w:val="24"/>
                <w:szCs w:val="24"/>
                <w:lang w:val="en-US" w:eastAsia="zh-CN"/>
              </w:rPr>
              <w:t>6.205</w:t>
            </w:r>
            <w:r>
              <w:rPr>
                <w:rFonts w:hint="default"/>
                <w:sz w:val="24"/>
                <w:szCs w:val="24"/>
              </w:rPr>
              <w:t>m。</w:t>
            </w:r>
          </w:p>
          <w:p w14:paraId="29890DD3">
            <w:pPr>
              <w:pStyle w:val="55"/>
              <w:bidi w:val="0"/>
              <w:jc w:val="both"/>
              <w:rPr>
                <w:rFonts w:hint="default"/>
                <w:sz w:val="24"/>
                <w:szCs w:val="24"/>
              </w:rPr>
            </w:pPr>
            <w:r>
              <w:rPr>
                <w:rFonts w:hint="default"/>
                <w:sz w:val="24"/>
                <w:szCs w:val="24"/>
              </w:rPr>
              <w:t>由此计算项目场地内的弥散系数：</w:t>
            </w:r>
          </w:p>
          <w:p w14:paraId="04D4B973">
            <w:pPr>
              <w:pStyle w:val="55"/>
              <w:bidi w:val="0"/>
              <w:rPr>
                <w:rFonts w:hint="default"/>
                <w:sz w:val="24"/>
                <w:szCs w:val="24"/>
              </w:rPr>
            </w:pPr>
            <w:r>
              <w:rPr>
                <w:rFonts w:hint="default"/>
                <w:sz w:val="24"/>
                <w:szCs w:val="24"/>
              </w:rPr>
              <w:t>DL=αm×u</w:t>
            </w:r>
          </w:p>
          <w:p w14:paraId="4CBC632A">
            <w:pPr>
              <w:pStyle w:val="55"/>
              <w:bidi w:val="0"/>
              <w:jc w:val="both"/>
              <w:rPr>
                <w:rFonts w:hint="default"/>
                <w:sz w:val="24"/>
                <w:szCs w:val="24"/>
              </w:rPr>
            </w:pPr>
            <w:r>
              <w:rPr>
                <w:rFonts w:hint="default"/>
                <w:sz w:val="24"/>
                <w:szCs w:val="24"/>
              </w:rPr>
              <w:t>式中：DL—土层中的弥散系数（m</w:t>
            </w:r>
            <w:r>
              <w:rPr>
                <w:rFonts w:hint="default"/>
                <w:sz w:val="24"/>
                <w:szCs w:val="24"/>
                <w:vertAlign w:val="superscript"/>
              </w:rPr>
              <w:t>2</w:t>
            </w:r>
            <w:r>
              <w:rPr>
                <w:rFonts w:hint="default"/>
                <w:sz w:val="24"/>
                <w:szCs w:val="24"/>
              </w:rPr>
              <w:t>/d）；</w:t>
            </w:r>
          </w:p>
          <w:p w14:paraId="3ADF4ED1">
            <w:pPr>
              <w:pStyle w:val="55"/>
              <w:bidi w:val="0"/>
              <w:rPr>
                <w:rFonts w:hint="default"/>
                <w:sz w:val="24"/>
                <w:szCs w:val="24"/>
              </w:rPr>
            </w:pPr>
            <w:r>
              <w:rPr>
                <w:rFonts w:hint="default"/>
                <w:sz w:val="24"/>
                <w:szCs w:val="24"/>
              </w:rPr>
              <w:t>αm—土层中的弥散度（m）；</w:t>
            </w:r>
          </w:p>
          <w:p w14:paraId="234B582E">
            <w:pPr>
              <w:pStyle w:val="55"/>
              <w:bidi w:val="0"/>
              <w:rPr>
                <w:rFonts w:hint="default"/>
                <w:sz w:val="24"/>
                <w:szCs w:val="24"/>
              </w:rPr>
            </w:pPr>
            <w:r>
              <w:rPr>
                <w:rFonts w:hint="default"/>
                <w:sz w:val="24"/>
                <w:szCs w:val="24"/>
              </w:rPr>
              <w:t>u—土层中的地下水的流速（m/d）。</w:t>
            </w:r>
          </w:p>
          <w:p w14:paraId="1F2FFC98">
            <w:pPr>
              <w:pStyle w:val="55"/>
              <w:bidi w:val="0"/>
              <w:jc w:val="both"/>
              <w:rPr>
                <w:rFonts w:hint="default"/>
                <w:sz w:val="24"/>
                <w:szCs w:val="24"/>
                <w:lang w:eastAsia="zh-CN"/>
              </w:rPr>
            </w:pPr>
            <w:r>
              <w:rPr>
                <w:rFonts w:hint="default"/>
                <w:sz w:val="24"/>
                <w:szCs w:val="24"/>
              </w:rPr>
              <w:t>按照上式计算可得场地的纵向弥散系数DL=0.</w:t>
            </w:r>
            <w:r>
              <w:rPr>
                <w:rFonts w:hint="eastAsia"/>
                <w:sz w:val="24"/>
                <w:szCs w:val="24"/>
                <w:lang w:val="en-US" w:eastAsia="zh-CN"/>
              </w:rPr>
              <w:t>016</w:t>
            </w:r>
            <w:r>
              <w:rPr>
                <w:rFonts w:hint="default"/>
                <w:sz w:val="24"/>
                <w:szCs w:val="24"/>
              </w:rPr>
              <w:t>m</w:t>
            </w:r>
            <w:r>
              <w:rPr>
                <w:rFonts w:hint="default"/>
                <w:sz w:val="24"/>
                <w:szCs w:val="24"/>
                <w:vertAlign w:val="superscript"/>
              </w:rPr>
              <w:t>2</w:t>
            </w:r>
            <w:r>
              <w:rPr>
                <w:rFonts w:hint="default"/>
                <w:sz w:val="24"/>
                <w:szCs w:val="24"/>
              </w:rPr>
              <w:t>/d。</w:t>
            </w:r>
          </w:p>
        </w:tc>
      </w:tr>
    </w:tbl>
    <w:p w14:paraId="1D3635A9">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④污水管道破裂渗漏</w:t>
      </w:r>
    </w:p>
    <w:p w14:paraId="66E35A47">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根据项目所在地区的地下水化学性及项目特点，计算选取对地下水环境质量影响负荷较大的COD、氨氮作为代表性污染物进行模拟预测，其浓度分别为3</w:t>
      </w:r>
      <w:r>
        <w:rPr>
          <w:rFonts w:hint="eastAsia"/>
          <w:color w:val="000000" w:themeColor="text1"/>
          <w:lang w:val="en-US" w:eastAsia="zh-CN"/>
          <w14:textFill>
            <w14:solidFill>
              <w14:schemeClr w14:val="tx1"/>
            </w14:solidFill>
          </w14:textFill>
        </w:rPr>
        <w:t>0</w:t>
      </w:r>
      <w:r>
        <w:rPr>
          <w:rFonts w:hint="eastAsia"/>
          <w:color w:val="000000" w:themeColor="text1"/>
          <w:lang w:eastAsia="zh-CN"/>
          <w14:textFill>
            <w14:solidFill>
              <w14:schemeClr w14:val="tx1"/>
            </w14:solidFill>
          </w14:textFill>
        </w:rPr>
        <w:t>0mg/L和</w:t>
      </w:r>
      <w:r>
        <w:rPr>
          <w:rFonts w:hint="eastAsia"/>
          <w:color w:val="000000" w:themeColor="text1"/>
          <w:lang w:val="en-US" w:eastAsia="zh-CN"/>
          <w14:textFill>
            <w14:solidFill>
              <w14:schemeClr w14:val="tx1"/>
            </w14:solidFill>
          </w14:textFill>
        </w:rPr>
        <w:t>20</w:t>
      </w:r>
      <w:r>
        <w:rPr>
          <w:rFonts w:hint="eastAsia"/>
          <w:color w:val="000000" w:themeColor="text1"/>
          <w:lang w:eastAsia="zh-CN"/>
          <w14:textFill>
            <w14:solidFill>
              <w14:schemeClr w14:val="tx1"/>
            </w14:solidFill>
          </w14:textFill>
        </w:rPr>
        <w:t>mg/L。</w:t>
      </w:r>
    </w:p>
    <w:p w14:paraId="7AF244F2">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预测从最不利原则考虑，发生事故后，经过工作人员定期排查，并及时处理，切断污染源。因此，非正常状况泄漏时间为30天。</w:t>
      </w:r>
    </w:p>
    <w:p w14:paraId="097E02F9">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⑤预测结果</w:t>
      </w:r>
    </w:p>
    <w:p w14:paraId="2BEFA910">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本次预测选取了</w:t>
      </w:r>
      <w:r>
        <w:rPr>
          <w:rFonts w:hint="eastAsia"/>
          <w:color w:val="000000" w:themeColor="text1"/>
          <w:lang w:val="en-US" w:eastAsia="zh-CN"/>
          <w14:textFill>
            <w14:solidFill>
              <w14:schemeClr w14:val="tx1"/>
            </w14:solidFill>
          </w14:textFill>
        </w:rPr>
        <w:t>30d、</w:t>
      </w:r>
      <w:r>
        <w:rPr>
          <w:rFonts w:hint="eastAsia"/>
          <w:color w:val="000000" w:themeColor="text1"/>
          <w:lang w:eastAsia="zh-CN"/>
          <w14:textFill>
            <w14:solidFill>
              <w14:schemeClr w14:val="tx1"/>
            </w14:solidFill>
          </w14:textFill>
        </w:rPr>
        <w:t>100d、365d、1000d</w:t>
      </w:r>
      <w:r>
        <w:rPr>
          <w:rFonts w:hint="eastAsia"/>
          <w:color w:val="000000" w:themeColor="text1"/>
          <w:lang w:val="en-US" w:eastAsia="zh-CN"/>
          <w14:textFill>
            <w14:solidFill>
              <w14:schemeClr w14:val="tx1"/>
            </w14:solidFill>
          </w14:textFill>
        </w:rPr>
        <w:t>四</w:t>
      </w:r>
      <w:r>
        <w:rPr>
          <w:rFonts w:hint="eastAsia"/>
          <w:color w:val="000000" w:themeColor="text1"/>
          <w:lang w:eastAsia="zh-CN"/>
          <w14:textFill>
            <w14:solidFill>
              <w14:schemeClr w14:val="tx1"/>
            </w14:solidFill>
          </w14:textFill>
        </w:rPr>
        <w:t>个时间点，当</w:t>
      </w:r>
      <w:r>
        <w:rPr>
          <w:rFonts w:hint="eastAsia"/>
          <w:color w:val="000000" w:themeColor="text1"/>
          <w:lang w:val="en-US" w:eastAsia="zh-CN"/>
          <w14:textFill>
            <w14:solidFill>
              <w14:schemeClr w14:val="tx1"/>
            </w14:solidFill>
          </w14:textFill>
        </w:rPr>
        <w:t>防渗旱厕</w:t>
      </w:r>
      <w:r>
        <w:rPr>
          <w:rFonts w:hint="eastAsia"/>
          <w:color w:val="000000" w:themeColor="text1"/>
          <w:lang w:eastAsia="zh-CN"/>
          <w14:textFill>
            <w14:solidFill>
              <w14:schemeClr w14:val="tx1"/>
            </w14:solidFill>
          </w14:textFill>
        </w:rPr>
        <w:t>破裂污水渗漏后，随着时间的推移，污染因子COD、氨氮在含水层中的运移情况见</w:t>
      </w:r>
      <w:r>
        <w:rPr>
          <w:rFonts w:hint="eastAsia"/>
          <w:color w:val="000000" w:themeColor="text1"/>
          <w:lang w:val="en-US" w:eastAsia="zh-CN"/>
          <w14:textFill>
            <w14:solidFill>
              <w14:schemeClr w14:val="tx1"/>
            </w14:solidFill>
          </w14:textFill>
        </w:rPr>
        <w:t>下</w:t>
      </w:r>
      <w:r>
        <w:rPr>
          <w:rFonts w:hint="eastAsia"/>
          <w:color w:val="000000" w:themeColor="text1"/>
          <w:lang w:eastAsia="zh-CN"/>
          <w14:textFill>
            <w14:solidFill>
              <w14:schemeClr w14:val="tx1"/>
            </w14:solidFill>
          </w14:textFill>
        </w:rPr>
        <w:t>表。</w:t>
      </w:r>
    </w:p>
    <w:p w14:paraId="2F1AB4F2">
      <w:pPr>
        <w:pStyle w:val="94"/>
        <w:bidi w:val="0"/>
        <w:ind w:left="0" w:leftChars="0" w:firstLine="0" w:firstLineChars="0"/>
        <w:rPr>
          <w:rFonts w:hint="default"/>
          <w:lang w:val="en-US" w:eastAsia="zh-CN"/>
        </w:rPr>
      </w:pPr>
      <w:r>
        <w:rPr>
          <w:rFonts w:hint="eastAsia"/>
          <w:lang w:val="en-US" w:eastAsia="zh-CN"/>
        </w:rPr>
        <w:t>COD</w:t>
      </w:r>
      <w:r>
        <w:rPr>
          <w:rFonts w:hint="default"/>
          <w:lang w:val="en-US" w:eastAsia="zh-CN"/>
        </w:rPr>
        <w:t>在水平迁移浓度的分布情况（单位：mg/ L）</w:t>
      </w:r>
    </w:p>
    <w:tbl>
      <w:tblPr>
        <w:tblStyle w:val="3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88"/>
        <w:gridCol w:w="1762"/>
        <w:gridCol w:w="1889"/>
        <w:gridCol w:w="1846"/>
        <w:gridCol w:w="1896"/>
      </w:tblGrid>
      <w:tr w14:paraId="17606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1017" w:type="pct"/>
            <w:tcBorders>
              <w:tl2br w:val="single" w:color="auto" w:sz="4" w:space="0"/>
            </w:tcBorders>
            <w:noWrap w:val="0"/>
            <w:vAlign w:val="center"/>
          </w:tcPr>
          <w:p w14:paraId="7F610E82">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 xml:space="preserve">      时间</w:t>
            </w:r>
          </w:p>
          <w:p w14:paraId="0000F6D3">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距离</w:t>
            </w:r>
          </w:p>
        </w:tc>
        <w:tc>
          <w:tcPr>
            <w:tcW w:w="949" w:type="pct"/>
            <w:noWrap w:val="0"/>
            <w:vAlign w:val="center"/>
          </w:tcPr>
          <w:p w14:paraId="203D7B9D">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30</w:t>
            </w:r>
            <w:r>
              <w:rPr>
                <w:rFonts w:hint="default"/>
                <w:color w:val="000000" w:themeColor="text1"/>
                <w:lang w:val="en-US" w:eastAsia="zh-CN"/>
                <w14:textFill>
                  <w14:solidFill>
                    <w14:schemeClr w14:val="tx1"/>
                  </w14:solidFill>
                </w14:textFill>
              </w:rPr>
              <w:t>d</w:t>
            </w:r>
          </w:p>
        </w:tc>
        <w:tc>
          <w:tcPr>
            <w:tcW w:w="1017" w:type="pct"/>
            <w:noWrap w:val="0"/>
            <w:vAlign w:val="center"/>
          </w:tcPr>
          <w:p w14:paraId="6C80EEA6">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10</w:t>
            </w:r>
            <w:r>
              <w:rPr>
                <w:rFonts w:hint="eastAsia"/>
                <w:color w:val="000000" w:themeColor="text1"/>
                <w:lang w:val="en-US" w:eastAsia="zh-CN"/>
                <w14:textFill>
                  <w14:solidFill>
                    <w14:schemeClr w14:val="tx1"/>
                  </w14:solidFill>
                </w14:textFill>
              </w:rPr>
              <w:t>0</w:t>
            </w:r>
            <w:r>
              <w:rPr>
                <w:rFonts w:hint="default"/>
                <w:color w:val="000000" w:themeColor="text1"/>
                <w:lang w:val="en-US" w:eastAsia="zh-CN"/>
                <w14:textFill>
                  <w14:solidFill>
                    <w14:schemeClr w14:val="tx1"/>
                  </w14:solidFill>
                </w14:textFill>
              </w:rPr>
              <w:t>d</w:t>
            </w:r>
          </w:p>
        </w:tc>
        <w:tc>
          <w:tcPr>
            <w:tcW w:w="994" w:type="pct"/>
            <w:noWrap w:val="0"/>
            <w:vAlign w:val="center"/>
          </w:tcPr>
          <w:p w14:paraId="62D73433">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365</w:t>
            </w:r>
            <w:r>
              <w:rPr>
                <w:rFonts w:hint="default"/>
                <w:color w:val="000000" w:themeColor="text1"/>
                <w:lang w:val="en-US" w:eastAsia="zh-CN"/>
                <w14:textFill>
                  <w14:solidFill>
                    <w14:schemeClr w14:val="tx1"/>
                  </w14:solidFill>
                </w14:textFill>
              </w:rPr>
              <w:t>d</w:t>
            </w:r>
          </w:p>
        </w:tc>
        <w:tc>
          <w:tcPr>
            <w:tcW w:w="1021" w:type="pct"/>
            <w:noWrap w:val="0"/>
            <w:vAlign w:val="center"/>
          </w:tcPr>
          <w:p w14:paraId="723FB691">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1000d</w:t>
            </w:r>
          </w:p>
        </w:tc>
      </w:tr>
      <w:tr w14:paraId="7CA51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7" w:type="pct"/>
            <w:noWrap w:val="0"/>
            <w:vAlign w:val="center"/>
          </w:tcPr>
          <w:p w14:paraId="0EF55398">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0m</w:t>
            </w:r>
          </w:p>
        </w:tc>
        <w:tc>
          <w:tcPr>
            <w:tcW w:w="949" w:type="pct"/>
            <w:noWrap w:val="0"/>
            <w:vAlign w:val="center"/>
          </w:tcPr>
          <w:p w14:paraId="02FFE5CF">
            <w:pPr>
              <w:pStyle w:val="55"/>
              <w:bidi w:val="0"/>
              <w:rPr>
                <w:rFonts w:hint="default"/>
                <w:lang w:val="en-US" w:eastAsia="zh-CN"/>
              </w:rPr>
            </w:pPr>
            <w:r>
              <w:rPr>
                <w:rFonts w:hint="eastAsia"/>
                <w:lang w:val="en-US" w:eastAsia="zh-CN"/>
              </w:rPr>
              <w:t>300</w:t>
            </w:r>
          </w:p>
        </w:tc>
        <w:tc>
          <w:tcPr>
            <w:tcW w:w="1017" w:type="pct"/>
            <w:shd w:val="clear" w:color="auto" w:fill="auto"/>
            <w:noWrap w:val="0"/>
            <w:vAlign w:val="center"/>
          </w:tcPr>
          <w:p w14:paraId="4687A5D3">
            <w:pPr>
              <w:pStyle w:val="55"/>
              <w:bidi w:val="0"/>
              <w:rPr>
                <w:rFonts w:hint="default"/>
                <w:lang w:val="en-US" w:eastAsia="zh-CN"/>
              </w:rPr>
            </w:pPr>
            <w:r>
              <w:rPr>
                <w:rFonts w:hint="eastAsia"/>
                <w:lang w:val="en-US" w:eastAsia="zh-CN"/>
              </w:rPr>
              <w:t xml:space="preserve">2.710 </w:t>
            </w:r>
          </w:p>
        </w:tc>
        <w:tc>
          <w:tcPr>
            <w:tcW w:w="1846" w:type="dxa"/>
            <w:noWrap w:val="0"/>
            <w:vAlign w:val="center"/>
          </w:tcPr>
          <w:p w14:paraId="7243D416">
            <w:pPr>
              <w:pStyle w:val="55"/>
              <w:bidi w:val="0"/>
              <w:rPr>
                <w:rFonts w:hint="default"/>
                <w:lang w:val="en-US" w:eastAsia="zh-CN"/>
              </w:rPr>
            </w:pPr>
            <w:r>
              <w:rPr>
                <w:rFonts w:hint="eastAsia"/>
                <w:lang w:val="en-US" w:eastAsia="zh-CN"/>
              </w:rPr>
              <w:t xml:space="preserve">1.300 </w:t>
            </w:r>
          </w:p>
        </w:tc>
        <w:tc>
          <w:tcPr>
            <w:tcW w:w="1896" w:type="dxa"/>
            <w:noWrap w:val="0"/>
            <w:vAlign w:val="center"/>
          </w:tcPr>
          <w:p w14:paraId="09B29C0B">
            <w:pPr>
              <w:pStyle w:val="55"/>
              <w:bidi w:val="0"/>
              <w:rPr>
                <w:rFonts w:hint="default"/>
                <w:lang w:val="en-US" w:eastAsia="zh-CN"/>
              </w:rPr>
            </w:pPr>
            <w:r>
              <w:rPr>
                <w:rFonts w:hint="eastAsia"/>
                <w:lang w:val="en-US" w:eastAsia="zh-CN"/>
              </w:rPr>
              <w:t xml:space="preserve">0.726 </w:t>
            </w:r>
          </w:p>
        </w:tc>
      </w:tr>
      <w:tr w14:paraId="602EB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7" w:type="pct"/>
            <w:noWrap w:val="0"/>
            <w:vAlign w:val="center"/>
          </w:tcPr>
          <w:p w14:paraId="68190A80">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2m</w:t>
            </w:r>
          </w:p>
        </w:tc>
        <w:tc>
          <w:tcPr>
            <w:tcW w:w="1762" w:type="dxa"/>
            <w:noWrap w:val="0"/>
            <w:vAlign w:val="center"/>
          </w:tcPr>
          <w:p w14:paraId="40C22878">
            <w:pPr>
              <w:pStyle w:val="55"/>
              <w:bidi w:val="0"/>
              <w:rPr>
                <w:rFonts w:hint="eastAsia"/>
                <w:lang w:val="en-US" w:eastAsia="zh-CN"/>
              </w:rPr>
            </w:pPr>
            <w:r>
              <w:rPr>
                <w:rFonts w:hint="eastAsia"/>
                <w:lang w:val="en-US" w:eastAsia="zh-CN"/>
              </w:rPr>
              <w:t xml:space="preserve">14.400 </w:t>
            </w:r>
          </w:p>
        </w:tc>
        <w:tc>
          <w:tcPr>
            <w:tcW w:w="1889" w:type="dxa"/>
            <w:shd w:val="clear" w:color="auto" w:fill="auto"/>
            <w:noWrap w:val="0"/>
            <w:vAlign w:val="center"/>
          </w:tcPr>
          <w:p w14:paraId="5129046E">
            <w:pPr>
              <w:pStyle w:val="55"/>
              <w:bidi w:val="0"/>
              <w:rPr>
                <w:rFonts w:hint="eastAsia"/>
                <w:lang w:val="en-US" w:eastAsia="zh-CN"/>
              </w:rPr>
            </w:pPr>
            <w:r>
              <w:rPr>
                <w:rFonts w:hint="eastAsia"/>
                <w:lang w:val="en-US" w:eastAsia="zh-CN"/>
              </w:rPr>
              <w:t xml:space="preserve">15.800 </w:t>
            </w:r>
          </w:p>
        </w:tc>
        <w:tc>
          <w:tcPr>
            <w:tcW w:w="1846" w:type="dxa"/>
            <w:noWrap w:val="0"/>
            <w:vAlign w:val="center"/>
          </w:tcPr>
          <w:p w14:paraId="2A1048B1">
            <w:pPr>
              <w:pStyle w:val="55"/>
              <w:bidi w:val="0"/>
              <w:rPr>
                <w:rFonts w:hint="eastAsia"/>
                <w:lang w:val="en-US" w:eastAsia="zh-CN"/>
              </w:rPr>
            </w:pPr>
            <w:r>
              <w:rPr>
                <w:rFonts w:hint="eastAsia"/>
                <w:lang w:val="en-US" w:eastAsia="zh-CN"/>
              </w:rPr>
              <w:t xml:space="preserve">4.170 </w:t>
            </w:r>
          </w:p>
        </w:tc>
        <w:tc>
          <w:tcPr>
            <w:tcW w:w="1896" w:type="dxa"/>
            <w:noWrap w:val="0"/>
            <w:vAlign w:val="center"/>
          </w:tcPr>
          <w:p w14:paraId="59CC1F6D">
            <w:pPr>
              <w:pStyle w:val="55"/>
              <w:bidi w:val="0"/>
              <w:rPr>
                <w:rFonts w:hint="eastAsia"/>
                <w:lang w:val="en-US" w:eastAsia="zh-CN"/>
              </w:rPr>
            </w:pPr>
            <w:r>
              <w:rPr>
                <w:rFonts w:hint="eastAsia"/>
                <w:lang w:val="en-US" w:eastAsia="zh-CN"/>
              </w:rPr>
              <w:t xml:space="preserve">1.440 </w:t>
            </w:r>
          </w:p>
        </w:tc>
      </w:tr>
      <w:tr w14:paraId="5A86F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7" w:type="pct"/>
            <w:noWrap w:val="0"/>
            <w:vAlign w:val="center"/>
          </w:tcPr>
          <w:p w14:paraId="0C5CAB97">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4m</w:t>
            </w:r>
          </w:p>
        </w:tc>
        <w:tc>
          <w:tcPr>
            <w:tcW w:w="1762" w:type="dxa"/>
            <w:noWrap w:val="0"/>
            <w:vAlign w:val="center"/>
          </w:tcPr>
          <w:p w14:paraId="0E732A31">
            <w:pPr>
              <w:pStyle w:val="55"/>
              <w:bidi w:val="0"/>
              <w:rPr>
                <w:rFonts w:hint="eastAsia"/>
                <w:lang w:val="en-US" w:eastAsia="zh-CN"/>
              </w:rPr>
            </w:pPr>
            <w:r>
              <w:rPr>
                <w:rFonts w:hint="eastAsia"/>
                <w:lang w:val="en-US" w:eastAsia="zh-CN"/>
              </w:rPr>
              <w:t xml:space="preserve">0.018 </w:t>
            </w:r>
          </w:p>
        </w:tc>
        <w:tc>
          <w:tcPr>
            <w:tcW w:w="1889" w:type="dxa"/>
            <w:shd w:val="clear" w:color="auto" w:fill="auto"/>
            <w:noWrap w:val="0"/>
            <w:vAlign w:val="center"/>
          </w:tcPr>
          <w:p w14:paraId="049C1AEE">
            <w:pPr>
              <w:pStyle w:val="55"/>
              <w:bidi w:val="0"/>
              <w:rPr>
                <w:rFonts w:hint="eastAsia"/>
                <w:lang w:val="en-US" w:eastAsia="zh-CN"/>
              </w:rPr>
            </w:pPr>
            <w:r>
              <w:rPr>
                <w:rFonts w:hint="eastAsia"/>
                <w:lang w:val="en-US" w:eastAsia="zh-CN"/>
              </w:rPr>
              <w:t xml:space="preserve">3.820 </w:t>
            </w:r>
          </w:p>
        </w:tc>
        <w:tc>
          <w:tcPr>
            <w:tcW w:w="1846" w:type="dxa"/>
            <w:noWrap w:val="0"/>
            <w:vAlign w:val="center"/>
          </w:tcPr>
          <w:p w14:paraId="71770101">
            <w:pPr>
              <w:pStyle w:val="55"/>
              <w:bidi w:val="0"/>
              <w:rPr>
                <w:rFonts w:hint="eastAsia"/>
                <w:lang w:val="en-US" w:eastAsia="zh-CN"/>
              </w:rPr>
            </w:pPr>
            <w:r>
              <w:rPr>
                <w:rFonts w:hint="eastAsia"/>
                <w:lang w:val="en-US" w:eastAsia="zh-CN"/>
              </w:rPr>
              <w:t xml:space="preserve">4.830 </w:t>
            </w:r>
          </w:p>
        </w:tc>
        <w:tc>
          <w:tcPr>
            <w:tcW w:w="1896" w:type="dxa"/>
            <w:noWrap w:val="0"/>
            <w:vAlign w:val="center"/>
          </w:tcPr>
          <w:p w14:paraId="429AA628">
            <w:pPr>
              <w:pStyle w:val="55"/>
              <w:bidi w:val="0"/>
              <w:rPr>
                <w:rFonts w:hint="eastAsia"/>
                <w:lang w:val="en-US" w:eastAsia="zh-CN"/>
              </w:rPr>
            </w:pPr>
            <w:r>
              <w:rPr>
                <w:rFonts w:hint="eastAsia"/>
                <w:lang w:val="en-US" w:eastAsia="zh-CN"/>
              </w:rPr>
              <w:t xml:space="preserve">2.020 </w:t>
            </w:r>
          </w:p>
        </w:tc>
      </w:tr>
      <w:tr w14:paraId="31BB4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7" w:type="pct"/>
            <w:noWrap w:val="0"/>
            <w:vAlign w:val="center"/>
          </w:tcPr>
          <w:p w14:paraId="507BAEAC">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10</w:t>
            </w:r>
            <w:r>
              <w:rPr>
                <w:rFonts w:hint="default"/>
                <w:color w:val="000000" w:themeColor="text1"/>
                <w:lang w:val="en-US" w:eastAsia="zh-CN"/>
                <w14:textFill>
                  <w14:solidFill>
                    <w14:schemeClr w14:val="tx1"/>
                  </w14:solidFill>
                </w14:textFill>
              </w:rPr>
              <w:t>m</w:t>
            </w:r>
          </w:p>
        </w:tc>
        <w:tc>
          <w:tcPr>
            <w:tcW w:w="949" w:type="pct"/>
            <w:noWrap w:val="0"/>
            <w:vAlign w:val="center"/>
          </w:tcPr>
          <w:p w14:paraId="2FD58AE7">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017" w:type="pct"/>
            <w:shd w:val="clear" w:color="auto" w:fill="auto"/>
            <w:noWrap w:val="0"/>
            <w:vAlign w:val="center"/>
          </w:tcPr>
          <w:p w14:paraId="4044F1A4">
            <w:pPr>
              <w:pStyle w:val="55"/>
              <w:bidi w:val="0"/>
              <w:rPr>
                <w:rFonts w:hint="default" w:ascii="Times New Roman" w:hAnsi="Times New Roman" w:eastAsia="楷体" w:cstheme="minorBidi"/>
                <w:snapToGrid w:val="0"/>
                <w:color w:val="000000" w:themeColor="text1"/>
                <w:kern w:val="0"/>
                <w:sz w:val="21"/>
                <w:szCs w:val="24"/>
                <w:lang w:val="en-US" w:eastAsia="zh-CN" w:bidi="ar-SA"/>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846" w:type="dxa"/>
            <w:noWrap w:val="0"/>
            <w:vAlign w:val="center"/>
          </w:tcPr>
          <w:p w14:paraId="28433CC6">
            <w:pPr>
              <w:pStyle w:val="55"/>
              <w:bidi w:val="0"/>
              <w:rPr>
                <w:rFonts w:hint="default"/>
                <w:lang w:val="en-US" w:eastAsia="zh-CN"/>
              </w:rPr>
            </w:pPr>
            <w:r>
              <w:rPr>
                <w:rFonts w:hint="eastAsia"/>
                <w:lang w:val="en-US" w:eastAsia="zh-CN"/>
              </w:rPr>
              <w:t xml:space="preserve">0.405 </w:t>
            </w:r>
          </w:p>
        </w:tc>
        <w:tc>
          <w:tcPr>
            <w:tcW w:w="1896" w:type="dxa"/>
            <w:noWrap w:val="0"/>
            <w:vAlign w:val="center"/>
          </w:tcPr>
          <w:p w14:paraId="3E8B46EC">
            <w:pPr>
              <w:pStyle w:val="55"/>
              <w:bidi w:val="0"/>
              <w:rPr>
                <w:rFonts w:hint="default"/>
                <w:color w:val="000000" w:themeColor="text1"/>
                <w:lang w:val="en-US" w:eastAsia="zh-CN"/>
                <w14:textFill>
                  <w14:solidFill>
                    <w14:schemeClr w14:val="tx1"/>
                  </w14:solidFill>
                </w14:textFill>
              </w:rPr>
            </w:pPr>
            <w:r>
              <w:rPr>
                <w:rFonts w:hint="eastAsia"/>
                <w:lang w:val="en-US" w:eastAsia="zh-CN"/>
              </w:rPr>
              <w:t xml:space="preserve">1.640 </w:t>
            </w:r>
          </w:p>
        </w:tc>
      </w:tr>
      <w:tr w14:paraId="56AC0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7" w:type="pct"/>
            <w:noWrap w:val="0"/>
            <w:vAlign w:val="center"/>
          </w:tcPr>
          <w:p w14:paraId="3ED8D097">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20</w:t>
            </w:r>
            <w:r>
              <w:rPr>
                <w:rFonts w:hint="default"/>
                <w:color w:val="000000" w:themeColor="text1"/>
                <w:lang w:val="en-US" w:eastAsia="zh-CN"/>
                <w14:textFill>
                  <w14:solidFill>
                    <w14:schemeClr w14:val="tx1"/>
                  </w14:solidFill>
                </w14:textFill>
              </w:rPr>
              <w:t>m</w:t>
            </w:r>
          </w:p>
        </w:tc>
        <w:tc>
          <w:tcPr>
            <w:tcW w:w="949" w:type="pct"/>
            <w:noWrap w:val="0"/>
            <w:vAlign w:val="center"/>
          </w:tcPr>
          <w:p w14:paraId="0B8B0F8C">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017" w:type="pct"/>
            <w:shd w:val="clear" w:color="auto" w:fill="auto"/>
            <w:noWrap w:val="0"/>
            <w:vAlign w:val="center"/>
          </w:tcPr>
          <w:p w14:paraId="1740DAA1">
            <w:pPr>
              <w:pStyle w:val="55"/>
              <w:bidi w:val="0"/>
              <w:rPr>
                <w:rFonts w:hint="default" w:ascii="Times New Roman" w:hAnsi="Times New Roman" w:eastAsia="楷体" w:cstheme="minorBidi"/>
                <w:snapToGrid w:val="0"/>
                <w:color w:val="000000" w:themeColor="text1"/>
                <w:kern w:val="0"/>
                <w:sz w:val="21"/>
                <w:szCs w:val="24"/>
                <w:lang w:val="en-US" w:eastAsia="zh-CN" w:bidi="ar-SA"/>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846" w:type="dxa"/>
            <w:noWrap w:val="0"/>
            <w:vAlign w:val="center"/>
          </w:tcPr>
          <w:p w14:paraId="7E81BA60">
            <w:pPr>
              <w:pStyle w:val="55"/>
              <w:bidi w:val="0"/>
              <w:rPr>
                <w:rFonts w:hint="default"/>
                <w:lang w:val="en-US" w:eastAsia="zh-CN"/>
              </w:rPr>
            </w:pPr>
            <w:r>
              <w:rPr>
                <w:rFonts w:hint="eastAsia"/>
                <w:color w:val="000000" w:themeColor="text1"/>
                <w:lang w:val="en-US" w:eastAsia="zh-CN"/>
                <w14:textFill>
                  <w14:solidFill>
                    <w14:schemeClr w14:val="tx1"/>
                  </w14:solidFill>
                </w14:textFill>
              </w:rPr>
              <w:t>0</w:t>
            </w:r>
          </w:p>
        </w:tc>
        <w:tc>
          <w:tcPr>
            <w:tcW w:w="1896" w:type="dxa"/>
            <w:noWrap w:val="0"/>
            <w:vAlign w:val="center"/>
          </w:tcPr>
          <w:p w14:paraId="227B7ED9">
            <w:pPr>
              <w:pStyle w:val="55"/>
              <w:bidi w:val="0"/>
              <w:rPr>
                <w:rFonts w:hint="default"/>
                <w:color w:val="000000" w:themeColor="text1"/>
                <w:lang w:val="en-US" w:eastAsia="zh-CN"/>
                <w14:textFill>
                  <w14:solidFill>
                    <w14:schemeClr w14:val="tx1"/>
                  </w14:solidFill>
                </w14:textFill>
              </w:rPr>
            </w:pPr>
            <w:r>
              <w:rPr>
                <w:rFonts w:hint="eastAsia"/>
                <w:lang w:val="en-US" w:eastAsia="zh-CN"/>
              </w:rPr>
              <w:t xml:space="preserve">0.056 </w:t>
            </w:r>
          </w:p>
        </w:tc>
      </w:tr>
      <w:tr w14:paraId="7CF28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7" w:type="pct"/>
            <w:noWrap w:val="0"/>
            <w:vAlign w:val="center"/>
          </w:tcPr>
          <w:p w14:paraId="28577796">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30m</w:t>
            </w:r>
          </w:p>
        </w:tc>
        <w:tc>
          <w:tcPr>
            <w:tcW w:w="949" w:type="pct"/>
            <w:noWrap w:val="0"/>
            <w:vAlign w:val="center"/>
          </w:tcPr>
          <w:p w14:paraId="79ED9E9E">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017" w:type="pct"/>
            <w:noWrap w:val="0"/>
            <w:vAlign w:val="center"/>
          </w:tcPr>
          <w:p w14:paraId="6E1C950E">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994" w:type="pct"/>
            <w:noWrap w:val="0"/>
            <w:vAlign w:val="center"/>
          </w:tcPr>
          <w:p w14:paraId="09E9244C">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021" w:type="pct"/>
            <w:noWrap w:val="0"/>
            <w:vAlign w:val="center"/>
          </w:tcPr>
          <w:p w14:paraId="7952A9DC">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r>
      <w:tr w14:paraId="09FFC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017" w:type="pct"/>
            <w:noWrap w:val="0"/>
            <w:vAlign w:val="center"/>
          </w:tcPr>
          <w:p w14:paraId="578E67C6">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50m</w:t>
            </w:r>
          </w:p>
        </w:tc>
        <w:tc>
          <w:tcPr>
            <w:tcW w:w="949" w:type="pct"/>
            <w:noWrap w:val="0"/>
            <w:vAlign w:val="center"/>
          </w:tcPr>
          <w:p w14:paraId="729CB2C2">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017" w:type="pct"/>
            <w:noWrap w:val="0"/>
            <w:vAlign w:val="center"/>
          </w:tcPr>
          <w:p w14:paraId="27F879AA">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994" w:type="pct"/>
            <w:noWrap w:val="0"/>
            <w:vAlign w:val="center"/>
          </w:tcPr>
          <w:p w14:paraId="21FD7CFF">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021" w:type="pct"/>
            <w:noWrap w:val="0"/>
            <w:vAlign w:val="center"/>
          </w:tcPr>
          <w:p w14:paraId="12A6FB04">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r>
      <w:tr w14:paraId="266A0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7" w:type="pct"/>
            <w:noWrap w:val="0"/>
            <w:vAlign w:val="center"/>
          </w:tcPr>
          <w:p w14:paraId="7802CB8B">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100m</w:t>
            </w:r>
          </w:p>
        </w:tc>
        <w:tc>
          <w:tcPr>
            <w:tcW w:w="949" w:type="pct"/>
            <w:noWrap w:val="0"/>
            <w:vAlign w:val="center"/>
          </w:tcPr>
          <w:p w14:paraId="75AB86FB">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017" w:type="pct"/>
            <w:noWrap w:val="0"/>
            <w:vAlign w:val="center"/>
          </w:tcPr>
          <w:p w14:paraId="64D4AFB9">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994" w:type="pct"/>
            <w:noWrap w:val="0"/>
            <w:vAlign w:val="center"/>
          </w:tcPr>
          <w:p w14:paraId="003F7544">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021" w:type="pct"/>
            <w:noWrap w:val="0"/>
            <w:vAlign w:val="center"/>
          </w:tcPr>
          <w:p w14:paraId="6DB594B9">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r>
      <w:tr w14:paraId="0C156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7" w:type="pct"/>
            <w:noWrap w:val="0"/>
            <w:vAlign w:val="center"/>
          </w:tcPr>
          <w:p w14:paraId="71FA1267">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200m</w:t>
            </w:r>
          </w:p>
        </w:tc>
        <w:tc>
          <w:tcPr>
            <w:tcW w:w="949" w:type="pct"/>
            <w:noWrap w:val="0"/>
            <w:vAlign w:val="center"/>
          </w:tcPr>
          <w:p w14:paraId="631A2B55">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017" w:type="pct"/>
            <w:noWrap w:val="0"/>
            <w:vAlign w:val="center"/>
          </w:tcPr>
          <w:p w14:paraId="2877C7E7">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994" w:type="pct"/>
            <w:noWrap w:val="0"/>
            <w:vAlign w:val="center"/>
          </w:tcPr>
          <w:p w14:paraId="0836652A">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021" w:type="pct"/>
            <w:noWrap w:val="0"/>
            <w:vAlign w:val="center"/>
          </w:tcPr>
          <w:p w14:paraId="19243470">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r>
      <w:tr w14:paraId="16961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7" w:type="pct"/>
            <w:noWrap w:val="0"/>
            <w:vAlign w:val="center"/>
          </w:tcPr>
          <w:p w14:paraId="5C0513E8">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300m</w:t>
            </w:r>
          </w:p>
        </w:tc>
        <w:tc>
          <w:tcPr>
            <w:tcW w:w="949" w:type="pct"/>
            <w:noWrap w:val="0"/>
            <w:vAlign w:val="center"/>
          </w:tcPr>
          <w:p w14:paraId="280F59A1">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017" w:type="pct"/>
            <w:noWrap w:val="0"/>
            <w:vAlign w:val="center"/>
          </w:tcPr>
          <w:p w14:paraId="40EDDFC2">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994" w:type="pct"/>
            <w:noWrap w:val="0"/>
            <w:vAlign w:val="center"/>
          </w:tcPr>
          <w:p w14:paraId="3531F8D4">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021" w:type="pct"/>
            <w:noWrap w:val="0"/>
            <w:vAlign w:val="center"/>
          </w:tcPr>
          <w:p w14:paraId="3CA4C452">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r>
    </w:tbl>
    <w:p w14:paraId="0338D690">
      <w:pPr>
        <w:pStyle w:val="47"/>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pPr>
    </w:p>
    <w:p w14:paraId="1668EE4F">
      <w:pPr>
        <w:pStyle w:val="47"/>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color w:val="000000" w:themeColor="text1"/>
          <w:lang w:eastAsia="zh-CN"/>
          <w14:textFill>
            <w14:solidFill>
              <w14:schemeClr w14:val="tx1"/>
            </w14:solidFill>
          </w14:textFill>
        </w:rPr>
      </w:pPr>
      <w:r>
        <w:drawing>
          <wp:inline distT="0" distB="0" distL="114300" distR="114300">
            <wp:extent cx="4425950" cy="2467610"/>
            <wp:effectExtent l="4445" t="4445" r="8255" b="23495"/>
            <wp:docPr id="1030"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7D3C4091">
      <w:pPr>
        <w:pStyle w:val="98"/>
        <w:bidi w:val="0"/>
        <w:ind w:left="0" w:leftChars="0" w:firstLine="0" w:firstLineChars="0"/>
        <w:rPr>
          <w:rFonts w:hint="eastAsia"/>
          <w:lang w:eastAsia="zh-CN"/>
        </w:rPr>
      </w:pPr>
      <w:r>
        <w:rPr>
          <w:rFonts w:hint="eastAsia"/>
          <w:lang w:eastAsia="zh-CN"/>
        </w:rPr>
        <w:t xml:space="preserve"> </w:t>
      </w:r>
      <w:r>
        <w:rPr>
          <w:rFonts w:hint="eastAsia"/>
          <w:lang w:val="en-US" w:eastAsia="zh-CN"/>
        </w:rPr>
        <w:t>30</w:t>
      </w:r>
      <w:r>
        <w:rPr>
          <w:rFonts w:hint="eastAsia"/>
          <w:lang w:eastAsia="zh-CN"/>
        </w:rPr>
        <w:t>d</w:t>
      </w:r>
      <w:r>
        <w:rPr>
          <w:rFonts w:hint="eastAsia"/>
          <w:lang w:val="en-US" w:eastAsia="zh-CN"/>
        </w:rPr>
        <w:t>COD</w:t>
      </w:r>
      <w:r>
        <w:rPr>
          <w:rFonts w:hint="eastAsia"/>
          <w:lang w:eastAsia="zh-CN"/>
        </w:rPr>
        <w:t>迁移浓度变化范围图</w:t>
      </w:r>
    </w:p>
    <w:p w14:paraId="7935A0C9">
      <w:pPr>
        <w:pStyle w:val="47"/>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color w:val="000000" w:themeColor="text1"/>
          <w:lang w:eastAsia="zh-CN"/>
          <w14:textFill>
            <w14:solidFill>
              <w14:schemeClr w14:val="tx1"/>
            </w14:solidFill>
          </w14:textFill>
        </w:rPr>
      </w:pPr>
      <w:r>
        <w:drawing>
          <wp:inline distT="0" distB="0" distL="114300" distR="114300">
            <wp:extent cx="4425950" cy="2543175"/>
            <wp:effectExtent l="4445" t="4445" r="8255" b="5080"/>
            <wp:docPr id="1031"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71652C85">
      <w:pPr>
        <w:pStyle w:val="98"/>
        <w:bidi w:val="0"/>
        <w:ind w:left="0" w:leftChars="0" w:firstLine="0" w:firstLineChars="0"/>
        <w:rPr>
          <w:rFonts w:hint="eastAsia"/>
          <w:lang w:eastAsia="zh-CN"/>
        </w:rPr>
      </w:pPr>
      <w:r>
        <w:rPr>
          <w:rFonts w:hint="eastAsia"/>
          <w:lang w:eastAsia="zh-CN"/>
        </w:rPr>
        <w:t xml:space="preserve"> </w:t>
      </w:r>
      <w:r>
        <w:rPr>
          <w:rFonts w:hint="eastAsia"/>
          <w:lang w:val="en-US" w:eastAsia="zh-CN"/>
        </w:rPr>
        <w:t>100</w:t>
      </w:r>
      <w:r>
        <w:rPr>
          <w:rFonts w:hint="eastAsia"/>
          <w:lang w:eastAsia="zh-CN"/>
        </w:rPr>
        <w:t>d</w:t>
      </w:r>
      <w:r>
        <w:rPr>
          <w:rFonts w:hint="eastAsia"/>
          <w:lang w:val="en-US" w:eastAsia="zh-CN"/>
        </w:rPr>
        <w:t>COD</w:t>
      </w:r>
      <w:r>
        <w:rPr>
          <w:rFonts w:hint="eastAsia"/>
          <w:lang w:eastAsia="zh-CN"/>
        </w:rPr>
        <w:t>迁移浓度变化范围图</w:t>
      </w:r>
    </w:p>
    <w:p w14:paraId="28DB73FE">
      <w:pPr>
        <w:pStyle w:val="47"/>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color w:val="000000" w:themeColor="text1"/>
          <w:lang w:eastAsia="zh-CN"/>
          <w14:textFill>
            <w14:solidFill>
              <w14:schemeClr w14:val="tx1"/>
            </w14:solidFill>
          </w14:textFill>
        </w:rPr>
      </w:pPr>
      <w:r>
        <w:drawing>
          <wp:inline distT="0" distB="0" distL="114300" distR="114300">
            <wp:extent cx="4321810" cy="2476500"/>
            <wp:effectExtent l="4445" t="4445" r="17145" b="14605"/>
            <wp:docPr id="1033"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335DAD8C">
      <w:pPr>
        <w:pStyle w:val="98"/>
        <w:bidi w:val="0"/>
        <w:ind w:left="0" w:leftChars="0" w:firstLine="0" w:firstLineChars="0"/>
        <w:rPr>
          <w:rFonts w:hint="eastAsia"/>
          <w:lang w:eastAsia="zh-CN"/>
        </w:rPr>
      </w:pPr>
      <w:r>
        <w:rPr>
          <w:rFonts w:hint="eastAsia"/>
          <w:lang w:eastAsia="zh-CN"/>
        </w:rPr>
        <w:t xml:space="preserve"> </w:t>
      </w:r>
      <w:r>
        <w:rPr>
          <w:rFonts w:hint="eastAsia"/>
          <w:lang w:val="en-US" w:eastAsia="zh-CN"/>
        </w:rPr>
        <w:t>365</w:t>
      </w:r>
      <w:r>
        <w:rPr>
          <w:rFonts w:hint="eastAsia"/>
          <w:lang w:eastAsia="zh-CN"/>
        </w:rPr>
        <w:t>d</w:t>
      </w:r>
      <w:r>
        <w:rPr>
          <w:rFonts w:hint="eastAsia"/>
          <w:lang w:val="en-US" w:eastAsia="zh-CN"/>
        </w:rPr>
        <w:t>COD</w:t>
      </w:r>
      <w:r>
        <w:rPr>
          <w:rFonts w:hint="eastAsia"/>
          <w:lang w:eastAsia="zh-CN"/>
        </w:rPr>
        <w:t>迁移浓度变化范围图</w:t>
      </w:r>
    </w:p>
    <w:p w14:paraId="43CEB0F9">
      <w:pPr>
        <w:pStyle w:val="47"/>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color w:val="000000" w:themeColor="text1"/>
          <w:lang w:eastAsia="zh-CN"/>
          <w14:textFill>
            <w14:solidFill>
              <w14:schemeClr w14:val="tx1"/>
            </w14:solidFill>
          </w14:textFill>
        </w:rPr>
      </w:pPr>
      <w:r>
        <w:drawing>
          <wp:inline distT="0" distB="0" distL="114300" distR="114300">
            <wp:extent cx="4253865" cy="2353945"/>
            <wp:effectExtent l="4445" t="4445" r="8890" b="22860"/>
            <wp:docPr id="1032"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45061FB6">
      <w:pPr>
        <w:pStyle w:val="98"/>
        <w:bidi w:val="0"/>
        <w:ind w:left="0" w:leftChars="0" w:firstLine="0" w:firstLineChars="0"/>
        <w:rPr>
          <w:rFonts w:hint="eastAsia"/>
          <w:lang w:eastAsia="zh-CN"/>
        </w:rPr>
      </w:pPr>
      <w:r>
        <w:rPr>
          <w:rFonts w:hint="eastAsia"/>
          <w:lang w:eastAsia="zh-CN"/>
        </w:rPr>
        <w:t xml:space="preserve"> </w:t>
      </w:r>
      <w:r>
        <w:rPr>
          <w:rFonts w:hint="eastAsia"/>
          <w:lang w:val="en-US" w:eastAsia="zh-CN"/>
        </w:rPr>
        <w:t>1000</w:t>
      </w:r>
      <w:r>
        <w:rPr>
          <w:rFonts w:hint="eastAsia"/>
          <w:lang w:eastAsia="zh-CN"/>
        </w:rPr>
        <w:t>d</w:t>
      </w:r>
      <w:r>
        <w:rPr>
          <w:rFonts w:hint="eastAsia"/>
          <w:lang w:val="en-US" w:eastAsia="zh-CN"/>
        </w:rPr>
        <w:t>COD</w:t>
      </w:r>
      <w:r>
        <w:rPr>
          <w:rFonts w:hint="eastAsia"/>
          <w:lang w:eastAsia="zh-CN"/>
        </w:rPr>
        <w:t>迁移浓度变化范围图</w:t>
      </w:r>
    </w:p>
    <w:p w14:paraId="793BA5C4">
      <w:pPr>
        <w:pStyle w:val="47"/>
        <w:bidi w:val="0"/>
        <w:rPr>
          <w:rFonts w:hint="eastAsia"/>
          <w:color w:val="000000" w:themeColor="text1"/>
          <w:highlight w:val="none"/>
          <w:lang w:eastAsia="zh-CN"/>
          <w14:textFill>
            <w14:solidFill>
              <w14:schemeClr w14:val="tx1"/>
            </w14:solidFill>
          </w14:textFill>
        </w:rPr>
      </w:pPr>
      <w:r>
        <w:rPr>
          <w:rFonts w:hint="eastAsia"/>
          <w:color w:val="000000" w:themeColor="text1"/>
          <w:lang w:eastAsia="zh-CN"/>
          <w14:textFill>
            <w14:solidFill>
              <w14:schemeClr w14:val="tx1"/>
            </w14:solidFill>
          </w14:textFill>
        </w:rPr>
        <w:t>在设定情景下，</w:t>
      </w:r>
      <w:r>
        <w:rPr>
          <w:rFonts w:hint="eastAsia"/>
          <w:color w:val="000000" w:themeColor="text1"/>
          <w:lang w:val="en-US" w:eastAsia="zh-CN"/>
          <w14:textFill>
            <w14:solidFill>
              <w14:schemeClr w14:val="tx1"/>
            </w14:solidFill>
          </w14:textFill>
        </w:rPr>
        <w:t>COD</w:t>
      </w:r>
      <w:r>
        <w:rPr>
          <w:rFonts w:hint="eastAsia"/>
          <w:color w:val="000000" w:themeColor="text1"/>
          <w:lang w:eastAsia="zh-CN"/>
          <w14:textFill>
            <w14:solidFill>
              <w14:schemeClr w14:val="tx1"/>
            </w14:solidFill>
          </w14:textFill>
        </w:rPr>
        <w:t>泄漏后穿过包气带进入地下水含水层</w:t>
      </w:r>
      <w:r>
        <w:rPr>
          <w:rFonts w:hint="eastAsia"/>
          <w:color w:val="000000" w:themeColor="text1"/>
          <w:lang w:val="en-US" w:eastAsia="zh-CN"/>
          <w14:textFill>
            <w14:solidFill>
              <w14:schemeClr w14:val="tx1"/>
            </w14:solidFill>
          </w14:textFill>
        </w:rPr>
        <w:t>30</w:t>
      </w:r>
      <w:r>
        <w:rPr>
          <w:rFonts w:hint="eastAsia"/>
          <w:color w:val="000000" w:themeColor="text1"/>
          <w:lang w:eastAsia="zh-CN"/>
          <w14:textFill>
            <w14:solidFill>
              <w14:schemeClr w14:val="tx1"/>
            </w14:solidFill>
          </w14:textFill>
        </w:rPr>
        <w:t>d时，自泄漏点</w:t>
      </w:r>
      <w:r>
        <w:rPr>
          <w:rFonts w:hint="eastAsia"/>
          <w:color w:val="000000" w:themeColor="text1"/>
          <w:lang w:val="en-US" w:eastAsia="zh-CN"/>
          <w14:textFill>
            <w14:solidFill>
              <w14:schemeClr w14:val="tx1"/>
            </w14:solidFill>
          </w14:textFill>
        </w:rPr>
        <w:t>4</w:t>
      </w:r>
      <w:r>
        <w:rPr>
          <w:rFonts w:hint="eastAsia"/>
          <w:color w:val="000000" w:themeColor="text1"/>
          <w:lang w:eastAsia="zh-CN"/>
          <w14:textFill>
            <w14:solidFill>
              <w14:schemeClr w14:val="tx1"/>
            </w14:solidFill>
          </w14:textFill>
        </w:rPr>
        <w:t>m处起以外不会出现超标现象；10</w:t>
      </w:r>
      <w:r>
        <w:rPr>
          <w:rFonts w:hint="eastAsia"/>
          <w:color w:val="000000" w:themeColor="text1"/>
          <w:lang w:val="en-US" w:eastAsia="zh-CN"/>
          <w14:textFill>
            <w14:solidFill>
              <w14:schemeClr w14:val="tx1"/>
            </w14:solidFill>
          </w14:textFill>
        </w:rPr>
        <w:t>0</w:t>
      </w:r>
      <w:r>
        <w:rPr>
          <w:rFonts w:hint="eastAsia"/>
          <w:color w:val="000000" w:themeColor="text1"/>
          <w:lang w:eastAsia="zh-CN"/>
          <w14:textFill>
            <w14:solidFill>
              <w14:schemeClr w14:val="tx1"/>
            </w14:solidFill>
          </w14:textFill>
        </w:rPr>
        <w:t>d时，自泄漏点</w:t>
      </w:r>
      <w:r>
        <w:rPr>
          <w:rFonts w:hint="eastAsia"/>
          <w:color w:val="000000" w:themeColor="text1"/>
          <w:lang w:val="en-US" w:eastAsia="zh-CN"/>
          <w14:textFill>
            <w14:solidFill>
              <w14:schemeClr w14:val="tx1"/>
            </w14:solidFill>
          </w14:textFill>
        </w:rPr>
        <w:t>4</w:t>
      </w:r>
      <w:r>
        <w:rPr>
          <w:rFonts w:hint="eastAsia"/>
          <w:color w:val="000000" w:themeColor="text1"/>
          <w:lang w:eastAsia="zh-CN"/>
          <w14:textFill>
            <w14:solidFill>
              <w14:schemeClr w14:val="tx1"/>
            </w14:solidFill>
          </w14:textFill>
        </w:rPr>
        <w:t>m处起以外不会出现超标现象；</w:t>
      </w:r>
      <w:r>
        <w:rPr>
          <w:rFonts w:hint="eastAsia"/>
          <w:color w:val="000000" w:themeColor="text1"/>
          <w:lang w:val="en-US" w:eastAsia="zh-CN"/>
          <w14:textFill>
            <w14:solidFill>
              <w14:schemeClr w14:val="tx1"/>
            </w14:solidFill>
          </w14:textFill>
        </w:rPr>
        <w:t>365</w:t>
      </w:r>
      <w:r>
        <w:rPr>
          <w:rFonts w:hint="eastAsia"/>
          <w:color w:val="000000" w:themeColor="text1"/>
          <w:lang w:eastAsia="zh-CN"/>
          <w14:textFill>
            <w14:solidFill>
              <w14:schemeClr w14:val="tx1"/>
            </w14:solidFill>
          </w14:textFill>
        </w:rPr>
        <w:t>d时，自泄漏点</w:t>
      </w:r>
      <w:r>
        <w:rPr>
          <w:rFonts w:hint="eastAsia"/>
          <w:color w:val="000000" w:themeColor="text1"/>
          <w:lang w:val="en-US" w:eastAsia="zh-CN"/>
          <w14:textFill>
            <w14:solidFill>
              <w14:schemeClr w14:val="tx1"/>
            </w14:solidFill>
          </w14:textFill>
        </w:rPr>
        <w:t>0</w:t>
      </w:r>
      <w:r>
        <w:rPr>
          <w:rFonts w:hint="eastAsia"/>
          <w:color w:val="000000" w:themeColor="text1"/>
          <w:lang w:eastAsia="zh-CN"/>
          <w14:textFill>
            <w14:solidFill>
              <w14:schemeClr w14:val="tx1"/>
            </w14:solidFill>
          </w14:textFill>
        </w:rPr>
        <w:t>m处起以外不会出现超标现象；1000d时，自泄漏点</w:t>
      </w:r>
      <w:r>
        <w:rPr>
          <w:rFonts w:hint="eastAsia"/>
          <w:color w:val="000000" w:themeColor="text1"/>
          <w:lang w:val="en-US" w:eastAsia="zh-CN"/>
          <w14:textFill>
            <w14:solidFill>
              <w14:schemeClr w14:val="tx1"/>
            </w14:solidFill>
          </w14:textFill>
        </w:rPr>
        <w:t>0</w:t>
      </w:r>
      <w:r>
        <w:rPr>
          <w:rFonts w:hint="eastAsia"/>
          <w:color w:val="000000" w:themeColor="text1"/>
          <w:lang w:eastAsia="zh-CN"/>
          <w14:textFill>
            <w14:solidFill>
              <w14:schemeClr w14:val="tx1"/>
            </w14:solidFill>
          </w14:textFill>
        </w:rPr>
        <w:t>m处起以外不会出现超标现象。</w:t>
      </w:r>
      <w:r>
        <w:rPr>
          <w:rFonts w:hint="eastAsia"/>
          <w:color w:val="000000" w:themeColor="text1"/>
          <w:highlight w:val="none"/>
          <w:lang w:val="en-US" w:eastAsia="zh-CN"/>
          <w14:textFill>
            <w14:solidFill>
              <w14:schemeClr w14:val="tx1"/>
            </w14:solidFill>
          </w14:textFill>
        </w:rPr>
        <w:t>防渗旱厕距离最近厂界为20m，各预测时段超标范围均未超出厂界。</w:t>
      </w:r>
    </w:p>
    <w:p w14:paraId="11E4C1AC">
      <w:pPr>
        <w:pStyle w:val="94"/>
        <w:bidi w:val="0"/>
        <w:ind w:left="0" w:leftChars="0" w:firstLine="0" w:firstLineChars="0"/>
        <w:rPr>
          <w:rFonts w:hint="default"/>
          <w:lang w:val="en-US" w:eastAsia="zh-CN"/>
        </w:rPr>
      </w:pPr>
      <w:r>
        <w:rPr>
          <w:rFonts w:hint="eastAsia"/>
          <w:lang w:val="en-US" w:eastAsia="zh-CN"/>
        </w:rPr>
        <w:t>氨氮</w:t>
      </w:r>
      <w:r>
        <w:rPr>
          <w:rFonts w:hint="default"/>
          <w:lang w:val="en-US" w:eastAsia="zh-CN"/>
        </w:rPr>
        <w:t>在水平迁移浓度的分布情况（单位：mg/ L）</w:t>
      </w:r>
    </w:p>
    <w:tbl>
      <w:tblPr>
        <w:tblStyle w:val="3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88"/>
        <w:gridCol w:w="1762"/>
        <w:gridCol w:w="1889"/>
        <w:gridCol w:w="1846"/>
        <w:gridCol w:w="1896"/>
      </w:tblGrid>
      <w:tr w14:paraId="558D4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1017" w:type="pct"/>
            <w:tcBorders>
              <w:tl2br w:val="single" w:color="auto" w:sz="4" w:space="0"/>
            </w:tcBorders>
            <w:noWrap w:val="0"/>
            <w:vAlign w:val="center"/>
          </w:tcPr>
          <w:p w14:paraId="5558CC65">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 xml:space="preserve">      时间</w:t>
            </w:r>
          </w:p>
          <w:p w14:paraId="14B6F8EF">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距离</w:t>
            </w:r>
          </w:p>
        </w:tc>
        <w:tc>
          <w:tcPr>
            <w:tcW w:w="949" w:type="pct"/>
            <w:noWrap w:val="0"/>
            <w:vAlign w:val="center"/>
          </w:tcPr>
          <w:p w14:paraId="649F61F7">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30</w:t>
            </w:r>
            <w:r>
              <w:rPr>
                <w:rFonts w:hint="default"/>
                <w:color w:val="000000" w:themeColor="text1"/>
                <w:lang w:val="en-US" w:eastAsia="zh-CN"/>
                <w14:textFill>
                  <w14:solidFill>
                    <w14:schemeClr w14:val="tx1"/>
                  </w14:solidFill>
                </w14:textFill>
              </w:rPr>
              <w:t>d</w:t>
            </w:r>
          </w:p>
        </w:tc>
        <w:tc>
          <w:tcPr>
            <w:tcW w:w="1017" w:type="pct"/>
            <w:noWrap w:val="0"/>
            <w:vAlign w:val="center"/>
          </w:tcPr>
          <w:p w14:paraId="3B38DD86">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10</w:t>
            </w:r>
            <w:r>
              <w:rPr>
                <w:rFonts w:hint="eastAsia"/>
                <w:color w:val="000000" w:themeColor="text1"/>
                <w:lang w:val="en-US" w:eastAsia="zh-CN"/>
                <w14:textFill>
                  <w14:solidFill>
                    <w14:schemeClr w14:val="tx1"/>
                  </w14:solidFill>
                </w14:textFill>
              </w:rPr>
              <w:t>0</w:t>
            </w:r>
            <w:r>
              <w:rPr>
                <w:rFonts w:hint="default"/>
                <w:color w:val="000000" w:themeColor="text1"/>
                <w:lang w:val="en-US" w:eastAsia="zh-CN"/>
                <w14:textFill>
                  <w14:solidFill>
                    <w14:schemeClr w14:val="tx1"/>
                  </w14:solidFill>
                </w14:textFill>
              </w:rPr>
              <w:t>d</w:t>
            </w:r>
          </w:p>
        </w:tc>
        <w:tc>
          <w:tcPr>
            <w:tcW w:w="994" w:type="pct"/>
            <w:noWrap w:val="0"/>
            <w:vAlign w:val="center"/>
          </w:tcPr>
          <w:p w14:paraId="352ACA63">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365</w:t>
            </w:r>
            <w:r>
              <w:rPr>
                <w:rFonts w:hint="default"/>
                <w:color w:val="000000" w:themeColor="text1"/>
                <w:lang w:val="en-US" w:eastAsia="zh-CN"/>
                <w14:textFill>
                  <w14:solidFill>
                    <w14:schemeClr w14:val="tx1"/>
                  </w14:solidFill>
                </w14:textFill>
              </w:rPr>
              <w:t>d</w:t>
            </w:r>
          </w:p>
        </w:tc>
        <w:tc>
          <w:tcPr>
            <w:tcW w:w="1021" w:type="pct"/>
            <w:noWrap w:val="0"/>
            <w:vAlign w:val="center"/>
          </w:tcPr>
          <w:p w14:paraId="51B5AE24">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1000d</w:t>
            </w:r>
          </w:p>
        </w:tc>
      </w:tr>
      <w:tr w14:paraId="3F498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7" w:type="pct"/>
            <w:noWrap w:val="0"/>
            <w:vAlign w:val="center"/>
          </w:tcPr>
          <w:p w14:paraId="2792A4B4">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0m</w:t>
            </w:r>
          </w:p>
        </w:tc>
        <w:tc>
          <w:tcPr>
            <w:tcW w:w="949" w:type="pct"/>
            <w:noWrap w:val="0"/>
            <w:vAlign w:val="center"/>
          </w:tcPr>
          <w:p w14:paraId="240F33F5">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20</w:t>
            </w:r>
          </w:p>
        </w:tc>
        <w:tc>
          <w:tcPr>
            <w:tcW w:w="1017" w:type="pct"/>
            <w:shd w:val="clear" w:color="auto" w:fill="auto"/>
            <w:noWrap w:val="0"/>
            <w:vAlign w:val="center"/>
          </w:tcPr>
          <w:p w14:paraId="3A134B30">
            <w:pPr>
              <w:pStyle w:val="55"/>
              <w:bidi w:val="0"/>
              <w:rPr>
                <w:rFonts w:hint="default"/>
                <w:lang w:val="en-US" w:eastAsia="zh-CN"/>
              </w:rPr>
            </w:pPr>
            <w:r>
              <w:rPr>
                <w:rFonts w:hint="eastAsia"/>
                <w:lang w:val="en-US" w:eastAsia="zh-CN"/>
              </w:rPr>
              <w:t>0.181</w:t>
            </w:r>
          </w:p>
        </w:tc>
        <w:tc>
          <w:tcPr>
            <w:tcW w:w="1846" w:type="dxa"/>
            <w:noWrap w:val="0"/>
            <w:vAlign w:val="center"/>
          </w:tcPr>
          <w:p w14:paraId="179390D1">
            <w:pPr>
              <w:pStyle w:val="55"/>
              <w:bidi w:val="0"/>
              <w:rPr>
                <w:rFonts w:hint="default"/>
                <w:lang w:val="en-US" w:eastAsia="zh-CN"/>
              </w:rPr>
            </w:pPr>
            <w:r>
              <w:rPr>
                <w:rFonts w:hint="eastAsia"/>
                <w:lang w:val="en-US" w:eastAsia="zh-CN"/>
              </w:rPr>
              <w:t xml:space="preserve">0.086 </w:t>
            </w:r>
          </w:p>
        </w:tc>
        <w:tc>
          <w:tcPr>
            <w:tcW w:w="1896" w:type="dxa"/>
            <w:noWrap w:val="0"/>
            <w:vAlign w:val="center"/>
          </w:tcPr>
          <w:p w14:paraId="27827F05">
            <w:pPr>
              <w:pStyle w:val="55"/>
              <w:bidi w:val="0"/>
              <w:rPr>
                <w:rFonts w:hint="default"/>
                <w:lang w:val="en-US" w:eastAsia="zh-CN"/>
              </w:rPr>
            </w:pPr>
            <w:r>
              <w:rPr>
                <w:rFonts w:hint="eastAsia"/>
                <w:lang w:val="en-US" w:eastAsia="zh-CN"/>
              </w:rPr>
              <w:t xml:space="preserve">0.048 </w:t>
            </w:r>
          </w:p>
        </w:tc>
      </w:tr>
      <w:tr w14:paraId="4275A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7" w:type="pct"/>
            <w:noWrap w:val="0"/>
            <w:vAlign w:val="center"/>
          </w:tcPr>
          <w:p w14:paraId="6E7E1E67">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2m</w:t>
            </w:r>
          </w:p>
        </w:tc>
        <w:tc>
          <w:tcPr>
            <w:tcW w:w="1762" w:type="dxa"/>
            <w:noWrap w:val="0"/>
            <w:vAlign w:val="center"/>
          </w:tcPr>
          <w:p w14:paraId="3DAB9106">
            <w:pPr>
              <w:pStyle w:val="55"/>
              <w:bidi w:val="0"/>
              <w:rPr>
                <w:rFonts w:hint="eastAsia"/>
                <w:lang w:val="en-US" w:eastAsia="zh-CN"/>
              </w:rPr>
            </w:pPr>
            <w:r>
              <w:rPr>
                <w:rFonts w:hint="eastAsia"/>
                <w:lang w:val="en-US" w:eastAsia="zh-CN"/>
              </w:rPr>
              <w:t xml:space="preserve">0.962 </w:t>
            </w:r>
          </w:p>
        </w:tc>
        <w:tc>
          <w:tcPr>
            <w:tcW w:w="1889" w:type="dxa"/>
            <w:shd w:val="clear" w:color="auto" w:fill="auto"/>
            <w:noWrap w:val="0"/>
            <w:vAlign w:val="center"/>
          </w:tcPr>
          <w:p w14:paraId="42DF5618">
            <w:pPr>
              <w:pStyle w:val="55"/>
              <w:bidi w:val="0"/>
              <w:rPr>
                <w:rFonts w:hint="eastAsia"/>
                <w:lang w:val="en-US" w:eastAsia="zh-CN"/>
              </w:rPr>
            </w:pPr>
            <w:r>
              <w:rPr>
                <w:rFonts w:hint="eastAsia"/>
                <w:lang w:val="en-US" w:eastAsia="zh-CN"/>
              </w:rPr>
              <w:t xml:space="preserve">1.050 </w:t>
            </w:r>
          </w:p>
        </w:tc>
        <w:tc>
          <w:tcPr>
            <w:tcW w:w="1846" w:type="dxa"/>
            <w:noWrap w:val="0"/>
            <w:vAlign w:val="center"/>
          </w:tcPr>
          <w:p w14:paraId="3390A4D8">
            <w:pPr>
              <w:pStyle w:val="55"/>
              <w:bidi w:val="0"/>
              <w:rPr>
                <w:rFonts w:hint="eastAsia"/>
                <w:lang w:val="en-US" w:eastAsia="zh-CN"/>
              </w:rPr>
            </w:pPr>
            <w:r>
              <w:rPr>
                <w:rFonts w:hint="eastAsia"/>
                <w:lang w:val="en-US" w:eastAsia="zh-CN"/>
              </w:rPr>
              <w:t xml:space="preserve">0.278 </w:t>
            </w:r>
          </w:p>
        </w:tc>
        <w:tc>
          <w:tcPr>
            <w:tcW w:w="1896" w:type="dxa"/>
            <w:noWrap w:val="0"/>
            <w:vAlign w:val="center"/>
          </w:tcPr>
          <w:p w14:paraId="1DE7127A">
            <w:pPr>
              <w:pStyle w:val="55"/>
              <w:bidi w:val="0"/>
              <w:rPr>
                <w:rFonts w:hint="eastAsia"/>
                <w:lang w:val="en-US" w:eastAsia="zh-CN"/>
              </w:rPr>
            </w:pPr>
            <w:r>
              <w:rPr>
                <w:rFonts w:hint="eastAsia"/>
                <w:lang w:val="en-US" w:eastAsia="zh-CN"/>
              </w:rPr>
              <w:t xml:space="preserve">0.096 </w:t>
            </w:r>
          </w:p>
        </w:tc>
      </w:tr>
      <w:tr w14:paraId="54140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7" w:type="pct"/>
            <w:noWrap w:val="0"/>
            <w:vAlign w:val="center"/>
          </w:tcPr>
          <w:p w14:paraId="1876A480">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4m</w:t>
            </w:r>
          </w:p>
        </w:tc>
        <w:tc>
          <w:tcPr>
            <w:tcW w:w="1762" w:type="dxa"/>
            <w:noWrap w:val="0"/>
            <w:vAlign w:val="center"/>
          </w:tcPr>
          <w:p w14:paraId="6FAA58C0">
            <w:pPr>
              <w:pStyle w:val="55"/>
              <w:bidi w:val="0"/>
              <w:rPr>
                <w:rFonts w:hint="eastAsia"/>
                <w:lang w:val="en-US" w:eastAsia="zh-CN"/>
              </w:rPr>
            </w:pPr>
            <w:r>
              <w:rPr>
                <w:rFonts w:hint="eastAsia"/>
                <w:lang w:val="en-US" w:eastAsia="zh-CN"/>
              </w:rPr>
              <w:t xml:space="preserve">0.001 </w:t>
            </w:r>
          </w:p>
        </w:tc>
        <w:tc>
          <w:tcPr>
            <w:tcW w:w="1889" w:type="dxa"/>
            <w:shd w:val="clear" w:color="auto" w:fill="auto"/>
            <w:noWrap w:val="0"/>
            <w:vAlign w:val="center"/>
          </w:tcPr>
          <w:p w14:paraId="18BD6E39">
            <w:pPr>
              <w:pStyle w:val="55"/>
              <w:bidi w:val="0"/>
              <w:rPr>
                <w:rFonts w:hint="eastAsia"/>
                <w:lang w:val="en-US" w:eastAsia="zh-CN"/>
              </w:rPr>
            </w:pPr>
            <w:r>
              <w:rPr>
                <w:rFonts w:hint="eastAsia"/>
                <w:lang w:val="en-US" w:eastAsia="zh-CN"/>
              </w:rPr>
              <w:t xml:space="preserve">0.255 </w:t>
            </w:r>
          </w:p>
        </w:tc>
        <w:tc>
          <w:tcPr>
            <w:tcW w:w="1846" w:type="dxa"/>
            <w:noWrap w:val="0"/>
            <w:vAlign w:val="center"/>
          </w:tcPr>
          <w:p w14:paraId="177D8B4E">
            <w:pPr>
              <w:pStyle w:val="55"/>
              <w:bidi w:val="0"/>
              <w:rPr>
                <w:rFonts w:hint="eastAsia"/>
                <w:lang w:val="en-US" w:eastAsia="zh-CN"/>
              </w:rPr>
            </w:pPr>
            <w:r>
              <w:rPr>
                <w:rFonts w:hint="eastAsia"/>
                <w:lang w:val="en-US" w:eastAsia="zh-CN"/>
              </w:rPr>
              <w:t xml:space="preserve">0.322 </w:t>
            </w:r>
          </w:p>
        </w:tc>
        <w:tc>
          <w:tcPr>
            <w:tcW w:w="1896" w:type="dxa"/>
            <w:noWrap w:val="0"/>
            <w:vAlign w:val="center"/>
          </w:tcPr>
          <w:p w14:paraId="7AFECDBA">
            <w:pPr>
              <w:pStyle w:val="55"/>
              <w:bidi w:val="0"/>
              <w:rPr>
                <w:rFonts w:hint="eastAsia"/>
                <w:lang w:val="en-US" w:eastAsia="zh-CN"/>
              </w:rPr>
            </w:pPr>
            <w:r>
              <w:rPr>
                <w:rFonts w:hint="eastAsia"/>
                <w:lang w:val="en-US" w:eastAsia="zh-CN"/>
              </w:rPr>
              <w:t xml:space="preserve">0.135 </w:t>
            </w:r>
          </w:p>
        </w:tc>
      </w:tr>
      <w:tr w14:paraId="6DBBC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7" w:type="pct"/>
            <w:noWrap w:val="0"/>
            <w:vAlign w:val="center"/>
          </w:tcPr>
          <w:p w14:paraId="193229B0">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10</w:t>
            </w:r>
            <w:r>
              <w:rPr>
                <w:rFonts w:hint="default"/>
                <w:color w:val="000000" w:themeColor="text1"/>
                <w:lang w:val="en-US" w:eastAsia="zh-CN"/>
                <w14:textFill>
                  <w14:solidFill>
                    <w14:schemeClr w14:val="tx1"/>
                  </w14:solidFill>
                </w14:textFill>
              </w:rPr>
              <w:t>m</w:t>
            </w:r>
          </w:p>
        </w:tc>
        <w:tc>
          <w:tcPr>
            <w:tcW w:w="949" w:type="pct"/>
            <w:noWrap w:val="0"/>
            <w:vAlign w:val="center"/>
          </w:tcPr>
          <w:p w14:paraId="3F4AC5E2">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017" w:type="pct"/>
            <w:shd w:val="clear" w:color="auto" w:fill="auto"/>
            <w:noWrap w:val="0"/>
            <w:vAlign w:val="center"/>
          </w:tcPr>
          <w:p w14:paraId="38A5267B">
            <w:pPr>
              <w:pStyle w:val="55"/>
              <w:bidi w:val="0"/>
              <w:rPr>
                <w:rFonts w:hint="default" w:ascii="Times New Roman" w:hAnsi="Times New Roman" w:eastAsia="楷体" w:cstheme="minorBidi"/>
                <w:snapToGrid w:val="0"/>
                <w:color w:val="000000" w:themeColor="text1"/>
                <w:kern w:val="0"/>
                <w:sz w:val="21"/>
                <w:szCs w:val="24"/>
                <w:lang w:val="en-US" w:eastAsia="zh-CN" w:bidi="ar-SA"/>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846" w:type="dxa"/>
            <w:noWrap w:val="0"/>
            <w:vAlign w:val="center"/>
          </w:tcPr>
          <w:p w14:paraId="68E254C1">
            <w:pPr>
              <w:pStyle w:val="55"/>
              <w:bidi w:val="0"/>
              <w:rPr>
                <w:rFonts w:hint="default"/>
                <w:lang w:val="en-US" w:eastAsia="zh-CN"/>
              </w:rPr>
            </w:pPr>
            <w:r>
              <w:rPr>
                <w:rFonts w:hint="eastAsia"/>
                <w:lang w:val="en-US" w:eastAsia="zh-CN"/>
              </w:rPr>
              <w:t xml:space="preserve">0.027 </w:t>
            </w:r>
          </w:p>
        </w:tc>
        <w:tc>
          <w:tcPr>
            <w:tcW w:w="1896" w:type="dxa"/>
            <w:noWrap w:val="0"/>
            <w:vAlign w:val="center"/>
          </w:tcPr>
          <w:p w14:paraId="0AC714AC">
            <w:pPr>
              <w:pStyle w:val="55"/>
              <w:bidi w:val="0"/>
              <w:rPr>
                <w:rFonts w:hint="default"/>
                <w:lang w:val="en-US" w:eastAsia="zh-CN"/>
              </w:rPr>
            </w:pPr>
            <w:r>
              <w:rPr>
                <w:rFonts w:hint="eastAsia"/>
                <w:lang w:val="en-US" w:eastAsia="zh-CN"/>
              </w:rPr>
              <w:t xml:space="preserve">0.110 </w:t>
            </w:r>
          </w:p>
        </w:tc>
      </w:tr>
      <w:tr w14:paraId="6A17F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7" w:type="pct"/>
            <w:noWrap w:val="0"/>
            <w:vAlign w:val="center"/>
          </w:tcPr>
          <w:p w14:paraId="7A0343D0">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20</w:t>
            </w:r>
            <w:r>
              <w:rPr>
                <w:rFonts w:hint="default"/>
                <w:color w:val="000000" w:themeColor="text1"/>
                <w:lang w:val="en-US" w:eastAsia="zh-CN"/>
                <w14:textFill>
                  <w14:solidFill>
                    <w14:schemeClr w14:val="tx1"/>
                  </w14:solidFill>
                </w14:textFill>
              </w:rPr>
              <w:t>m</w:t>
            </w:r>
          </w:p>
        </w:tc>
        <w:tc>
          <w:tcPr>
            <w:tcW w:w="949" w:type="pct"/>
            <w:noWrap w:val="0"/>
            <w:vAlign w:val="center"/>
          </w:tcPr>
          <w:p w14:paraId="55AA9089">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017" w:type="pct"/>
            <w:shd w:val="clear" w:color="auto" w:fill="auto"/>
            <w:noWrap w:val="0"/>
            <w:vAlign w:val="center"/>
          </w:tcPr>
          <w:p w14:paraId="6E69F411">
            <w:pPr>
              <w:pStyle w:val="55"/>
              <w:bidi w:val="0"/>
              <w:rPr>
                <w:rFonts w:hint="default" w:ascii="Times New Roman" w:hAnsi="Times New Roman" w:eastAsia="楷体" w:cstheme="minorBidi"/>
                <w:snapToGrid w:val="0"/>
                <w:color w:val="000000" w:themeColor="text1"/>
                <w:kern w:val="0"/>
                <w:sz w:val="21"/>
                <w:szCs w:val="24"/>
                <w:lang w:val="en-US" w:eastAsia="zh-CN" w:bidi="ar-SA"/>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846" w:type="dxa"/>
            <w:noWrap w:val="0"/>
            <w:vAlign w:val="center"/>
          </w:tcPr>
          <w:p w14:paraId="3E773EEC">
            <w:pPr>
              <w:pStyle w:val="55"/>
              <w:bidi w:val="0"/>
              <w:rPr>
                <w:rFonts w:hint="default"/>
                <w:lang w:val="en-US" w:eastAsia="zh-CN"/>
              </w:rPr>
            </w:pPr>
            <w:r>
              <w:rPr>
                <w:rFonts w:hint="eastAsia"/>
                <w:lang w:val="en-US" w:eastAsia="zh-CN"/>
              </w:rPr>
              <w:t>0</w:t>
            </w:r>
          </w:p>
        </w:tc>
        <w:tc>
          <w:tcPr>
            <w:tcW w:w="1896" w:type="dxa"/>
            <w:noWrap w:val="0"/>
            <w:vAlign w:val="center"/>
          </w:tcPr>
          <w:p w14:paraId="4724441C">
            <w:pPr>
              <w:pStyle w:val="55"/>
              <w:bidi w:val="0"/>
              <w:rPr>
                <w:rFonts w:hint="default"/>
                <w:lang w:val="en-US" w:eastAsia="zh-CN"/>
              </w:rPr>
            </w:pPr>
            <w:r>
              <w:rPr>
                <w:rFonts w:hint="eastAsia"/>
                <w:lang w:val="en-US" w:eastAsia="zh-CN"/>
              </w:rPr>
              <w:t xml:space="preserve">0.004 </w:t>
            </w:r>
          </w:p>
        </w:tc>
      </w:tr>
      <w:tr w14:paraId="6C2DF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7" w:type="pct"/>
            <w:noWrap w:val="0"/>
            <w:vAlign w:val="center"/>
          </w:tcPr>
          <w:p w14:paraId="49844F8E">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30m</w:t>
            </w:r>
          </w:p>
        </w:tc>
        <w:tc>
          <w:tcPr>
            <w:tcW w:w="949" w:type="pct"/>
            <w:noWrap w:val="0"/>
            <w:vAlign w:val="center"/>
          </w:tcPr>
          <w:p w14:paraId="7856465B">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017" w:type="pct"/>
            <w:noWrap w:val="0"/>
            <w:vAlign w:val="center"/>
          </w:tcPr>
          <w:p w14:paraId="424BC3CB">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994" w:type="pct"/>
            <w:noWrap w:val="0"/>
            <w:vAlign w:val="center"/>
          </w:tcPr>
          <w:p w14:paraId="2C6C8CD1">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021" w:type="pct"/>
            <w:noWrap w:val="0"/>
            <w:vAlign w:val="center"/>
          </w:tcPr>
          <w:p w14:paraId="57651339">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r>
      <w:tr w14:paraId="6D984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017" w:type="pct"/>
            <w:noWrap w:val="0"/>
            <w:vAlign w:val="center"/>
          </w:tcPr>
          <w:p w14:paraId="5E4088FE">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50m</w:t>
            </w:r>
          </w:p>
        </w:tc>
        <w:tc>
          <w:tcPr>
            <w:tcW w:w="949" w:type="pct"/>
            <w:noWrap w:val="0"/>
            <w:vAlign w:val="center"/>
          </w:tcPr>
          <w:p w14:paraId="060186B9">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017" w:type="pct"/>
            <w:noWrap w:val="0"/>
            <w:vAlign w:val="center"/>
          </w:tcPr>
          <w:p w14:paraId="56F1CA53">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994" w:type="pct"/>
            <w:noWrap w:val="0"/>
            <w:vAlign w:val="center"/>
          </w:tcPr>
          <w:p w14:paraId="72399C76">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021" w:type="pct"/>
            <w:noWrap w:val="0"/>
            <w:vAlign w:val="center"/>
          </w:tcPr>
          <w:p w14:paraId="6F657645">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r>
      <w:tr w14:paraId="7DABB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7" w:type="pct"/>
            <w:noWrap w:val="0"/>
            <w:vAlign w:val="center"/>
          </w:tcPr>
          <w:p w14:paraId="532C910F">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100m</w:t>
            </w:r>
          </w:p>
        </w:tc>
        <w:tc>
          <w:tcPr>
            <w:tcW w:w="949" w:type="pct"/>
            <w:noWrap w:val="0"/>
            <w:vAlign w:val="center"/>
          </w:tcPr>
          <w:p w14:paraId="1BC9CE25">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017" w:type="pct"/>
            <w:noWrap w:val="0"/>
            <w:vAlign w:val="center"/>
          </w:tcPr>
          <w:p w14:paraId="09D7D172">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994" w:type="pct"/>
            <w:noWrap w:val="0"/>
            <w:vAlign w:val="center"/>
          </w:tcPr>
          <w:p w14:paraId="59B6539F">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021" w:type="pct"/>
            <w:noWrap w:val="0"/>
            <w:vAlign w:val="center"/>
          </w:tcPr>
          <w:p w14:paraId="60C5273E">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r>
      <w:tr w14:paraId="5ECB4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7" w:type="pct"/>
            <w:noWrap w:val="0"/>
            <w:vAlign w:val="center"/>
          </w:tcPr>
          <w:p w14:paraId="36521FC4">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200m</w:t>
            </w:r>
          </w:p>
        </w:tc>
        <w:tc>
          <w:tcPr>
            <w:tcW w:w="949" w:type="pct"/>
            <w:noWrap w:val="0"/>
            <w:vAlign w:val="center"/>
          </w:tcPr>
          <w:p w14:paraId="50D6F546">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017" w:type="pct"/>
            <w:noWrap w:val="0"/>
            <w:vAlign w:val="center"/>
          </w:tcPr>
          <w:p w14:paraId="75FD8EF9">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994" w:type="pct"/>
            <w:noWrap w:val="0"/>
            <w:vAlign w:val="center"/>
          </w:tcPr>
          <w:p w14:paraId="58244CD9">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021" w:type="pct"/>
            <w:noWrap w:val="0"/>
            <w:vAlign w:val="center"/>
          </w:tcPr>
          <w:p w14:paraId="708EF724">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r>
      <w:tr w14:paraId="23D74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7" w:type="pct"/>
            <w:noWrap w:val="0"/>
            <w:vAlign w:val="center"/>
          </w:tcPr>
          <w:p w14:paraId="44FCFF53">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300m</w:t>
            </w:r>
          </w:p>
        </w:tc>
        <w:tc>
          <w:tcPr>
            <w:tcW w:w="949" w:type="pct"/>
            <w:noWrap w:val="0"/>
            <w:vAlign w:val="center"/>
          </w:tcPr>
          <w:p w14:paraId="1B13FC60">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017" w:type="pct"/>
            <w:noWrap w:val="0"/>
            <w:vAlign w:val="center"/>
          </w:tcPr>
          <w:p w14:paraId="68A7CA97">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994" w:type="pct"/>
            <w:noWrap w:val="0"/>
            <w:vAlign w:val="center"/>
          </w:tcPr>
          <w:p w14:paraId="5E53D843">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021" w:type="pct"/>
            <w:noWrap w:val="0"/>
            <w:vAlign w:val="center"/>
          </w:tcPr>
          <w:p w14:paraId="01999221">
            <w:pPr>
              <w:pStyle w:val="55"/>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r>
    </w:tbl>
    <w:p w14:paraId="2AC620A6">
      <w:pPr>
        <w:pStyle w:val="47"/>
        <w:bidi w:val="0"/>
        <w:rPr>
          <w:rFonts w:hint="eastAsia"/>
          <w:color w:val="000000" w:themeColor="text1"/>
          <w:lang w:eastAsia="zh-CN"/>
          <w14:textFill>
            <w14:solidFill>
              <w14:schemeClr w14:val="tx1"/>
            </w14:solidFill>
          </w14:textFill>
        </w:rPr>
      </w:pPr>
    </w:p>
    <w:p w14:paraId="07621910">
      <w:pPr>
        <w:pStyle w:val="47"/>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color w:val="000000" w:themeColor="text1"/>
          <w:lang w:eastAsia="zh-CN"/>
          <w14:textFill>
            <w14:solidFill>
              <w14:schemeClr w14:val="tx1"/>
            </w14:solidFill>
          </w14:textFill>
        </w:rPr>
      </w:pPr>
      <w:r>
        <w:drawing>
          <wp:inline distT="0" distB="0" distL="114300" distR="114300">
            <wp:extent cx="4359910" cy="2534285"/>
            <wp:effectExtent l="4445" t="4445" r="17145" b="13970"/>
            <wp:docPr id="2049"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3996F10E">
      <w:pPr>
        <w:pStyle w:val="98"/>
        <w:bidi w:val="0"/>
        <w:ind w:left="0" w:leftChars="0" w:firstLine="0" w:firstLineChars="0"/>
        <w:rPr>
          <w:rFonts w:hint="eastAsia"/>
          <w:lang w:eastAsia="zh-CN"/>
        </w:rPr>
      </w:pPr>
      <w:r>
        <w:rPr>
          <w:rFonts w:hint="eastAsia"/>
          <w:lang w:eastAsia="zh-CN"/>
        </w:rPr>
        <w:t xml:space="preserve"> </w:t>
      </w:r>
      <w:r>
        <w:rPr>
          <w:rFonts w:hint="eastAsia"/>
          <w:lang w:val="en-US" w:eastAsia="zh-CN"/>
        </w:rPr>
        <w:t>30</w:t>
      </w:r>
      <w:r>
        <w:rPr>
          <w:rFonts w:hint="eastAsia"/>
          <w:lang w:eastAsia="zh-CN"/>
        </w:rPr>
        <w:t>d</w:t>
      </w:r>
      <w:r>
        <w:rPr>
          <w:rFonts w:hint="eastAsia"/>
          <w:lang w:val="en-US" w:eastAsia="zh-CN"/>
        </w:rPr>
        <w:t>氨氮</w:t>
      </w:r>
      <w:r>
        <w:rPr>
          <w:rFonts w:hint="eastAsia"/>
          <w:lang w:eastAsia="zh-CN"/>
        </w:rPr>
        <w:t>迁移浓度变化范围图</w:t>
      </w:r>
    </w:p>
    <w:p w14:paraId="689656BE">
      <w:pPr>
        <w:pStyle w:val="47"/>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color w:val="000000" w:themeColor="text1"/>
          <w:lang w:eastAsia="zh-CN"/>
          <w14:textFill>
            <w14:solidFill>
              <w14:schemeClr w14:val="tx1"/>
            </w14:solidFill>
          </w14:textFill>
        </w:rPr>
      </w:pPr>
      <w:r>
        <w:drawing>
          <wp:inline distT="0" distB="0" distL="114300" distR="114300">
            <wp:extent cx="4302125" cy="2438400"/>
            <wp:effectExtent l="4445" t="4445" r="17780" b="14605"/>
            <wp:docPr id="2050"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20E323E4">
      <w:pPr>
        <w:pStyle w:val="98"/>
        <w:bidi w:val="0"/>
        <w:ind w:left="0" w:leftChars="0" w:firstLine="0" w:firstLineChars="0"/>
        <w:rPr>
          <w:rFonts w:hint="eastAsia"/>
          <w:lang w:eastAsia="zh-CN"/>
        </w:rPr>
      </w:pPr>
      <w:r>
        <w:rPr>
          <w:rFonts w:hint="eastAsia"/>
          <w:lang w:eastAsia="zh-CN"/>
        </w:rPr>
        <w:t xml:space="preserve"> </w:t>
      </w:r>
      <w:r>
        <w:rPr>
          <w:rFonts w:hint="eastAsia"/>
          <w:lang w:val="en-US" w:eastAsia="zh-CN"/>
        </w:rPr>
        <w:t>100</w:t>
      </w:r>
      <w:r>
        <w:rPr>
          <w:rFonts w:hint="eastAsia"/>
          <w:lang w:eastAsia="zh-CN"/>
        </w:rPr>
        <w:t>d</w:t>
      </w:r>
      <w:r>
        <w:rPr>
          <w:rFonts w:hint="eastAsia"/>
          <w:lang w:val="en-US" w:eastAsia="zh-CN"/>
        </w:rPr>
        <w:t>氨氮</w:t>
      </w:r>
      <w:r>
        <w:rPr>
          <w:rFonts w:hint="eastAsia"/>
          <w:lang w:eastAsia="zh-CN"/>
        </w:rPr>
        <w:t>迁移浓度变化范围图</w:t>
      </w:r>
    </w:p>
    <w:p w14:paraId="3B57C66C">
      <w:pPr>
        <w:pStyle w:val="47"/>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color w:val="000000" w:themeColor="text1"/>
          <w:lang w:eastAsia="zh-CN"/>
          <w14:textFill>
            <w14:solidFill>
              <w14:schemeClr w14:val="tx1"/>
            </w14:solidFill>
          </w14:textFill>
        </w:rPr>
      </w:pPr>
      <w:r>
        <w:drawing>
          <wp:inline distT="0" distB="0" distL="114300" distR="114300">
            <wp:extent cx="4264660" cy="2400300"/>
            <wp:effectExtent l="4445" t="5080" r="17145" b="13970"/>
            <wp:docPr id="2051"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5795D285">
      <w:pPr>
        <w:pStyle w:val="98"/>
        <w:bidi w:val="0"/>
        <w:ind w:left="0" w:leftChars="0" w:firstLine="0" w:firstLineChars="0"/>
        <w:rPr>
          <w:rFonts w:hint="eastAsia"/>
          <w:lang w:eastAsia="zh-CN"/>
        </w:rPr>
      </w:pPr>
      <w:r>
        <w:rPr>
          <w:rFonts w:hint="eastAsia"/>
          <w:lang w:eastAsia="zh-CN"/>
        </w:rPr>
        <w:t xml:space="preserve"> </w:t>
      </w:r>
      <w:r>
        <w:rPr>
          <w:rFonts w:hint="eastAsia"/>
          <w:lang w:val="en-US" w:eastAsia="zh-CN"/>
        </w:rPr>
        <w:t>365</w:t>
      </w:r>
      <w:r>
        <w:rPr>
          <w:rFonts w:hint="eastAsia"/>
          <w:lang w:eastAsia="zh-CN"/>
        </w:rPr>
        <w:t>d</w:t>
      </w:r>
      <w:r>
        <w:rPr>
          <w:rFonts w:hint="eastAsia"/>
          <w:lang w:val="en-US" w:eastAsia="zh-CN"/>
        </w:rPr>
        <w:t>氨氮</w:t>
      </w:r>
      <w:r>
        <w:rPr>
          <w:rFonts w:hint="eastAsia"/>
          <w:lang w:eastAsia="zh-CN"/>
        </w:rPr>
        <w:t>迁移浓度变化范围图</w:t>
      </w:r>
    </w:p>
    <w:p w14:paraId="597C5B4A">
      <w:pPr>
        <w:pStyle w:val="47"/>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color w:val="000000" w:themeColor="text1"/>
          <w:lang w:eastAsia="zh-CN"/>
          <w14:textFill>
            <w14:solidFill>
              <w14:schemeClr w14:val="tx1"/>
            </w14:solidFill>
          </w14:textFill>
        </w:rPr>
      </w:pPr>
      <w:r>
        <w:drawing>
          <wp:inline distT="0" distB="0" distL="114300" distR="114300">
            <wp:extent cx="4407535" cy="2514600"/>
            <wp:effectExtent l="4445" t="4445" r="7620" b="14605"/>
            <wp:docPr id="2052"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194AF26A">
      <w:pPr>
        <w:pStyle w:val="98"/>
        <w:bidi w:val="0"/>
        <w:ind w:left="0" w:leftChars="0" w:firstLine="0" w:firstLineChars="0"/>
        <w:rPr>
          <w:rFonts w:hint="eastAsia"/>
          <w:lang w:eastAsia="zh-CN"/>
        </w:rPr>
      </w:pPr>
      <w:r>
        <w:rPr>
          <w:rFonts w:hint="eastAsia"/>
          <w:lang w:eastAsia="zh-CN"/>
        </w:rPr>
        <w:t xml:space="preserve"> </w:t>
      </w:r>
      <w:r>
        <w:rPr>
          <w:rFonts w:hint="eastAsia"/>
          <w:lang w:val="en-US" w:eastAsia="zh-CN"/>
        </w:rPr>
        <w:t>1000</w:t>
      </w:r>
      <w:r>
        <w:rPr>
          <w:rFonts w:hint="eastAsia"/>
          <w:lang w:eastAsia="zh-CN"/>
        </w:rPr>
        <w:t>d</w:t>
      </w:r>
      <w:r>
        <w:rPr>
          <w:rFonts w:hint="eastAsia"/>
          <w:lang w:val="en-US" w:eastAsia="zh-CN"/>
        </w:rPr>
        <w:t>氨氮</w:t>
      </w:r>
      <w:r>
        <w:rPr>
          <w:rFonts w:hint="eastAsia"/>
          <w:lang w:eastAsia="zh-CN"/>
        </w:rPr>
        <w:t>迁移浓度变化范围图</w:t>
      </w:r>
    </w:p>
    <w:p w14:paraId="2CB18177">
      <w:pPr>
        <w:pStyle w:val="47"/>
        <w:bidi w:val="0"/>
        <w:rPr>
          <w:rFonts w:hint="eastAsia"/>
          <w:color w:val="000000" w:themeColor="text1"/>
          <w:highlight w:val="none"/>
          <w:lang w:eastAsia="zh-CN"/>
          <w14:textFill>
            <w14:solidFill>
              <w14:schemeClr w14:val="tx1"/>
            </w14:solidFill>
          </w14:textFill>
        </w:rPr>
      </w:pPr>
      <w:r>
        <w:rPr>
          <w:rFonts w:hint="eastAsia"/>
          <w:color w:val="000000" w:themeColor="text1"/>
          <w:lang w:eastAsia="zh-CN"/>
          <w14:textFill>
            <w14:solidFill>
              <w14:schemeClr w14:val="tx1"/>
            </w14:solidFill>
          </w14:textFill>
        </w:rPr>
        <w:t>在设定情景下，</w:t>
      </w:r>
      <w:r>
        <w:rPr>
          <w:rFonts w:hint="eastAsia"/>
          <w:color w:val="000000" w:themeColor="text1"/>
          <w:lang w:val="en-US" w:eastAsia="zh-CN"/>
          <w14:textFill>
            <w14:solidFill>
              <w14:schemeClr w14:val="tx1"/>
            </w14:solidFill>
          </w14:textFill>
        </w:rPr>
        <w:t>氨氮</w:t>
      </w:r>
      <w:r>
        <w:rPr>
          <w:rFonts w:hint="eastAsia"/>
          <w:color w:val="000000" w:themeColor="text1"/>
          <w:lang w:eastAsia="zh-CN"/>
          <w14:textFill>
            <w14:solidFill>
              <w14:schemeClr w14:val="tx1"/>
            </w14:solidFill>
          </w14:textFill>
        </w:rPr>
        <w:t>泄漏后穿过包气带进入地下水含水层</w:t>
      </w:r>
      <w:r>
        <w:rPr>
          <w:rFonts w:hint="eastAsia"/>
          <w:color w:val="000000" w:themeColor="text1"/>
          <w:lang w:val="en-US" w:eastAsia="zh-CN"/>
          <w14:textFill>
            <w14:solidFill>
              <w14:schemeClr w14:val="tx1"/>
            </w14:solidFill>
          </w14:textFill>
        </w:rPr>
        <w:t>30</w:t>
      </w:r>
      <w:r>
        <w:rPr>
          <w:rFonts w:hint="eastAsia"/>
          <w:color w:val="000000" w:themeColor="text1"/>
          <w:lang w:eastAsia="zh-CN"/>
          <w14:textFill>
            <w14:solidFill>
              <w14:schemeClr w14:val="tx1"/>
            </w14:solidFill>
          </w14:textFill>
        </w:rPr>
        <w:t>d时，自泄漏点</w:t>
      </w:r>
      <w:r>
        <w:rPr>
          <w:rFonts w:hint="eastAsia"/>
          <w:color w:val="000000" w:themeColor="text1"/>
          <w:lang w:val="en-US" w:eastAsia="zh-CN"/>
          <w14:textFill>
            <w14:solidFill>
              <w14:schemeClr w14:val="tx1"/>
            </w14:solidFill>
          </w14:textFill>
        </w:rPr>
        <w:t>4</w:t>
      </w:r>
      <w:r>
        <w:rPr>
          <w:rFonts w:hint="eastAsia"/>
          <w:color w:val="000000" w:themeColor="text1"/>
          <w:lang w:eastAsia="zh-CN"/>
          <w14:textFill>
            <w14:solidFill>
              <w14:schemeClr w14:val="tx1"/>
            </w14:solidFill>
          </w14:textFill>
        </w:rPr>
        <w:t>m处起以外不会出现超标现象；10</w:t>
      </w:r>
      <w:r>
        <w:rPr>
          <w:rFonts w:hint="eastAsia"/>
          <w:color w:val="000000" w:themeColor="text1"/>
          <w:lang w:val="en-US" w:eastAsia="zh-CN"/>
          <w14:textFill>
            <w14:solidFill>
              <w14:schemeClr w14:val="tx1"/>
            </w14:solidFill>
          </w14:textFill>
        </w:rPr>
        <w:t>0</w:t>
      </w:r>
      <w:r>
        <w:rPr>
          <w:rFonts w:hint="eastAsia"/>
          <w:color w:val="000000" w:themeColor="text1"/>
          <w:lang w:eastAsia="zh-CN"/>
          <w14:textFill>
            <w14:solidFill>
              <w14:schemeClr w14:val="tx1"/>
            </w14:solidFill>
          </w14:textFill>
        </w:rPr>
        <w:t>d时，自泄漏点</w:t>
      </w:r>
      <w:r>
        <w:rPr>
          <w:rFonts w:hint="eastAsia"/>
          <w:color w:val="000000" w:themeColor="text1"/>
          <w:lang w:val="en-US" w:eastAsia="zh-CN"/>
          <w14:textFill>
            <w14:solidFill>
              <w14:schemeClr w14:val="tx1"/>
            </w14:solidFill>
          </w14:textFill>
        </w:rPr>
        <w:t>4</w:t>
      </w:r>
      <w:r>
        <w:rPr>
          <w:rFonts w:hint="eastAsia"/>
          <w:color w:val="000000" w:themeColor="text1"/>
          <w:lang w:eastAsia="zh-CN"/>
          <w14:textFill>
            <w14:solidFill>
              <w14:schemeClr w14:val="tx1"/>
            </w14:solidFill>
          </w14:textFill>
        </w:rPr>
        <w:t>m处起以外不会出现超标现象；</w:t>
      </w:r>
      <w:r>
        <w:rPr>
          <w:rFonts w:hint="eastAsia"/>
          <w:color w:val="000000" w:themeColor="text1"/>
          <w:lang w:val="en-US" w:eastAsia="zh-CN"/>
          <w14:textFill>
            <w14:solidFill>
              <w14:schemeClr w14:val="tx1"/>
            </w14:solidFill>
          </w14:textFill>
        </w:rPr>
        <w:t>365</w:t>
      </w:r>
      <w:r>
        <w:rPr>
          <w:rFonts w:hint="eastAsia"/>
          <w:color w:val="000000" w:themeColor="text1"/>
          <w:lang w:eastAsia="zh-CN"/>
          <w14:textFill>
            <w14:solidFill>
              <w14:schemeClr w14:val="tx1"/>
            </w14:solidFill>
          </w14:textFill>
        </w:rPr>
        <w:t>d时，自泄漏点0m处起以外不会出现超标现象；1000d时，自泄漏点</w:t>
      </w:r>
      <w:r>
        <w:rPr>
          <w:rFonts w:hint="eastAsia"/>
          <w:color w:val="000000" w:themeColor="text1"/>
          <w:lang w:val="en-US" w:eastAsia="zh-CN"/>
          <w14:textFill>
            <w14:solidFill>
              <w14:schemeClr w14:val="tx1"/>
            </w14:solidFill>
          </w14:textFill>
        </w:rPr>
        <w:t>0</w:t>
      </w:r>
      <w:r>
        <w:rPr>
          <w:rFonts w:hint="eastAsia"/>
          <w:color w:val="000000" w:themeColor="text1"/>
          <w:lang w:eastAsia="zh-CN"/>
          <w14:textFill>
            <w14:solidFill>
              <w14:schemeClr w14:val="tx1"/>
            </w14:solidFill>
          </w14:textFill>
        </w:rPr>
        <w:t>m处起以外不会出现超标现象。</w:t>
      </w:r>
      <w:r>
        <w:rPr>
          <w:rFonts w:hint="eastAsia"/>
          <w:color w:val="000000" w:themeColor="text1"/>
          <w:highlight w:val="none"/>
          <w:lang w:val="en-US" w:eastAsia="zh-CN"/>
          <w14:textFill>
            <w14:solidFill>
              <w14:schemeClr w14:val="tx1"/>
            </w14:solidFill>
          </w14:textFill>
        </w:rPr>
        <w:t>防渗旱厕距离最近厂界为20m，各预测时段超标范围均未超出厂界。</w:t>
      </w:r>
    </w:p>
    <w:p w14:paraId="07658F39">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综上所述，在设定的非正常情景下</w:t>
      </w:r>
      <w:r>
        <w:rPr>
          <w:rFonts w:hint="eastAsia"/>
          <w:color w:val="000000" w:themeColor="text1"/>
          <w:lang w:val="en-US" w:eastAsia="zh-CN"/>
          <w14:textFill>
            <w14:solidFill>
              <w14:schemeClr w14:val="tx1"/>
            </w14:solidFill>
          </w14:textFill>
        </w:rPr>
        <w:t>防渗旱厕发生泄漏后会对</w:t>
      </w:r>
      <w:r>
        <w:rPr>
          <w:rFonts w:hint="eastAsia"/>
          <w:color w:val="000000" w:themeColor="text1"/>
          <w:lang w:eastAsia="zh-CN"/>
          <w14:textFill>
            <w14:solidFill>
              <w14:schemeClr w14:val="tx1"/>
            </w14:solidFill>
          </w14:textFill>
        </w:rPr>
        <w:t>地下水环境有所影响，</w:t>
      </w:r>
      <w:r>
        <w:rPr>
          <w:rFonts w:hint="eastAsia"/>
          <w:color w:val="000000" w:themeColor="text1"/>
          <w:lang w:val="en-US" w:eastAsia="zh-CN"/>
          <w14:textFill>
            <w14:solidFill>
              <w14:schemeClr w14:val="tx1"/>
            </w14:solidFill>
          </w14:textFill>
        </w:rPr>
        <w:t>影响范围未超出厂界。</w:t>
      </w:r>
      <w:r>
        <w:rPr>
          <w:rFonts w:hint="eastAsia"/>
          <w:color w:val="000000" w:themeColor="text1"/>
          <w:lang w:eastAsia="zh-CN"/>
          <w14:textFill>
            <w14:solidFill>
              <w14:schemeClr w14:val="tx1"/>
            </w14:solidFill>
          </w14:textFill>
        </w:rPr>
        <w:t>在及时采取应急处理措施的前提下，污染物影响范围可控制在项目厂区内，对地下水环境影响程度较小，建设项目地下水环境影响水平可接受。</w:t>
      </w:r>
    </w:p>
    <w:p w14:paraId="5A7F669B">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4</w:t>
      </w:r>
      <w:r>
        <w:rPr>
          <w:rFonts w:hint="eastAsia"/>
          <w:color w:val="000000" w:themeColor="text1"/>
          <w:lang w:eastAsia="zh-CN"/>
          <w14:textFill>
            <w14:solidFill>
              <w14:schemeClr w14:val="tx1"/>
            </w14:solidFill>
          </w14:textFill>
        </w:rPr>
        <w:t>）预防措施</w:t>
      </w:r>
    </w:p>
    <w:p w14:paraId="7E8BFB4B">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根据《环境影响评价技术导则 地下水》（HJ610-2016），地下水环境保护措施与对策应符合《中华人民共和国水污染防治法》和《中华人民共和国环境影响评价法》的相关规定，按照“源头控制、分区防控、污染监控、应急响应”的原则确定。</w:t>
      </w:r>
    </w:p>
    <w:p w14:paraId="5581DEF2">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①污染源控制措施</w:t>
      </w:r>
    </w:p>
    <w:p w14:paraId="6E700831">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项目严格按照国家相关规范要求，对工艺、管道、设备、污水储存采取相应的措施，以防止和降低污染物的跑、冒、滴、漏，将污染物泄漏的环境风险事故降低到最低程度；项目生产废水循环使用不外排，管线敷设尽量采用“可视化”原则，即管道尽可能地上敷设，做到污染物“早发现、早处理”，以减少由于埋地管道泄漏而可能造成的地下水污染。</w:t>
      </w:r>
    </w:p>
    <w:p w14:paraId="3AE4C097">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②分区防渗控制措施</w:t>
      </w:r>
    </w:p>
    <w:p w14:paraId="35E41973">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《环境影响评价技术导则 地下水环境》（HJ610-2016）将地下水污染防渗分区分为三个级别：重点防渗区、一般防渗区、简单防渗区，防渗分区判定如下。</w:t>
      </w:r>
    </w:p>
    <w:p w14:paraId="073D525E">
      <w:pPr>
        <w:pStyle w:val="94"/>
        <w:bidi w:val="0"/>
        <w:ind w:left="0" w:leftChars="0" w:firstLine="0" w:firstLineChars="0"/>
        <w:rPr>
          <w:rFonts w:hint="eastAsia"/>
          <w:lang w:eastAsia="zh-CN"/>
        </w:rPr>
      </w:pPr>
      <w:r>
        <w:rPr>
          <w:rFonts w:hint="eastAsia"/>
          <w:lang w:eastAsia="zh-CN"/>
        </w:rPr>
        <w:t>污染控制难易程度分级参照表</w:t>
      </w:r>
    </w:p>
    <w:tbl>
      <w:tblPr>
        <w:tblStyle w:val="3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6"/>
        <w:gridCol w:w="7888"/>
      </w:tblGrid>
      <w:tr w14:paraId="3323A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752" w:type="pct"/>
            <w:vAlign w:val="center"/>
          </w:tcPr>
          <w:p w14:paraId="18C0DBF5">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分级</w:t>
            </w:r>
          </w:p>
        </w:tc>
        <w:tc>
          <w:tcPr>
            <w:tcW w:w="4247" w:type="pct"/>
            <w:vAlign w:val="center"/>
          </w:tcPr>
          <w:p w14:paraId="6D8F0FED">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包气带岩土的渗透性能</w:t>
            </w:r>
          </w:p>
        </w:tc>
      </w:tr>
      <w:tr w14:paraId="61B49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2" w:type="pct"/>
            <w:vAlign w:val="center"/>
          </w:tcPr>
          <w:p w14:paraId="70BD3F60">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强</w:t>
            </w:r>
          </w:p>
        </w:tc>
        <w:tc>
          <w:tcPr>
            <w:tcW w:w="4247" w:type="pct"/>
            <w:vAlign w:val="center"/>
          </w:tcPr>
          <w:p w14:paraId="04EA2CAA">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岩(土)层单层厚度Mb≥1.0m，渗透系数K≤1×10</w:t>
            </w:r>
            <w:r>
              <w:rPr>
                <w:rFonts w:hint="eastAsia"/>
                <w:color w:val="000000" w:themeColor="text1"/>
                <w:vertAlign w:val="superscript"/>
                <w:lang w:val="en-US" w:eastAsia="zh-CN"/>
                <w14:textFill>
                  <w14:solidFill>
                    <w14:schemeClr w14:val="tx1"/>
                  </w14:solidFill>
                </w14:textFill>
              </w:rPr>
              <w:t>-6</w:t>
            </w:r>
            <w:r>
              <w:rPr>
                <w:rFonts w:hint="default"/>
                <w:color w:val="000000" w:themeColor="text1"/>
                <w:lang w:val="en-US" w:eastAsia="zh-CN"/>
                <w14:textFill>
                  <w14:solidFill>
                    <w14:schemeClr w14:val="tx1"/>
                  </w14:solidFill>
                </w14:textFill>
              </w:rPr>
              <w:t>cm/s，且分布连续、稳定</w:t>
            </w:r>
          </w:p>
        </w:tc>
      </w:tr>
      <w:tr w14:paraId="63B01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2" w:type="pct"/>
            <w:vAlign w:val="center"/>
          </w:tcPr>
          <w:p w14:paraId="3DB004D7">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中</w:t>
            </w:r>
          </w:p>
        </w:tc>
        <w:tc>
          <w:tcPr>
            <w:tcW w:w="4247" w:type="pct"/>
            <w:vAlign w:val="center"/>
          </w:tcPr>
          <w:p w14:paraId="3EECD005">
            <w:pPr>
              <w:pStyle w:val="55"/>
              <w:bidi w:val="0"/>
              <w:jc w:val="both"/>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岩(土)层单层厚度0.5m≤Mb&lt;1.0m，渗透系数K≤1×10</w:t>
            </w:r>
            <w:r>
              <w:rPr>
                <w:rFonts w:hint="default"/>
                <w:color w:val="000000" w:themeColor="text1"/>
                <w:vertAlign w:val="superscript"/>
                <w:lang w:val="en-US" w:eastAsia="zh-CN"/>
                <w14:textFill>
                  <w14:solidFill>
                    <w14:schemeClr w14:val="tx1"/>
                  </w14:solidFill>
                </w14:textFill>
              </w:rPr>
              <w:t>-6</w:t>
            </w:r>
            <w:r>
              <w:rPr>
                <w:rFonts w:hint="default"/>
                <w:color w:val="000000" w:themeColor="text1"/>
                <w:lang w:val="en-US" w:eastAsia="zh-CN"/>
                <w14:textFill>
                  <w14:solidFill>
                    <w14:schemeClr w14:val="tx1"/>
                  </w14:solidFill>
                </w14:textFill>
              </w:rPr>
              <w:t>cm/s，且分布连续、稳定。岩(土)层单层厚度Mb≥1.0m，渗透系数1×10</w:t>
            </w:r>
            <w:r>
              <w:rPr>
                <w:rFonts w:hint="default"/>
                <w:color w:val="000000" w:themeColor="text1"/>
                <w:vertAlign w:val="superscript"/>
                <w:lang w:val="en-US" w:eastAsia="zh-CN"/>
                <w14:textFill>
                  <w14:solidFill>
                    <w14:schemeClr w14:val="tx1"/>
                  </w14:solidFill>
                </w14:textFill>
              </w:rPr>
              <w:t>-6</w:t>
            </w:r>
            <w:r>
              <w:rPr>
                <w:rFonts w:hint="default"/>
                <w:color w:val="000000" w:themeColor="text1"/>
                <w:lang w:val="en-US" w:eastAsia="zh-CN"/>
                <w14:textFill>
                  <w14:solidFill>
                    <w14:schemeClr w14:val="tx1"/>
                  </w14:solidFill>
                </w14:textFill>
              </w:rPr>
              <w:t>cm/s&lt;K≤10-4cm/s，且分布连续、稳定</w:t>
            </w:r>
          </w:p>
        </w:tc>
      </w:tr>
      <w:tr w14:paraId="23D45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2" w:type="pct"/>
            <w:vAlign w:val="center"/>
          </w:tcPr>
          <w:p w14:paraId="34428ACC">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弱</w:t>
            </w:r>
          </w:p>
        </w:tc>
        <w:tc>
          <w:tcPr>
            <w:tcW w:w="4247" w:type="pct"/>
            <w:vAlign w:val="center"/>
          </w:tcPr>
          <w:p w14:paraId="006075A4">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岩(土)层不满足上述“强”和“中”条件</w:t>
            </w:r>
          </w:p>
        </w:tc>
      </w:tr>
    </w:tbl>
    <w:p w14:paraId="34B58070">
      <w:pPr>
        <w:pStyle w:val="94"/>
        <w:bidi w:val="0"/>
        <w:ind w:left="0" w:leftChars="0" w:firstLine="0" w:firstLineChars="0"/>
        <w:rPr>
          <w:rFonts w:hint="default"/>
          <w:lang w:val="en-US" w:eastAsia="zh-CN"/>
        </w:rPr>
      </w:pPr>
      <w:r>
        <w:rPr>
          <w:rFonts w:hint="default"/>
          <w:lang w:val="en-US" w:eastAsia="zh-CN"/>
        </w:rPr>
        <w:t xml:space="preserve">  地下水污染防渗分区参照表</w:t>
      </w:r>
    </w:p>
    <w:tbl>
      <w:tblPr>
        <w:tblStyle w:val="3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7"/>
        <w:gridCol w:w="1500"/>
        <w:gridCol w:w="1350"/>
        <w:gridCol w:w="1987"/>
        <w:gridCol w:w="3077"/>
      </w:tblGrid>
      <w:tr w14:paraId="0E6BD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6" w:type="pct"/>
            <w:vAlign w:val="center"/>
          </w:tcPr>
          <w:p w14:paraId="26FB3D78">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防渗分区</w:t>
            </w:r>
          </w:p>
        </w:tc>
        <w:tc>
          <w:tcPr>
            <w:tcW w:w="808" w:type="pct"/>
            <w:vAlign w:val="center"/>
          </w:tcPr>
          <w:p w14:paraId="780EEFF4">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天然包气带防污性能</w:t>
            </w:r>
          </w:p>
        </w:tc>
        <w:tc>
          <w:tcPr>
            <w:tcW w:w="727" w:type="pct"/>
            <w:vAlign w:val="center"/>
          </w:tcPr>
          <w:p w14:paraId="7871E5B5">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污染控制难易程度</w:t>
            </w:r>
          </w:p>
        </w:tc>
        <w:tc>
          <w:tcPr>
            <w:tcW w:w="1070" w:type="pct"/>
            <w:vAlign w:val="center"/>
          </w:tcPr>
          <w:p w14:paraId="26667ABB">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污染物类型</w:t>
            </w:r>
          </w:p>
        </w:tc>
        <w:tc>
          <w:tcPr>
            <w:tcW w:w="1657" w:type="pct"/>
            <w:vAlign w:val="center"/>
          </w:tcPr>
          <w:p w14:paraId="0C039802">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防渗技术要求</w:t>
            </w:r>
          </w:p>
        </w:tc>
      </w:tr>
      <w:tr w14:paraId="060AD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6" w:type="pct"/>
            <w:vMerge w:val="restart"/>
            <w:vAlign w:val="center"/>
          </w:tcPr>
          <w:p w14:paraId="4AB60636">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重点防渗区</w:t>
            </w:r>
          </w:p>
        </w:tc>
        <w:tc>
          <w:tcPr>
            <w:tcW w:w="808" w:type="pct"/>
            <w:vAlign w:val="center"/>
          </w:tcPr>
          <w:p w14:paraId="57BEA24A">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弱</w:t>
            </w:r>
          </w:p>
        </w:tc>
        <w:tc>
          <w:tcPr>
            <w:tcW w:w="727" w:type="pct"/>
            <w:vAlign w:val="center"/>
          </w:tcPr>
          <w:p w14:paraId="6582CA9D">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难</w:t>
            </w:r>
          </w:p>
        </w:tc>
        <w:tc>
          <w:tcPr>
            <w:tcW w:w="1070" w:type="pct"/>
            <w:vMerge w:val="restart"/>
            <w:vAlign w:val="center"/>
          </w:tcPr>
          <w:p w14:paraId="2C4A9D9A">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重金属、持久性有机物污染物</w:t>
            </w:r>
          </w:p>
        </w:tc>
        <w:tc>
          <w:tcPr>
            <w:tcW w:w="1657" w:type="pct"/>
            <w:vMerge w:val="restart"/>
            <w:vAlign w:val="center"/>
          </w:tcPr>
          <w:p w14:paraId="1E8CD50E">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等效黏土防渗层M≥6.0m，K≤1×10</w:t>
            </w:r>
            <w:r>
              <w:rPr>
                <w:rFonts w:hint="default"/>
                <w:color w:val="000000" w:themeColor="text1"/>
                <w:vertAlign w:val="superscript"/>
                <w:lang w:val="en-US" w:eastAsia="zh-CN"/>
                <w14:textFill>
                  <w14:solidFill>
                    <w14:schemeClr w14:val="tx1"/>
                  </w14:solidFill>
                </w14:textFill>
              </w:rPr>
              <w:t>-7</w:t>
            </w:r>
            <w:r>
              <w:rPr>
                <w:rFonts w:hint="default"/>
                <w:color w:val="000000" w:themeColor="text1"/>
                <w:lang w:val="en-US" w:eastAsia="zh-CN"/>
                <w14:textFill>
                  <w14:solidFill>
                    <w14:schemeClr w14:val="tx1"/>
                  </w14:solidFill>
                </w14:textFill>
              </w:rPr>
              <w:t>cm/s；或参照GB18598执行</w:t>
            </w:r>
          </w:p>
        </w:tc>
      </w:tr>
      <w:tr w14:paraId="4C22C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6" w:type="pct"/>
            <w:vMerge w:val="continue"/>
            <w:vAlign w:val="center"/>
          </w:tcPr>
          <w:p w14:paraId="588A54B6">
            <w:pPr>
              <w:pStyle w:val="55"/>
              <w:bidi w:val="0"/>
              <w:rPr>
                <w:rFonts w:hint="default"/>
                <w:color w:val="000000" w:themeColor="text1"/>
                <w:lang w:val="en-US" w:eastAsia="zh-CN"/>
                <w14:textFill>
                  <w14:solidFill>
                    <w14:schemeClr w14:val="tx1"/>
                  </w14:solidFill>
                </w14:textFill>
              </w:rPr>
            </w:pPr>
          </w:p>
        </w:tc>
        <w:tc>
          <w:tcPr>
            <w:tcW w:w="808" w:type="pct"/>
            <w:vAlign w:val="center"/>
          </w:tcPr>
          <w:p w14:paraId="0E6EFAFC">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中—强</w:t>
            </w:r>
          </w:p>
        </w:tc>
        <w:tc>
          <w:tcPr>
            <w:tcW w:w="727" w:type="pct"/>
            <w:vAlign w:val="center"/>
          </w:tcPr>
          <w:p w14:paraId="14DC23B5">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难</w:t>
            </w:r>
          </w:p>
        </w:tc>
        <w:tc>
          <w:tcPr>
            <w:tcW w:w="1070" w:type="pct"/>
            <w:vMerge w:val="continue"/>
            <w:vAlign w:val="center"/>
          </w:tcPr>
          <w:p w14:paraId="79E81E9A">
            <w:pPr>
              <w:pStyle w:val="55"/>
              <w:bidi w:val="0"/>
              <w:rPr>
                <w:rFonts w:hint="default"/>
                <w:color w:val="000000" w:themeColor="text1"/>
                <w:lang w:val="en-US" w:eastAsia="zh-CN"/>
                <w14:textFill>
                  <w14:solidFill>
                    <w14:schemeClr w14:val="tx1"/>
                  </w14:solidFill>
                </w14:textFill>
              </w:rPr>
            </w:pPr>
          </w:p>
        </w:tc>
        <w:tc>
          <w:tcPr>
            <w:tcW w:w="1657" w:type="pct"/>
            <w:vMerge w:val="continue"/>
            <w:vAlign w:val="center"/>
          </w:tcPr>
          <w:p w14:paraId="78692343">
            <w:pPr>
              <w:pStyle w:val="55"/>
              <w:bidi w:val="0"/>
              <w:rPr>
                <w:rFonts w:hint="default"/>
                <w:color w:val="000000" w:themeColor="text1"/>
                <w:lang w:val="en-US" w:eastAsia="zh-CN"/>
                <w14:textFill>
                  <w14:solidFill>
                    <w14:schemeClr w14:val="tx1"/>
                  </w14:solidFill>
                </w14:textFill>
              </w:rPr>
            </w:pPr>
          </w:p>
        </w:tc>
      </w:tr>
      <w:tr w14:paraId="57773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6" w:type="pct"/>
            <w:vMerge w:val="continue"/>
            <w:vAlign w:val="center"/>
          </w:tcPr>
          <w:p w14:paraId="0F6F83EC">
            <w:pPr>
              <w:pStyle w:val="55"/>
              <w:bidi w:val="0"/>
              <w:rPr>
                <w:rFonts w:hint="default"/>
                <w:color w:val="000000" w:themeColor="text1"/>
                <w:lang w:val="en-US" w:eastAsia="zh-CN"/>
                <w14:textFill>
                  <w14:solidFill>
                    <w14:schemeClr w14:val="tx1"/>
                  </w14:solidFill>
                </w14:textFill>
              </w:rPr>
            </w:pPr>
          </w:p>
        </w:tc>
        <w:tc>
          <w:tcPr>
            <w:tcW w:w="808" w:type="pct"/>
            <w:vAlign w:val="center"/>
          </w:tcPr>
          <w:p w14:paraId="08EEBC86">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弱</w:t>
            </w:r>
          </w:p>
        </w:tc>
        <w:tc>
          <w:tcPr>
            <w:tcW w:w="727" w:type="pct"/>
            <w:vAlign w:val="center"/>
          </w:tcPr>
          <w:p w14:paraId="7DE4BFCC">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易</w:t>
            </w:r>
          </w:p>
        </w:tc>
        <w:tc>
          <w:tcPr>
            <w:tcW w:w="1070" w:type="pct"/>
            <w:vMerge w:val="continue"/>
            <w:vAlign w:val="center"/>
          </w:tcPr>
          <w:p w14:paraId="2FF03C88">
            <w:pPr>
              <w:pStyle w:val="55"/>
              <w:bidi w:val="0"/>
              <w:rPr>
                <w:rFonts w:hint="default"/>
                <w:color w:val="000000" w:themeColor="text1"/>
                <w:lang w:val="en-US" w:eastAsia="zh-CN"/>
                <w14:textFill>
                  <w14:solidFill>
                    <w14:schemeClr w14:val="tx1"/>
                  </w14:solidFill>
                </w14:textFill>
              </w:rPr>
            </w:pPr>
          </w:p>
        </w:tc>
        <w:tc>
          <w:tcPr>
            <w:tcW w:w="1657" w:type="pct"/>
            <w:vMerge w:val="continue"/>
            <w:vAlign w:val="center"/>
          </w:tcPr>
          <w:p w14:paraId="2602F865">
            <w:pPr>
              <w:pStyle w:val="55"/>
              <w:bidi w:val="0"/>
              <w:rPr>
                <w:rFonts w:hint="default"/>
                <w:color w:val="000000" w:themeColor="text1"/>
                <w:lang w:val="en-US" w:eastAsia="zh-CN"/>
                <w14:textFill>
                  <w14:solidFill>
                    <w14:schemeClr w14:val="tx1"/>
                  </w14:solidFill>
                </w14:textFill>
              </w:rPr>
            </w:pPr>
          </w:p>
        </w:tc>
      </w:tr>
      <w:tr w14:paraId="21EFF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6" w:type="pct"/>
            <w:vMerge w:val="restart"/>
            <w:vAlign w:val="center"/>
          </w:tcPr>
          <w:p w14:paraId="2326A1AE">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一般防渗区</w:t>
            </w:r>
          </w:p>
        </w:tc>
        <w:tc>
          <w:tcPr>
            <w:tcW w:w="808" w:type="pct"/>
            <w:vAlign w:val="center"/>
          </w:tcPr>
          <w:p w14:paraId="5C193B92">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弱</w:t>
            </w:r>
          </w:p>
        </w:tc>
        <w:tc>
          <w:tcPr>
            <w:tcW w:w="727" w:type="pct"/>
            <w:vAlign w:val="center"/>
          </w:tcPr>
          <w:p w14:paraId="582EB286">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易—难</w:t>
            </w:r>
          </w:p>
        </w:tc>
        <w:tc>
          <w:tcPr>
            <w:tcW w:w="1070" w:type="pct"/>
            <w:vMerge w:val="restart"/>
            <w:vAlign w:val="center"/>
          </w:tcPr>
          <w:p w14:paraId="2C2E3247">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其他类型</w:t>
            </w:r>
          </w:p>
        </w:tc>
        <w:tc>
          <w:tcPr>
            <w:tcW w:w="1657" w:type="pct"/>
            <w:vMerge w:val="restart"/>
            <w:vAlign w:val="center"/>
          </w:tcPr>
          <w:p w14:paraId="2FC14088">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等效黏土防渗层如</w:t>
            </w:r>
            <w:r>
              <w:rPr>
                <w:rFonts w:hint="eastAsia"/>
                <w:color w:val="000000" w:themeColor="text1"/>
                <w:lang w:val="en-US" w:eastAsia="zh-CN"/>
                <w14:textFill>
                  <w14:solidFill>
                    <w14:schemeClr w14:val="tx1"/>
                  </w14:solidFill>
                </w14:textFill>
              </w:rPr>
              <w:t>M</w:t>
            </w:r>
            <w:r>
              <w:rPr>
                <w:rFonts w:hint="default"/>
                <w:color w:val="000000" w:themeColor="text1"/>
                <w:lang w:val="en-US" w:eastAsia="zh-CN"/>
                <w14:textFill>
                  <w14:solidFill>
                    <w14:schemeClr w14:val="tx1"/>
                  </w14:solidFill>
                </w14:textFill>
              </w:rPr>
              <w:t>≥1.5</w:t>
            </w:r>
            <w:r>
              <w:rPr>
                <w:rFonts w:hint="eastAsia"/>
                <w:color w:val="000000" w:themeColor="text1"/>
                <w:lang w:val="en-US" w:eastAsia="zh-CN"/>
                <w14:textFill>
                  <w14:solidFill>
                    <w14:schemeClr w14:val="tx1"/>
                  </w14:solidFill>
                </w14:textFill>
              </w:rPr>
              <w:t>m</w:t>
            </w:r>
            <w:r>
              <w:rPr>
                <w:rFonts w:hint="default"/>
                <w:color w:val="000000" w:themeColor="text1"/>
                <w:lang w:val="en-US" w:eastAsia="zh-CN"/>
                <w14:textFill>
                  <w14:solidFill>
                    <w14:schemeClr w14:val="tx1"/>
                  </w14:solidFill>
                </w14:textFill>
              </w:rPr>
              <w:t>，K≤1×10</w:t>
            </w:r>
            <w:r>
              <w:rPr>
                <w:rFonts w:hint="default"/>
                <w:color w:val="000000" w:themeColor="text1"/>
                <w:vertAlign w:val="superscript"/>
                <w:lang w:val="en-US" w:eastAsia="zh-CN"/>
                <w14:textFill>
                  <w14:solidFill>
                    <w14:schemeClr w14:val="tx1"/>
                  </w14:solidFill>
                </w14:textFill>
              </w:rPr>
              <w:t>-7</w:t>
            </w:r>
            <w:r>
              <w:rPr>
                <w:rFonts w:hint="default"/>
                <w:color w:val="000000" w:themeColor="text1"/>
                <w:lang w:val="en-US" w:eastAsia="zh-CN"/>
                <w14:textFill>
                  <w14:solidFill>
                    <w14:schemeClr w14:val="tx1"/>
                  </w14:solidFill>
                </w14:textFill>
              </w:rPr>
              <w:t>cm/s；或参照GB18598执行</w:t>
            </w:r>
          </w:p>
        </w:tc>
      </w:tr>
      <w:tr w14:paraId="3BFEF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6" w:type="pct"/>
            <w:vMerge w:val="continue"/>
            <w:vAlign w:val="center"/>
          </w:tcPr>
          <w:p w14:paraId="39580278">
            <w:pPr>
              <w:pStyle w:val="55"/>
              <w:bidi w:val="0"/>
              <w:rPr>
                <w:rFonts w:hint="default"/>
                <w:color w:val="000000" w:themeColor="text1"/>
                <w:lang w:val="en-US" w:eastAsia="zh-CN"/>
                <w14:textFill>
                  <w14:solidFill>
                    <w14:schemeClr w14:val="tx1"/>
                  </w14:solidFill>
                </w14:textFill>
              </w:rPr>
            </w:pPr>
          </w:p>
        </w:tc>
        <w:tc>
          <w:tcPr>
            <w:tcW w:w="808" w:type="pct"/>
            <w:vAlign w:val="center"/>
          </w:tcPr>
          <w:p w14:paraId="2BF11745">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中—强</w:t>
            </w:r>
          </w:p>
        </w:tc>
        <w:tc>
          <w:tcPr>
            <w:tcW w:w="727" w:type="pct"/>
            <w:vAlign w:val="center"/>
          </w:tcPr>
          <w:p w14:paraId="52DD662A">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难</w:t>
            </w:r>
          </w:p>
        </w:tc>
        <w:tc>
          <w:tcPr>
            <w:tcW w:w="1070" w:type="pct"/>
            <w:vMerge w:val="continue"/>
            <w:vAlign w:val="center"/>
          </w:tcPr>
          <w:p w14:paraId="2F3CF709">
            <w:pPr>
              <w:pStyle w:val="55"/>
              <w:bidi w:val="0"/>
              <w:rPr>
                <w:rFonts w:hint="default"/>
                <w:color w:val="000000" w:themeColor="text1"/>
                <w:lang w:val="en-US" w:eastAsia="zh-CN"/>
                <w14:textFill>
                  <w14:solidFill>
                    <w14:schemeClr w14:val="tx1"/>
                  </w14:solidFill>
                </w14:textFill>
              </w:rPr>
            </w:pPr>
          </w:p>
        </w:tc>
        <w:tc>
          <w:tcPr>
            <w:tcW w:w="1657" w:type="pct"/>
            <w:vMerge w:val="continue"/>
            <w:vAlign w:val="center"/>
          </w:tcPr>
          <w:p w14:paraId="37C0B782">
            <w:pPr>
              <w:pStyle w:val="55"/>
              <w:bidi w:val="0"/>
              <w:rPr>
                <w:rFonts w:hint="default"/>
                <w:color w:val="000000" w:themeColor="text1"/>
                <w:lang w:val="en-US" w:eastAsia="zh-CN"/>
                <w14:textFill>
                  <w14:solidFill>
                    <w14:schemeClr w14:val="tx1"/>
                  </w14:solidFill>
                </w14:textFill>
              </w:rPr>
            </w:pPr>
          </w:p>
        </w:tc>
      </w:tr>
      <w:tr w14:paraId="3477B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6" w:type="pct"/>
            <w:vMerge w:val="continue"/>
            <w:vAlign w:val="center"/>
          </w:tcPr>
          <w:p w14:paraId="600379C5">
            <w:pPr>
              <w:pStyle w:val="55"/>
              <w:bidi w:val="0"/>
              <w:rPr>
                <w:rFonts w:hint="default"/>
                <w:color w:val="000000" w:themeColor="text1"/>
                <w:lang w:val="en-US" w:eastAsia="zh-CN"/>
                <w14:textFill>
                  <w14:solidFill>
                    <w14:schemeClr w14:val="tx1"/>
                  </w14:solidFill>
                </w14:textFill>
              </w:rPr>
            </w:pPr>
          </w:p>
        </w:tc>
        <w:tc>
          <w:tcPr>
            <w:tcW w:w="808" w:type="pct"/>
            <w:vAlign w:val="center"/>
          </w:tcPr>
          <w:p w14:paraId="0B212220">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中</w:t>
            </w:r>
          </w:p>
        </w:tc>
        <w:tc>
          <w:tcPr>
            <w:tcW w:w="727" w:type="pct"/>
            <w:vAlign w:val="center"/>
          </w:tcPr>
          <w:p w14:paraId="2D578DE8">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易</w:t>
            </w:r>
          </w:p>
        </w:tc>
        <w:tc>
          <w:tcPr>
            <w:tcW w:w="1070" w:type="pct"/>
            <w:vMerge w:val="restart"/>
            <w:vAlign w:val="center"/>
          </w:tcPr>
          <w:p w14:paraId="4D141F6D">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重金属、持久性有机物污染物</w:t>
            </w:r>
          </w:p>
        </w:tc>
        <w:tc>
          <w:tcPr>
            <w:tcW w:w="1657" w:type="pct"/>
            <w:vMerge w:val="continue"/>
            <w:vAlign w:val="center"/>
          </w:tcPr>
          <w:p w14:paraId="42460D40">
            <w:pPr>
              <w:pStyle w:val="55"/>
              <w:bidi w:val="0"/>
              <w:rPr>
                <w:rFonts w:hint="default"/>
                <w:color w:val="000000" w:themeColor="text1"/>
                <w:lang w:val="en-US" w:eastAsia="zh-CN"/>
                <w14:textFill>
                  <w14:solidFill>
                    <w14:schemeClr w14:val="tx1"/>
                  </w14:solidFill>
                </w14:textFill>
              </w:rPr>
            </w:pPr>
          </w:p>
        </w:tc>
      </w:tr>
      <w:tr w14:paraId="1B3A5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6" w:type="pct"/>
            <w:vMerge w:val="continue"/>
            <w:vAlign w:val="center"/>
          </w:tcPr>
          <w:p w14:paraId="71CDE1B3">
            <w:pPr>
              <w:pStyle w:val="55"/>
              <w:bidi w:val="0"/>
              <w:rPr>
                <w:rFonts w:hint="default"/>
                <w:color w:val="000000" w:themeColor="text1"/>
                <w:lang w:val="en-US" w:eastAsia="zh-CN"/>
                <w14:textFill>
                  <w14:solidFill>
                    <w14:schemeClr w14:val="tx1"/>
                  </w14:solidFill>
                </w14:textFill>
              </w:rPr>
            </w:pPr>
          </w:p>
        </w:tc>
        <w:tc>
          <w:tcPr>
            <w:tcW w:w="808" w:type="pct"/>
            <w:vAlign w:val="center"/>
          </w:tcPr>
          <w:p w14:paraId="72645920">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强</w:t>
            </w:r>
          </w:p>
        </w:tc>
        <w:tc>
          <w:tcPr>
            <w:tcW w:w="727" w:type="pct"/>
            <w:vAlign w:val="center"/>
          </w:tcPr>
          <w:p w14:paraId="2B5B9E29">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易</w:t>
            </w:r>
          </w:p>
        </w:tc>
        <w:tc>
          <w:tcPr>
            <w:tcW w:w="1070" w:type="pct"/>
            <w:vMerge w:val="continue"/>
            <w:vAlign w:val="center"/>
          </w:tcPr>
          <w:p w14:paraId="7D5C0481">
            <w:pPr>
              <w:pStyle w:val="55"/>
              <w:bidi w:val="0"/>
              <w:rPr>
                <w:rFonts w:hint="default"/>
                <w:color w:val="000000" w:themeColor="text1"/>
                <w:lang w:val="en-US" w:eastAsia="zh-CN"/>
                <w14:textFill>
                  <w14:solidFill>
                    <w14:schemeClr w14:val="tx1"/>
                  </w14:solidFill>
                </w14:textFill>
              </w:rPr>
            </w:pPr>
          </w:p>
        </w:tc>
        <w:tc>
          <w:tcPr>
            <w:tcW w:w="1657" w:type="pct"/>
            <w:vMerge w:val="continue"/>
            <w:vAlign w:val="center"/>
          </w:tcPr>
          <w:p w14:paraId="5C4D2993">
            <w:pPr>
              <w:pStyle w:val="55"/>
              <w:bidi w:val="0"/>
              <w:rPr>
                <w:rFonts w:hint="default"/>
                <w:color w:val="000000" w:themeColor="text1"/>
                <w:lang w:val="en-US" w:eastAsia="zh-CN"/>
                <w14:textFill>
                  <w14:solidFill>
                    <w14:schemeClr w14:val="tx1"/>
                  </w14:solidFill>
                </w14:textFill>
              </w:rPr>
            </w:pPr>
          </w:p>
        </w:tc>
      </w:tr>
      <w:tr w14:paraId="0F12D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6" w:type="pct"/>
            <w:vAlign w:val="center"/>
          </w:tcPr>
          <w:p w14:paraId="10DC554C">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简单防渗区</w:t>
            </w:r>
          </w:p>
        </w:tc>
        <w:tc>
          <w:tcPr>
            <w:tcW w:w="808" w:type="pct"/>
            <w:vAlign w:val="center"/>
          </w:tcPr>
          <w:p w14:paraId="3775F88D">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中—强</w:t>
            </w:r>
          </w:p>
        </w:tc>
        <w:tc>
          <w:tcPr>
            <w:tcW w:w="727" w:type="pct"/>
            <w:vAlign w:val="center"/>
          </w:tcPr>
          <w:p w14:paraId="1B70F8E8">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易</w:t>
            </w:r>
          </w:p>
        </w:tc>
        <w:tc>
          <w:tcPr>
            <w:tcW w:w="1070" w:type="pct"/>
            <w:vAlign w:val="center"/>
          </w:tcPr>
          <w:p w14:paraId="39A58076">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其他类型</w:t>
            </w:r>
          </w:p>
        </w:tc>
        <w:tc>
          <w:tcPr>
            <w:tcW w:w="1657" w:type="pct"/>
            <w:vAlign w:val="center"/>
          </w:tcPr>
          <w:p w14:paraId="3A5468B8">
            <w:pPr>
              <w:pStyle w:val="55"/>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一般地面硬化</w:t>
            </w:r>
          </w:p>
        </w:tc>
      </w:tr>
    </w:tbl>
    <w:p w14:paraId="5714D7A0">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a.重点污染区防渗措施</w:t>
      </w:r>
    </w:p>
    <w:p w14:paraId="52E42CBF">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危险废物贮存库、</w:t>
      </w:r>
      <w:r>
        <w:rPr>
          <w:rFonts w:hint="eastAsia"/>
          <w:color w:val="000000" w:themeColor="text1"/>
          <w:lang w:val="en-US" w:eastAsia="zh-CN"/>
          <w14:textFill>
            <w14:solidFill>
              <w14:schemeClr w14:val="tx1"/>
            </w14:solidFill>
          </w14:textFill>
        </w:rPr>
        <w:t>防渗旱厕</w:t>
      </w:r>
      <w:r>
        <w:rPr>
          <w:rFonts w:hint="eastAsia"/>
          <w:color w:val="000000" w:themeColor="text1"/>
          <w:lang w:eastAsia="zh-CN"/>
          <w14:textFill>
            <w14:solidFill>
              <w14:schemeClr w14:val="tx1"/>
            </w14:solidFill>
          </w14:textFill>
        </w:rPr>
        <w:t>应按照有关防渗要求建设必须做好防渗措施，防渗层防渗性能不能低于6m厚，渗透系数≤10</w:t>
      </w:r>
      <w:r>
        <w:rPr>
          <w:rFonts w:hint="eastAsia"/>
          <w:color w:val="000000" w:themeColor="text1"/>
          <w:vertAlign w:val="superscript"/>
          <w:lang w:eastAsia="zh-CN"/>
          <w14:textFill>
            <w14:solidFill>
              <w14:schemeClr w14:val="tx1"/>
            </w14:solidFill>
          </w14:textFill>
        </w:rPr>
        <w:t>-7</w:t>
      </w:r>
      <w:r>
        <w:rPr>
          <w:rFonts w:hint="eastAsia"/>
          <w:color w:val="000000" w:themeColor="text1"/>
          <w:lang w:eastAsia="zh-CN"/>
          <w14:textFill>
            <w14:solidFill>
              <w14:schemeClr w14:val="tx1"/>
            </w14:solidFill>
          </w14:textFill>
        </w:rPr>
        <w:t>cm/s的防渗性能，防泄漏污染地下水；危险废物贮存库应严格按照《危险废物贮存污染控制标准》（GB18597-2023）中有关规定进行建设。</w:t>
      </w:r>
    </w:p>
    <w:p w14:paraId="65FB4D12">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b.一般防渗区</w:t>
      </w:r>
    </w:p>
    <w:p w14:paraId="366562D2">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沉淀池、生产车间、原料车间采用一般防渗方式，要求防渗性能达到渗透系数＜10</w:t>
      </w:r>
      <w:r>
        <w:rPr>
          <w:rFonts w:hint="eastAsia"/>
          <w:color w:val="000000" w:themeColor="text1"/>
          <w:vertAlign w:val="superscript"/>
          <w:lang w:eastAsia="zh-CN"/>
          <w14:textFill>
            <w14:solidFill>
              <w14:schemeClr w14:val="tx1"/>
            </w14:solidFill>
          </w14:textFill>
        </w:rPr>
        <w:t>-7</w:t>
      </w:r>
      <w:r>
        <w:rPr>
          <w:rFonts w:hint="eastAsia"/>
          <w:color w:val="000000" w:themeColor="text1"/>
          <w:lang w:eastAsia="zh-CN"/>
          <w14:textFill>
            <w14:solidFill>
              <w14:schemeClr w14:val="tx1"/>
            </w14:solidFill>
          </w14:textFill>
        </w:rPr>
        <w:t>cm/s的防渗性能。</w:t>
      </w:r>
    </w:p>
    <w:p w14:paraId="3285BA87">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c.简单防渗区</w:t>
      </w:r>
    </w:p>
    <w:p w14:paraId="61D81527">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厂区其他地面除绿化用地均采取灰土铺底，再在上层铺10～15cm的混凝土进行硬化。</w:t>
      </w:r>
    </w:p>
    <w:p w14:paraId="0D4A9C52">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项目分区</w:t>
      </w:r>
      <w:r>
        <w:rPr>
          <w:rFonts w:hint="eastAsia"/>
          <w:color w:val="000000" w:themeColor="text1"/>
          <w:highlight w:val="none"/>
          <w:lang w:eastAsia="zh-CN"/>
          <w14:textFill>
            <w14:solidFill>
              <w14:schemeClr w14:val="tx1"/>
            </w14:solidFill>
          </w14:textFill>
        </w:rPr>
        <w:t>防渗见</w:t>
      </w:r>
      <w:r>
        <w:rPr>
          <w:rFonts w:hint="eastAsia"/>
          <w:color w:val="000000" w:themeColor="text1"/>
          <w:highlight w:val="none"/>
          <w:lang w:val="en-US" w:eastAsia="zh-CN"/>
          <w14:textFill>
            <w14:solidFill>
              <w14:schemeClr w14:val="tx1"/>
            </w14:solidFill>
          </w14:textFill>
        </w:rPr>
        <w:t>下</w:t>
      </w:r>
      <w:r>
        <w:rPr>
          <w:rFonts w:hint="eastAsia"/>
          <w:color w:val="000000" w:themeColor="text1"/>
          <w:highlight w:val="none"/>
          <w:lang w:eastAsia="zh-CN"/>
          <w14:textFill>
            <w14:solidFill>
              <w14:schemeClr w14:val="tx1"/>
            </w14:solidFill>
          </w14:textFill>
        </w:rPr>
        <w:t>表。</w:t>
      </w:r>
    </w:p>
    <w:p w14:paraId="2C33AB7E">
      <w:pPr>
        <w:pStyle w:val="94"/>
        <w:bidi w:val="0"/>
        <w:ind w:left="0" w:leftChars="0" w:firstLine="0" w:firstLineChars="0"/>
        <w:rPr>
          <w:rFonts w:hint="eastAsia"/>
          <w:lang w:val="en-US" w:eastAsia="zh-CN"/>
        </w:rPr>
      </w:pPr>
      <w:r>
        <w:rPr>
          <w:rFonts w:hint="eastAsia"/>
          <w:lang w:val="en-US" w:eastAsia="zh-CN"/>
        </w:rPr>
        <w:t>地下水污染防渗分区表</w:t>
      </w:r>
    </w:p>
    <w:tbl>
      <w:tblPr>
        <w:tblStyle w:val="3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8"/>
        <w:gridCol w:w="3089"/>
        <w:gridCol w:w="4487"/>
      </w:tblGrid>
      <w:tr w14:paraId="5F86D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920" w:type="pct"/>
            <w:tcBorders>
              <w:tl2br w:val="nil"/>
              <w:tr2bl w:val="nil"/>
            </w:tcBorders>
            <w:noWrap w:val="0"/>
            <w:vAlign w:val="center"/>
          </w:tcPr>
          <w:p w14:paraId="03AB96EC">
            <w:pPr>
              <w:pStyle w:val="55"/>
              <w:bidi w:val="0"/>
              <w:rPr>
                <w:rFonts w:hint="default"/>
                <w:lang w:val="zh-CN"/>
              </w:rPr>
            </w:pPr>
            <w:r>
              <w:rPr>
                <w:rFonts w:hint="default"/>
                <w:lang w:val="zh-CN"/>
              </w:rPr>
              <w:t>防渗分区</w:t>
            </w:r>
          </w:p>
        </w:tc>
        <w:tc>
          <w:tcPr>
            <w:tcW w:w="1663" w:type="pct"/>
            <w:tcBorders>
              <w:tl2br w:val="nil"/>
              <w:tr2bl w:val="nil"/>
            </w:tcBorders>
            <w:noWrap w:val="0"/>
            <w:vAlign w:val="center"/>
          </w:tcPr>
          <w:p w14:paraId="0E4F1CE2">
            <w:pPr>
              <w:pStyle w:val="55"/>
              <w:bidi w:val="0"/>
              <w:rPr>
                <w:rFonts w:hint="default"/>
                <w:lang w:val="en-US" w:eastAsia="zh-Hans"/>
              </w:rPr>
            </w:pPr>
            <w:r>
              <w:rPr>
                <w:rFonts w:hint="default"/>
                <w:lang w:val="en-US" w:eastAsia="zh-Hans"/>
              </w:rPr>
              <w:t>主要建筑</w:t>
            </w:r>
          </w:p>
        </w:tc>
        <w:tc>
          <w:tcPr>
            <w:tcW w:w="2416" w:type="pct"/>
            <w:tcBorders>
              <w:tl2br w:val="nil"/>
              <w:tr2bl w:val="nil"/>
            </w:tcBorders>
            <w:noWrap w:val="0"/>
            <w:vAlign w:val="center"/>
          </w:tcPr>
          <w:p w14:paraId="1DCE7A09">
            <w:pPr>
              <w:pStyle w:val="55"/>
              <w:bidi w:val="0"/>
              <w:rPr>
                <w:rFonts w:hint="default"/>
                <w:lang w:val="zh-CN"/>
              </w:rPr>
            </w:pPr>
            <w:r>
              <w:rPr>
                <w:rFonts w:hint="default"/>
                <w:lang w:val="zh-CN"/>
              </w:rPr>
              <w:t>防渗技术要求</w:t>
            </w:r>
          </w:p>
        </w:tc>
      </w:tr>
      <w:tr w14:paraId="57A31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0" w:type="pct"/>
            <w:tcBorders>
              <w:tl2br w:val="nil"/>
              <w:tr2bl w:val="nil"/>
            </w:tcBorders>
            <w:noWrap w:val="0"/>
            <w:vAlign w:val="center"/>
          </w:tcPr>
          <w:p w14:paraId="73E31D4D">
            <w:pPr>
              <w:pStyle w:val="55"/>
              <w:bidi w:val="0"/>
              <w:rPr>
                <w:rFonts w:hint="default"/>
                <w:lang w:val="zh-CN" w:eastAsia="zh-CN"/>
              </w:rPr>
            </w:pPr>
            <w:r>
              <w:rPr>
                <w:rFonts w:hint="default"/>
                <w:lang w:val="zh-CN"/>
              </w:rPr>
              <w:t>重点防渗区</w:t>
            </w:r>
          </w:p>
        </w:tc>
        <w:tc>
          <w:tcPr>
            <w:tcW w:w="1663" w:type="pct"/>
            <w:tcBorders>
              <w:tl2br w:val="nil"/>
              <w:tr2bl w:val="nil"/>
            </w:tcBorders>
            <w:noWrap w:val="0"/>
            <w:vAlign w:val="center"/>
          </w:tcPr>
          <w:p w14:paraId="7D00A3AF">
            <w:pPr>
              <w:pStyle w:val="55"/>
              <w:bidi w:val="0"/>
              <w:rPr>
                <w:rFonts w:hint="default"/>
                <w:lang w:val="en-US" w:eastAsia="zh-CN"/>
              </w:rPr>
            </w:pPr>
            <w:r>
              <w:rPr>
                <w:rFonts w:hint="eastAsia"/>
                <w:lang w:val="en-US" w:eastAsia="zh-CN"/>
              </w:rPr>
              <w:t>危险废物贮存库、防渗旱厕</w:t>
            </w:r>
          </w:p>
        </w:tc>
        <w:tc>
          <w:tcPr>
            <w:tcW w:w="2416" w:type="pct"/>
            <w:tcBorders>
              <w:tl2br w:val="nil"/>
              <w:tr2bl w:val="nil"/>
            </w:tcBorders>
            <w:noWrap w:val="0"/>
            <w:vAlign w:val="center"/>
          </w:tcPr>
          <w:p w14:paraId="6B98A104">
            <w:pPr>
              <w:pStyle w:val="55"/>
              <w:bidi w:val="0"/>
              <w:rPr>
                <w:rFonts w:hint="default"/>
                <w:lang w:val="zh-CN" w:eastAsia="zh-CN"/>
              </w:rPr>
            </w:pPr>
            <w:r>
              <w:rPr>
                <w:rFonts w:hint="default"/>
                <w:lang w:val="zh-CN"/>
              </w:rPr>
              <w:t>等效黏土防渗层Mb≥6.0m，K&lt;1×10</w:t>
            </w:r>
            <w:r>
              <w:rPr>
                <w:rFonts w:hint="default"/>
                <w:vertAlign w:val="superscript"/>
                <w:lang w:val="zh-CN"/>
              </w:rPr>
              <w:t>-7</w:t>
            </w:r>
            <w:r>
              <w:rPr>
                <w:rFonts w:hint="default"/>
                <w:lang w:val="zh-CN"/>
              </w:rPr>
              <w:t>cm/s，或参照GB18598执行</w:t>
            </w:r>
          </w:p>
        </w:tc>
      </w:tr>
      <w:tr w14:paraId="3FD4A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0" w:type="pct"/>
            <w:tcBorders>
              <w:tl2br w:val="nil"/>
              <w:tr2bl w:val="nil"/>
            </w:tcBorders>
            <w:noWrap w:val="0"/>
            <w:vAlign w:val="center"/>
          </w:tcPr>
          <w:p w14:paraId="635E733E">
            <w:pPr>
              <w:pStyle w:val="55"/>
              <w:bidi w:val="0"/>
              <w:rPr>
                <w:rFonts w:hint="default"/>
              </w:rPr>
            </w:pPr>
            <w:r>
              <w:rPr>
                <w:rFonts w:hint="default"/>
              </w:rPr>
              <w:t>一般防渗区</w:t>
            </w:r>
          </w:p>
        </w:tc>
        <w:tc>
          <w:tcPr>
            <w:tcW w:w="1663" w:type="pct"/>
            <w:tcBorders>
              <w:tl2br w:val="nil"/>
              <w:tr2bl w:val="nil"/>
            </w:tcBorders>
            <w:noWrap w:val="0"/>
            <w:vAlign w:val="center"/>
          </w:tcPr>
          <w:p w14:paraId="4A5235C4">
            <w:pPr>
              <w:pStyle w:val="55"/>
              <w:bidi w:val="0"/>
              <w:rPr>
                <w:rFonts w:hint="default"/>
                <w:lang w:val="en-US" w:eastAsia="zh-CN"/>
              </w:rPr>
            </w:pPr>
            <w:r>
              <w:rPr>
                <w:rFonts w:hint="eastAsia"/>
                <w:lang w:val="en-US" w:eastAsia="zh-CN"/>
              </w:rPr>
              <w:t>沉淀池、</w:t>
            </w:r>
            <w:r>
              <w:rPr>
                <w:rFonts w:hint="eastAsia"/>
                <w:color w:val="000000" w:themeColor="text1"/>
                <w:lang w:eastAsia="zh-CN"/>
                <w14:textFill>
                  <w14:solidFill>
                    <w14:schemeClr w14:val="tx1"/>
                  </w14:solidFill>
                </w14:textFill>
              </w:rPr>
              <w:t>生产车间、原料车间</w:t>
            </w:r>
          </w:p>
        </w:tc>
        <w:tc>
          <w:tcPr>
            <w:tcW w:w="2416" w:type="pct"/>
            <w:tcBorders>
              <w:tl2br w:val="nil"/>
              <w:tr2bl w:val="nil"/>
            </w:tcBorders>
            <w:noWrap w:val="0"/>
            <w:vAlign w:val="center"/>
          </w:tcPr>
          <w:p w14:paraId="69CC0855">
            <w:pPr>
              <w:pStyle w:val="55"/>
              <w:bidi w:val="0"/>
              <w:rPr>
                <w:rFonts w:hint="default"/>
              </w:rPr>
            </w:pPr>
            <w:r>
              <w:rPr>
                <w:rFonts w:hint="default"/>
                <w:lang w:val="zh-CN"/>
              </w:rPr>
              <w:t>等效黏土防渗层Mb&gt;1.5m，K&lt;1×10</w:t>
            </w:r>
            <w:r>
              <w:rPr>
                <w:rFonts w:hint="default"/>
                <w:vertAlign w:val="superscript"/>
                <w:lang w:val="zh-CN"/>
              </w:rPr>
              <w:t>-7</w:t>
            </w:r>
            <w:r>
              <w:rPr>
                <w:rFonts w:hint="default"/>
                <w:lang w:val="zh-CN"/>
              </w:rPr>
              <w:t>cm/s，或参照GB16889执行</w:t>
            </w:r>
          </w:p>
        </w:tc>
      </w:tr>
      <w:tr w14:paraId="0F3BB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0" w:type="pct"/>
            <w:tcBorders>
              <w:tl2br w:val="nil"/>
              <w:tr2bl w:val="nil"/>
            </w:tcBorders>
            <w:noWrap w:val="0"/>
            <w:vAlign w:val="center"/>
          </w:tcPr>
          <w:p w14:paraId="7D66167D">
            <w:pPr>
              <w:pStyle w:val="55"/>
              <w:bidi w:val="0"/>
              <w:rPr>
                <w:rFonts w:hint="default"/>
              </w:rPr>
            </w:pPr>
            <w:r>
              <w:rPr>
                <w:rFonts w:hint="default"/>
              </w:rPr>
              <w:t>简单防渗区</w:t>
            </w:r>
          </w:p>
        </w:tc>
        <w:tc>
          <w:tcPr>
            <w:tcW w:w="1663" w:type="pct"/>
            <w:tcBorders>
              <w:tl2br w:val="nil"/>
              <w:tr2bl w:val="nil"/>
            </w:tcBorders>
            <w:noWrap w:val="0"/>
            <w:vAlign w:val="center"/>
          </w:tcPr>
          <w:p w14:paraId="08BDFF65">
            <w:pPr>
              <w:pStyle w:val="55"/>
              <w:bidi w:val="0"/>
              <w:rPr>
                <w:rFonts w:hint="default"/>
                <w:lang w:val="en-US" w:eastAsia="zh-Hans"/>
              </w:rPr>
            </w:pPr>
            <w:r>
              <w:rPr>
                <w:rFonts w:hint="default"/>
                <w:lang w:val="en-US" w:eastAsia="zh-Hans"/>
              </w:rPr>
              <w:t>厂区其他区域</w:t>
            </w:r>
          </w:p>
        </w:tc>
        <w:tc>
          <w:tcPr>
            <w:tcW w:w="2416" w:type="pct"/>
            <w:tcBorders>
              <w:tl2br w:val="nil"/>
              <w:tr2bl w:val="nil"/>
            </w:tcBorders>
            <w:noWrap w:val="0"/>
            <w:vAlign w:val="center"/>
          </w:tcPr>
          <w:p w14:paraId="5A837FCC">
            <w:pPr>
              <w:pStyle w:val="55"/>
              <w:bidi w:val="0"/>
              <w:rPr>
                <w:rFonts w:hint="default"/>
              </w:rPr>
            </w:pPr>
            <w:r>
              <w:rPr>
                <w:rFonts w:hint="default"/>
              </w:rPr>
              <w:t>一般地面硬化</w:t>
            </w:r>
          </w:p>
        </w:tc>
      </w:tr>
    </w:tbl>
    <w:p w14:paraId="1EB179A9">
      <w:pPr>
        <w:pStyle w:val="47"/>
        <w:bidi w:val="0"/>
      </w:pPr>
      <w:r>
        <w:rPr>
          <w:rFonts w:hint="eastAsia"/>
          <w:lang w:val="en-US" w:eastAsia="zh-CN"/>
        </w:rPr>
        <w:t>d.</w:t>
      </w:r>
      <w:r>
        <w:t>管理措施</w:t>
      </w:r>
    </w:p>
    <w:p w14:paraId="5AC4FB4B">
      <w:pPr>
        <w:pStyle w:val="47"/>
        <w:bidi w:val="0"/>
      </w:pPr>
      <w:r>
        <w:t>项目运行后，配备专兼职技术人员，加强地下水环境管理及巡查，定期对</w:t>
      </w:r>
      <w:r>
        <w:rPr>
          <w:rFonts w:hint="eastAsia"/>
          <w:lang w:val="en-US" w:eastAsia="zh-CN"/>
        </w:rPr>
        <w:t>沉淀池和危险废物贮存库等</w:t>
      </w:r>
      <w:r>
        <w:t>环节进行检漏工作，确保各防渗漏措施运行的长期性、稳定性和可靠性。</w:t>
      </w:r>
    </w:p>
    <w:p w14:paraId="3F06E844">
      <w:pPr>
        <w:pStyle w:val="92"/>
        <w:bidi w:val="0"/>
        <w:ind w:left="0" w:leftChars="0" w:firstLine="0" w:firstLineChars="0"/>
        <w:rPr>
          <w:rFonts w:hint="eastAsia"/>
          <w:lang w:eastAsia="zh-CN"/>
        </w:rPr>
      </w:pPr>
      <w:r>
        <w:rPr>
          <w:rFonts w:hint="eastAsia"/>
          <w:lang w:eastAsia="zh-CN"/>
        </w:rPr>
        <w:t>水环境影响评价结论</w:t>
      </w:r>
    </w:p>
    <w:p w14:paraId="288DFBD6">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（1）在正常状况下：项目进行了严格的防腐、防渗处理，不会出现渗漏污染地下水的情景，故正常状况下不会对地下水环境产生影响。</w:t>
      </w:r>
    </w:p>
    <w:p w14:paraId="0EE1E2E2">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（2）非正常状况下，假定</w:t>
      </w:r>
      <w:r>
        <w:rPr>
          <w:rFonts w:hint="eastAsia"/>
          <w:color w:val="000000" w:themeColor="text1"/>
          <w:lang w:val="en-US" w:eastAsia="zh-CN"/>
          <w14:textFill>
            <w14:solidFill>
              <w14:schemeClr w14:val="tx1"/>
            </w14:solidFill>
          </w14:textFill>
        </w:rPr>
        <w:t>防渗旱厕</w:t>
      </w:r>
      <w:r>
        <w:rPr>
          <w:rFonts w:hint="eastAsia"/>
          <w:color w:val="000000" w:themeColor="text1"/>
          <w:lang w:eastAsia="zh-CN"/>
          <w14:textFill>
            <w14:solidFill>
              <w14:schemeClr w14:val="tx1"/>
            </w14:solidFill>
          </w14:textFill>
        </w:rPr>
        <w:t>出现泄漏，污染物进入地下水含水层，在此假定情景下，污染物的渗漏会对区域的地下水环境产生影响，随着污染物扩散稀释，对地下水的影响减弱，影响范围有所扩大，但均不涉及地下水保护目标。通过采取源头控制措施、分区防治措施以及地下水污染监控、风险事故应急响应，可避免项目实施后对区域地下水水质产生污染影响。</w:t>
      </w:r>
    </w:p>
    <w:p w14:paraId="321DAA38">
      <w:pPr>
        <w:pStyle w:val="47"/>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综上所述，在采取报告中提出的防渗等地下水环境保护措施后，项目对地下水环境的影响程度在可接受的程度内，在强化管理、切实落实各项环保措施，确保全部污染物达标排放的前提下，项目建设从地下水环境保护角度而言是可行的。</w:t>
      </w:r>
    </w:p>
    <w:p w14:paraId="24369400">
      <w:pPr>
        <w:pStyle w:val="90"/>
        <w:bidi w:val="0"/>
        <w:ind w:left="0" w:leftChars="0" w:firstLine="0" w:firstLineChars="0"/>
      </w:pPr>
      <w:bookmarkStart w:id="59" w:name="_Toc226"/>
      <w:r>
        <w:rPr>
          <w:rFonts w:hint="eastAsia"/>
        </w:rPr>
        <w:t>噪声环境影响分析</w:t>
      </w:r>
      <w:bookmarkEnd w:id="59"/>
    </w:p>
    <w:p w14:paraId="2BE8C4AB">
      <w:pPr>
        <w:pStyle w:val="47"/>
        <w:bidi w:val="0"/>
      </w:pPr>
      <w:r>
        <w:rPr>
          <w:rFonts w:hint="eastAsia"/>
          <w:lang w:val="en-US" w:eastAsia="zh-CN"/>
        </w:rPr>
        <w:t>（1）</w:t>
      </w:r>
      <w:r>
        <w:rPr>
          <w:rFonts w:hint="eastAsia"/>
        </w:rPr>
        <w:t>噪声环境影响</w:t>
      </w:r>
      <w:r>
        <w:t>预测</w:t>
      </w:r>
    </w:p>
    <w:p w14:paraId="08FD870B">
      <w:pPr>
        <w:pStyle w:val="47"/>
        <w:bidi w:val="0"/>
        <w:sectPr>
          <w:pgSz w:w="11906" w:h="16838"/>
          <w:pgMar w:top="1417" w:right="1417" w:bottom="1417" w:left="1417" w:header="964" w:footer="964" w:gutter="0"/>
          <w:pgBorders>
            <w:top w:val="none" w:sz="0" w:space="0"/>
            <w:left w:val="none" w:sz="0" w:space="0"/>
            <w:bottom w:val="none" w:sz="0" w:space="0"/>
            <w:right w:val="none" w:sz="0" w:space="0"/>
          </w:pgBorders>
          <w:pgNumType w:fmt="decimal"/>
          <w:cols w:space="425" w:num="1"/>
          <w:docGrid w:type="linesAndChars" w:linePitch="326" w:charSpace="190"/>
        </w:sectPr>
      </w:pPr>
      <w:r>
        <w:t>本项目主要噪声源主要为</w:t>
      </w:r>
      <w:r>
        <w:rPr>
          <w:rFonts w:hint="eastAsia"/>
        </w:rPr>
        <w:t>破碎机、水浮分离机、卧式甩干机、高速混合机、挤出机、风机等设备</w:t>
      </w:r>
      <w:r>
        <w:rPr>
          <w:rFonts w:hint="eastAsia"/>
          <w:lang w:eastAsia="zh-CN"/>
        </w:rPr>
        <w:t>，</w:t>
      </w:r>
      <w:r>
        <w:rPr>
          <w:rFonts w:hint="eastAsia"/>
          <w:lang w:val="en-US" w:eastAsia="zh-CN"/>
        </w:rPr>
        <w:t>采取低噪声设备，采用减振、降噪等措施</w:t>
      </w:r>
      <w:r>
        <w:t>。</w:t>
      </w:r>
      <w:r>
        <w:rPr>
          <w:rFonts w:hint="eastAsia"/>
        </w:rPr>
        <w:t>噪声源强度约</w:t>
      </w:r>
      <w:r>
        <w:rPr>
          <w:rFonts w:hint="eastAsia"/>
          <w:lang w:val="en-US" w:eastAsia="zh-CN"/>
        </w:rPr>
        <w:t>80</w:t>
      </w:r>
      <w:r>
        <w:rPr>
          <w:rFonts w:hint="eastAsia"/>
        </w:rPr>
        <w:t>-</w:t>
      </w:r>
      <w:r>
        <w:rPr>
          <w:rFonts w:hint="eastAsia"/>
          <w:lang w:val="en-US" w:eastAsia="zh-CN"/>
        </w:rPr>
        <w:t>94</w:t>
      </w:r>
      <w:r>
        <w:rPr>
          <w:rFonts w:hint="eastAsia"/>
        </w:rPr>
        <w:t>dB(A)，生产设备选用低噪声设备，采用基础减振+厂房隔声、风机安装消声器等降噪措施。</w:t>
      </w:r>
      <w:r>
        <w:t>本项目噪声源强情况详见下表。</w:t>
      </w:r>
    </w:p>
    <w:p w14:paraId="4D5F66BB">
      <w:pPr>
        <w:pStyle w:val="94"/>
        <w:bidi w:val="0"/>
        <w:ind w:left="0" w:leftChars="0" w:firstLine="0" w:firstLineChars="0"/>
      </w:pPr>
      <w:r>
        <w:rPr>
          <w:rFonts w:hint="eastAsia"/>
        </w:rPr>
        <w:t>噪声源强调查清单（室</w:t>
      </w:r>
      <w:r>
        <w:rPr>
          <w:rFonts w:hint="eastAsia"/>
          <w:lang w:val="en-US" w:eastAsia="zh-CN"/>
        </w:rPr>
        <w:t>外</w:t>
      </w:r>
      <w:r>
        <w:rPr>
          <w:rFonts w:hint="eastAsia"/>
        </w:rPr>
        <w:t>声源）</w:t>
      </w:r>
    </w:p>
    <w:tbl>
      <w:tblPr>
        <w:tblStyle w:val="3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696"/>
        <w:gridCol w:w="1299"/>
        <w:gridCol w:w="713"/>
        <w:gridCol w:w="4186"/>
        <w:gridCol w:w="1416"/>
        <w:gridCol w:w="1177"/>
        <w:gridCol w:w="3367"/>
        <w:gridCol w:w="1357"/>
      </w:tblGrid>
      <w:tr w14:paraId="49834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397" w:hRule="atLeast"/>
        </w:trPr>
        <w:tc>
          <w:tcPr>
            <w:tcW w:w="274" w:type="pct"/>
            <w:tcBorders>
              <w:tl2br w:val="nil"/>
              <w:tr2bl w:val="nil"/>
            </w:tcBorders>
            <w:shd w:val="clear" w:color="auto" w:fill="auto"/>
            <w:noWrap/>
            <w:vAlign w:val="center"/>
          </w:tcPr>
          <w:p w14:paraId="1A47BB93">
            <w:pPr>
              <w:pStyle w:val="55"/>
              <w:bidi w:val="0"/>
              <w:rPr>
                <w:rFonts w:hint="eastAsia"/>
              </w:rPr>
            </w:pPr>
            <w:r>
              <w:rPr>
                <w:rFonts w:hint="eastAsia"/>
                <w:lang w:val="en-US" w:eastAsia="zh-CN"/>
              </w:rPr>
              <w:t>序号</w:t>
            </w:r>
          </w:p>
        </w:tc>
        <w:tc>
          <w:tcPr>
            <w:tcW w:w="604" w:type="pct"/>
            <w:tcBorders>
              <w:tl2br w:val="nil"/>
              <w:tr2bl w:val="nil"/>
            </w:tcBorders>
            <w:shd w:val="clear" w:color="auto" w:fill="auto"/>
            <w:noWrap/>
            <w:vAlign w:val="center"/>
          </w:tcPr>
          <w:p w14:paraId="150E4E02">
            <w:pPr>
              <w:pStyle w:val="55"/>
              <w:bidi w:val="0"/>
              <w:rPr>
                <w:rFonts w:hint="eastAsia"/>
              </w:rPr>
            </w:pPr>
            <w:r>
              <w:rPr>
                <w:rFonts w:hint="eastAsia"/>
                <w:lang w:val="en-US" w:eastAsia="zh-CN"/>
              </w:rPr>
              <w:t>声源名称</w:t>
            </w:r>
          </w:p>
        </w:tc>
        <w:tc>
          <w:tcPr>
            <w:tcW w:w="349" w:type="pct"/>
            <w:tcBorders>
              <w:tl2br w:val="nil"/>
              <w:tr2bl w:val="nil"/>
            </w:tcBorders>
            <w:shd w:val="clear" w:color="auto" w:fill="auto"/>
            <w:noWrap/>
            <w:vAlign w:val="center"/>
          </w:tcPr>
          <w:p w14:paraId="45B0C76F">
            <w:pPr>
              <w:pStyle w:val="55"/>
              <w:bidi w:val="0"/>
              <w:rPr>
                <w:rFonts w:hint="eastAsia"/>
              </w:rPr>
            </w:pPr>
            <w:r>
              <w:rPr>
                <w:rFonts w:hint="eastAsia"/>
                <w:lang w:val="en-US" w:eastAsia="zh-CN"/>
              </w:rPr>
              <w:t>型号</w:t>
            </w:r>
          </w:p>
        </w:tc>
        <w:tc>
          <w:tcPr>
            <w:tcW w:w="1570" w:type="pct"/>
            <w:tcBorders>
              <w:tl2br w:val="nil"/>
              <w:tr2bl w:val="nil"/>
            </w:tcBorders>
            <w:shd w:val="clear" w:color="auto" w:fill="auto"/>
            <w:noWrap/>
            <w:vAlign w:val="center"/>
          </w:tcPr>
          <w:p w14:paraId="0050A89C">
            <w:pPr>
              <w:pStyle w:val="55"/>
              <w:bidi w:val="0"/>
              <w:rPr>
                <w:rFonts w:hint="eastAsia"/>
              </w:rPr>
            </w:pPr>
            <w:r>
              <w:rPr>
                <w:rFonts w:hint="eastAsia"/>
                <w:lang w:val="en-US" w:eastAsia="zh-CN"/>
              </w:rPr>
              <w:t>空间相对位置XYZ/m</w:t>
            </w:r>
          </w:p>
        </w:tc>
        <w:tc>
          <w:tcPr>
            <w:tcW w:w="547" w:type="pct"/>
            <w:tcBorders>
              <w:tl2br w:val="nil"/>
              <w:tr2bl w:val="nil"/>
            </w:tcBorders>
            <w:shd w:val="clear" w:color="auto" w:fill="auto"/>
            <w:noWrap/>
            <w:vAlign w:val="center"/>
          </w:tcPr>
          <w:p w14:paraId="3B39F4DB">
            <w:pPr>
              <w:pStyle w:val="55"/>
              <w:bidi w:val="0"/>
              <w:rPr>
                <w:rFonts w:hint="eastAsia"/>
              </w:rPr>
            </w:pPr>
            <w:r>
              <w:rPr>
                <w:rFonts w:hint="eastAsia"/>
                <w:lang w:val="en-US" w:eastAsia="zh-CN"/>
              </w:rPr>
              <w:t>源强评价量</w:t>
            </w:r>
          </w:p>
        </w:tc>
        <w:tc>
          <w:tcPr>
            <w:tcW w:w="456" w:type="pct"/>
            <w:tcBorders>
              <w:tl2br w:val="nil"/>
              <w:tr2bl w:val="nil"/>
            </w:tcBorders>
            <w:shd w:val="clear" w:color="auto" w:fill="auto"/>
            <w:noWrap/>
            <w:vAlign w:val="center"/>
          </w:tcPr>
          <w:p w14:paraId="2CDD8093">
            <w:pPr>
              <w:pStyle w:val="55"/>
              <w:bidi w:val="0"/>
              <w:rPr>
                <w:rFonts w:hint="eastAsia"/>
              </w:rPr>
            </w:pPr>
            <w:r>
              <w:rPr>
                <w:rFonts w:hint="eastAsia"/>
                <w:lang w:val="en-US" w:eastAsia="zh-CN"/>
              </w:rPr>
              <w:t>噪声源强</w:t>
            </w:r>
          </w:p>
        </w:tc>
        <w:tc>
          <w:tcPr>
            <w:tcW w:w="638" w:type="pct"/>
            <w:tcBorders>
              <w:tl2br w:val="nil"/>
              <w:tr2bl w:val="nil"/>
            </w:tcBorders>
            <w:shd w:val="clear" w:color="auto" w:fill="auto"/>
            <w:noWrap/>
            <w:vAlign w:val="center"/>
          </w:tcPr>
          <w:p w14:paraId="65D41AB7">
            <w:pPr>
              <w:pStyle w:val="55"/>
              <w:bidi w:val="0"/>
              <w:rPr>
                <w:rFonts w:hint="eastAsia"/>
              </w:rPr>
            </w:pPr>
            <w:r>
              <w:rPr>
                <w:rFonts w:hint="eastAsia"/>
                <w:lang w:val="en-US" w:eastAsia="zh-CN"/>
              </w:rPr>
              <w:t>声源控制措施</w:t>
            </w:r>
          </w:p>
        </w:tc>
        <w:tc>
          <w:tcPr>
            <w:tcW w:w="558" w:type="pct"/>
            <w:tcBorders>
              <w:right w:val="single" w:color="000000" w:sz="4" w:space="0"/>
              <w:tl2br w:val="nil"/>
              <w:tr2bl w:val="nil"/>
            </w:tcBorders>
            <w:shd w:val="clear" w:color="auto" w:fill="auto"/>
            <w:noWrap/>
            <w:vAlign w:val="center"/>
          </w:tcPr>
          <w:p w14:paraId="51F93E0C">
            <w:pPr>
              <w:pStyle w:val="55"/>
              <w:bidi w:val="0"/>
              <w:rPr>
                <w:rFonts w:hint="eastAsia"/>
              </w:rPr>
            </w:pPr>
            <w:r>
              <w:rPr>
                <w:rFonts w:hint="eastAsia"/>
                <w:lang w:val="en-US" w:eastAsia="zh-CN"/>
              </w:rPr>
              <w:t>持续时间h</w:t>
            </w:r>
          </w:p>
        </w:tc>
      </w:tr>
      <w:tr w14:paraId="24F66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trPr>
        <w:tc>
          <w:tcPr>
            <w:tcW w:w="274" w:type="pct"/>
            <w:tcBorders>
              <w:tl2br w:val="nil"/>
              <w:tr2bl w:val="nil"/>
            </w:tcBorders>
            <w:shd w:val="clear" w:color="auto" w:fill="auto"/>
            <w:noWrap/>
            <w:vAlign w:val="center"/>
          </w:tcPr>
          <w:p w14:paraId="0466D3A8">
            <w:pPr>
              <w:pStyle w:val="55"/>
              <w:bidi w:val="0"/>
              <w:rPr>
                <w:rFonts w:hint="eastAsia"/>
              </w:rPr>
            </w:pPr>
            <w:r>
              <w:rPr>
                <w:rFonts w:hint="eastAsia"/>
                <w:lang w:val="en-US" w:eastAsia="zh-CN"/>
              </w:rPr>
              <w:t>1</w:t>
            </w:r>
          </w:p>
        </w:tc>
        <w:tc>
          <w:tcPr>
            <w:tcW w:w="604" w:type="pct"/>
            <w:tcBorders>
              <w:tl2br w:val="nil"/>
              <w:tr2bl w:val="nil"/>
            </w:tcBorders>
            <w:shd w:val="clear" w:color="auto" w:fill="auto"/>
            <w:noWrap/>
            <w:vAlign w:val="center"/>
          </w:tcPr>
          <w:p w14:paraId="5BD3B770">
            <w:pPr>
              <w:pStyle w:val="55"/>
              <w:bidi w:val="0"/>
              <w:rPr>
                <w:rFonts w:hint="default"/>
                <w:lang w:val="en-US"/>
              </w:rPr>
            </w:pPr>
            <w:r>
              <w:rPr>
                <w:rFonts w:hint="eastAsia"/>
                <w:lang w:val="en-US" w:eastAsia="zh-CN"/>
              </w:rPr>
              <w:t>风机1</w:t>
            </w:r>
          </w:p>
        </w:tc>
        <w:tc>
          <w:tcPr>
            <w:tcW w:w="349" w:type="pct"/>
            <w:tcBorders>
              <w:tl2br w:val="nil"/>
              <w:tr2bl w:val="nil"/>
            </w:tcBorders>
            <w:shd w:val="clear" w:color="auto" w:fill="auto"/>
            <w:noWrap/>
            <w:vAlign w:val="center"/>
          </w:tcPr>
          <w:p w14:paraId="55B168AB">
            <w:pPr>
              <w:pStyle w:val="55"/>
              <w:bidi w:val="0"/>
              <w:rPr>
                <w:rFonts w:hint="eastAsia"/>
              </w:rPr>
            </w:pPr>
          </w:p>
        </w:tc>
        <w:tc>
          <w:tcPr>
            <w:tcW w:w="1570" w:type="pct"/>
            <w:tcBorders>
              <w:tl2br w:val="nil"/>
              <w:tr2bl w:val="nil"/>
            </w:tcBorders>
            <w:shd w:val="clear" w:color="auto" w:fill="auto"/>
            <w:noWrap/>
            <w:vAlign w:val="center"/>
          </w:tcPr>
          <w:p w14:paraId="098DE252">
            <w:pPr>
              <w:pStyle w:val="55"/>
              <w:bidi w:val="0"/>
              <w:rPr>
                <w:rFonts w:hint="eastAsia"/>
              </w:rPr>
            </w:pPr>
            <w:r>
              <w:rPr>
                <w:rFonts w:hint="eastAsia"/>
                <w:lang w:val="en-US" w:eastAsia="zh-CN"/>
              </w:rPr>
              <w:t>-65.091、138.395、1</w:t>
            </w:r>
          </w:p>
        </w:tc>
        <w:tc>
          <w:tcPr>
            <w:tcW w:w="547" w:type="pct"/>
            <w:tcBorders>
              <w:tl2br w:val="nil"/>
              <w:tr2bl w:val="nil"/>
            </w:tcBorders>
            <w:shd w:val="clear" w:color="auto" w:fill="auto"/>
            <w:noWrap/>
            <w:vAlign w:val="center"/>
          </w:tcPr>
          <w:p w14:paraId="285FA525">
            <w:pPr>
              <w:pStyle w:val="55"/>
              <w:bidi w:val="0"/>
              <w:rPr>
                <w:rFonts w:hint="eastAsia"/>
              </w:rPr>
            </w:pPr>
            <w:r>
              <w:rPr>
                <w:rFonts w:hint="eastAsia"/>
                <w:lang w:val="en-US" w:eastAsia="zh-CN"/>
              </w:rPr>
              <w:t>声功率级</w:t>
            </w:r>
          </w:p>
        </w:tc>
        <w:tc>
          <w:tcPr>
            <w:tcW w:w="456" w:type="pct"/>
            <w:tcBorders>
              <w:tl2br w:val="nil"/>
              <w:tr2bl w:val="nil"/>
            </w:tcBorders>
            <w:shd w:val="clear" w:color="auto" w:fill="auto"/>
            <w:noWrap/>
            <w:vAlign w:val="center"/>
          </w:tcPr>
          <w:p w14:paraId="31DCBE31">
            <w:pPr>
              <w:pStyle w:val="55"/>
              <w:bidi w:val="0"/>
              <w:rPr>
                <w:rFonts w:hint="eastAsia"/>
              </w:rPr>
            </w:pPr>
            <w:r>
              <w:rPr>
                <w:rFonts w:hint="eastAsia"/>
                <w:lang w:val="en-US" w:eastAsia="zh-CN"/>
              </w:rPr>
              <w:t>85</w:t>
            </w:r>
          </w:p>
        </w:tc>
        <w:tc>
          <w:tcPr>
            <w:tcW w:w="638" w:type="pct"/>
            <w:vMerge w:val="restart"/>
            <w:tcBorders>
              <w:tl2br w:val="nil"/>
              <w:tr2bl w:val="nil"/>
            </w:tcBorders>
            <w:shd w:val="clear" w:color="auto" w:fill="auto"/>
            <w:noWrap/>
            <w:vAlign w:val="center"/>
          </w:tcPr>
          <w:p w14:paraId="036B3DC1">
            <w:pPr>
              <w:pStyle w:val="55"/>
              <w:bidi w:val="0"/>
              <w:rPr>
                <w:rFonts w:hint="eastAsia"/>
              </w:rPr>
            </w:pPr>
            <w:r>
              <w:rPr>
                <w:rFonts w:hint="default" w:ascii="Times New Roman" w:hAnsi="Times New Roman" w:eastAsia="楷体" w:cs="Times New Roman"/>
                <w:b w:val="0"/>
                <w:bCs w:val="0"/>
                <w:color w:val="000000" w:themeColor="text1"/>
                <w:sz w:val="21"/>
                <w:szCs w:val="21"/>
                <w:highlight w:val="none"/>
                <w:lang w:val="en-US" w:eastAsia="zh-CN"/>
                <w14:textFill>
                  <w14:solidFill>
                    <w14:schemeClr w14:val="tx1"/>
                  </w14:solidFill>
                </w14:textFill>
              </w:rPr>
              <w:t>低噪声设备、基础减震、距离衰减</w:t>
            </w:r>
          </w:p>
        </w:tc>
        <w:tc>
          <w:tcPr>
            <w:tcW w:w="558" w:type="pct"/>
            <w:tcBorders>
              <w:tl2br w:val="nil"/>
              <w:tr2bl w:val="nil"/>
            </w:tcBorders>
            <w:shd w:val="clear" w:color="auto" w:fill="auto"/>
            <w:noWrap/>
            <w:vAlign w:val="center"/>
          </w:tcPr>
          <w:p w14:paraId="0A64F89D">
            <w:pPr>
              <w:pStyle w:val="55"/>
              <w:bidi w:val="0"/>
              <w:rPr>
                <w:rFonts w:hint="eastAsia"/>
              </w:rPr>
            </w:pPr>
            <w:r>
              <w:rPr>
                <w:rFonts w:hint="eastAsia"/>
                <w:lang w:val="en-US" w:eastAsia="zh-CN"/>
              </w:rPr>
              <w:t>全天</w:t>
            </w:r>
          </w:p>
        </w:tc>
      </w:tr>
      <w:tr w14:paraId="2B83A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trPr>
        <w:tc>
          <w:tcPr>
            <w:tcW w:w="274" w:type="pct"/>
            <w:tcBorders>
              <w:tl2br w:val="nil"/>
              <w:tr2bl w:val="nil"/>
            </w:tcBorders>
            <w:shd w:val="clear" w:color="auto" w:fill="auto"/>
            <w:noWrap/>
            <w:vAlign w:val="center"/>
          </w:tcPr>
          <w:p w14:paraId="6D755C15">
            <w:pPr>
              <w:pStyle w:val="55"/>
              <w:bidi w:val="0"/>
              <w:rPr>
                <w:rFonts w:hint="eastAsia"/>
              </w:rPr>
            </w:pPr>
            <w:r>
              <w:rPr>
                <w:rFonts w:hint="eastAsia"/>
                <w:lang w:val="en-US" w:eastAsia="zh-CN"/>
              </w:rPr>
              <w:t>2</w:t>
            </w:r>
          </w:p>
        </w:tc>
        <w:tc>
          <w:tcPr>
            <w:tcW w:w="604" w:type="pct"/>
            <w:tcBorders>
              <w:tl2br w:val="nil"/>
              <w:tr2bl w:val="nil"/>
            </w:tcBorders>
            <w:shd w:val="clear" w:color="auto" w:fill="auto"/>
            <w:noWrap/>
            <w:vAlign w:val="center"/>
          </w:tcPr>
          <w:p w14:paraId="644DFB28">
            <w:pPr>
              <w:pStyle w:val="55"/>
              <w:bidi w:val="0"/>
              <w:rPr>
                <w:rFonts w:hint="eastAsia"/>
              </w:rPr>
            </w:pPr>
            <w:r>
              <w:rPr>
                <w:rFonts w:hint="eastAsia"/>
                <w:lang w:val="en-US" w:eastAsia="zh-CN"/>
              </w:rPr>
              <w:t>风机2</w:t>
            </w:r>
          </w:p>
        </w:tc>
        <w:tc>
          <w:tcPr>
            <w:tcW w:w="349" w:type="pct"/>
            <w:tcBorders>
              <w:tl2br w:val="nil"/>
              <w:tr2bl w:val="nil"/>
            </w:tcBorders>
            <w:shd w:val="clear" w:color="auto" w:fill="auto"/>
            <w:noWrap/>
            <w:vAlign w:val="center"/>
          </w:tcPr>
          <w:p w14:paraId="1E797AA2">
            <w:pPr>
              <w:pStyle w:val="55"/>
              <w:bidi w:val="0"/>
              <w:rPr>
                <w:rFonts w:hint="eastAsia"/>
              </w:rPr>
            </w:pPr>
          </w:p>
        </w:tc>
        <w:tc>
          <w:tcPr>
            <w:tcW w:w="1570" w:type="pct"/>
            <w:tcBorders>
              <w:tl2br w:val="nil"/>
              <w:tr2bl w:val="nil"/>
            </w:tcBorders>
            <w:shd w:val="clear" w:color="auto" w:fill="auto"/>
            <w:noWrap/>
            <w:vAlign w:val="center"/>
          </w:tcPr>
          <w:p w14:paraId="3EA45A20">
            <w:pPr>
              <w:pStyle w:val="55"/>
              <w:bidi w:val="0"/>
              <w:rPr>
                <w:rFonts w:hint="eastAsia"/>
              </w:rPr>
            </w:pPr>
            <w:r>
              <w:rPr>
                <w:rFonts w:hint="eastAsia"/>
                <w:lang w:val="en-US" w:eastAsia="zh-CN"/>
              </w:rPr>
              <w:t>-70.573、107.635、1</w:t>
            </w:r>
          </w:p>
        </w:tc>
        <w:tc>
          <w:tcPr>
            <w:tcW w:w="547" w:type="pct"/>
            <w:tcBorders>
              <w:tl2br w:val="nil"/>
              <w:tr2bl w:val="nil"/>
            </w:tcBorders>
            <w:shd w:val="clear" w:color="auto" w:fill="auto"/>
            <w:noWrap/>
            <w:vAlign w:val="center"/>
          </w:tcPr>
          <w:p w14:paraId="49ACE603">
            <w:pPr>
              <w:pStyle w:val="55"/>
              <w:bidi w:val="0"/>
              <w:rPr>
                <w:rFonts w:hint="eastAsia"/>
              </w:rPr>
            </w:pPr>
            <w:r>
              <w:rPr>
                <w:rFonts w:hint="eastAsia"/>
                <w:lang w:val="en-US" w:eastAsia="zh-CN"/>
              </w:rPr>
              <w:t>声功率级</w:t>
            </w:r>
          </w:p>
        </w:tc>
        <w:tc>
          <w:tcPr>
            <w:tcW w:w="456" w:type="pct"/>
            <w:tcBorders>
              <w:tl2br w:val="nil"/>
              <w:tr2bl w:val="nil"/>
            </w:tcBorders>
            <w:shd w:val="clear" w:color="auto" w:fill="auto"/>
            <w:noWrap/>
            <w:vAlign w:val="center"/>
          </w:tcPr>
          <w:p w14:paraId="686ECBE7">
            <w:pPr>
              <w:pStyle w:val="55"/>
              <w:bidi w:val="0"/>
              <w:rPr>
                <w:rFonts w:hint="eastAsia"/>
              </w:rPr>
            </w:pPr>
            <w:r>
              <w:rPr>
                <w:rFonts w:hint="eastAsia"/>
                <w:lang w:val="en-US" w:eastAsia="zh-CN"/>
              </w:rPr>
              <w:t>85</w:t>
            </w:r>
          </w:p>
        </w:tc>
        <w:tc>
          <w:tcPr>
            <w:tcW w:w="638" w:type="pct"/>
            <w:vMerge w:val="continue"/>
            <w:tcBorders>
              <w:tl2br w:val="nil"/>
              <w:tr2bl w:val="nil"/>
            </w:tcBorders>
            <w:shd w:val="clear" w:color="auto" w:fill="auto"/>
            <w:noWrap/>
            <w:vAlign w:val="center"/>
          </w:tcPr>
          <w:p w14:paraId="3E99F2BD">
            <w:pPr>
              <w:pStyle w:val="55"/>
              <w:bidi w:val="0"/>
              <w:rPr>
                <w:rFonts w:hint="eastAsia"/>
              </w:rPr>
            </w:pPr>
          </w:p>
        </w:tc>
        <w:tc>
          <w:tcPr>
            <w:tcW w:w="558" w:type="pct"/>
            <w:tcBorders>
              <w:tl2br w:val="nil"/>
              <w:tr2bl w:val="nil"/>
            </w:tcBorders>
            <w:shd w:val="clear" w:color="auto" w:fill="auto"/>
            <w:noWrap/>
            <w:vAlign w:val="center"/>
          </w:tcPr>
          <w:p w14:paraId="3557A234">
            <w:pPr>
              <w:pStyle w:val="55"/>
              <w:bidi w:val="0"/>
              <w:rPr>
                <w:rFonts w:hint="eastAsia"/>
              </w:rPr>
            </w:pPr>
            <w:r>
              <w:rPr>
                <w:rFonts w:hint="eastAsia"/>
                <w:lang w:val="en-US" w:eastAsia="zh-CN"/>
              </w:rPr>
              <w:t>全天</w:t>
            </w:r>
          </w:p>
        </w:tc>
      </w:tr>
      <w:tr w14:paraId="2C80B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74" w:type="pct"/>
            <w:tcBorders>
              <w:tl2br w:val="nil"/>
              <w:tr2bl w:val="nil"/>
            </w:tcBorders>
            <w:shd w:val="clear" w:color="auto" w:fill="auto"/>
            <w:noWrap/>
            <w:vAlign w:val="center"/>
          </w:tcPr>
          <w:p w14:paraId="12F8B301">
            <w:pPr>
              <w:pStyle w:val="55"/>
              <w:bidi w:val="0"/>
              <w:rPr>
                <w:rFonts w:hint="eastAsia"/>
              </w:rPr>
            </w:pPr>
            <w:r>
              <w:rPr>
                <w:rFonts w:hint="eastAsia"/>
                <w:lang w:val="en-US" w:eastAsia="zh-CN"/>
              </w:rPr>
              <w:t>3</w:t>
            </w:r>
          </w:p>
        </w:tc>
        <w:tc>
          <w:tcPr>
            <w:tcW w:w="604" w:type="pct"/>
            <w:tcBorders>
              <w:tl2br w:val="nil"/>
              <w:tr2bl w:val="nil"/>
            </w:tcBorders>
            <w:shd w:val="clear" w:color="auto" w:fill="auto"/>
            <w:noWrap/>
            <w:vAlign w:val="center"/>
          </w:tcPr>
          <w:p w14:paraId="7F8CBD23">
            <w:pPr>
              <w:pStyle w:val="55"/>
              <w:bidi w:val="0"/>
              <w:rPr>
                <w:rFonts w:hint="eastAsia"/>
              </w:rPr>
            </w:pPr>
            <w:r>
              <w:rPr>
                <w:rFonts w:hint="eastAsia"/>
                <w:lang w:val="en-US" w:eastAsia="zh-CN"/>
              </w:rPr>
              <w:t>风机3</w:t>
            </w:r>
          </w:p>
        </w:tc>
        <w:tc>
          <w:tcPr>
            <w:tcW w:w="349" w:type="pct"/>
            <w:tcBorders>
              <w:tl2br w:val="nil"/>
              <w:tr2bl w:val="nil"/>
            </w:tcBorders>
            <w:shd w:val="clear" w:color="auto" w:fill="auto"/>
            <w:noWrap/>
            <w:vAlign w:val="center"/>
          </w:tcPr>
          <w:p w14:paraId="13984235">
            <w:pPr>
              <w:pStyle w:val="55"/>
              <w:bidi w:val="0"/>
              <w:rPr>
                <w:rFonts w:hint="eastAsia"/>
              </w:rPr>
            </w:pPr>
          </w:p>
        </w:tc>
        <w:tc>
          <w:tcPr>
            <w:tcW w:w="1570" w:type="pct"/>
            <w:tcBorders>
              <w:tl2br w:val="nil"/>
              <w:tr2bl w:val="nil"/>
            </w:tcBorders>
            <w:shd w:val="clear" w:color="auto" w:fill="auto"/>
            <w:noWrap/>
            <w:vAlign w:val="center"/>
          </w:tcPr>
          <w:p w14:paraId="2C02F081">
            <w:pPr>
              <w:pStyle w:val="55"/>
              <w:bidi w:val="0"/>
              <w:rPr>
                <w:rFonts w:hint="eastAsia"/>
              </w:rPr>
            </w:pPr>
            <w:r>
              <w:rPr>
                <w:rFonts w:hint="eastAsia"/>
                <w:lang w:val="en-US" w:eastAsia="zh-CN"/>
              </w:rPr>
              <w:t>-62.959、81.443、1</w:t>
            </w:r>
          </w:p>
        </w:tc>
        <w:tc>
          <w:tcPr>
            <w:tcW w:w="547" w:type="pct"/>
            <w:tcBorders>
              <w:tl2br w:val="nil"/>
              <w:tr2bl w:val="nil"/>
            </w:tcBorders>
            <w:shd w:val="clear" w:color="auto" w:fill="auto"/>
            <w:noWrap/>
            <w:vAlign w:val="center"/>
          </w:tcPr>
          <w:p w14:paraId="79F43715">
            <w:pPr>
              <w:pStyle w:val="55"/>
              <w:bidi w:val="0"/>
              <w:rPr>
                <w:rFonts w:hint="eastAsia"/>
              </w:rPr>
            </w:pPr>
            <w:r>
              <w:rPr>
                <w:rFonts w:hint="eastAsia"/>
                <w:lang w:val="en-US" w:eastAsia="zh-CN"/>
              </w:rPr>
              <w:t>声功率级</w:t>
            </w:r>
          </w:p>
        </w:tc>
        <w:tc>
          <w:tcPr>
            <w:tcW w:w="456" w:type="pct"/>
            <w:tcBorders>
              <w:tl2br w:val="nil"/>
              <w:tr2bl w:val="nil"/>
            </w:tcBorders>
            <w:shd w:val="clear" w:color="auto" w:fill="auto"/>
            <w:noWrap/>
            <w:vAlign w:val="center"/>
          </w:tcPr>
          <w:p w14:paraId="14E5FAF2">
            <w:pPr>
              <w:pStyle w:val="55"/>
              <w:bidi w:val="0"/>
              <w:rPr>
                <w:rFonts w:hint="eastAsia"/>
              </w:rPr>
            </w:pPr>
            <w:r>
              <w:rPr>
                <w:rFonts w:hint="eastAsia"/>
                <w:lang w:val="en-US" w:eastAsia="zh-CN"/>
              </w:rPr>
              <w:t>85</w:t>
            </w:r>
          </w:p>
        </w:tc>
        <w:tc>
          <w:tcPr>
            <w:tcW w:w="638" w:type="pct"/>
            <w:vMerge w:val="continue"/>
            <w:tcBorders>
              <w:tl2br w:val="nil"/>
              <w:tr2bl w:val="nil"/>
            </w:tcBorders>
            <w:shd w:val="clear" w:color="auto" w:fill="auto"/>
            <w:noWrap/>
            <w:vAlign w:val="center"/>
          </w:tcPr>
          <w:p w14:paraId="4FD85BC6">
            <w:pPr>
              <w:pStyle w:val="55"/>
              <w:bidi w:val="0"/>
              <w:rPr>
                <w:rFonts w:hint="eastAsia"/>
              </w:rPr>
            </w:pPr>
          </w:p>
        </w:tc>
        <w:tc>
          <w:tcPr>
            <w:tcW w:w="558" w:type="pct"/>
            <w:tcBorders>
              <w:tl2br w:val="nil"/>
              <w:tr2bl w:val="nil"/>
            </w:tcBorders>
            <w:shd w:val="clear" w:color="auto" w:fill="auto"/>
            <w:noWrap/>
            <w:vAlign w:val="center"/>
          </w:tcPr>
          <w:p w14:paraId="255D1888">
            <w:pPr>
              <w:pStyle w:val="55"/>
              <w:bidi w:val="0"/>
              <w:rPr>
                <w:rFonts w:hint="eastAsia"/>
              </w:rPr>
            </w:pPr>
            <w:r>
              <w:rPr>
                <w:rFonts w:hint="eastAsia"/>
                <w:lang w:val="en-US" w:eastAsia="zh-CN"/>
              </w:rPr>
              <w:t>全天</w:t>
            </w:r>
          </w:p>
        </w:tc>
      </w:tr>
    </w:tbl>
    <w:p w14:paraId="07A618B3">
      <w:pPr>
        <w:pStyle w:val="94"/>
        <w:bidi w:val="0"/>
        <w:ind w:left="0" w:leftChars="0" w:firstLine="0" w:firstLineChars="0"/>
      </w:pPr>
      <w:r>
        <w:rPr>
          <w:rFonts w:hint="eastAsia"/>
        </w:rPr>
        <w:t>噪声源强调查清单（室</w:t>
      </w:r>
      <w:r>
        <w:rPr>
          <w:rFonts w:hint="eastAsia"/>
          <w:lang w:val="en-US" w:eastAsia="zh-CN"/>
        </w:rPr>
        <w:t>内</w:t>
      </w:r>
      <w:r>
        <w:rPr>
          <w:rFonts w:hint="eastAsia"/>
        </w:rPr>
        <w:t>声源）</w:t>
      </w:r>
    </w:p>
    <w:tbl>
      <w:tblPr>
        <w:tblStyle w:val="3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71"/>
        <w:gridCol w:w="637"/>
        <w:gridCol w:w="1715"/>
        <w:gridCol w:w="567"/>
        <w:gridCol w:w="581"/>
        <w:gridCol w:w="396"/>
        <w:gridCol w:w="931"/>
        <w:gridCol w:w="530"/>
        <w:gridCol w:w="530"/>
        <w:gridCol w:w="530"/>
        <w:gridCol w:w="532"/>
        <w:gridCol w:w="618"/>
        <w:gridCol w:w="618"/>
        <w:gridCol w:w="618"/>
        <w:gridCol w:w="534"/>
        <w:gridCol w:w="855"/>
        <w:gridCol w:w="510"/>
        <w:gridCol w:w="555"/>
        <w:gridCol w:w="570"/>
        <w:gridCol w:w="675"/>
        <w:gridCol w:w="1147"/>
      </w:tblGrid>
      <w:tr w14:paraId="7E5FE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tblHeader/>
        </w:trPr>
        <w:tc>
          <w:tcPr>
            <w:tcW w:w="200" w:type="pct"/>
            <w:vMerge w:val="restart"/>
            <w:tcBorders>
              <w:tl2br w:val="nil"/>
              <w:tr2bl w:val="nil"/>
            </w:tcBorders>
            <w:shd w:val="clear" w:color="auto" w:fill="auto"/>
            <w:noWrap/>
            <w:vAlign w:val="center"/>
          </w:tcPr>
          <w:p w14:paraId="5623D050">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序号</w:t>
            </w:r>
          </w:p>
        </w:tc>
        <w:tc>
          <w:tcPr>
            <w:tcW w:w="223" w:type="pct"/>
            <w:vMerge w:val="restart"/>
            <w:tcBorders>
              <w:tl2br w:val="nil"/>
              <w:tr2bl w:val="nil"/>
            </w:tcBorders>
            <w:shd w:val="clear" w:color="auto" w:fill="auto"/>
            <w:noWrap/>
            <w:vAlign w:val="center"/>
          </w:tcPr>
          <w:p w14:paraId="3FEB0955">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建筑物名称</w:t>
            </w:r>
          </w:p>
        </w:tc>
        <w:tc>
          <w:tcPr>
            <w:tcW w:w="603" w:type="pct"/>
            <w:vMerge w:val="restart"/>
            <w:tcBorders>
              <w:tl2br w:val="nil"/>
              <w:tr2bl w:val="nil"/>
            </w:tcBorders>
            <w:shd w:val="clear" w:color="auto" w:fill="auto"/>
            <w:noWrap/>
            <w:vAlign w:val="center"/>
          </w:tcPr>
          <w:p w14:paraId="7BC2475A">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声源名称</w:t>
            </w:r>
          </w:p>
        </w:tc>
        <w:tc>
          <w:tcPr>
            <w:tcW w:w="542" w:type="pct"/>
            <w:gridSpan w:val="3"/>
            <w:tcBorders>
              <w:tl2br w:val="nil"/>
              <w:tr2bl w:val="nil"/>
            </w:tcBorders>
            <w:shd w:val="clear" w:color="auto" w:fill="auto"/>
            <w:noWrap/>
            <w:vAlign w:val="center"/>
          </w:tcPr>
          <w:p w14:paraId="20DD1449">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空间相对位置/m</w:t>
            </w:r>
          </w:p>
        </w:tc>
        <w:tc>
          <w:tcPr>
            <w:tcW w:w="327" w:type="pct"/>
            <w:vMerge w:val="restart"/>
            <w:tcBorders>
              <w:tl2br w:val="nil"/>
              <w:tr2bl w:val="nil"/>
            </w:tcBorders>
            <w:shd w:val="clear" w:color="auto" w:fill="auto"/>
            <w:noWrap/>
            <w:vAlign w:val="center"/>
          </w:tcPr>
          <w:p w14:paraId="109A1A62">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噪声源强</w:t>
            </w:r>
          </w:p>
        </w:tc>
        <w:tc>
          <w:tcPr>
            <w:tcW w:w="746" w:type="pct"/>
            <w:gridSpan w:val="4"/>
            <w:tcBorders>
              <w:tl2br w:val="nil"/>
              <w:tr2bl w:val="nil"/>
            </w:tcBorders>
            <w:shd w:val="clear" w:color="auto" w:fill="auto"/>
            <w:vAlign w:val="center"/>
          </w:tcPr>
          <w:p w14:paraId="1FBED683">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距室内边界距离/m</w:t>
            </w:r>
          </w:p>
        </w:tc>
        <w:tc>
          <w:tcPr>
            <w:tcW w:w="839" w:type="pct"/>
            <w:gridSpan w:val="4"/>
            <w:tcBorders>
              <w:tl2br w:val="nil"/>
              <w:tr2bl w:val="nil"/>
            </w:tcBorders>
            <w:shd w:val="clear" w:color="auto" w:fill="auto"/>
            <w:vAlign w:val="center"/>
          </w:tcPr>
          <w:p w14:paraId="729BDA72">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室内边界声级/dB(A)</w:t>
            </w:r>
          </w:p>
        </w:tc>
        <w:tc>
          <w:tcPr>
            <w:tcW w:w="300" w:type="pct"/>
            <w:tcBorders>
              <w:tl2br w:val="nil"/>
              <w:tr2bl w:val="nil"/>
            </w:tcBorders>
            <w:shd w:val="clear" w:color="auto" w:fill="auto"/>
            <w:noWrap/>
            <w:vAlign w:val="center"/>
          </w:tcPr>
          <w:p w14:paraId="1B3F7ECE">
            <w:pPr>
              <w:pStyle w:val="55"/>
              <w:keepNext w:val="0"/>
              <w:keepLines w:val="0"/>
              <w:pageBreakBefore w:val="0"/>
              <w:widowControl/>
              <w:kinsoku/>
              <w:wordWrap/>
              <w:overflowPunct/>
              <w:topLinePunct w:val="0"/>
              <w:autoSpaceDE/>
              <w:autoSpaceDN/>
              <w:bidi w:val="0"/>
              <w:adjustRightInd w:val="0"/>
              <w:snapToGrid w:val="0"/>
              <w:textAlignment w:val="auto"/>
              <w:rPr>
                <w:rFonts w:hint="eastAsia"/>
                <w:lang w:val="en-US" w:eastAsia="zh-CN"/>
              </w:rPr>
            </w:pPr>
            <w:r>
              <w:rPr>
                <w:rFonts w:hint="eastAsia"/>
                <w:lang w:val="en-US" w:eastAsia="zh-CN"/>
              </w:rPr>
              <w:t>持续时间h</w:t>
            </w:r>
          </w:p>
        </w:tc>
        <w:tc>
          <w:tcPr>
            <w:tcW w:w="1215" w:type="pct"/>
            <w:gridSpan w:val="5"/>
            <w:tcBorders>
              <w:tl2br w:val="nil"/>
              <w:tr2bl w:val="nil"/>
            </w:tcBorders>
            <w:shd w:val="clear" w:color="auto" w:fill="auto"/>
            <w:noWrap/>
            <w:vAlign w:val="center"/>
          </w:tcPr>
          <w:p w14:paraId="0005A573">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建筑物外噪声声压级/ dB(A)</w:t>
            </w:r>
          </w:p>
        </w:tc>
      </w:tr>
      <w:tr w14:paraId="4DA2C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200" w:type="pct"/>
            <w:vMerge w:val="continue"/>
            <w:tcBorders>
              <w:tl2br w:val="nil"/>
              <w:tr2bl w:val="nil"/>
            </w:tcBorders>
            <w:shd w:val="clear" w:color="auto" w:fill="auto"/>
            <w:noWrap/>
            <w:vAlign w:val="center"/>
          </w:tcPr>
          <w:p w14:paraId="69D26C71">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p>
        </w:tc>
        <w:tc>
          <w:tcPr>
            <w:tcW w:w="223" w:type="pct"/>
            <w:vMerge w:val="continue"/>
            <w:tcBorders>
              <w:tl2br w:val="nil"/>
              <w:tr2bl w:val="nil"/>
            </w:tcBorders>
            <w:shd w:val="clear" w:color="auto" w:fill="auto"/>
            <w:noWrap/>
            <w:vAlign w:val="center"/>
          </w:tcPr>
          <w:p w14:paraId="09BAABD8">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p>
        </w:tc>
        <w:tc>
          <w:tcPr>
            <w:tcW w:w="603" w:type="pct"/>
            <w:vMerge w:val="continue"/>
            <w:tcBorders>
              <w:tl2br w:val="nil"/>
              <w:tr2bl w:val="nil"/>
            </w:tcBorders>
            <w:shd w:val="clear" w:color="auto" w:fill="auto"/>
            <w:noWrap/>
            <w:vAlign w:val="center"/>
          </w:tcPr>
          <w:p w14:paraId="2CB5E662">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p>
        </w:tc>
        <w:tc>
          <w:tcPr>
            <w:tcW w:w="199" w:type="pct"/>
            <w:tcBorders>
              <w:tl2br w:val="nil"/>
              <w:tr2bl w:val="nil"/>
            </w:tcBorders>
            <w:shd w:val="clear" w:color="auto" w:fill="auto"/>
            <w:noWrap/>
            <w:vAlign w:val="center"/>
          </w:tcPr>
          <w:p w14:paraId="255DF207">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X</w:t>
            </w:r>
          </w:p>
        </w:tc>
        <w:tc>
          <w:tcPr>
            <w:tcW w:w="204" w:type="pct"/>
            <w:tcBorders>
              <w:tl2br w:val="nil"/>
              <w:tr2bl w:val="nil"/>
            </w:tcBorders>
            <w:shd w:val="clear" w:color="auto" w:fill="auto"/>
            <w:noWrap/>
            <w:vAlign w:val="center"/>
          </w:tcPr>
          <w:p w14:paraId="715609EA">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Y</w:t>
            </w:r>
          </w:p>
        </w:tc>
        <w:tc>
          <w:tcPr>
            <w:tcW w:w="139" w:type="pct"/>
            <w:tcBorders>
              <w:tl2br w:val="nil"/>
              <w:tr2bl w:val="nil"/>
            </w:tcBorders>
            <w:shd w:val="clear" w:color="auto" w:fill="auto"/>
            <w:noWrap/>
            <w:vAlign w:val="center"/>
          </w:tcPr>
          <w:p w14:paraId="6936E542">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Z</w:t>
            </w:r>
          </w:p>
        </w:tc>
        <w:tc>
          <w:tcPr>
            <w:tcW w:w="327" w:type="pct"/>
            <w:vMerge w:val="continue"/>
            <w:tcBorders>
              <w:tl2br w:val="nil"/>
              <w:tr2bl w:val="nil"/>
            </w:tcBorders>
            <w:shd w:val="clear" w:color="auto" w:fill="auto"/>
            <w:noWrap/>
            <w:vAlign w:val="center"/>
          </w:tcPr>
          <w:p w14:paraId="388F6DC1">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p>
        </w:tc>
        <w:tc>
          <w:tcPr>
            <w:tcW w:w="186" w:type="pct"/>
            <w:tcBorders>
              <w:tl2br w:val="nil"/>
              <w:tr2bl w:val="nil"/>
            </w:tcBorders>
            <w:shd w:val="clear" w:color="auto" w:fill="auto"/>
            <w:vAlign w:val="center"/>
          </w:tcPr>
          <w:p w14:paraId="2B11FF73">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东</w:t>
            </w:r>
          </w:p>
        </w:tc>
        <w:tc>
          <w:tcPr>
            <w:tcW w:w="186" w:type="pct"/>
            <w:tcBorders>
              <w:tl2br w:val="nil"/>
              <w:tr2bl w:val="nil"/>
            </w:tcBorders>
            <w:shd w:val="clear" w:color="auto" w:fill="auto"/>
            <w:noWrap/>
            <w:vAlign w:val="center"/>
          </w:tcPr>
          <w:p w14:paraId="5243B417">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南</w:t>
            </w:r>
          </w:p>
        </w:tc>
        <w:tc>
          <w:tcPr>
            <w:tcW w:w="186" w:type="pct"/>
            <w:tcBorders>
              <w:tl2br w:val="nil"/>
              <w:tr2bl w:val="nil"/>
            </w:tcBorders>
            <w:shd w:val="clear" w:color="auto" w:fill="auto"/>
            <w:noWrap/>
            <w:vAlign w:val="center"/>
          </w:tcPr>
          <w:p w14:paraId="7AACC663">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西</w:t>
            </w:r>
          </w:p>
        </w:tc>
        <w:tc>
          <w:tcPr>
            <w:tcW w:w="187" w:type="pct"/>
            <w:tcBorders>
              <w:tl2br w:val="nil"/>
              <w:tr2bl w:val="nil"/>
            </w:tcBorders>
            <w:shd w:val="clear" w:color="auto" w:fill="auto"/>
            <w:noWrap/>
            <w:vAlign w:val="center"/>
          </w:tcPr>
          <w:p w14:paraId="27DEE506">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北</w:t>
            </w:r>
          </w:p>
        </w:tc>
        <w:tc>
          <w:tcPr>
            <w:tcW w:w="217" w:type="pct"/>
            <w:tcBorders>
              <w:tl2br w:val="nil"/>
              <w:tr2bl w:val="nil"/>
            </w:tcBorders>
            <w:shd w:val="clear" w:color="auto" w:fill="auto"/>
            <w:vAlign w:val="center"/>
          </w:tcPr>
          <w:p w14:paraId="1A5CFA90">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东</w:t>
            </w:r>
          </w:p>
        </w:tc>
        <w:tc>
          <w:tcPr>
            <w:tcW w:w="217" w:type="pct"/>
            <w:tcBorders>
              <w:tl2br w:val="nil"/>
              <w:tr2bl w:val="nil"/>
            </w:tcBorders>
            <w:shd w:val="clear" w:color="auto" w:fill="auto"/>
            <w:noWrap/>
            <w:vAlign w:val="center"/>
          </w:tcPr>
          <w:p w14:paraId="29B7AD16">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南</w:t>
            </w:r>
          </w:p>
        </w:tc>
        <w:tc>
          <w:tcPr>
            <w:tcW w:w="217" w:type="pct"/>
            <w:tcBorders>
              <w:tl2br w:val="nil"/>
              <w:tr2bl w:val="nil"/>
            </w:tcBorders>
            <w:shd w:val="clear" w:color="auto" w:fill="auto"/>
            <w:noWrap/>
            <w:vAlign w:val="center"/>
          </w:tcPr>
          <w:p w14:paraId="1E4546E3">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西</w:t>
            </w:r>
          </w:p>
        </w:tc>
        <w:tc>
          <w:tcPr>
            <w:tcW w:w="187" w:type="pct"/>
            <w:tcBorders>
              <w:tl2br w:val="nil"/>
              <w:tr2bl w:val="nil"/>
            </w:tcBorders>
            <w:shd w:val="clear" w:color="auto" w:fill="auto"/>
            <w:noWrap/>
            <w:vAlign w:val="center"/>
          </w:tcPr>
          <w:p w14:paraId="37599FB0">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北</w:t>
            </w:r>
          </w:p>
        </w:tc>
        <w:tc>
          <w:tcPr>
            <w:tcW w:w="300" w:type="pct"/>
            <w:tcBorders>
              <w:tl2br w:val="nil"/>
              <w:tr2bl w:val="nil"/>
            </w:tcBorders>
            <w:shd w:val="clear" w:color="auto" w:fill="auto"/>
            <w:noWrap/>
            <w:vAlign w:val="center"/>
          </w:tcPr>
          <w:p w14:paraId="210B3541">
            <w:pPr>
              <w:pStyle w:val="55"/>
              <w:keepNext w:val="0"/>
              <w:keepLines w:val="0"/>
              <w:pageBreakBefore w:val="0"/>
              <w:widowControl/>
              <w:kinsoku/>
              <w:wordWrap/>
              <w:overflowPunct/>
              <w:topLinePunct w:val="0"/>
              <w:autoSpaceDE/>
              <w:autoSpaceDN/>
              <w:bidi w:val="0"/>
              <w:adjustRightInd w:val="0"/>
              <w:snapToGrid w:val="0"/>
              <w:textAlignment w:val="auto"/>
              <w:rPr>
                <w:rFonts w:hint="eastAsia"/>
                <w:lang w:val="en-US" w:eastAsia="zh-CN"/>
              </w:rPr>
            </w:pPr>
            <w:r>
              <w:rPr>
                <w:rFonts w:hint="eastAsia"/>
                <w:lang w:val="en-US" w:eastAsia="zh-CN"/>
              </w:rPr>
              <w:t>全天</w:t>
            </w:r>
          </w:p>
        </w:tc>
        <w:tc>
          <w:tcPr>
            <w:tcW w:w="179" w:type="pct"/>
            <w:tcBorders>
              <w:tl2br w:val="nil"/>
              <w:tr2bl w:val="nil"/>
            </w:tcBorders>
            <w:shd w:val="clear" w:color="auto" w:fill="auto"/>
            <w:noWrap/>
            <w:vAlign w:val="center"/>
          </w:tcPr>
          <w:p w14:paraId="09ADC93E">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东</w:t>
            </w:r>
          </w:p>
        </w:tc>
        <w:tc>
          <w:tcPr>
            <w:tcW w:w="195" w:type="pct"/>
            <w:tcBorders>
              <w:tl2br w:val="nil"/>
              <w:tr2bl w:val="nil"/>
            </w:tcBorders>
            <w:shd w:val="clear" w:color="auto" w:fill="auto"/>
            <w:noWrap/>
            <w:vAlign w:val="center"/>
          </w:tcPr>
          <w:p w14:paraId="705E6BF2">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南</w:t>
            </w:r>
          </w:p>
        </w:tc>
        <w:tc>
          <w:tcPr>
            <w:tcW w:w="200" w:type="pct"/>
            <w:tcBorders>
              <w:tl2br w:val="nil"/>
              <w:tr2bl w:val="nil"/>
            </w:tcBorders>
            <w:shd w:val="clear" w:color="auto" w:fill="auto"/>
            <w:noWrap/>
            <w:vAlign w:val="center"/>
          </w:tcPr>
          <w:p w14:paraId="09DBB89A">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西</w:t>
            </w:r>
          </w:p>
        </w:tc>
        <w:tc>
          <w:tcPr>
            <w:tcW w:w="237" w:type="pct"/>
            <w:tcBorders>
              <w:tl2br w:val="nil"/>
              <w:tr2bl w:val="nil"/>
            </w:tcBorders>
            <w:shd w:val="clear" w:color="auto" w:fill="auto"/>
            <w:noWrap/>
            <w:vAlign w:val="center"/>
          </w:tcPr>
          <w:p w14:paraId="05BC0AD0">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北</w:t>
            </w:r>
          </w:p>
        </w:tc>
        <w:tc>
          <w:tcPr>
            <w:tcW w:w="403" w:type="pct"/>
            <w:tcBorders>
              <w:tl2br w:val="nil"/>
              <w:tr2bl w:val="nil"/>
            </w:tcBorders>
            <w:shd w:val="clear" w:color="auto" w:fill="auto"/>
            <w:noWrap/>
            <w:vAlign w:val="center"/>
          </w:tcPr>
          <w:p w14:paraId="1E7CF480">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建筑物外距离/ m</w:t>
            </w:r>
          </w:p>
        </w:tc>
      </w:tr>
      <w:tr w14:paraId="09086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00" w:type="pct"/>
            <w:tcBorders>
              <w:tl2br w:val="nil"/>
              <w:tr2bl w:val="nil"/>
            </w:tcBorders>
            <w:shd w:val="clear" w:color="auto" w:fill="auto"/>
            <w:noWrap/>
            <w:vAlign w:val="center"/>
          </w:tcPr>
          <w:p w14:paraId="589B0D5A">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c>
          <w:tcPr>
            <w:tcW w:w="223" w:type="pct"/>
            <w:vMerge w:val="restart"/>
            <w:tcBorders>
              <w:tl2br w:val="nil"/>
              <w:tr2bl w:val="nil"/>
            </w:tcBorders>
            <w:shd w:val="clear" w:color="auto" w:fill="auto"/>
            <w:noWrap/>
            <w:vAlign w:val="center"/>
          </w:tcPr>
          <w:p w14:paraId="39F6FF27">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1#生产车间</w:t>
            </w:r>
          </w:p>
        </w:tc>
        <w:tc>
          <w:tcPr>
            <w:tcW w:w="603" w:type="pct"/>
            <w:tcBorders>
              <w:tl2br w:val="nil"/>
              <w:tr2bl w:val="nil"/>
            </w:tcBorders>
            <w:shd w:val="clear" w:color="auto" w:fill="auto"/>
            <w:noWrap/>
            <w:vAlign w:val="center"/>
          </w:tcPr>
          <w:p w14:paraId="0BB27988">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破碎机</w:t>
            </w:r>
          </w:p>
        </w:tc>
        <w:tc>
          <w:tcPr>
            <w:tcW w:w="199" w:type="pct"/>
            <w:tcBorders>
              <w:tl2br w:val="nil"/>
              <w:tr2bl w:val="nil"/>
            </w:tcBorders>
            <w:shd w:val="clear" w:color="auto" w:fill="auto"/>
            <w:noWrap/>
            <w:vAlign w:val="center"/>
          </w:tcPr>
          <w:p w14:paraId="47E6F638">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-8 </w:t>
            </w:r>
          </w:p>
        </w:tc>
        <w:tc>
          <w:tcPr>
            <w:tcW w:w="204" w:type="pct"/>
            <w:tcBorders>
              <w:tl2br w:val="nil"/>
              <w:tr2bl w:val="nil"/>
            </w:tcBorders>
            <w:shd w:val="clear" w:color="auto" w:fill="auto"/>
            <w:noWrap/>
            <w:vAlign w:val="center"/>
          </w:tcPr>
          <w:p w14:paraId="45AE69E5">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152 </w:t>
            </w:r>
          </w:p>
        </w:tc>
        <w:tc>
          <w:tcPr>
            <w:tcW w:w="139" w:type="pct"/>
            <w:tcBorders>
              <w:tl2br w:val="nil"/>
              <w:tr2bl w:val="nil"/>
            </w:tcBorders>
            <w:shd w:val="clear" w:color="auto" w:fill="auto"/>
            <w:noWrap/>
            <w:vAlign w:val="center"/>
          </w:tcPr>
          <w:p w14:paraId="3F3B9DDC">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c>
          <w:tcPr>
            <w:tcW w:w="327" w:type="pct"/>
            <w:tcBorders>
              <w:tl2br w:val="nil"/>
              <w:tr2bl w:val="nil"/>
            </w:tcBorders>
            <w:shd w:val="clear" w:color="auto" w:fill="auto"/>
            <w:noWrap/>
            <w:vAlign w:val="center"/>
          </w:tcPr>
          <w:p w14:paraId="76CF6EB0">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90</w:t>
            </w:r>
          </w:p>
        </w:tc>
        <w:tc>
          <w:tcPr>
            <w:tcW w:w="186" w:type="pct"/>
            <w:tcBorders>
              <w:tl2br w:val="nil"/>
              <w:tr2bl w:val="nil"/>
            </w:tcBorders>
            <w:shd w:val="clear" w:color="auto" w:fill="auto"/>
            <w:noWrap/>
            <w:vAlign w:val="center"/>
          </w:tcPr>
          <w:p w14:paraId="6F3ECD35">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95</w:t>
            </w:r>
          </w:p>
        </w:tc>
        <w:tc>
          <w:tcPr>
            <w:tcW w:w="186" w:type="pct"/>
            <w:tcBorders>
              <w:tl2br w:val="nil"/>
              <w:tr2bl w:val="nil"/>
            </w:tcBorders>
            <w:shd w:val="clear" w:color="auto" w:fill="auto"/>
            <w:noWrap/>
            <w:vAlign w:val="center"/>
          </w:tcPr>
          <w:p w14:paraId="2A02A5C5">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14</w:t>
            </w:r>
          </w:p>
        </w:tc>
        <w:tc>
          <w:tcPr>
            <w:tcW w:w="186" w:type="pct"/>
            <w:tcBorders>
              <w:tl2br w:val="nil"/>
              <w:tr2bl w:val="nil"/>
            </w:tcBorders>
            <w:shd w:val="clear" w:color="auto" w:fill="auto"/>
            <w:noWrap/>
            <w:vAlign w:val="center"/>
          </w:tcPr>
          <w:p w14:paraId="60AC84B5">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4</w:t>
            </w:r>
          </w:p>
        </w:tc>
        <w:tc>
          <w:tcPr>
            <w:tcW w:w="187" w:type="pct"/>
            <w:tcBorders>
              <w:tl2br w:val="nil"/>
              <w:tr2bl w:val="nil"/>
            </w:tcBorders>
            <w:shd w:val="clear" w:color="auto" w:fill="auto"/>
            <w:noWrap/>
            <w:vAlign w:val="center"/>
          </w:tcPr>
          <w:p w14:paraId="36F13ADF">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13</w:t>
            </w:r>
          </w:p>
        </w:tc>
        <w:tc>
          <w:tcPr>
            <w:tcW w:w="217" w:type="pct"/>
            <w:tcBorders>
              <w:tl2br w:val="nil"/>
              <w:tr2bl w:val="nil"/>
            </w:tcBorders>
            <w:shd w:val="clear" w:color="auto" w:fill="auto"/>
            <w:noWrap/>
            <w:vAlign w:val="center"/>
          </w:tcPr>
          <w:p w14:paraId="4247059C">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58</w:t>
            </w:r>
          </w:p>
        </w:tc>
        <w:tc>
          <w:tcPr>
            <w:tcW w:w="217" w:type="pct"/>
            <w:tcBorders>
              <w:tl2br w:val="nil"/>
              <w:tr2bl w:val="nil"/>
            </w:tcBorders>
            <w:shd w:val="clear" w:color="auto" w:fill="auto"/>
            <w:noWrap/>
            <w:vAlign w:val="center"/>
          </w:tcPr>
          <w:p w14:paraId="723AE76E">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62</w:t>
            </w:r>
          </w:p>
        </w:tc>
        <w:tc>
          <w:tcPr>
            <w:tcW w:w="217" w:type="pct"/>
            <w:tcBorders>
              <w:tl2br w:val="nil"/>
              <w:tr2bl w:val="nil"/>
            </w:tcBorders>
            <w:shd w:val="clear" w:color="auto" w:fill="auto"/>
            <w:noWrap/>
            <w:vAlign w:val="center"/>
          </w:tcPr>
          <w:p w14:paraId="414871CF">
            <w:pPr>
              <w:pStyle w:val="55"/>
              <w:keepNext w:val="0"/>
              <w:keepLines w:val="0"/>
              <w:pageBreakBefore w:val="0"/>
              <w:widowControl/>
              <w:kinsoku/>
              <w:wordWrap/>
              <w:overflowPunct/>
              <w:topLinePunct w:val="0"/>
              <w:autoSpaceDE/>
              <w:autoSpaceDN/>
              <w:bidi w:val="0"/>
              <w:adjustRightInd w:val="0"/>
              <w:snapToGrid w:val="0"/>
              <w:textAlignment w:val="auto"/>
              <w:rPr>
                <w:rFonts w:hint="default"/>
                <w:lang w:val="en-US"/>
              </w:rPr>
            </w:pPr>
            <w:r>
              <w:rPr>
                <w:rFonts w:hint="eastAsia"/>
                <w:lang w:val="en-US" w:eastAsia="zh-CN"/>
              </w:rPr>
              <w:t>70</w:t>
            </w:r>
          </w:p>
        </w:tc>
        <w:tc>
          <w:tcPr>
            <w:tcW w:w="187" w:type="pct"/>
            <w:tcBorders>
              <w:tl2br w:val="nil"/>
              <w:tr2bl w:val="nil"/>
            </w:tcBorders>
            <w:shd w:val="clear" w:color="auto" w:fill="auto"/>
            <w:noWrap/>
            <w:vAlign w:val="center"/>
          </w:tcPr>
          <w:p w14:paraId="617B8C98">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62</w:t>
            </w:r>
          </w:p>
        </w:tc>
        <w:tc>
          <w:tcPr>
            <w:tcW w:w="300" w:type="pct"/>
            <w:tcBorders>
              <w:tl2br w:val="nil"/>
              <w:tr2bl w:val="nil"/>
            </w:tcBorders>
            <w:shd w:val="clear" w:color="auto" w:fill="auto"/>
            <w:noWrap/>
            <w:vAlign w:val="center"/>
          </w:tcPr>
          <w:p w14:paraId="004D1123">
            <w:pPr>
              <w:pStyle w:val="55"/>
              <w:keepNext w:val="0"/>
              <w:keepLines w:val="0"/>
              <w:pageBreakBefore w:val="0"/>
              <w:widowControl/>
              <w:kinsoku/>
              <w:wordWrap/>
              <w:overflowPunct/>
              <w:topLinePunct w:val="0"/>
              <w:autoSpaceDE/>
              <w:autoSpaceDN/>
              <w:bidi w:val="0"/>
              <w:adjustRightInd w:val="0"/>
              <w:snapToGrid w:val="0"/>
              <w:textAlignment w:val="auto"/>
              <w:rPr>
                <w:rFonts w:hint="eastAsia"/>
                <w:lang w:val="en-US" w:eastAsia="zh-CN"/>
              </w:rPr>
            </w:pPr>
            <w:r>
              <w:rPr>
                <w:rFonts w:hint="eastAsia"/>
                <w:lang w:val="en-US" w:eastAsia="zh-CN"/>
              </w:rPr>
              <w:t>全天</w:t>
            </w:r>
          </w:p>
        </w:tc>
        <w:tc>
          <w:tcPr>
            <w:tcW w:w="179" w:type="pct"/>
            <w:tcBorders>
              <w:tl2br w:val="nil"/>
              <w:tr2bl w:val="nil"/>
            </w:tcBorders>
            <w:shd w:val="clear" w:color="auto" w:fill="auto"/>
            <w:noWrap/>
            <w:vAlign w:val="center"/>
          </w:tcPr>
          <w:p w14:paraId="4CCECD15">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32</w:t>
            </w:r>
          </w:p>
        </w:tc>
        <w:tc>
          <w:tcPr>
            <w:tcW w:w="195" w:type="pct"/>
            <w:tcBorders>
              <w:tl2br w:val="nil"/>
              <w:tr2bl w:val="nil"/>
            </w:tcBorders>
            <w:shd w:val="clear" w:color="auto" w:fill="auto"/>
            <w:noWrap/>
            <w:vAlign w:val="center"/>
          </w:tcPr>
          <w:p w14:paraId="37E932C2">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36</w:t>
            </w:r>
          </w:p>
        </w:tc>
        <w:tc>
          <w:tcPr>
            <w:tcW w:w="200" w:type="pct"/>
            <w:tcBorders>
              <w:tl2br w:val="nil"/>
              <w:tr2bl w:val="nil"/>
            </w:tcBorders>
            <w:shd w:val="clear" w:color="auto" w:fill="auto"/>
            <w:noWrap/>
            <w:vAlign w:val="center"/>
          </w:tcPr>
          <w:p w14:paraId="5F3AA67E">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44</w:t>
            </w:r>
          </w:p>
        </w:tc>
        <w:tc>
          <w:tcPr>
            <w:tcW w:w="237" w:type="pct"/>
            <w:tcBorders>
              <w:tl2br w:val="nil"/>
              <w:tr2bl w:val="nil"/>
            </w:tcBorders>
            <w:shd w:val="clear" w:color="auto" w:fill="auto"/>
            <w:noWrap/>
            <w:vAlign w:val="center"/>
          </w:tcPr>
          <w:p w14:paraId="49940190">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36</w:t>
            </w:r>
          </w:p>
        </w:tc>
        <w:tc>
          <w:tcPr>
            <w:tcW w:w="403" w:type="pct"/>
            <w:tcBorders>
              <w:tl2br w:val="nil"/>
              <w:tr2bl w:val="nil"/>
            </w:tcBorders>
            <w:shd w:val="clear" w:color="auto" w:fill="auto"/>
            <w:noWrap/>
            <w:vAlign w:val="center"/>
          </w:tcPr>
          <w:p w14:paraId="383F7943">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r>
      <w:tr w14:paraId="51243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200" w:type="pct"/>
            <w:tcBorders>
              <w:tl2br w:val="nil"/>
              <w:tr2bl w:val="nil"/>
            </w:tcBorders>
            <w:shd w:val="clear" w:color="auto" w:fill="auto"/>
            <w:noWrap/>
            <w:vAlign w:val="center"/>
          </w:tcPr>
          <w:p w14:paraId="7179CBE7">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w:t>
            </w:r>
          </w:p>
        </w:tc>
        <w:tc>
          <w:tcPr>
            <w:tcW w:w="223" w:type="pct"/>
            <w:vMerge w:val="continue"/>
            <w:tcBorders>
              <w:tl2br w:val="nil"/>
              <w:tr2bl w:val="nil"/>
            </w:tcBorders>
            <w:shd w:val="clear" w:color="auto" w:fill="auto"/>
            <w:noWrap/>
            <w:vAlign w:val="center"/>
          </w:tcPr>
          <w:p w14:paraId="53122BFF">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p>
        </w:tc>
        <w:tc>
          <w:tcPr>
            <w:tcW w:w="603" w:type="pct"/>
            <w:tcBorders>
              <w:tl2br w:val="nil"/>
              <w:tr2bl w:val="nil"/>
            </w:tcBorders>
            <w:shd w:val="clear" w:color="auto" w:fill="auto"/>
            <w:noWrap/>
            <w:vAlign w:val="center"/>
          </w:tcPr>
          <w:p w14:paraId="3C8BD8E3">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水浮分离机</w:t>
            </w:r>
          </w:p>
        </w:tc>
        <w:tc>
          <w:tcPr>
            <w:tcW w:w="199" w:type="pct"/>
            <w:tcBorders>
              <w:tl2br w:val="nil"/>
              <w:tr2bl w:val="nil"/>
            </w:tcBorders>
            <w:shd w:val="clear" w:color="auto" w:fill="auto"/>
            <w:noWrap/>
            <w:vAlign w:val="center"/>
          </w:tcPr>
          <w:p w14:paraId="1668E815">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-16 </w:t>
            </w:r>
          </w:p>
        </w:tc>
        <w:tc>
          <w:tcPr>
            <w:tcW w:w="204" w:type="pct"/>
            <w:tcBorders>
              <w:tl2br w:val="nil"/>
              <w:tr2bl w:val="nil"/>
            </w:tcBorders>
            <w:shd w:val="clear" w:color="auto" w:fill="auto"/>
            <w:noWrap/>
            <w:vAlign w:val="center"/>
          </w:tcPr>
          <w:p w14:paraId="65EDD848">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152 </w:t>
            </w:r>
          </w:p>
        </w:tc>
        <w:tc>
          <w:tcPr>
            <w:tcW w:w="139" w:type="pct"/>
            <w:tcBorders>
              <w:tl2br w:val="nil"/>
              <w:tr2bl w:val="nil"/>
            </w:tcBorders>
            <w:shd w:val="clear" w:color="auto" w:fill="auto"/>
            <w:noWrap/>
            <w:vAlign w:val="center"/>
          </w:tcPr>
          <w:p w14:paraId="4110E60E">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c>
          <w:tcPr>
            <w:tcW w:w="327" w:type="pct"/>
            <w:tcBorders>
              <w:tl2br w:val="nil"/>
              <w:tr2bl w:val="nil"/>
            </w:tcBorders>
            <w:shd w:val="clear" w:color="auto" w:fill="auto"/>
            <w:noWrap/>
            <w:vAlign w:val="center"/>
          </w:tcPr>
          <w:p w14:paraId="1BB7ABD4">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85</w:t>
            </w:r>
          </w:p>
        </w:tc>
        <w:tc>
          <w:tcPr>
            <w:tcW w:w="186" w:type="pct"/>
            <w:tcBorders>
              <w:tl2br w:val="nil"/>
              <w:tr2bl w:val="nil"/>
            </w:tcBorders>
            <w:shd w:val="clear" w:color="auto" w:fill="auto"/>
            <w:noWrap/>
            <w:vAlign w:val="center"/>
          </w:tcPr>
          <w:p w14:paraId="17A0D698">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86</w:t>
            </w:r>
          </w:p>
        </w:tc>
        <w:tc>
          <w:tcPr>
            <w:tcW w:w="186" w:type="pct"/>
            <w:tcBorders>
              <w:tl2br w:val="nil"/>
              <w:tr2bl w:val="nil"/>
            </w:tcBorders>
            <w:shd w:val="clear" w:color="auto" w:fill="auto"/>
            <w:noWrap/>
            <w:vAlign w:val="center"/>
          </w:tcPr>
          <w:p w14:paraId="135FC51B">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14</w:t>
            </w:r>
          </w:p>
        </w:tc>
        <w:tc>
          <w:tcPr>
            <w:tcW w:w="186" w:type="pct"/>
            <w:tcBorders>
              <w:tl2br w:val="nil"/>
              <w:tr2bl w:val="nil"/>
            </w:tcBorders>
            <w:shd w:val="clear" w:color="auto" w:fill="auto"/>
            <w:noWrap/>
            <w:vAlign w:val="center"/>
          </w:tcPr>
          <w:p w14:paraId="6D2194C0">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13</w:t>
            </w:r>
          </w:p>
        </w:tc>
        <w:tc>
          <w:tcPr>
            <w:tcW w:w="187" w:type="pct"/>
            <w:tcBorders>
              <w:tl2br w:val="nil"/>
              <w:tr2bl w:val="nil"/>
            </w:tcBorders>
            <w:shd w:val="clear" w:color="auto" w:fill="auto"/>
            <w:noWrap/>
            <w:vAlign w:val="center"/>
          </w:tcPr>
          <w:p w14:paraId="44406A9A">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13</w:t>
            </w:r>
          </w:p>
        </w:tc>
        <w:tc>
          <w:tcPr>
            <w:tcW w:w="217" w:type="pct"/>
            <w:tcBorders>
              <w:tl2br w:val="nil"/>
              <w:tr2bl w:val="nil"/>
            </w:tcBorders>
            <w:shd w:val="clear" w:color="auto" w:fill="auto"/>
            <w:noWrap/>
            <w:vAlign w:val="center"/>
          </w:tcPr>
          <w:p w14:paraId="7A86A70D">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53</w:t>
            </w:r>
          </w:p>
        </w:tc>
        <w:tc>
          <w:tcPr>
            <w:tcW w:w="217" w:type="pct"/>
            <w:tcBorders>
              <w:tl2br w:val="nil"/>
              <w:tr2bl w:val="nil"/>
            </w:tcBorders>
            <w:shd w:val="clear" w:color="auto" w:fill="auto"/>
            <w:noWrap/>
            <w:vAlign w:val="center"/>
          </w:tcPr>
          <w:p w14:paraId="4E69620D">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57</w:t>
            </w:r>
          </w:p>
        </w:tc>
        <w:tc>
          <w:tcPr>
            <w:tcW w:w="217" w:type="pct"/>
            <w:tcBorders>
              <w:tl2br w:val="nil"/>
              <w:tr2bl w:val="nil"/>
            </w:tcBorders>
            <w:shd w:val="clear" w:color="auto" w:fill="auto"/>
            <w:noWrap/>
            <w:vAlign w:val="center"/>
          </w:tcPr>
          <w:p w14:paraId="2AC60F06">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57</w:t>
            </w:r>
          </w:p>
        </w:tc>
        <w:tc>
          <w:tcPr>
            <w:tcW w:w="187" w:type="pct"/>
            <w:tcBorders>
              <w:tl2br w:val="nil"/>
              <w:tr2bl w:val="nil"/>
            </w:tcBorders>
            <w:shd w:val="clear" w:color="auto" w:fill="auto"/>
            <w:noWrap/>
            <w:vAlign w:val="center"/>
          </w:tcPr>
          <w:p w14:paraId="2C88AE4C">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58</w:t>
            </w:r>
          </w:p>
        </w:tc>
        <w:tc>
          <w:tcPr>
            <w:tcW w:w="300" w:type="pct"/>
            <w:tcBorders>
              <w:tl2br w:val="nil"/>
              <w:tr2bl w:val="nil"/>
            </w:tcBorders>
            <w:shd w:val="clear" w:color="auto" w:fill="auto"/>
            <w:noWrap/>
            <w:vAlign w:val="center"/>
          </w:tcPr>
          <w:p w14:paraId="2D385933">
            <w:pPr>
              <w:pStyle w:val="55"/>
              <w:keepNext w:val="0"/>
              <w:keepLines w:val="0"/>
              <w:pageBreakBefore w:val="0"/>
              <w:widowControl/>
              <w:kinsoku/>
              <w:wordWrap/>
              <w:overflowPunct/>
              <w:topLinePunct w:val="0"/>
              <w:autoSpaceDE/>
              <w:autoSpaceDN/>
              <w:bidi w:val="0"/>
              <w:adjustRightInd w:val="0"/>
              <w:snapToGrid w:val="0"/>
              <w:textAlignment w:val="auto"/>
              <w:rPr>
                <w:rFonts w:hint="eastAsia"/>
                <w:lang w:val="en-US" w:eastAsia="zh-CN"/>
              </w:rPr>
            </w:pPr>
            <w:r>
              <w:rPr>
                <w:rFonts w:hint="eastAsia"/>
                <w:lang w:val="en-US" w:eastAsia="zh-CN"/>
              </w:rPr>
              <w:t>全天</w:t>
            </w:r>
          </w:p>
        </w:tc>
        <w:tc>
          <w:tcPr>
            <w:tcW w:w="179" w:type="pct"/>
            <w:tcBorders>
              <w:tl2br w:val="nil"/>
              <w:tr2bl w:val="nil"/>
            </w:tcBorders>
            <w:shd w:val="clear" w:color="auto" w:fill="auto"/>
            <w:noWrap/>
            <w:vAlign w:val="center"/>
          </w:tcPr>
          <w:p w14:paraId="04934DFB">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27</w:t>
            </w:r>
          </w:p>
        </w:tc>
        <w:tc>
          <w:tcPr>
            <w:tcW w:w="195" w:type="pct"/>
            <w:tcBorders>
              <w:tl2br w:val="nil"/>
              <w:tr2bl w:val="nil"/>
            </w:tcBorders>
            <w:shd w:val="clear" w:color="auto" w:fill="auto"/>
            <w:noWrap/>
            <w:vAlign w:val="center"/>
          </w:tcPr>
          <w:p w14:paraId="7F84BDE7">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30</w:t>
            </w:r>
          </w:p>
        </w:tc>
        <w:tc>
          <w:tcPr>
            <w:tcW w:w="200" w:type="pct"/>
            <w:tcBorders>
              <w:tl2br w:val="nil"/>
              <w:tr2bl w:val="nil"/>
            </w:tcBorders>
            <w:shd w:val="clear" w:color="auto" w:fill="auto"/>
            <w:noWrap/>
            <w:vAlign w:val="center"/>
          </w:tcPr>
          <w:p w14:paraId="04ED7EB0">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31</w:t>
            </w:r>
          </w:p>
        </w:tc>
        <w:tc>
          <w:tcPr>
            <w:tcW w:w="237" w:type="pct"/>
            <w:tcBorders>
              <w:tl2br w:val="nil"/>
              <w:tr2bl w:val="nil"/>
            </w:tcBorders>
            <w:shd w:val="clear" w:color="auto" w:fill="auto"/>
            <w:noWrap/>
            <w:vAlign w:val="center"/>
          </w:tcPr>
          <w:p w14:paraId="576E8E8D">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31</w:t>
            </w:r>
          </w:p>
        </w:tc>
        <w:tc>
          <w:tcPr>
            <w:tcW w:w="403" w:type="pct"/>
            <w:tcBorders>
              <w:tl2br w:val="nil"/>
              <w:tr2bl w:val="nil"/>
            </w:tcBorders>
            <w:shd w:val="clear" w:color="auto" w:fill="auto"/>
            <w:noWrap/>
            <w:vAlign w:val="center"/>
          </w:tcPr>
          <w:p w14:paraId="1C9A995E">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r>
      <w:tr w14:paraId="01FF3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00" w:type="pct"/>
            <w:tcBorders>
              <w:tl2br w:val="nil"/>
              <w:tr2bl w:val="nil"/>
            </w:tcBorders>
            <w:shd w:val="clear" w:color="auto" w:fill="auto"/>
            <w:noWrap/>
            <w:vAlign w:val="center"/>
          </w:tcPr>
          <w:p w14:paraId="7CFA1A63">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w:t>
            </w:r>
          </w:p>
        </w:tc>
        <w:tc>
          <w:tcPr>
            <w:tcW w:w="223" w:type="pct"/>
            <w:vMerge w:val="continue"/>
            <w:tcBorders>
              <w:tl2br w:val="nil"/>
              <w:tr2bl w:val="nil"/>
            </w:tcBorders>
            <w:shd w:val="clear" w:color="auto" w:fill="auto"/>
            <w:noWrap/>
            <w:vAlign w:val="center"/>
          </w:tcPr>
          <w:p w14:paraId="0F1608B2">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p>
        </w:tc>
        <w:tc>
          <w:tcPr>
            <w:tcW w:w="603" w:type="pct"/>
            <w:tcBorders>
              <w:tl2br w:val="nil"/>
              <w:tr2bl w:val="nil"/>
            </w:tcBorders>
            <w:shd w:val="clear" w:color="auto" w:fill="auto"/>
            <w:noWrap/>
            <w:vAlign w:val="center"/>
          </w:tcPr>
          <w:p w14:paraId="21486063">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卧式甩干机</w:t>
            </w:r>
          </w:p>
        </w:tc>
        <w:tc>
          <w:tcPr>
            <w:tcW w:w="199" w:type="pct"/>
            <w:tcBorders>
              <w:tl2br w:val="nil"/>
              <w:tr2bl w:val="nil"/>
            </w:tcBorders>
            <w:shd w:val="clear" w:color="auto" w:fill="auto"/>
            <w:noWrap/>
            <w:vAlign w:val="center"/>
          </w:tcPr>
          <w:p w14:paraId="5BC649E2">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-25 </w:t>
            </w:r>
          </w:p>
        </w:tc>
        <w:tc>
          <w:tcPr>
            <w:tcW w:w="204" w:type="pct"/>
            <w:tcBorders>
              <w:tl2br w:val="nil"/>
              <w:tr2bl w:val="nil"/>
            </w:tcBorders>
            <w:shd w:val="clear" w:color="auto" w:fill="auto"/>
            <w:noWrap/>
            <w:vAlign w:val="center"/>
          </w:tcPr>
          <w:p w14:paraId="60B05C30">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153 </w:t>
            </w:r>
          </w:p>
        </w:tc>
        <w:tc>
          <w:tcPr>
            <w:tcW w:w="139" w:type="pct"/>
            <w:tcBorders>
              <w:tl2br w:val="nil"/>
              <w:tr2bl w:val="nil"/>
            </w:tcBorders>
            <w:shd w:val="clear" w:color="auto" w:fill="auto"/>
            <w:noWrap/>
            <w:vAlign w:val="center"/>
          </w:tcPr>
          <w:p w14:paraId="7D92D1AC">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c>
          <w:tcPr>
            <w:tcW w:w="327" w:type="pct"/>
            <w:tcBorders>
              <w:tl2br w:val="nil"/>
              <w:tr2bl w:val="nil"/>
            </w:tcBorders>
            <w:shd w:val="clear" w:color="auto" w:fill="auto"/>
            <w:noWrap/>
            <w:vAlign w:val="center"/>
          </w:tcPr>
          <w:p w14:paraId="20CBB8D3">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85</w:t>
            </w:r>
          </w:p>
        </w:tc>
        <w:tc>
          <w:tcPr>
            <w:tcW w:w="186" w:type="pct"/>
            <w:tcBorders>
              <w:tl2br w:val="nil"/>
              <w:tr2bl w:val="nil"/>
            </w:tcBorders>
            <w:shd w:val="clear" w:color="auto" w:fill="auto"/>
            <w:noWrap/>
            <w:vAlign w:val="center"/>
          </w:tcPr>
          <w:p w14:paraId="25C9A2B4">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77</w:t>
            </w:r>
          </w:p>
        </w:tc>
        <w:tc>
          <w:tcPr>
            <w:tcW w:w="186" w:type="pct"/>
            <w:tcBorders>
              <w:tl2br w:val="nil"/>
              <w:tr2bl w:val="nil"/>
            </w:tcBorders>
            <w:shd w:val="clear" w:color="auto" w:fill="auto"/>
            <w:noWrap/>
            <w:vAlign w:val="center"/>
          </w:tcPr>
          <w:p w14:paraId="506B6193">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14</w:t>
            </w:r>
          </w:p>
        </w:tc>
        <w:tc>
          <w:tcPr>
            <w:tcW w:w="186" w:type="pct"/>
            <w:tcBorders>
              <w:tl2br w:val="nil"/>
              <w:tr2bl w:val="nil"/>
            </w:tcBorders>
            <w:shd w:val="clear" w:color="auto" w:fill="auto"/>
            <w:noWrap/>
            <w:vAlign w:val="center"/>
          </w:tcPr>
          <w:p w14:paraId="14083208">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22</w:t>
            </w:r>
          </w:p>
        </w:tc>
        <w:tc>
          <w:tcPr>
            <w:tcW w:w="187" w:type="pct"/>
            <w:tcBorders>
              <w:tl2br w:val="nil"/>
              <w:tr2bl w:val="nil"/>
            </w:tcBorders>
            <w:shd w:val="clear" w:color="auto" w:fill="auto"/>
            <w:noWrap/>
            <w:vAlign w:val="center"/>
          </w:tcPr>
          <w:p w14:paraId="4E2080BB">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13</w:t>
            </w:r>
          </w:p>
        </w:tc>
        <w:tc>
          <w:tcPr>
            <w:tcW w:w="217" w:type="pct"/>
            <w:tcBorders>
              <w:tl2br w:val="nil"/>
              <w:tr2bl w:val="nil"/>
            </w:tcBorders>
            <w:shd w:val="clear" w:color="auto" w:fill="auto"/>
            <w:noWrap/>
            <w:vAlign w:val="center"/>
          </w:tcPr>
          <w:p w14:paraId="18928A15">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53</w:t>
            </w:r>
          </w:p>
        </w:tc>
        <w:tc>
          <w:tcPr>
            <w:tcW w:w="217" w:type="pct"/>
            <w:tcBorders>
              <w:tl2br w:val="nil"/>
              <w:tr2bl w:val="nil"/>
            </w:tcBorders>
            <w:shd w:val="clear" w:color="auto" w:fill="auto"/>
            <w:noWrap/>
            <w:vAlign w:val="center"/>
          </w:tcPr>
          <w:p w14:paraId="5DA67706">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56</w:t>
            </w:r>
          </w:p>
        </w:tc>
        <w:tc>
          <w:tcPr>
            <w:tcW w:w="217" w:type="pct"/>
            <w:tcBorders>
              <w:tl2br w:val="nil"/>
              <w:tr2bl w:val="nil"/>
            </w:tcBorders>
            <w:shd w:val="clear" w:color="auto" w:fill="auto"/>
            <w:noWrap/>
            <w:vAlign w:val="center"/>
          </w:tcPr>
          <w:p w14:paraId="559FB21C">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54</w:t>
            </w:r>
          </w:p>
        </w:tc>
        <w:tc>
          <w:tcPr>
            <w:tcW w:w="187" w:type="pct"/>
            <w:tcBorders>
              <w:tl2br w:val="nil"/>
              <w:tr2bl w:val="nil"/>
            </w:tcBorders>
            <w:shd w:val="clear" w:color="auto" w:fill="auto"/>
            <w:noWrap/>
            <w:vAlign w:val="center"/>
          </w:tcPr>
          <w:p w14:paraId="0D7FE014">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57</w:t>
            </w:r>
          </w:p>
        </w:tc>
        <w:tc>
          <w:tcPr>
            <w:tcW w:w="300" w:type="pct"/>
            <w:tcBorders>
              <w:tl2br w:val="nil"/>
              <w:tr2bl w:val="nil"/>
            </w:tcBorders>
            <w:shd w:val="clear" w:color="auto" w:fill="auto"/>
            <w:noWrap/>
            <w:vAlign w:val="center"/>
          </w:tcPr>
          <w:p w14:paraId="72020892">
            <w:pPr>
              <w:pStyle w:val="55"/>
              <w:keepNext w:val="0"/>
              <w:keepLines w:val="0"/>
              <w:pageBreakBefore w:val="0"/>
              <w:widowControl/>
              <w:kinsoku/>
              <w:wordWrap/>
              <w:overflowPunct/>
              <w:topLinePunct w:val="0"/>
              <w:autoSpaceDE/>
              <w:autoSpaceDN/>
              <w:bidi w:val="0"/>
              <w:adjustRightInd w:val="0"/>
              <w:snapToGrid w:val="0"/>
              <w:textAlignment w:val="auto"/>
              <w:rPr>
                <w:rFonts w:hint="eastAsia"/>
                <w:lang w:val="en-US" w:eastAsia="zh-CN"/>
              </w:rPr>
            </w:pPr>
            <w:r>
              <w:rPr>
                <w:rFonts w:hint="eastAsia"/>
                <w:lang w:val="en-US" w:eastAsia="zh-CN"/>
              </w:rPr>
              <w:t>全天</w:t>
            </w:r>
          </w:p>
        </w:tc>
        <w:tc>
          <w:tcPr>
            <w:tcW w:w="179" w:type="pct"/>
            <w:tcBorders>
              <w:tl2br w:val="nil"/>
              <w:tr2bl w:val="nil"/>
            </w:tcBorders>
            <w:shd w:val="clear" w:color="auto" w:fill="auto"/>
            <w:noWrap/>
            <w:vAlign w:val="center"/>
          </w:tcPr>
          <w:p w14:paraId="122B017F">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27</w:t>
            </w:r>
          </w:p>
        </w:tc>
        <w:tc>
          <w:tcPr>
            <w:tcW w:w="195" w:type="pct"/>
            <w:tcBorders>
              <w:tl2br w:val="nil"/>
              <w:tr2bl w:val="nil"/>
            </w:tcBorders>
            <w:shd w:val="clear" w:color="auto" w:fill="auto"/>
            <w:noWrap/>
            <w:vAlign w:val="center"/>
          </w:tcPr>
          <w:p w14:paraId="71206846">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30</w:t>
            </w:r>
          </w:p>
        </w:tc>
        <w:tc>
          <w:tcPr>
            <w:tcW w:w="200" w:type="pct"/>
            <w:tcBorders>
              <w:tl2br w:val="nil"/>
              <w:tr2bl w:val="nil"/>
            </w:tcBorders>
            <w:shd w:val="clear" w:color="auto" w:fill="auto"/>
            <w:noWrap/>
            <w:vAlign w:val="center"/>
          </w:tcPr>
          <w:p w14:paraId="2522E702">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28</w:t>
            </w:r>
          </w:p>
        </w:tc>
        <w:tc>
          <w:tcPr>
            <w:tcW w:w="237" w:type="pct"/>
            <w:tcBorders>
              <w:tl2br w:val="nil"/>
              <w:tr2bl w:val="nil"/>
            </w:tcBorders>
            <w:shd w:val="clear" w:color="auto" w:fill="auto"/>
            <w:noWrap/>
            <w:vAlign w:val="center"/>
          </w:tcPr>
          <w:p w14:paraId="127EE417">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31</w:t>
            </w:r>
          </w:p>
        </w:tc>
        <w:tc>
          <w:tcPr>
            <w:tcW w:w="403" w:type="pct"/>
            <w:tcBorders>
              <w:tl2br w:val="nil"/>
              <w:tr2bl w:val="nil"/>
            </w:tcBorders>
            <w:shd w:val="clear" w:color="auto" w:fill="auto"/>
            <w:noWrap/>
            <w:vAlign w:val="center"/>
          </w:tcPr>
          <w:p w14:paraId="2C8773FB">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r>
      <w:tr w14:paraId="7AC39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00" w:type="pct"/>
            <w:tcBorders>
              <w:tl2br w:val="nil"/>
              <w:tr2bl w:val="nil"/>
            </w:tcBorders>
            <w:shd w:val="clear" w:color="auto" w:fill="auto"/>
            <w:noWrap/>
            <w:vAlign w:val="center"/>
          </w:tcPr>
          <w:p w14:paraId="278081AE">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4</w:t>
            </w:r>
          </w:p>
        </w:tc>
        <w:tc>
          <w:tcPr>
            <w:tcW w:w="223" w:type="pct"/>
            <w:vMerge w:val="continue"/>
            <w:tcBorders>
              <w:tl2br w:val="nil"/>
              <w:tr2bl w:val="nil"/>
            </w:tcBorders>
            <w:shd w:val="clear" w:color="auto" w:fill="auto"/>
            <w:noWrap/>
            <w:vAlign w:val="center"/>
          </w:tcPr>
          <w:p w14:paraId="571625FD">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p>
        </w:tc>
        <w:tc>
          <w:tcPr>
            <w:tcW w:w="603" w:type="pct"/>
            <w:tcBorders>
              <w:tl2br w:val="nil"/>
              <w:tr2bl w:val="nil"/>
            </w:tcBorders>
            <w:shd w:val="clear" w:color="auto" w:fill="auto"/>
            <w:noWrap/>
            <w:vAlign w:val="center"/>
          </w:tcPr>
          <w:p w14:paraId="1B9F1B76">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高速混合机</w:t>
            </w:r>
          </w:p>
        </w:tc>
        <w:tc>
          <w:tcPr>
            <w:tcW w:w="199" w:type="pct"/>
            <w:tcBorders>
              <w:tl2br w:val="nil"/>
              <w:tr2bl w:val="nil"/>
            </w:tcBorders>
            <w:shd w:val="clear" w:color="auto" w:fill="auto"/>
            <w:noWrap/>
            <w:vAlign w:val="center"/>
          </w:tcPr>
          <w:p w14:paraId="10A8F05B">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-35 </w:t>
            </w:r>
          </w:p>
        </w:tc>
        <w:tc>
          <w:tcPr>
            <w:tcW w:w="204" w:type="pct"/>
            <w:tcBorders>
              <w:tl2br w:val="nil"/>
              <w:tr2bl w:val="nil"/>
            </w:tcBorders>
            <w:shd w:val="clear" w:color="auto" w:fill="auto"/>
            <w:noWrap/>
            <w:vAlign w:val="center"/>
          </w:tcPr>
          <w:p w14:paraId="2683BA56">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153 </w:t>
            </w:r>
          </w:p>
        </w:tc>
        <w:tc>
          <w:tcPr>
            <w:tcW w:w="139" w:type="pct"/>
            <w:tcBorders>
              <w:tl2br w:val="nil"/>
              <w:tr2bl w:val="nil"/>
            </w:tcBorders>
            <w:shd w:val="clear" w:color="auto" w:fill="auto"/>
            <w:noWrap/>
            <w:vAlign w:val="center"/>
          </w:tcPr>
          <w:p w14:paraId="0B6B6A8B">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c>
          <w:tcPr>
            <w:tcW w:w="327" w:type="pct"/>
            <w:tcBorders>
              <w:tl2br w:val="nil"/>
              <w:tr2bl w:val="nil"/>
            </w:tcBorders>
            <w:shd w:val="clear" w:color="auto" w:fill="auto"/>
            <w:noWrap/>
            <w:vAlign w:val="center"/>
          </w:tcPr>
          <w:p w14:paraId="4C618099">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94</w:t>
            </w:r>
          </w:p>
        </w:tc>
        <w:tc>
          <w:tcPr>
            <w:tcW w:w="186" w:type="pct"/>
            <w:tcBorders>
              <w:tl2br w:val="nil"/>
              <w:tr2bl w:val="nil"/>
            </w:tcBorders>
            <w:shd w:val="clear" w:color="auto" w:fill="auto"/>
            <w:noWrap/>
            <w:vAlign w:val="center"/>
          </w:tcPr>
          <w:p w14:paraId="781026CC">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67</w:t>
            </w:r>
          </w:p>
        </w:tc>
        <w:tc>
          <w:tcPr>
            <w:tcW w:w="186" w:type="pct"/>
            <w:tcBorders>
              <w:tl2br w:val="nil"/>
              <w:tr2bl w:val="nil"/>
            </w:tcBorders>
            <w:shd w:val="clear" w:color="auto" w:fill="auto"/>
            <w:noWrap/>
            <w:vAlign w:val="center"/>
          </w:tcPr>
          <w:p w14:paraId="2D6BA241">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14</w:t>
            </w:r>
          </w:p>
        </w:tc>
        <w:tc>
          <w:tcPr>
            <w:tcW w:w="186" w:type="pct"/>
            <w:tcBorders>
              <w:tl2br w:val="nil"/>
              <w:tr2bl w:val="nil"/>
            </w:tcBorders>
            <w:shd w:val="clear" w:color="auto" w:fill="auto"/>
            <w:noWrap/>
            <w:vAlign w:val="center"/>
          </w:tcPr>
          <w:p w14:paraId="56B8C711">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32</w:t>
            </w:r>
          </w:p>
        </w:tc>
        <w:tc>
          <w:tcPr>
            <w:tcW w:w="187" w:type="pct"/>
            <w:tcBorders>
              <w:tl2br w:val="nil"/>
              <w:tr2bl w:val="nil"/>
            </w:tcBorders>
            <w:shd w:val="clear" w:color="auto" w:fill="auto"/>
            <w:noWrap/>
            <w:vAlign w:val="center"/>
          </w:tcPr>
          <w:p w14:paraId="42DB4D92">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12</w:t>
            </w:r>
          </w:p>
        </w:tc>
        <w:tc>
          <w:tcPr>
            <w:tcW w:w="217" w:type="pct"/>
            <w:tcBorders>
              <w:tl2br w:val="nil"/>
              <w:tr2bl w:val="nil"/>
            </w:tcBorders>
            <w:shd w:val="clear" w:color="auto" w:fill="auto"/>
            <w:noWrap/>
            <w:vAlign w:val="center"/>
          </w:tcPr>
          <w:p w14:paraId="3C19481F">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61</w:t>
            </w:r>
          </w:p>
        </w:tc>
        <w:tc>
          <w:tcPr>
            <w:tcW w:w="217" w:type="pct"/>
            <w:tcBorders>
              <w:tl2br w:val="nil"/>
              <w:tr2bl w:val="nil"/>
            </w:tcBorders>
            <w:shd w:val="clear" w:color="auto" w:fill="auto"/>
            <w:noWrap/>
            <w:vAlign w:val="center"/>
          </w:tcPr>
          <w:p w14:paraId="416C1C05">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65</w:t>
            </w:r>
          </w:p>
        </w:tc>
        <w:tc>
          <w:tcPr>
            <w:tcW w:w="217" w:type="pct"/>
            <w:tcBorders>
              <w:tl2br w:val="nil"/>
              <w:tr2bl w:val="nil"/>
            </w:tcBorders>
            <w:shd w:val="clear" w:color="auto" w:fill="auto"/>
            <w:noWrap/>
            <w:vAlign w:val="center"/>
          </w:tcPr>
          <w:p w14:paraId="38AC39A9">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62</w:t>
            </w:r>
          </w:p>
        </w:tc>
        <w:tc>
          <w:tcPr>
            <w:tcW w:w="187" w:type="pct"/>
            <w:tcBorders>
              <w:tl2br w:val="nil"/>
              <w:tr2bl w:val="nil"/>
            </w:tcBorders>
            <w:shd w:val="clear" w:color="auto" w:fill="auto"/>
            <w:noWrap/>
            <w:vAlign w:val="center"/>
          </w:tcPr>
          <w:p w14:paraId="4AC4A9D1">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66</w:t>
            </w:r>
          </w:p>
        </w:tc>
        <w:tc>
          <w:tcPr>
            <w:tcW w:w="300" w:type="pct"/>
            <w:tcBorders>
              <w:tl2br w:val="nil"/>
              <w:tr2bl w:val="nil"/>
            </w:tcBorders>
            <w:shd w:val="clear" w:color="auto" w:fill="auto"/>
            <w:noWrap/>
            <w:vAlign w:val="center"/>
          </w:tcPr>
          <w:p w14:paraId="77AC8F30">
            <w:pPr>
              <w:pStyle w:val="55"/>
              <w:keepNext w:val="0"/>
              <w:keepLines w:val="0"/>
              <w:pageBreakBefore w:val="0"/>
              <w:widowControl/>
              <w:kinsoku/>
              <w:wordWrap/>
              <w:overflowPunct/>
              <w:topLinePunct w:val="0"/>
              <w:autoSpaceDE/>
              <w:autoSpaceDN/>
              <w:bidi w:val="0"/>
              <w:adjustRightInd w:val="0"/>
              <w:snapToGrid w:val="0"/>
              <w:textAlignment w:val="auto"/>
              <w:rPr>
                <w:rFonts w:hint="eastAsia"/>
                <w:lang w:val="en-US" w:eastAsia="zh-CN"/>
              </w:rPr>
            </w:pPr>
            <w:r>
              <w:rPr>
                <w:rFonts w:hint="eastAsia"/>
                <w:lang w:val="en-US" w:eastAsia="zh-CN"/>
              </w:rPr>
              <w:t>全天</w:t>
            </w:r>
          </w:p>
        </w:tc>
        <w:tc>
          <w:tcPr>
            <w:tcW w:w="179" w:type="pct"/>
            <w:tcBorders>
              <w:tl2br w:val="nil"/>
              <w:tr2bl w:val="nil"/>
            </w:tcBorders>
            <w:shd w:val="clear" w:color="auto" w:fill="auto"/>
            <w:noWrap/>
            <w:vAlign w:val="center"/>
          </w:tcPr>
          <w:p w14:paraId="31A550E7">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35</w:t>
            </w:r>
          </w:p>
        </w:tc>
        <w:tc>
          <w:tcPr>
            <w:tcW w:w="195" w:type="pct"/>
            <w:tcBorders>
              <w:tl2br w:val="nil"/>
              <w:tr2bl w:val="nil"/>
            </w:tcBorders>
            <w:shd w:val="clear" w:color="auto" w:fill="auto"/>
            <w:noWrap/>
            <w:vAlign w:val="center"/>
          </w:tcPr>
          <w:p w14:paraId="6D90C0A6">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39.</w:t>
            </w:r>
          </w:p>
        </w:tc>
        <w:tc>
          <w:tcPr>
            <w:tcW w:w="200" w:type="pct"/>
            <w:tcBorders>
              <w:tl2br w:val="nil"/>
              <w:tr2bl w:val="nil"/>
            </w:tcBorders>
            <w:shd w:val="clear" w:color="auto" w:fill="auto"/>
            <w:noWrap/>
            <w:vAlign w:val="center"/>
          </w:tcPr>
          <w:p w14:paraId="736554B8">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36</w:t>
            </w:r>
          </w:p>
        </w:tc>
        <w:tc>
          <w:tcPr>
            <w:tcW w:w="237" w:type="pct"/>
            <w:tcBorders>
              <w:tl2br w:val="nil"/>
              <w:tr2bl w:val="nil"/>
            </w:tcBorders>
            <w:shd w:val="clear" w:color="auto" w:fill="auto"/>
            <w:noWrap/>
            <w:vAlign w:val="center"/>
          </w:tcPr>
          <w:p w14:paraId="2BDE8505">
            <w:pPr>
              <w:pStyle w:val="55"/>
              <w:keepNext w:val="0"/>
              <w:keepLines w:val="0"/>
              <w:pageBreakBefore w:val="0"/>
              <w:widowControl/>
              <w:kinsoku/>
              <w:wordWrap/>
              <w:overflowPunct/>
              <w:topLinePunct w:val="0"/>
              <w:autoSpaceDE/>
              <w:autoSpaceDN/>
              <w:bidi w:val="0"/>
              <w:adjustRightInd w:val="0"/>
              <w:snapToGrid w:val="0"/>
              <w:textAlignment w:val="auto"/>
              <w:rPr>
                <w:rFonts w:hint="default"/>
                <w:lang w:val="en-US"/>
              </w:rPr>
            </w:pPr>
            <w:r>
              <w:rPr>
                <w:rFonts w:hint="eastAsia"/>
                <w:lang w:val="en-US" w:eastAsia="zh-CN"/>
              </w:rPr>
              <w:t>40</w:t>
            </w:r>
          </w:p>
        </w:tc>
        <w:tc>
          <w:tcPr>
            <w:tcW w:w="403" w:type="pct"/>
            <w:tcBorders>
              <w:tl2br w:val="nil"/>
              <w:tr2bl w:val="nil"/>
            </w:tcBorders>
            <w:shd w:val="clear" w:color="auto" w:fill="auto"/>
            <w:noWrap/>
            <w:vAlign w:val="center"/>
          </w:tcPr>
          <w:p w14:paraId="0E22841C">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r>
      <w:tr w14:paraId="493EB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00" w:type="pct"/>
            <w:tcBorders>
              <w:tl2br w:val="nil"/>
              <w:tr2bl w:val="nil"/>
            </w:tcBorders>
            <w:shd w:val="clear" w:color="auto" w:fill="auto"/>
            <w:noWrap/>
            <w:vAlign w:val="center"/>
          </w:tcPr>
          <w:p w14:paraId="44EE5DA1">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5</w:t>
            </w:r>
          </w:p>
        </w:tc>
        <w:tc>
          <w:tcPr>
            <w:tcW w:w="223" w:type="pct"/>
            <w:vMerge w:val="continue"/>
            <w:tcBorders>
              <w:tl2br w:val="nil"/>
              <w:tr2bl w:val="nil"/>
            </w:tcBorders>
            <w:shd w:val="clear" w:color="auto" w:fill="auto"/>
            <w:noWrap/>
            <w:vAlign w:val="center"/>
          </w:tcPr>
          <w:p w14:paraId="7E8932BC">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p>
        </w:tc>
        <w:tc>
          <w:tcPr>
            <w:tcW w:w="603" w:type="pct"/>
            <w:tcBorders>
              <w:tl2br w:val="nil"/>
              <w:tr2bl w:val="nil"/>
            </w:tcBorders>
            <w:shd w:val="clear" w:color="auto" w:fill="auto"/>
            <w:noWrap/>
            <w:vAlign w:val="center"/>
          </w:tcPr>
          <w:p w14:paraId="7826B06E">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挤出机</w:t>
            </w:r>
          </w:p>
        </w:tc>
        <w:tc>
          <w:tcPr>
            <w:tcW w:w="199" w:type="pct"/>
            <w:tcBorders>
              <w:tl2br w:val="nil"/>
              <w:tr2bl w:val="nil"/>
            </w:tcBorders>
            <w:shd w:val="clear" w:color="auto" w:fill="auto"/>
            <w:noWrap/>
            <w:vAlign w:val="center"/>
          </w:tcPr>
          <w:p w14:paraId="492E072B">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-53 </w:t>
            </w:r>
          </w:p>
        </w:tc>
        <w:tc>
          <w:tcPr>
            <w:tcW w:w="204" w:type="pct"/>
            <w:tcBorders>
              <w:tl2br w:val="nil"/>
              <w:tr2bl w:val="nil"/>
            </w:tcBorders>
            <w:shd w:val="clear" w:color="auto" w:fill="auto"/>
            <w:noWrap/>
            <w:vAlign w:val="center"/>
          </w:tcPr>
          <w:p w14:paraId="00DB22A7">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154 </w:t>
            </w:r>
          </w:p>
        </w:tc>
        <w:tc>
          <w:tcPr>
            <w:tcW w:w="139" w:type="pct"/>
            <w:tcBorders>
              <w:tl2br w:val="nil"/>
              <w:tr2bl w:val="nil"/>
            </w:tcBorders>
            <w:shd w:val="clear" w:color="auto" w:fill="auto"/>
            <w:noWrap/>
            <w:vAlign w:val="center"/>
          </w:tcPr>
          <w:p w14:paraId="5C2F7120">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c>
          <w:tcPr>
            <w:tcW w:w="327" w:type="pct"/>
            <w:tcBorders>
              <w:tl2br w:val="nil"/>
              <w:tr2bl w:val="nil"/>
            </w:tcBorders>
            <w:shd w:val="clear" w:color="auto" w:fill="auto"/>
            <w:noWrap/>
            <w:vAlign w:val="center"/>
          </w:tcPr>
          <w:p w14:paraId="6B28B987">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94</w:t>
            </w:r>
          </w:p>
        </w:tc>
        <w:tc>
          <w:tcPr>
            <w:tcW w:w="186" w:type="pct"/>
            <w:tcBorders>
              <w:tl2br w:val="nil"/>
              <w:tr2bl w:val="nil"/>
            </w:tcBorders>
            <w:shd w:val="clear" w:color="auto" w:fill="auto"/>
            <w:noWrap/>
            <w:vAlign w:val="center"/>
          </w:tcPr>
          <w:p w14:paraId="5AE9AB2D">
            <w:pPr>
              <w:pStyle w:val="55"/>
              <w:keepNext w:val="0"/>
              <w:keepLines w:val="0"/>
              <w:pageBreakBefore w:val="0"/>
              <w:widowControl/>
              <w:kinsoku/>
              <w:wordWrap/>
              <w:overflowPunct/>
              <w:topLinePunct w:val="0"/>
              <w:autoSpaceDE/>
              <w:autoSpaceDN/>
              <w:bidi w:val="0"/>
              <w:adjustRightInd w:val="0"/>
              <w:snapToGrid w:val="0"/>
              <w:textAlignment w:val="auto"/>
              <w:rPr>
                <w:rFonts w:hint="default"/>
                <w:lang w:val="en-US" w:eastAsia="zh-CN"/>
              </w:rPr>
            </w:pPr>
            <w:r>
              <w:rPr>
                <w:rFonts w:hint="eastAsia"/>
                <w:lang w:val="en-US" w:eastAsia="zh-CN"/>
              </w:rPr>
              <w:t>50</w:t>
            </w:r>
          </w:p>
        </w:tc>
        <w:tc>
          <w:tcPr>
            <w:tcW w:w="186" w:type="pct"/>
            <w:tcBorders>
              <w:tl2br w:val="nil"/>
              <w:tr2bl w:val="nil"/>
            </w:tcBorders>
            <w:shd w:val="clear" w:color="auto" w:fill="auto"/>
            <w:noWrap/>
            <w:vAlign w:val="center"/>
          </w:tcPr>
          <w:p w14:paraId="4D794127">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14</w:t>
            </w:r>
          </w:p>
        </w:tc>
        <w:tc>
          <w:tcPr>
            <w:tcW w:w="186" w:type="pct"/>
            <w:tcBorders>
              <w:tl2br w:val="nil"/>
              <w:tr2bl w:val="nil"/>
            </w:tcBorders>
            <w:shd w:val="clear" w:color="auto" w:fill="auto"/>
            <w:noWrap/>
            <w:vAlign w:val="center"/>
          </w:tcPr>
          <w:p w14:paraId="1AE0B9FB">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49</w:t>
            </w:r>
          </w:p>
        </w:tc>
        <w:tc>
          <w:tcPr>
            <w:tcW w:w="187" w:type="pct"/>
            <w:tcBorders>
              <w:tl2br w:val="nil"/>
              <w:tr2bl w:val="nil"/>
            </w:tcBorders>
            <w:shd w:val="clear" w:color="auto" w:fill="auto"/>
            <w:noWrap/>
            <w:vAlign w:val="center"/>
          </w:tcPr>
          <w:p w14:paraId="4E953A78">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12</w:t>
            </w:r>
          </w:p>
        </w:tc>
        <w:tc>
          <w:tcPr>
            <w:tcW w:w="217" w:type="pct"/>
            <w:tcBorders>
              <w:tl2br w:val="nil"/>
              <w:tr2bl w:val="nil"/>
            </w:tcBorders>
            <w:shd w:val="clear" w:color="auto" w:fill="auto"/>
            <w:noWrap/>
            <w:vAlign w:val="center"/>
          </w:tcPr>
          <w:p w14:paraId="165F8164">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61</w:t>
            </w:r>
          </w:p>
        </w:tc>
        <w:tc>
          <w:tcPr>
            <w:tcW w:w="217" w:type="pct"/>
            <w:tcBorders>
              <w:tl2br w:val="nil"/>
              <w:tr2bl w:val="nil"/>
            </w:tcBorders>
            <w:shd w:val="clear" w:color="auto" w:fill="auto"/>
            <w:noWrap/>
            <w:vAlign w:val="center"/>
          </w:tcPr>
          <w:p w14:paraId="7E4DC687">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65</w:t>
            </w:r>
          </w:p>
        </w:tc>
        <w:tc>
          <w:tcPr>
            <w:tcW w:w="217" w:type="pct"/>
            <w:tcBorders>
              <w:tl2br w:val="nil"/>
              <w:tr2bl w:val="nil"/>
            </w:tcBorders>
            <w:shd w:val="clear" w:color="auto" w:fill="auto"/>
            <w:noWrap/>
            <w:vAlign w:val="center"/>
          </w:tcPr>
          <w:p w14:paraId="2F9C5A2F">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61</w:t>
            </w:r>
          </w:p>
        </w:tc>
        <w:tc>
          <w:tcPr>
            <w:tcW w:w="187" w:type="pct"/>
            <w:tcBorders>
              <w:tl2br w:val="nil"/>
              <w:tr2bl w:val="nil"/>
            </w:tcBorders>
            <w:shd w:val="clear" w:color="auto" w:fill="auto"/>
            <w:noWrap/>
            <w:vAlign w:val="center"/>
          </w:tcPr>
          <w:p w14:paraId="2413DC2E">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66</w:t>
            </w:r>
          </w:p>
        </w:tc>
        <w:tc>
          <w:tcPr>
            <w:tcW w:w="300" w:type="pct"/>
            <w:tcBorders>
              <w:tl2br w:val="nil"/>
              <w:tr2bl w:val="nil"/>
            </w:tcBorders>
            <w:shd w:val="clear" w:color="auto" w:fill="auto"/>
            <w:noWrap/>
            <w:vAlign w:val="center"/>
          </w:tcPr>
          <w:p w14:paraId="70A17AB6">
            <w:pPr>
              <w:pStyle w:val="55"/>
              <w:keepNext w:val="0"/>
              <w:keepLines w:val="0"/>
              <w:pageBreakBefore w:val="0"/>
              <w:widowControl/>
              <w:kinsoku/>
              <w:wordWrap/>
              <w:overflowPunct/>
              <w:topLinePunct w:val="0"/>
              <w:autoSpaceDE/>
              <w:autoSpaceDN/>
              <w:bidi w:val="0"/>
              <w:adjustRightInd w:val="0"/>
              <w:snapToGrid w:val="0"/>
              <w:textAlignment w:val="auto"/>
              <w:rPr>
                <w:rFonts w:hint="eastAsia"/>
                <w:lang w:val="en-US" w:eastAsia="zh-CN"/>
              </w:rPr>
            </w:pPr>
            <w:r>
              <w:rPr>
                <w:rFonts w:hint="eastAsia"/>
                <w:lang w:val="en-US" w:eastAsia="zh-CN"/>
              </w:rPr>
              <w:t>全天</w:t>
            </w:r>
          </w:p>
        </w:tc>
        <w:tc>
          <w:tcPr>
            <w:tcW w:w="179" w:type="pct"/>
            <w:tcBorders>
              <w:tl2br w:val="nil"/>
              <w:tr2bl w:val="nil"/>
            </w:tcBorders>
            <w:shd w:val="clear" w:color="auto" w:fill="auto"/>
            <w:noWrap/>
            <w:vAlign w:val="center"/>
          </w:tcPr>
          <w:p w14:paraId="67F03630">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35</w:t>
            </w:r>
          </w:p>
        </w:tc>
        <w:tc>
          <w:tcPr>
            <w:tcW w:w="195" w:type="pct"/>
            <w:tcBorders>
              <w:tl2br w:val="nil"/>
              <w:tr2bl w:val="nil"/>
            </w:tcBorders>
            <w:shd w:val="clear" w:color="auto" w:fill="auto"/>
            <w:noWrap/>
            <w:vAlign w:val="center"/>
          </w:tcPr>
          <w:p w14:paraId="1E3F8A27">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39</w:t>
            </w:r>
          </w:p>
        </w:tc>
        <w:tc>
          <w:tcPr>
            <w:tcW w:w="200" w:type="pct"/>
            <w:tcBorders>
              <w:tl2br w:val="nil"/>
              <w:tr2bl w:val="nil"/>
            </w:tcBorders>
            <w:shd w:val="clear" w:color="auto" w:fill="auto"/>
            <w:noWrap/>
            <w:vAlign w:val="center"/>
          </w:tcPr>
          <w:p w14:paraId="5D95063B">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35</w:t>
            </w:r>
          </w:p>
        </w:tc>
        <w:tc>
          <w:tcPr>
            <w:tcW w:w="237" w:type="pct"/>
            <w:tcBorders>
              <w:tl2br w:val="nil"/>
              <w:tr2bl w:val="nil"/>
            </w:tcBorders>
            <w:shd w:val="clear" w:color="auto" w:fill="auto"/>
            <w:noWrap/>
            <w:vAlign w:val="center"/>
          </w:tcPr>
          <w:p w14:paraId="14C41A66">
            <w:pPr>
              <w:pStyle w:val="55"/>
              <w:keepNext w:val="0"/>
              <w:keepLines w:val="0"/>
              <w:pageBreakBefore w:val="0"/>
              <w:widowControl/>
              <w:kinsoku/>
              <w:wordWrap/>
              <w:overflowPunct/>
              <w:topLinePunct w:val="0"/>
              <w:autoSpaceDE/>
              <w:autoSpaceDN/>
              <w:bidi w:val="0"/>
              <w:adjustRightInd w:val="0"/>
              <w:snapToGrid w:val="0"/>
              <w:textAlignment w:val="auto"/>
              <w:rPr>
                <w:rFonts w:hint="default"/>
                <w:lang w:val="en-US"/>
              </w:rPr>
            </w:pPr>
            <w:r>
              <w:rPr>
                <w:rFonts w:hint="eastAsia"/>
                <w:lang w:val="en-US" w:eastAsia="zh-CN"/>
              </w:rPr>
              <w:t>40</w:t>
            </w:r>
          </w:p>
        </w:tc>
        <w:tc>
          <w:tcPr>
            <w:tcW w:w="403" w:type="pct"/>
            <w:tcBorders>
              <w:tl2br w:val="nil"/>
              <w:tr2bl w:val="nil"/>
            </w:tcBorders>
            <w:shd w:val="clear" w:color="auto" w:fill="auto"/>
            <w:noWrap/>
            <w:vAlign w:val="center"/>
          </w:tcPr>
          <w:p w14:paraId="7B05AABA">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r>
      <w:tr w14:paraId="1783A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00" w:type="pct"/>
            <w:tcBorders>
              <w:tl2br w:val="nil"/>
              <w:tr2bl w:val="nil"/>
            </w:tcBorders>
            <w:shd w:val="clear" w:color="auto" w:fill="auto"/>
            <w:noWrap/>
            <w:vAlign w:val="center"/>
          </w:tcPr>
          <w:p w14:paraId="6C44B7A5">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w:t>
            </w:r>
          </w:p>
        </w:tc>
        <w:tc>
          <w:tcPr>
            <w:tcW w:w="223" w:type="pct"/>
            <w:vMerge w:val="continue"/>
            <w:tcBorders>
              <w:tl2br w:val="nil"/>
              <w:tr2bl w:val="nil"/>
            </w:tcBorders>
            <w:shd w:val="clear" w:color="auto" w:fill="auto"/>
            <w:noWrap/>
            <w:vAlign w:val="center"/>
          </w:tcPr>
          <w:p w14:paraId="72B972C4">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p>
        </w:tc>
        <w:tc>
          <w:tcPr>
            <w:tcW w:w="603" w:type="pct"/>
            <w:tcBorders>
              <w:tl2br w:val="nil"/>
              <w:tr2bl w:val="nil"/>
            </w:tcBorders>
            <w:shd w:val="clear" w:color="auto" w:fill="auto"/>
            <w:noWrap/>
            <w:vAlign w:val="center"/>
          </w:tcPr>
          <w:p w14:paraId="3F970692">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切粒机</w:t>
            </w:r>
          </w:p>
        </w:tc>
        <w:tc>
          <w:tcPr>
            <w:tcW w:w="199" w:type="pct"/>
            <w:tcBorders>
              <w:tl2br w:val="nil"/>
              <w:tr2bl w:val="nil"/>
            </w:tcBorders>
            <w:shd w:val="clear" w:color="auto" w:fill="auto"/>
            <w:noWrap/>
            <w:vAlign w:val="center"/>
          </w:tcPr>
          <w:p w14:paraId="4C725EF4">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-70 </w:t>
            </w:r>
          </w:p>
        </w:tc>
        <w:tc>
          <w:tcPr>
            <w:tcW w:w="204" w:type="pct"/>
            <w:tcBorders>
              <w:tl2br w:val="nil"/>
              <w:tr2bl w:val="nil"/>
            </w:tcBorders>
            <w:shd w:val="clear" w:color="auto" w:fill="auto"/>
            <w:noWrap/>
            <w:vAlign w:val="center"/>
          </w:tcPr>
          <w:p w14:paraId="4CF99A40">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153 </w:t>
            </w:r>
          </w:p>
        </w:tc>
        <w:tc>
          <w:tcPr>
            <w:tcW w:w="139" w:type="pct"/>
            <w:tcBorders>
              <w:tl2br w:val="nil"/>
              <w:tr2bl w:val="nil"/>
            </w:tcBorders>
            <w:shd w:val="clear" w:color="auto" w:fill="auto"/>
            <w:noWrap/>
            <w:vAlign w:val="center"/>
          </w:tcPr>
          <w:p w14:paraId="49024289">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c>
          <w:tcPr>
            <w:tcW w:w="327" w:type="pct"/>
            <w:tcBorders>
              <w:tl2br w:val="nil"/>
              <w:tr2bl w:val="nil"/>
            </w:tcBorders>
            <w:shd w:val="clear" w:color="auto" w:fill="auto"/>
            <w:noWrap/>
            <w:vAlign w:val="center"/>
          </w:tcPr>
          <w:p w14:paraId="3D2CDB0D">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94</w:t>
            </w:r>
          </w:p>
        </w:tc>
        <w:tc>
          <w:tcPr>
            <w:tcW w:w="186" w:type="pct"/>
            <w:tcBorders>
              <w:tl2br w:val="nil"/>
              <w:tr2bl w:val="nil"/>
            </w:tcBorders>
            <w:shd w:val="clear" w:color="auto" w:fill="auto"/>
            <w:noWrap/>
            <w:vAlign w:val="center"/>
          </w:tcPr>
          <w:p w14:paraId="6B8A7E69">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32</w:t>
            </w:r>
          </w:p>
        </w:tc>
        <w:tc>
          <w:tcPr>
            <w:tcW w:w="186" w:type="pct"/>
            <w:tcBorders>
              <w:tl2br w:val="nil"/>
              <w:tr2bl w:val="nil"/>
            </w:tcBorders>
            <w:shd w:val="clear" w:color="auto" w:fill="auto"/>
            <w:noWrap/>
            <w:vAlign w:val="center"/>
          </w:tcPr>
          <w:p w14:paraId="379F17FF">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13</w:t>
            </w:r>
          </w:p>
        </w:tc>
        <w:tc>
          <w:tcPr>
            <w:tcW w:w="186" w:type="pct"/>
            <w:tcBorders>
              <w:tl2br w:val="nil"/>
              <w:tr2bl w:val="nil"/>
            </w:tcBorders>
            <w:shd w:val="clear" w:color="auto" w:fill="auto"/>
            <w:noWrap/>
            <w:vAlign w:val="center"/>
          </w:tcPr>
          <w:p w14:paraId="4DD5C866">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67</w:t>
            </w:r>
          </w:p>
        </w:tc>
        <w:tc>
          <w:tcPr>
            <w:tcW w:w="187" w:type="pct"/>
            <w:tcBorders>
              <w:tl2br w:val="nil"/>
              <w:tr2bl w:val="nil"/>
            </w:tcBorders>
            <w:shd w:val="clear" w:color="auto" w:fill="auto"/>
            <w:noWrap/>
            <w:vAlign w:val="center"/>
          </w:tcPr>
          <w:p w14:paraId="373922FB">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13</w:t>
            </w:r>
          </w:p>
        </w:tc>
        <w:tc>
          <w:tcPr>
            <w:tcW w:w="217" w:type="pct"/>
            <w:tcBorders>
              <w:tl2br w:val="nil"/>
              <w:tr2bl w:val="nil"/>
            </w:tcBorders>
            <w:shd w:val="clear" w:color="auto" w:fill="auto"/>
            <w:noWrap/>
            <w:vAlign w:val="center"/>
          </w:tcPr>
          <w:p w14:paraId="1AFC3BDA">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62</w:t>
            </w:r>
          </w:p>
        </w:tc>
        <w:tc>
          <w:tcPr>
            <w:tcW w:w="217" w:type="pct"/>
            <w:tcBorders>
              <w:tl2br w:val="nil"/>
              <w:tr2bl w:val="nil"/>
            </w:tcBorders>
            <w:shd w:val="clear" w:color="auto" w:fill="auto"/>
            <w:noWrap/>
            <w:vAlign w:val="center"/>
          </w:tcPr>
          <w:p w14:paraId="31485780">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65</w:t>
            </w:r>
          </w:p>
        </w:tc>
        <w:tc>
          <w:tcPr>
            <w:tcW w:w="217" w:type="pct"/>
            <w:tcBorders>
              <w:tl2br w:val="nil"/>
              <w:tr2bl w:val="nil"/>
            </w:tcBorders>
            <w:shd w:val="clear" w:color="auto" w:fill="auto"/>
            <w:noWrap/>
            <w:vAlign w:val="center"/>
          </w:tcPr>
          <w:p w14:paraId="688A2C72">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61</w:t>
            </w:r>
          </w:p>
        </w:tc>
        <w:tc>
          <w:tcPr>
            <w:tcW w:w="187" w:type="pct"/>
            <w:tcBorders>
              <w:tl2br w:val="nil"/>
              <w:tr2bl w:val="nil"/>
            </w:tcBorders>
            <w:shd w:val="clear" w:color="auto" w:fill="auto"/>
            <w:noWrap/>
            <w:vAlign w:val="center"/>
          </w:tcPr>
          <w:p w14:paraId="7459E413">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65</w:t>
            </w:r>
          </w:p>
        </w:tc>
        <w:tc>
          <w:tcPr>
            <w:tcW w:w="300" w:type="pct"/>
            <w:tcBorders>
              <w:tl2br w:val="nil"/>
              <w:tr2bl w:val="nil"/>
            </w:tcBorders>
            <w:shd w:val="clear" w:color="auto" w:fill="auto"/>
            <w:noWrap/>
            <w:vAlign w:val="center"/>
          </w:tcPr>
          <w:p w14:paraId="4D4EFF5D">
            <w:pPr>
              <w:pStyle w:val="55"/>
              <w:keepNext w:val="0"/>
              <w:keepLines w:val="0"/>
              <w:pageBreakBefore w:val="0"/>
              <w:widowControl/>
              <w:kinsoku/>
              <w:wordWrap/>
              <w:overflowPunct/>
              <w:topLinePunct w:val="0"/>
              <w:autoSpaceDE/>
              <w:autoSpaceDN/>
              <w:bidi w:val="0"/>
              <w:adjustRightInd w:val="0"/>
              <w:snapToGrid w:val="0"/>
              <w:textAlignment w:val="auto"/>
              <w:rPr>
                <w:rFonts w:hint="eastAsia"/>
                <w:lang w:val="en-US" w:eastAsia="zh-CN"/>
              </w:rPr>
            </w:pPr>
            <w:r>
              <w:rPr>
                <w:rFonts w:hint="eastAsia"/>
                <w:lang w:val="en-US" w:eastAsia="zh-CN"/>
              </w:rPr>
              <w:t>全天</w:t>
            </w:r>
          </w:p>
        </w:tc>
        <w:tc>
          <w:tcPr>
            <w:tcW w:w="179" w:type="pct"/>
            <w:tcBorders>
              <w:tl2br w:val="nil"/>
              <w:tr2bl w:val="nil"/>
            </w:tcBorders>
            <w:shd w:val="clear" w:color="auto" w:fill="auto"/>
            <w:noWrap/>
            <w:vAlign w:val="center"/>
          </w:tcPr>
          <w:p w14:paraId="2DABF5F9">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36</w:t>
            </w:r>
          </w:p>
        </w:tc>
        <w:tc>
          <w:tcPr>
            <w:tcW w:w="195" w:type="pct"/>
            <w:tcBorders>
              <w:tl2br w:val="nil"/>
              <w:tr2bl w:val="nil"/>
            </w:tcBorders>
            <w:shd w:val="clear" w:color="auto" w:fill="auto"/>
            <w:noWrap/>
            <w:vAlign w:val="center"/>
          </w:tcPr>
          <w:p w14:paraId="0D83413A">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39</w:t>
            </w:r>
          </w:p>
        </w:tc>
        <w:tc>
          <w:tcPr>
            <w:tcW w:w="200" w:type="pct"/>
            <w:tcBorders>
              <w:tl2br w:val="nil"/>
              <w:tr2bl w:val="nil"/>
            </w:tcBorders>
            <w:shd w:val="clear" w:color="auto" w:fill="auto"/>
            <w:noWrap/>
            <w:vAlign w:val="center"/>
          </w:tcPr>
          <w:p w14:paraId="63B6FF63">
            <w:pPr>
              <w:pStyle w:val="55"/>
              <w:keepNext w:val="0"/>
              <w:keepLines w:val="0"/>
              <w:pageBreakBefore w:val="0"/>
              <w:widowControl/>
              <w:kinsoku/>
              <w:wordWrap/>
              <w:overflowPunct/>
              <w:topLinePunct w:val="0"/>
              <w:autoSpaceDE/>
              <w:autoSpaceDN/>
              <w:bidi w:val="0"/>
              <w:adjustRightInd w:val="0"/>
              <w:snapToGrid w:val="0"/>
              <w:textAlignment w:val="auto"/>
              <w:rPr>
                <w:rFonts w:hint="default"/>
                <w:lang w:val="en-US"/>
              </w:rPr>
            </w:pPr>
            <w:r>
              <w:rPr>
                <w:rFonts w:hint="eastAsia"/>
                <w:lang w:val="en-US" w:eastAsia="zh-CN"/>
              </w:rPr>
              <w:t>35</w:t>
            </w:r>
          </w:p>
        </w:tc>
        <w:tc>
          <w:tcPr>
            <w:tcW w:w="237" w:type="pct"/>
            <w:tcBorders>
              <w:tl2br w:val="nil"/>
              <w:tr2bl w:val="nil"/>
            </w:tcBorders>
            <w:shd w:val="clear" w:color="auto" w:fill="auto"/>
            <w:noWrap/>
            <w:vAlign w:val="center"/>
          </w:tcPr>
          <w:p w14:paraId="40C2DD26">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39</w:t>
            </w:r>
          </w:p>
        </w:tc>
        <w:tc>
          <w:tcPr>
            <w:tcW w:w="403" w:type="pct"/>
            <w:tcBorders>
              <w:tl2br w:val="nil"/>
              <w:tr2bl w:val="nil"/>
            </w:tcBorders>
            <w:shd w:val="clear" w:color="auto" w:fill="auto"/>
            <w:noWrap/>
            <w:vAlign w:val="center"/>
          </w:tcPr>
          <w:p w14:paraId="51E95F85">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r>
      <w:tr w14:paraId="32C35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00" w:type="pct"/>
            <w:tcBorders>
              <w:tl2br w:val="nil"/>
              <w:tr2bl w:val="nil"/>
            </w:tcBorders>
            <w:shd w:val="clear" w:color="auto" w:fill="auto"/>
            <w:noWrap/>
            <w:vAlign w:val="center"/>
          </w:tcPr>
          <w:p w14:paraId="3C92CA7A">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7</w:t>
            </w:r>
          </w:p>
        </w:tc>
        <w:tc>
          <w:tcPr>
            <w:tcW w:w="223" w:type="pct"/>
            <w:vMerge w:val="continue"/>
            <w:tcBorders>
              <w:tl2br w:val="nil"/>
              <w:tr2bl w:val="nil"/>
            </w:tcBorders>
            <w:shd w:val="clear" w:color="auto" w:fill="auto"/>
            <w:noWrap/>
            <w:vAlign w:val="center"/>
          </w:tcPr>
          <w:p w14:paraId="23BF2FEF">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p>
        </w:tc>
        <w:tc>
          <w:tcPr>
            <w:tcW w:w="603" w:type="pct"/>
            <w:tcBorders>
              <w:tl2br w:val="nil"/>
              <w:tr2bl w:val="nil"/>
            </w:tcBorders>
            <w:shd w:val="clear" w:color="auto" w:fill="auto"/>
            <w:noWrap/>
            <w:vAlign w:val="center"/>
          </w:tcPr>
          <w:p w14:paraId="560B2378">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牵引机</w:t>
            </w:r>
          </w:p>
        </w:tc>
        <w:tc>
          <w:tcPr>
            <w:tcW w:w="199" w:type="pct"/>
            <w:tcBorders>
              <w:tl2br w:val="nil"/>
              <w:tr2bl w:val="nil"/>
            </w:tcBorders>
            <w:shd w:val="clear" w:color="auto" w:fill="auto"/>
            <w:noWrap/>
            <w:vAlign w:val="center"/>
          </w:tcPr>
          <w:p w14:paraId="7E957952">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-82 </w:t>
            </w:r>
          </w:p>
        </w:tc>
        <w:tc>
          <w:tcPr>
            <w:tcW w:w="204" w:type="pct"/>
            <w:tcBorders>
              <w:tl2br w:val="nil"/>
              <w:tr2bl w:val="nil"/>
            </w:tcBorders>
            <w:shd w:val="clear" w:color="auto" w:fill="auto"/>
            <w:noWrap/>
            <w:vAlign w:val="center"/>
          </w:tcPr>
          <w:p w14:paraId="483BC32B">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153 </w:t>
            </w:r>
          </w:p>
        </w:tc>
        <w:tc>
          <w:tcPr>
            <w:tcW w:w="139" w:type="pct"/>
            <w:tcBorders>
              <w:tl2br w:val="nil"/>
              <w:tr2bl w:val="nil"/>
            </w:tcBorders>
            <w:shd w:val="clear" w:color="auto" w:fill="auto"/>
            <w:noWrap/>
            <w:vAlign w:val="center"/>
          </w:tcPr>
          <w:p w14:paraId="0E85E383">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c>
          <w:tcPr>
            <w:tcW w:w="327" w:type="pct"/>
            <w:tcBorders>
              <w:tl2br w:val="nil"/>
              <w:tr2bl w:val="nil"/>
            </w:tcBorders>
            <w:shd w:val="clear" w:color="auto" w:fill="auto"/>
            <w:noWrap/>
            <w:vAlign w:val="center"/>
          </w:tcPr>
          <w:p w14:paraId="724790BA">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80</w:t>
            </w:r>
          </w:p>
        </w:tc>
        <w:tc>
          <w:tcPr>
            <w:tcW w:w="186" w:type="pct"/>
            <w:tcBorders>
              <w:tl2br w:val="nil"/>
              <w:tr2bl w:val="nil"/>
            </w:tcBorders>
            <w:shd w:val="clear" w:color="auto" w:fill="auto"/>
            <w:noWrap/>
            <w:vAlign w:val="center"/>
          </w:tcPr>
          <w:p w14:paraId="2EE29110">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20</w:t>
            </w:r>
          </w:p>
        </w:tc>
        <w:tc>
          <w:tcPr>
            <w:tcW w:w="186" w:type="pct"/>
            <w:tcBorders>
              <w:tl2br w:val="nil"/>
              <w:tr2bl w:val="nil"/>
            </w:tcBorders>
            <w:shd w:val="clear" w:color="auto" w:fill="auto"/>
            <w:noWrap/>
            <w:vAlign w:val="center"/>
          </w:tcPr>
          <w:p w14:paraId="176D1BAE">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13</w:t>
            </w:r>
          </w:p>
        </w:tc>
        <w:tc>
          <w:tcPr>
            <w:tcW w:w="186" w:type="pct"/>
            <w:tcBorders>
              <w:tl2br w:val="nil"/>
              <w:tr2bl w:val="nil"/>
            </w:tcBorders>
            <w:shd w:val="clear" w:color="auto" w:fill="auto"/>
            <w:noWrap/>
            <w:vAlign w:val="center"/>
          </w:tcPr>
          <w:p w14:paraId="40548481">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78</w:t>
            </w:r>
          </w:p>
        </w:tc>
        <w:tc>
          <w:tcPr>
            <w:tcW w:w="187" w:type="pct"/>
            <w:tcBorders>
              <w:tl2br w:val="nil"/>
              <w:tr2bl w:val="nil"/>
            </w:tcBorders>
            <w:shd w:val="clear" w:color="auto" w:fill="auto"/>
            <w:noWrap/>
            <w:vAlign w:val="center"/>
          </w:tcPr>
          <w:p w14:paraId="76BE8BAC">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13</w:t>
            </w:r>
          </w:p>
        </w:tc>
        <w:tc>
          <w:tcPr>
            <w:tcW w:w="217" w:type="pct"/>
            <w:tcBorders>
              <w:tl2br w:val="nil"/>
              <w:tr2bl w:val="nil"/>
            </w:tcBorders>
            <w:shd w:val="clear" w:color="auto" w:fill="auto"/>
            <w:noWrap/>
            <w:vAlign w:val="center"/>
          </w:tcPr>
          <w:p w14:paraId="202E72C6">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49</w:t>
            </w:r>
          </w:p>
        </w:tc>
        <w:tc>
          <w:tcPr>
            <w:tcW w:w="217" w:type="pct"/>
            <w:tcBorders>
              <w:tl2br w:val="nil"/>
              <w:tr2bl w:val="nil"/>
            </w:tcBorders>
            <w:shd w:val="clear" w:color="auto" w:fill="auto"/>
            <w:noWrap/>
            <w:vAlign w:val="center"/>
          </w:tcPr>
          <w:p w14:paraId="4A702F00">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51</w:t>
            </w:r>
          </w:p>
        </w:tc>
        <w:tc>
          <w:tcPr>
            <w:tcW w:w="217" w:type="pct"/>
            <w:tcBorders>
              <w:tl2br w:val="nil"/>
              <w:tr2bl w:val="nil"/>
            </w:tcBorders>
            <w:shd w:val="clear" w:color="auto" w:fill="auto"/>
            <w:noWrap/>
            <w:vAlign w:val="center"/>
          </w:tcPr>
          <w:p w14:paraId="6DA4C6B1">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46</w:t>
            </w:r>
          </w:p>
        </w:tc>
        <w:tc>
          <w:tcPr>
            <w:tcW w:w="187" w:type="pct"/>
            <w:tcBorders>
              <w:tl2br w:val="nil"/>
              <w:tr2bl w:val="nil"/>
            </w:tcBorders>
            <w:shd w:val="clear" w:color="auto" w:fill="auto"/>
            <w:noWrap/>
            <w:vAlign w:val="center"/>
          </w:tcPr>
          <w:p w14:paraId="163ECD2B">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51</w:t>
            </w:r>
          </w:p>
        </w:tc>
        <w:tc>
          <w:tcPr>
            <w:tcW w:w="300" w:type="pct"/>
            <w:tcBorders>
              <w:tl2br w:val="nil"/>
              <w:tr2bl w:val="nil"/>
            </w:tcBorders>
            <w:shd w:val="clear" w:color="auto" w:fill="auto"/>
            <w:noWrap/>
            <w:vAlign w:val="center"/>
          </w:tcPr>
          <w:p w14:paraId="3CED5835">
            <w:pPr>
              <w:pStyle w:val="55"/>
              <w:keepNext w:val="0"/>
              <w:keepLines w:val="0"/>
              <w:pageBreakBefore w:val="0"/>
              <w:widowControl/>
              <w:kinsoku/>
              <w:wordWrap/>
              <w:overflowPunct/>
              <w:topLinePunct w:val="0"/>
              <w:autoSpaceDE/>
              <w:autoSpaceDN/>
              <w:bidi w:val="0"/>
              <w:adjustRightInd w:val="0"/>
              <w:snapToGrid w:val="0"/>
              <w:textAlignment w:val="auto"/>
              <w:rPr>
                <w:rFonts w:hint="eastAsia"/>
                <w:lang w:val="en-US" w:eastAsia="zh-CN"/>
              </w:rPr>
            </w:pPr>
            <w:r>
              <w:rPr>
                <w:rFonts w:hint="eastAsia"/>
                <w:lang w:val="en-US" w:eastAsia="zh-CN"/>
              </w:rPr>
              <w:t>全天</w:t>
            </w:r>
          </w:p>
        </w:tc>
        <w:tc>
          <w:tcPr>
            <w:tcW w:w="179" w:type="pct"/>
            <w:tcBorders>
              <w:tl2br w:val="nil"/>
              <w:tr2bl w:val="nil"/>
            </w:tcBorders>
            <w:shd w:val="clear" w:color="auto" w:fill="auto"/>
            <w:noWrap/>
            <w:vAlign w:val="center"/>
          </w:tcPr>
          <w:p w14:paraId="26FA3B95">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23</w:t>
            </w:r>
          </w:p>
        </w:tc>
        <w:tc>
          <w:tcPr>
            <w:tcW w:w="195" w:type="pct"/>
            <w:tcBorders>
              <w:tl2br w:val="nil"/>
              <w:tr2bl w:val="nil"/>
            </w:tcBorders>
            <w:shd w:val="clear" w:color="auto" w:fill="auto"/>
            <w:noWrap/>
            <w:vAlign w:val="center"/>
          </w:tcPr>
          <w:p w14:paraId="7D00C56C">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25</w:t>
            </w:r>
          </w:p>
        </w:tc>
        <w:tc>
          <w:tcPr>
            <w:tcW w:w="200" w:type="pct"/>
            <w:tcBorders>
              <w:tl2br w:val="nil"/>
              <w:tr2bl w:val="nil"/>
            </w:tcBorders>
            <w:shd w:val="clear" w:color="auto" w:fill="auto"/>
            <w:noWrap/>
            <w:vAlign w:val="center"/>
          </w:tcPr>
          <w:p w14:paraId="244DEC03">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20</w:t>
            </w:r>
          </w:p>
        </w:tc>
        <w:tc>
          <w:tcPr>
            <w:tcW w:w="237" w:type="pct"/>
            <w:tcBorders>
              <w:tl2br w:val="nil"/>
              <w:tr2bl w:val="nil"/>
            </w:tcBorders>
            <w:shd w:val="clear" w:color="auto" w:fill="auto"/>
            <w:noWrap/>
            <w:vAlign w:val="center"/>
          </w:tcPr>
          <w:p w14:paraId="43BBA899">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25</w:t>
            </w:r>
          </w:p>
        </w:tc>
        <w:tc>
          <w:tcPr>
            <w:tcW w:w="403" w:type="pct"/>
            <w:tcBorders>
              <w:tl2br w:val="nil"/>
              <w:tr2bl w:val="nil"/>
            </w:tcBorders>
            <w:shd w:val="clear" w:color="auto" w:fill="auto"/>
            <w:noWrap/>
            <w:vAlign w:val="center"/>
          </w:tcPr>
          <w:p w14:paraId="7BBAEC35">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r>
      <w:tr w14:paraId="17A05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00" w:type="pct"/>
            <w:tcBorders>
              <w:tl2br w:val="nil"/>
              <w:tr2bl w:val="nil"/>
            </w:tcBorders>
            <w:shd w:val="clear" w:color="auto" w:fill="auto"/>
            <w:noWrap/>
            <w:vAlign w:val="center"/>
          </w:tcPr>
          <w:p w14:paraId="1E26C871">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8</w:t>
            </w:r>
          </w:p>
        </w:tc>
        <w:tc>
          <w:tcPr>
            <w:tcW w:w="223" w:type="pct"/>
            <w:vMerge w:val="restart"/>
            <w:tcBorders>
              <w:tl2br w:val="nil"/>
              <w:tr2bl w:val="nil"/>
            </w:tcBorders>
            <w:shd w:val="clear" w:color="auto" w:fill="auto"/>
            <w:noWrap/>
            <w:vAlign w:val="center"/>
          </w:tcPr>
          <w:p w14:paraId="44EB33BA">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2#生产车间</w:t>
            </w:r>
          </w:p>
        </w:tc>
        <w:tc>
          <w:tcPr>
            <w:tcW w:w="603" w:type="pct"/>
            <w:tcBorders>
              <w:tl2br w:val="nil"/>
              <w:tr2bl w:val="nil"/>
            </w:tcBorders>
            <w:shd w:val="clear" w:color="auto" w:fill="auto"/>
            <w:noWrap/>
            <w:vAlign w:val="center"/>
          </w:tcPr>
          <w:p w14:paraId="5179C50B">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破碎机</w:t>
            </w:r>
          </w:p>
        </w:tc>
        <w:tc>
          <w:tcPr>
            <w:tcW w:w="199" w:type="pct"/>
            <w:tcBorders>
              <w:tl2br w:val="nil"/>
              <w:tr2bl w:val="nil"/>
            </w:tcBorders>
            <w:shd w:val="clear" w:color="auto" w:fill="auto"/>
            <w:noWrap/>
            <w:vAlign w:val="center"/>
          </w:tcPr>
          <w:p w14:paraId="74A23CF1">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-95 </w:t>
            </w:r>
          </w:p>
        </w:tc>
        <w:tc>
          <w:tcPr>
            <w:tcW w:w="204" w:type="pct"/>
            <w:tcBorders>
              <w:tl2br w:val="nil"/>
              <w:tr2bl w:val="nil"/>
            </w:tcBorders>
            <w:shd w:val="clear" w:color="auto" w:fill="auto"/>
            <w:noWrap/>
            <w:vAlign w:val="center"/>
          </w:tcPr>
          <w:p w14:paraId="2ED47E45">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133 </w:t>
            </w:r>
          </w:p>
        </w:tc>
        <w:tc>
          <w:tcPr>
            <w:tcW w:w="139" w:type="pct"/>
            <w:tcBorders>
              <w:tl2br w:val="nil"/>
              <w:tr2bl w:val="nil"/>
            </w:tcBorders>
            <w:shd w:val="clear" w:color="auto" w:fill="auto"/>
            <w:noWrap/>
            <w:vAlign w:val="center"/>
          </w:tcPr>
          <w:p w14:paraId="3D66551E">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c>
          <w:tcPr>
            <w:tcW w:w="327" w:type="pct"/>
            <w:tcBorders>
              <w:tl2br w:val="nil"/>
              <w:tr2bl w:val="nil"/>
            </w:tcBorders>
            <w:shd w:val="clear" w:color="auto" w:fill="auto"/>
            <w:noWrap/>
            <w:vAlign w:val="center"/>
          </w:tcPr>
          <w:p w14:paraId="10588FD9">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88</w:t>
            </w:r>
          </w:p>
        </w:tc>
        <w:tc>
          <w:tcPr>
            <w:tcW w:w="186" w:type="pct"/>
            <w:tcBorders>
              <w:tl2br w:val="nil"/>
              <w:tr2bl w:val="nil"/>
            </w:tcBorders>
            <w:shd w:val="clear" w:color="auto" w:fill="auto"/>
            <w:noWrap/>
            <w:vAlign w:val="center"/>
          </w:tcPr>
          <w:p w14:paraId="224E2068">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28</w:t>
            </w:r>
          </w:p>
        </w:tc>
        <w:tc>
          <w:tcPr>
            <w:tcW w:w="186" w:type="pct"/>
            <w:tcBorders>
              <w:tl2br w:val="nil"/>
              <w:tr2bl w:val="nil"/>
            </w:tcBorders>
            <w:shd w:val="clear" w:color="auto" w:fill="auto"/>
            <w:noWrap/>
            <w:vAlign w:val="center"/>
          </w:tcPr>
          <w:p w14:paraId="44197CC4">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24</w:t>
            </w:r>
          </w:p>
        </w:tc>
        <w:tc>
          <w:tcPr>
            <w:tcW w:w="186" w:type="pct"/>
            <w:tcBorders>
              <w:tl2br w:val="nil"/>
              <w:tr2bl w:val="nil"/>
            </w:tcBorders>
            <w:shd w:val="clear" w:color="auto" w:fill="auto"/>
            <w:noWrap/>
            <w:vAlign w:val="center"/>
          </w:tcPr>
          <w:p w14:paraId="5547FE98">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w:t>
            </w:r>
          </w:p>
        </w:tc>
        <w:tc>
          <w:tcPr>
            <w:tcW w:w="187" w:type="pct"/>
            <w:tcBorders>
              <w:tl2br w:val="nil"/>
              <w:tr2bl w:val="nil"/>
            </w:tcBorders>
            <w:shd w:val="clear" w:color="auto" w:fill="auto"/>
            <w:noWrap/>
            <w:vAlign w:val="center"/>
          </w:tcPr>
          <w:p w14:paraId="0FF9D491">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8</w:t>
            </w:r>
          </w:p>
        </w:tc>
        <w:tc>
          <w:tcPr>
            <w:tcW w:w="217" w:type="pct"/>
            <w:tcBorders>
              <w:tl2br w:val="nil"/>
              <w:tr2bl w:val="nil"/>
            </w:tcBorders>
            <w:shd w:val="clear" w:color="auto" w:fill="auto"/>
            <w:noWrap/>
            <w:vAlign w:val="center"/>
          </w:tcPr>
          <w:p w14:paraId="597CE442">
            <w:pPr>
              <w:pStyle w:val="55"/>
              <w:keepNext w:val="0"/>
              <w:keepLines w:val="0"/>
              <w:pageBreakBefore w:val="0"/>
              <w:widowControl/>
              <w:kinsoku/>
              <w:wordWrap/>
              <w:overflowPunct/>
              <w:topLinePunct w:val="0"/>
              <w:autoSpaceDE/>
              <w:autoSpaceDN/>
              <w:bidi w:val="0"/>
              <w:adjustRightInd w:val="0"/>
              <w:snapToGrid w:val="0"/>
              <w:textAlignment w:val="auto"/>
              <w:rPr>
                <w:rFonts w:hint="default"/>
                <w:lang w:val="en-US" w:eastAsia="zh-CN"/>
              </w:rPr>
            </w:pPr>
            <w:r>
              <w:rPr>
                <w:rFonts w:hint="eastAsia"/>
                <w:lang w:val="en-US" w:eastAsia="zh-CN"/>
              </w:rPr>
              <w:t>60</w:t>
            </w:r>
          </w:p>
        </w:tc>
        <w:tc>
          <w:tcPr>
            <w:tcW w:w="217" w:type="pct"/>
            <w:tcBorders>
              <w:tl2br w:val="nil"/>
              <w:tr2bl w:val="nil"/>
            </w:tcBorders>
            <w:shd w:val="clear" w:color="auto" w:fill="auto"/>
            <w:noWrap/>
            <w:vAlign w:val="center"/>
          </w:tcPr>
          <w:p w14:paraId="4F04EA6B">
            <w:pPr>
              <w:pStyle w:val="55"/>
              <w:keepNext w:val="0"/>
              <w:keepLines w:val="0"/>
              <w:pageBreakBefore w:val="0"/>
              <w:widowControl/>
              <w:kinsoku/>
              <w:wordWrap/>
              <w:overflowPunct/>
              <w:topLinePunct w:val="0"/>
              <w:autoSpaceDE/>
              <w:autoSpaceDN/>
              <w:bidi w:val="0"/>
              <w:adjustRightInd w:val="0"/>
              <w:snapToGrid w:val="0"/>
              <w:textAlignment w:val="auto"/>
              <w:rPr>
                <w:rFonts w:hint="default"/>
                <w:lang w:val="en-US"/>
              </w:rPr>
            </w:pPr>
            <w:r>
              <w:rPr>
                <w:rFonts w:hint="eastAsia"/>
                <w:lang w:val="en-US" w:eastAsia="zh-CN"/>
              </w:rPr>
              <w:t>60</w:t>
            </w:r>
          </w:p>
        </w:tc>
        <w:tc>
          <w:tcPr>
            <w:tcW w:w="217" w:type="pct"/>
            <w:tcBorders>
              <w:tl2br w:val="nil"/>
              <w:tr2bl w:val="nil"/>
            </w:tcBorders>
            <w:shd w:val="clear" w:color="auto" w:fill="auto"/>
            <w:noWrap/>
            <w:vAlign w:val="center"/>
          </w:tcPr>
          <w:p w14:paraId="42D634AE">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65</w:t>
            </w:r>
          </w:p>
        </w:tc>
        <w:tc>
          <w:tcPr>
            <w:tcW w:w="187" w:type="pct"/>
            <w:tcBorders>
              <w:tl2br w:val="nil"/>
              <w:tr2bl w:val="nil"/>
            </w:tcBorders>
            <w:shd w:val="clear" w:color="auto" w:fill="auto"/>
            <w:noWrap/>
            <w:vAlign w:val="center"/>
          </w:tcPr>
          <w:p w14:paraId="358461A1">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64</w:t>
            </w:r>
          </w:p>
        </w:tc>
        <w:tc>
          <w:tcPr>
            <w:tcW w:w="300" w:type="pct"/>
            <w:tcBorders>
              <w:tl2br w:val="nil"/>
              <w:tr2bl w:val="nil"/>
            </w:tcBorders>
            <w:shd w:val="clear" w:color="auto" w:fill="auto"/>
            <w:noWrap/>
            <w:vAlign w:val="center"/>
          </w:tcPr>
          <w:p w14:paraId="6FBF9B90">
            <w:pPr>
              <w:pStyle w:val="55"/>
              <w:keepNext w:val="0"/>
              <w:keepLines w:val="0"/>
              <w:pageBreakBefore w:val="0"/>
              <w:widowControl/>
              <w:kinsoku/>
              <w:wordWrap/>
              <w:overflowPunct/>
              <w:topLinePunct w:val="0"/>
              <w:autoSpaceDE/>
              <w:autoSpaceDN/>
              <w:bidi w:val="0"/>
              <w:adjustRightInd w:val="0"/>
              <w:snapToGrid w:val="0"/>
              <w:textAlignment w:val="auto"/>
              <w:rPr>
                <w:rFonts w:hint="eastAsia"/>
                <w:lang w:val="en-US" w:eastAsia="zh-CN"/>
              </w:rPr>
            </w:pPr>
            <w:r>
              <w:rPr>
                <w:rFonts w:hint="eastAsia"/>
                <w:lang w:val="en-US" w:eastAsia="zh-CN"/>
              </w:rPr>
              <w:t>全天</w:t>
            </w:r>
          </w:p>
        </w:tc>
        <w:tc>
          <w:tcPr>
            <w:tcW w:w="179" w:type="pct"/>
            <w:tcBorders>
              <w:tl2br w:val="nil"/>
              <w:tr2bl w:val="nil"/>
            </w:tcBorders>
            <w:shd w:val="clear" w:color="auto" w:fill="auto"/>
            <w:noWrap/>
            <w:vAlign w:val="center"/>
          </w:tcPr>
          <w:p w14:paraId="4A0F4242">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34</w:t>
            </w:r>
          </w:p>
        </w:tc>
        <w:tc>
          <w:tcPr>
            <w:tcW w:w="195" w:type="pct"/>
            <w:tcBorders>
              <w:tl2br w:val="nil"/>
              <w:tr2bl w:val="nil"/>
            </w:tcBorders>
            <w:shd w:val="clear" w:color="auto" w:fill="auto"/>
            <w:noWrap/>
            <w:vAlign w:val="center"/>
          </w:tcPr>
          <w:p w14:paraId="6970BF87">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34</w:t>
            </w:r>
          </w:p>
        </w:tc>
        <w:tc>
          <w:tcPr>
            <w:tcW w:w="200" w:type="pct"/>
            <w:tcBorders>
              <w:tl2br w:val="nil"/>
              <w:tr2bl w:val="nil"/>
            </w:tcBorders>
            <w:shd w:val="clear" w:color="auto" w:fill="auto"/>
            <w:noWrap/>
            <w:vAlign w:val="center"/>
          </w:tcPr>
          <w:p w14:paraId="158EE272">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39</w:t>
            </w:r>
          </w:p>
        </w:tc>
        <w:tc>
          <w:tcPr>
            <w:tcW w:w="237" w:type="pct"/>
            <w:tcBorders>
              <w:tl2br w:val="nil"/>
              <w:tr2bl w:val="nil"/>
            </w:tcBorders>
            <w:shd w:val="clear" w:color="auto" w:fill="auto"/>
            <w:noWrap/>
            <w:vAlign w:val="center"/>
          </w:tcPr>
          <w:p w14:paraId="6CF5C7D4">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38</w:t>
            </w:r>
          </w:p>
        </w:tc>
        <w:tc>
          <w:tcPr>
            <w:tcW w:w="403" w:type="pct"/>
            <w:tcBorders>
              <w:tl2br w:val="nil"/>
              <w:tr2bl w:val="nil"/>
            </w:tcBorders>
            <w:shd w:val="clear" w:color="auto" w:fill="auto"/>
            <w:noWrap/>
            <w:vAlign w:val="center"/>
          </w:tcPr>
          <w:p w14:paraId="351F73C3">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r>
      <w:tr w14:paraId="0EB49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00" w:type="pct"/>
            <w:tcBorders>
              <w:tl2br w:val="nil"/>
              <w:tr2bl w:val="nil"/>
            </w:tcBorders>
            <w:shd w:val="clear" w:color="auto" w:fill="auto"/>
            <w:noWrap/>
            <w:vAlign w:val="center"/>
          </w:tcPr>
          <w:p w14:paraId="7DB2FD13">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9</w:t>
            </w:r>
          </w:p>
        </w:tc>
        <w:tc>
          <w:tcPr>
            <w:tcW w:w="223" w:type="pct"/>
            <w:vMerge w:val="continue"/>
            <w:tcBorders>
              <w:tl2br w:val="nil"/>
              <w:tr2bl w:val="nil"/>
            </w:tcBorders>
            <w:shd w:val="clear" w:color="auto" w:fill="auto"/>
            <w:noWrap/>
            <w:vAlign w:val="center"/>
          </w:tcPr>
          <w:p w14:paraId="3962804C">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p>
        </w:tc>
        <w:tc>
          <w:tcPr>
            <w:tcW w:w="603" w:type="pct"/>
            <w:tcBorders>
              <w:tl2br w:val="nil"/>
              <w:tr2bl w:val="nil"/>
            </w:tcBorders>
            <w:shd w:val="clear" w:color="auto" w:fill="auto"/>
            <w:noWrap/>
            <w:vAlign w:val="center"/>
          </w:tcPr>
          <w:p w14:paraId="0B9C7113">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水浮分离机</w:t>
            </w:r>
          </w:p>
        </w:tc>
        <w:tc>
          <w:tcPr>
            <w:tcW w:w="199" w:type="pct"/>
            <w:tcBorders>
              <w:tl2br w:val="nil"/>
              <w:tr2bl w:val="nil"/>
            </w:tcBorders>
            <w:shd w:val="clear" w:color="auto" w:fill="auto"/>
            <w:noWrap/>
            <w:vAlign w:val="center"/>
          </w:tcPr>
          <w:p w14:paraId="49BC0C66">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-95 </w:t>
            </w:r>
          </w:p>
        </w:tc>
        <w:tc>
          <w:tcPr>
            <w:tcW w:w="204" w:type="pct"/>
            <w:tcBorders>
              <w:tl2br w:val="nil"/>
              <w:tr2bl w:val="nil"/>
            </w:tcBorders>
            <w:shd w:val="clear" w:color="auto" w:fill="auto"/>
            <w:noWrap/>
            <w:vAlign w:val="center"/>
          </w:tcPr>
          <w:p w14:paraId="43E98E21">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125 </w:t>
            </w:r>
          </w:p>
        </w:tc>
        <w:tc>
          <w:tcPr>
            <w:tcW w:w="139" w:type="pct"/>
            <w:tcBorders>
              <w:tl2br w:val="nil"/>
              <w:tr2bl w:val="nil"/>
            </w:tcBorders>
            <w:shd w:val="clear" w:color="auto" w:fill="auto"/>
            <w:noWrap/>
            <w:vAlign w:val="center"/>
          </w:tcPr>
          <w:p w14:paraId="56F3DA4B">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c>
          <w:tcPr>
            <w:tcW w:w="327" w:type="pct"/>
            <w:tcBorders>
              <w:tl2br w:val="nil"/>
              <w:tr2bl w:val="nil"/>
            </w:tcBorders>
            <w:shd w:val="clear" w:color="auto" w:fill="auto"/>
            <w:noWrap/>
            <w:vAlign w:val="center"/>
          </w:tcPr>
          <w:p w14:paraId="4F227BCA">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83</w:t>
            </w:r>
          </w:p>
        </w:tc>
        <w:tc>
          <w:tcPr>
            <w:tcW w:w="186" w:type="pct"/>
            <w:tcBorders>
              <w:tl2br w:val="nil"/>
              <w:tr2bl w:val="nil"/>
            </w:tcBorders>
            <w:shd w:val="clear" w:color="auto" w:fill="auto"/>
            <w:noWrap/>
            <w:vAlign w:val="center"/>
          </w:tcPr>
          <w:p w14:paraId="29428B8B">
            <w:pPr>
              <w:pStyle w:val="55"/>
              <w:keepNext w:val="0"/>
              <w:keepLines w:val="0"/>
              <w:pageBreakBefore w:val="0"/>
              <w:widowControl/>
              <w:kinsoku/>
              <w:wordWrap/>
              <w:overflowPunct/>
              <w:topLinePunct w:val="0"/>
              <w:autoSpaceDE/>
              <w:autoSpaceDN/>
              <w:bidi w:val="0"/>
              <w:adjustRightInd w:val="0"/>
              <w:snapToGrid w:val="0"/>
              <w:textAlignment w:val="auto"/>
              <w:rPr>
                <w:rFonts w:hint="default"/>
                <w:lang w:val="en-US"/>
              </w:rPr>
            </w:pPr>
            <w:r>
              <w:rPr>
                <w:rFonts w:hint="eastAsia"/>
                <w:lang w:val="en-US" w:eastAsia="zh-CN"/>
              </w:rPr>
              <w:t>20</w:t>
            </w:r>
          </w:p>
        </w:tc>
        <w:tc>
          <w:tcPr>
            <w:tcW w:w="186" w:type="pct"/>
            <w:tcBorders>
              <w:tl2br w:val="nil"/>
              <w:tr2bl w:val="nil"/>
            </w:tcBorders>
            <w:shd w:val="clear" w:color="auto" w:fill="auto"/>
            <w:noWrap/>
            <w:vAlign w:val="center"/>
          </w:tcPr>
          <w:p w14:paraId="2121AE1E">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24</w:t>
            </w:r>
          </w:p>
        </w:tc>
        <w:tc>
          <w:tcPr>
            <w:tcW w:w="186" w:type="pct"/>
            <w:tcBorders>
              <w:tl2br w:val="nil"/>
              <w:tr2bl w:val="nil"/>
            </w:tcBorders>
            <w:shd w:val="clear" w:color="auto" w:fill="auto"/>
            <w:noWrap/>
            <w:vAlign w:val="center"/>
          </w:tcPr>
          <w:p w14:paraId="5735204E">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15</w:t>
            </w:r>
          </w:p>
        </w:tc>
        <w:tc>
          <w:tcPr>
            <w:tcW w:w="187" w:type="pct"/>
            <w:tcBorders>
              <w:tl2br w:val="nil"/>
              <w:tr2bl w:val="nil"/>
            </w:tcBorders>
            <w:shd w:val="clear" w:color="auto" w:fill="auto"/>
            <w:noWrap/>
            <w:vAlign w:val="center"/>
          </w:tcPr>
          <w:p w14:paraId="5C49DE41">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8</w:t>
            </w:r>
          </w:p>
        </w:tc>
        <w:tc>
          <w:tcPr>
            <w:tcW w:w="217" w:type="pct"/>
            <w:tcBorders>
              <w:tl2br w:val="nil"/>
              <w:tr2bl w:val="nil"/>
            </w:tcBorders>
            <w:shd w:val="clear" w:color="auto" w:fill="auto"/>
            <w:noWrap/>
            <w:vAlign w:val="center"/>
          </w:tcPr>
          <w:p w14:paraId="509CB3AC">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55</w:t>
            </w:r>
          </w:p>
        </w:tc>
        <w:tc>
          <w:tcPr>
            <w:tcW w:w="217" w:type="pct"/>
            <w:tcBorders>
              <w:tl2br w:val="nil"/>
              <w:tr2bl w:val="nil"/>
            </w:tcBorders>
            <w:shd w:val="clear" w:color="auto" w:fill="auto"/>
            <w:noWrap/>
            <w:vAlign w:val="center"/>
          </w:tcPr>
          <w:p w14:paraId="53EB3555">
            <w:pPr>
              <w:pStyle w:val="55"/>
              <w:keepNext w:val="0"/>
              <w:keepLines w:val="0"/>
              <w:pageBreakBefore w:val="0"/>
              <w:widowControl/>
              <w:kinsoku/>
              <w:wordWrap/>
              <w:overflowPunct/>
              <w:topLinePunct w:val="0"/>
              <w:autoSpaceDE/>
              <w:autoSpaceDN/>
              <w:bidi w:val="0"/>
              <w:adjustRightInd w:val="0"/>
              <w:snapToGrid w:val="0"/>
              <w:textAlignment w:val="auto"/>
              <w:rPr>
                <w:rFonts w:hint="default"/>
                <w:lang w:val="en-US"/>
              </w:rPr>
            </w:pPr>
            <w:r>
              <w:rPr>
                <w:rFonts w:hint="eastAsia"/>
                <w:lang w:val="en-US" w:eastAsia="zh-CN"/>
              </w:rPr>
              <w:t>55</w:t>
            </w:r>
          </w:p>
        </w:tc>
        <w:tc>
          <w:tcPr>
            <w:tcW w:w="217" w:type="pct"/>
            <w:tcBorders>
              <w:tl2br w:val="nil"/>
              <w:tr2bl w:val="nil"/>
            </w:tcBorders>
            <w:shd w:val="clear" w:color="auto" w:fill="auto"/>
            <w:noWrap/>
            <w:vAlign w:val="center"/>
          </w:tcPr>
          <w:p w14:paraId="3A6FE301">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56</w:t>
            </w:r>
          </w:p>
        </w:tc>
        <w:tc>
          <w:tcPr>
            <w:tcW w:w="187" w:type="pct"/>
            <w:tcBorders>
              <w:tl2br w:val="nil"/>
              <w:tr2bl w:val="nil"/>
            </w:tcBorders>
            <w:shd w:val="clear" w:color="auto" w:fill="auto"/>
            <w:noWrap/>
            <w:vAlign w:val="center"/>
          </w:tcPr>
          <w:p w14:paraId="6AB32DE7">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58</w:t>
            </w:r>
          </w:p>
        </w:tc>
        <w:tc>
          <w:tcPr>
            <w:tcW w:w="300" w:type="pct"/>
            <w:tcBorders>
              <w:tl2br w:val="nil"/>
              <w:tr2bl w:val="nil"/>
            </w:tcBorders>
            <w:shd w:val="clear" w:color="auto" w:fill="auto"/>
            <w:noWrap/>
            <w:vAlign w:val="center"/>
          </w:tcPr>
          <w:p w14:paraId="6D5A3A29">
            <w:pPr>
              <w:pStyle w:val="55"/>
              <w:keepNext w:val="0"/>
              <w:keepLines w:val="0"/>
              <w:pageBreakBefore w:val="0"/>
              <w:widowControl/>
              <w:kinsoku/>
              <w:wordWrap/>
              <w:overflowPunct/>
              <w:topLinePunct w:val="0"/>
              <w:autoSpaceDE/>
              <w:autoSpaceDN/>
              <w:bidi w:val="0"/>
              <w:adjustRightInd w:val="0"/>
              <w:snapToGrid w:val="0"/>
              <w:textAlignment w:val="auto"/>
              <w:rPr>
                <w:rFonts w:hint="eastAsia"/>
                <w:lang w:val="en-US" w:eastAsia="zh-CN"/>
              </w:rPr>
            </w:pPr>
            <w:r>
              <w:rPr>
                <w:rFonts w:hint="eastAsia"/>
                <w:lang w:val="en-US" w:eastAsia="zh-CN"/>
              </w:rPr>
              <w:t>全天</w:t>
            </w:r>
          </w:p>
        </w:tc>
        <w:tc>
          <w:tcPr>
            <w:tcW w:w="179" w:type="pct"/>
            <w:tcBorders>
              <w:tl2br w:val="nil"/>
              <w:tr2bl w:val="nil"/>
            </w:tcBorders>
            <w:shd w:val="clear" w:color="auto" w:fill="auto"/>
            <w:noWrap/>
            <w:vAlign w:val="center"/>
          </w:tcPr>
          <w:p w14:paraId="3ACB8918">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29</w:t>
            </w:r>
          </w:p>
        </w:tc>
        <w:tc>
          <w:tcPr>
            <w:tcW w:w="195" w:type="pct"/>
            <w:tcBorders>
              <w:tl2br w:val="nil"/>
              <w:tr2bl w:val="nil"/>
            </w:tcBorders>
            <w:shd w:val="clear" w:color="auto" w:fill="auto"/>
            <w:noWrap/>
            <w:vAlign w:val="center"/>
          </w:tcPr>
          <w:p w14:paraId="47FB8CFF">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29</w:t>
            </w:r>
          </w:p>
        </w:tc>
        <w:tc>
          <w:tcPr>
            <w:tcW w:w="200" w:type="pct"/>
            <w:tcBorders>
              <w:tl2br w:val="nil"/>
              <w:tr2bl w:val="nil"/>
            </w:tcBorders>
            <w:shd w:val="clear" w:color="auto" w:fill="auto"/>
            <w:noWrap/>
            <w:vAlign w:val="center"/>
          </w:tcPr>
          <w:p w14:paraId="74B63477">
            <w:pPr>
              <w:pStyle w:val="55"/>
              <w:keepNext w:val="0"/>
              <w:keepLines w:val="0"/>
              <w:pageBreakBefore w:val="0"/>
              <w:widowControl/>
              <w:kinsoku/>
              <w:wordWrap/>
              <w:overflowPunct/>
              <w:topLinePunct w:val="0"/>
              <w:autoSpaceDE/>
              <w:autoSpaceDN/>
              <w:bidi w:val="0"/>
              <w:adjustRightInd w:val="0"/>
              <w:snapToGrid w:val="0"/>
              <w:textAlignment w:val="auto"/>
              <w:rPr>
                <w:rFonts w:hint="default"/>
                <w:lang w:val="en-US"/>
              </w:rPr>
            </w:pPr>
            <w:r>
              <w:rPr>
                <w:rFonts w:hint="eastAsia"/>
                <w:lang w:val="en-US" w:eastAsia="zh-CN"/>
              </w:rPr>
              <w:t>30</w:t>
            </w:r>
          </w:p>
        </w:tc>
        <w:tc>
          <w:tcPr>
            <w:tcW w:w="237" w:type="pct"/>
            <w:tcBorders>
              <w:tl2br w:val="nil"/>
              <w:tr2bl w:val="nil"/>
            </w:tcBorders>
            <w:shd w:val="clear" w:color="auto" w:fill="auto"/>
            <w:noWrap/>
            <w:vAlign w:val="center"/>
          </w:tcPr>
          <w:p w14:paraId="2D508973">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32</w:t>
            </w:r>
          </w:p>
        </w:tc>
        <w:tc>
          <w:tcPr>
            <w:tcW w:w="403" w:type="pct"/>
            <w:tcBorders>
              <w:tl2br w:val="nil"/>
              <w:tr2bl w:val="nil"/>
            </w:tcBorders>
            <w:shd w:val="clear" w:color="auto" w:fill="auto"/>
            <w:noWrap/>
            <w:vAlign w:val="center"/>
          </w:tcPr>
          <w:p w14:paraId="54C585CC">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r>
      <w:tr w14:paraId="7B308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00" w:type="pct"/>
            <w:tcBorders>
              <w:tl2br w:val="nil"/>
              <w:tr2bl w:val="nil"/>
            </w:tcBorders>
            <w:shd w:val="clear" w:color="auto" w:fill="auto"/>
            <w:noWrap/>
            <w:vAlign w:val="center"/>
          </w:tcPr>
          <w:p w14:paraId="0064C4E2">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10</w:t>
            </w:r>
          </w:p>
        </w:tc>
        <w:tc>
          <w:tcPr>
            <w:tcW w:w="223" w:type="pct"/>
            <w:vMerge w:val="continue"/>
            <w:tcBorders>
              <w:tl2br w:val="nil"/>
              <w:tr2bl w:val="nil"/>
            </w:tcBorders>
            <w:shd w:val="clear" w:color="auto" w:fill="auto"/>
            <w:noWrap/>
            <w:vAlign w:val="center"/>
          </w:tcPr>
          <w:p w14:paraId="7B6B2F16">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p>
        </w:tc>
        <w:tc>
          <w:tcPr>
            <w:tcW w:w="603" w:type="pct"/>
            <w:tcBorders>
              <w:tl2br w:val="nil"/>
              <w:tr2bl w:val="nil"/>
            </w:tcBorders>
            <w:shd w:val="clear" w:color="auto" w:fill="auto"/>
            <w:noWrap/>
            <w:vAlign w:val="center"/>
          </w:tcPr>
          <w:p w14:paraId="2FB66448">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卧式甩干机</w:t>
            </w:r>
          </w:p>
        </w:tc>
        <w:tc>
          <w:tcPr>
            <w:tcW w:w="199" w:type="pct"/>
            <w:tcBorders>
              <w:tl2br w:val="nil"/>
              <w:tr2bl w:val="nil"/>
            </w:tcBorders>
            <w:shd w:val="clear" w:color="auto" w:fill="auto"/>
            <w:noWrap/>
            <w:vAlign w:val="center"/>
          </w:tcPr>
          <w:p w14:paraId="4567B29F">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-96 </w:t>
            </w:r>
          </w:p>
        </w:tc>
        <w:tc>
          <w:tcPr>
            <w:tcW w:w="204" w:type="pct"/>
            <w:tcBorders>
              <w:tl2br w:val="nil"/>
              <w:tr2bl w:val="nil"/>
            </w:tcBorders>
            <w:shd w:val="clear" w:color="auto" w:fill="auto"/>
            <w:noWrap/>
            <w:vAlign w:val="center"/>
          </w:tcPr>
          <w:p w14:paraId="6FEA104E">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116 </w:t>
            </w:r>
          </w:p>
        </w:tc>
        <w:tc>
          <w:tcPr>
            <w:tcW w:w="139" w:type="pct"/>
            <w:tcBorders>
              <w:tl2br w:val="nil"/>
              <w:tr2bl w:val="nil"/>
            </w:tcBorders>
            <w:shd w:val="clear" w:color="auto" w:fill="auto"/>
            <w:noWrap/>
            <w:vAlign w:val="center"/>
          </w:tcPr>
          <w:p w14:paraId="5D65F219">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c>
          <w:tcPr>
            <w:tcW w:w="327" w:type="pct"/>
            <w:tcBorders>
              <w:tl2br w:val="nil"/>
              <w:tr2bl w:val="nil"/>
            </w:tcBorders>
            <w:shd w:val="clear" w:color="auto" w:fill="auto"/>
            <w:noWrap/>
            <w:vAlign w:val="center"/>
          </w:tcPr>
          <w:p w14:paraId="1337F73C">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83</w:t>
            </w:r>
          </w:p>
        </w:tc>
        <w:tc>
          <w:tcPr>
            <w:tcW w:w="186" w:type="pct"/>
            <w:tcBorders>
              <w:tl2br w:val="nil"/>
              <w:tr2bl w:val="nil"/>
            </w:tcBorders>
            <w:shd w:val="clear" w:color="auto" w:fill="auto"/>
            <w:noWrap/>
            <w:vAlign w:val="center"/>
          </w:tcPr>
          <w:p w14:paraId="14433241">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11</w:t>
            </w:r>
          </w:p>
        </w:tc>
        <w:tc>
          <w:tcPr>
            <w:tcW w:w="186" w:type="pct"/>
            <w:tcBorders>
              <w:tl2br w:val="nil"/>
              <w:tr2bl w:val="nil"/>
            </w:tcBorders>
            <w:shd w:val="clear" w:color="auto" w:fill="auto"/>
            <w:noWrap/>
            <w:vAlign w:val="center"/>
          </w:tcPr>
          <w:p w14:paraId="628188DE">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24</w:t>
            </w:r>
          </w:p>
        </w:tc>
        <w:tc>
          <w:tcPr>
            <w:tcW w:w="186" w:type="pct"/>
            <w:tcBorders>
              <w:tl2br w:val="nil"/>
              <w:tr2bl w:val="nil"/>
            </w:tcBorders>
            <w:shd w:val="clear" w:color="auto" w:fill="auto"/>
            <w:noWrap/>
            <w:vAlign w:val="center"/>
          </w:tcPr>
          <w:p w14:paraId="53BAF4CC">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24</w:t>
            </w:r>
          </w:p>
        </w:tc>
        <w:tc>
          <w:tcPr>
            <w:tcW w:w="187" w:type="pct"/>
            <w:tcBorders>
              <w:tl2br w:val="nil"/>
              <w:tr2bl w:val="nil"/>
            </w:tcBorders>
            <w:shd w:val="clear" w:color="auto" w:fill="auto"/>
            <w:noWrap/>
            <w:vAlign w:val="center"/>
          </w:tcPr>
          <w:p w14:paraId="74DFF19D">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8</w:t>
            </w:r>
          </w:p>
        </w:tc>
        <w:tc>
          <w:tcPr>
            <w:tcW w:w="217" w:type="pct"/>
            <w:tcBorders>
              <w:tl2br w:val="nil"/>
              <w:tr2bl w:val="nil"/>
            </w:tcBorders>
            <w:shd w:val="clear" w:color="auto" w:fill="auto"/>
            <w:noWrap/>
            <w:vAlign w:val="center"/>
          </w:tcPr>
          <w:p w14:paraId="4405D4AD">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57</w:t>
            </w:r>
          </w:p>
        </w:tc>
        <w:tc>
          <w:tcPr>
            <w:tcW w:w="217" w:type="pct"/>
            <w:tcBorders>
              <w:tl2br w:val="nil"/>
              <w:tr2bl w:val="nil"/>
            </w:tcBorders>
            <w:shd w:val="clear" w:color="auto" w:fill="auto"/>
            <w:noWrap/>
            <w:vAlign w:val="center"/>
          </w:tcPr>
          <w:p w14:paraId="009BC584">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54</w:t>
            </w:r>
          </w:p>
        </w:tc>
        <w:tc>
          <w:tcPr>
            <w:tcW w:w="217" w:type="pct"/>
            <w:tcBorders>
              <w:tl2br w:val="nil"/>
              <w:tr2bl w:val="nil"/>
            </w:tcBorders>
            <w:shd w:val="clear" w:color="auto" w:fill="auto"/>
            <w:noWrap/>
            <w:vAlign w:val="center"/>
          </w:tcPr>
          <w:p w14:paraId="0039796A">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54</w:t>
            </w:r>
          </w:p>
        </w:tc>
        <w:tc>
          <w:tcPr>
            <w:tcW w:w="187" w:type="pct"/>
            <w:tcBorders>
              <w:tl2br w:val="nil"/>
              <w:tr2bl w:val="nil"/>
            </w:tcBorders>
            <w:shd w:val="clear" w:color="auto" w:fill="auto"/>
            <w:noWrap/>
            <w:vAlign w:val="center"/>
          </w:tcPr>
          <w:p w14:paraId="55A798EF">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59</w:t>
            </w:r>
          </w:p>
        </w:tc>
        <w:tc>
          <w:tcPr>
            <w:tcW w:w="300" w:type="pct"/>
            <w:tcBorders>
              <w:tl2br w:val="nil"/>
              <w:tr2bl w:val="nil"/>
            </w:tcBorders>
            <w:shd w:val="clear" w:color="auto" w:fill="auto"/>
            <w:noWrap/>
            <w:vAlign w:val="center"/>
          </w:tcPr>
          <w:p w14:paraId="6978862F">
            <w:pPr>
              <w:pStyle w:val="55"/>
              <w:keepNext w:val="0"/>
              <w:keepLines w:val="0"/>
              <w:pageBreakBefore w:val="0"/>
              <w:widowControl/>
              <w:kinsoku/>
              <w:wordWrap/>
              <w:overflowPunct/>
              <w:topLinePunct w:val="0"/>
              <w:autoSpaceDE/>
              <w:autoSpaceDN/>
              <w:bidi w:val="0"/>
              <w:adjustRightInd w:val="0"/>
              <w:snapToGrid w:val="0"/>
              <w:textAlignment w:val="auto"/>
              <w:rPr>
                <w:rFonts w:hint="eastAsia"/>
                <w:lang w:val="en-US" w:eastAsia="zh-CN"/>
              </w:rPr>
            </w:pPr>
            <w:r>
              <w:rPr>
                <w:rFonts w:hint="eastAsia"/>
                <w:lang w:val="en-US" w:eastAsia="zh-CN"/>
              </w:rPr>
              <w:t>全天</w:t>
            </w:r>
          </w:p>
        </w:tc>
        <w:tc>
          <w:tcPr>
            <w:tcW w:w="179" w:type="pct"/>
            <w:tcBorders>
              <w:tl2br w:val="nil"/>
              <w:tr2bl w:val="nil"/>
            </w:tcBorders>
            <w:shd w:val="clear" w:color="auto" w:fill="auto"/>
            <w:noWrap/>
            <w:vAlign w:val="center"/>
          </w:tcPr>
          <w:p w14:paraId="243739F4">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31</w:t>
            </w:r>
          </w:p>
        </w:tc>
        <w:tc>
          <w:tcPr>
            <w:tcW w:w="195" w:type="pct"/>
            <w:tcBorders>
              <w:tl2br w:val="nil"/>
              <w:tr2bl w:val="nil"/>
            </w:tcBorders>
            <w:shd w:val="clear" w:color="auto" w:fill="auto"/>
            <w:noWrap/>
            <w:vAlign w:val="center"/>
          </w:tcPr>
          <w:p w14:paraId="4FC88881">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28</w:t>
            </w:r>
          </w:p>
        </w:tc>
        <w:tc>
          <w:tcPr>
            <w:tcW w:w="200" w:type="pct"/>
            <w:tcBorders>
              <w:tl2br w:val="nil"/>
              <w:tr2bl w:val="nil"/>
            </w:tcBorders>
            <w:shd w:val="clear" w:color="auto" w:fill="auto"/>
            <w:noWrap/>
            <w:vAlign w:val="center"/>
          </w:tcPr>
          <w:p w14:paraId="22A5EC74">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28</w:t>
            </w:r>
          </w:p>
        </w:tc>
        <w:tc>
          <w:tcPr>
            <w:tcW w:w="237" w:type="pct"/>
            <w:tcBorders>
              <w:tl2br w:val="nil"/>
              <w:tr2bl w:val="nil"/>
            </w:tcBorders>
            <w:shd w:val="clear" w:color="auto" w:fill="auto"/>
            <w:noWrap/>
            <w:vAlign w:val="center"/>
          </w:tcPr>
          <w:p w14:paraId="384E0DBF">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33</w:t>
            </w:r>
          </w:p>
        </w:tc>
        <w:tc>
          <w:tcPr>
            <w:tcW w:w="403" w:type="pct"/>
            <w:tcBorders>
              <w:tl2br w:val="nil"/>
              <w:tr2bl w:val="nil"/>
            </w:tcBorders>
            <w:shd w:val="clear" w:color="auto" w:fill="auto"/>
            <w:noWrap/>
            <w:vAlign w:val="center"/>
          </w:tcPr>
          <w:p w14:paraId="356851CF">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r>
      <w:tr w14:paraId="5E60B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00" w:type="pct"/>
            <w:tcBorders>
              <w:tl2br w:val="nil"/>
              <w:tr2bl w:val="nil"/>
            </w:tcBorders>
            <w:shd w:val="clear" w:color="auto" w:fill="auto"/>
            <w:noWrap/>
            <w:vAlign w:val="center"/>
          </w:tcPr>
          <w:p w14:paraId="32254346">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11</w:t>
            </w:r>
          </w:p>
        </w:tc>
        <w:tc>
          <w:tcPr>
            <w:tcW w:w="223" w:type="pct"/>
            <w:vMerge w:val="continue"/>
            <w:tcBorders>
              <w:tl2br w:val="nil"/>
              <w:tr2bl w:val="nil"/>
            </w:tcBorders>
            <w:shd w:val="clear" w:color="auto" w:fill="auto"/>
            <w:noWrap/>
            <w:vAlign w:val="center"/>
          </w:tcPr>
          <w:p w14:paraId="55D086D9">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p>
        </w:tc>
        <w:tc>
          <w:tcPr>
            <w:tcW w:w="603" w:type="pct"/>
            <w:tcBorders>
              <w:tl2br w:val="nil"/>
              <w:tr2bl w:val="nil"/>
            </w:tcBorders>
            <w:shd w:val="clear" w:color="auto" w:fill="auto"/>
            <w:noWrap/>
            <w:vAlign w:val="center"/>
          </w:tcPr>
          <w:p w14:paraId="0C8F4C1B">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高速混合机</w:t>
            </w:r>
          </w:p>
        </w:tc>
        <w:tc>
          <w:tcPr>
            <w:tcW w:w="199" w:type="pct"/>
            <w:tcBorders>
              <w:tl2br w:val="nil"/>
              <w:tr2bl w:val="nil"/>
            </w:tcBorders>
            <w:shd w:val="clear" w:color="auto" w:fill="auto"/>
            <w:noWrap/>
            <w:vAlign w:val="center"/>
          </w:tcPr>
          <w:p w14:paraId="3DF01158">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-82 </w:t>
            </w:r>
          </w:p>
        </w:tc>
        <w:tc>
          <w:tcPr>
            <w:tcW w:w="204" w:type="pct"/>
            <w:tcBorders>
              <w:tl2br w:val="nil"/>
              <w:tr2bl w:val="nil"/>
            </w:tcBorders>
            <w:shd w:val="clear" w:color="auto" w:fill="auto"/>
            <w:noWrap/>
            <w:vAlign w:val="center"/>
          </w:tcPr>
          <w:p w14:paraId="65957C81">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114 </w:t>
            </w:r>
          </w:p>
        </w:tc>
        <w:tc>
          <w:tcPr>
            <w:tcW w:w="139" w:type="pct"/>
            <w:tcBorders>
              <w:tl2br w:val="nil"/>
              <w:tr2bl w:val="nil"/>
            </w:tcBorders>
            <w:shd w:val="clear" w:color="auto" w:fill="auto"/>
            <w:noWrap/>
            <w:vAlign w:val="center"/>
          </w:tcPr>
          <w:p w14:paraId="353760AD">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c>
          <w:tcPr>
            <w:tcW w:w="327" w:type="pct"/>
            <w:tcBorders>
              <w:tl2br w:val="nil"/>
              <w:tr2bl w:val="nil"/>
            </w:tcBorders>
            <w:shd w:val="clear" w:color="auto" w:fill="auto"/>
            <w:noWrap/>
            <w:vAlign w:val="center"/>
          </w:tcPr>
          <w:p w14:paraId="59FC13C0">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94</w:t>
            </w:r>
          </w:p>
        </w:tc>
        <w:tc>
          <w:tcPr>
            <w:tcW w:w="186" w:type="pct"/>
            <w:tcBorders>
              <w:tl2br w:val="nil"/>
              <w:tr2bl w:val="nil"/>
            </w:tcBorders>
            <w:shd w:val="clear" w:color="auto" w:fill="auto"/>
            <w:noWrap/>
            <w:vAlign w:val="center"/>
          </w:tcPr>
          <w:p w14:paraId="79FD686F">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9</w:t>
            </w:r>
          </w:p>
        </w:tc>
        <w:tc>
          <w:tcPr>
            <w:tcW w:w="186" w:type="pct"/>
            <w:tcBorders>
              <w:tl2br w:val="nil"/>
              <w:tr2bl w:val="nil"/>
            </w:tcBorders>
            <w:shd w:val="clear" w:color="auto" w:fill="auto"/>
            <w:noWrap/>
            <w:vAlign w:val="center"/>
          </w:tcPr>
          <w:p w14:paraId="1141920D">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11</w:t>
            </w:r>
          </w:p>
        </w:tc>
        <w:tc>
          <w:tcPr>
            <w:tcW w:w="186" w:type="pct"/>
            <w:tcBorders>
              <w:tl2br w:val="nil"/>
              <w:tr2bl w:val="nil"/>
            </w:tcBorders>
            <w:shd w:val="clear" w:color="auto" w:fill="auto"/>
            <w:noWrap/>
            <w:vAlign w:val="center"/>
          </w:tcPr>
          <w:p w14:paraId="398C1975">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25</w:t>
            </w:r>
          </w:p>
        </w:tc>
        <w:tc>
          <w:tcPr>
            <w:tcW w:w="187" w:type="pct"/>
            <w:tcBorders>
              <w:tl2br w:val="nil"/>
              <w:tr2bl w:val="nil"/>
            </w:tcBorders>
            <w:shd w:val="clear" w:color="auto" w:fill="auto"/>
            <w:noWrap/>
            <w:vAlign w:val="center"/>
          </w:tcPr>
          <w:p w14:paraId="47D3316E">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21</w:t>
            </w:r>
          </w:p>
        </w:tc>
        <w:tc>
          <w:tcPr>
            <w:tcW w:w="217" w:type="pct"/>
            <w:tcBorders>
              <w:tl2br w:val="nil"/>
              <w:tr2bl w:val="nil"/>
            </w:tcBorders>
            <w:shd w:val="clear" w:color="auto" w:fill="auto"/>
            <w:noWrap/>
            <w:vAlign w:val="center"/>
          </w:tcPr>
          <w:p w14:paraId="0EAD191D">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69</w:t>
            </w:r>
          </w:p>
        </w:tc>
        <w:tc>
          <w:tcPr>
            <w:tcW w:w="217" w:type="pct"/>
            <w:tcBorders>
              <w:tl2br w:val="nil"/>
              <w:tr2bl w:val="nil"/>
            </w:tcBorders>
            <w:shd w:val="clear" w:color="auto" w:fill="auto"/>
            <w:noWrap/>
            <w:vAlign w:val="center"/>
          </w:tcPr>
          <w:p w14:paraId="7E6E98E1">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678</w:t>
            </w:r>
          </w:p>
        </w:tc>
        <w:tc>
          <w:tcPr>
            <w:tcW w:w="217" w:type="pct"/>
            <w:tcBorders>
              <w:tl2br w:val="nil"/>
              <w:tr2bl w:val="nil"/>
            </w:tcBorders>
            <w:shd w:val="clear" w:color="auto" w:fill="auto"/>
            <w:noWrap/>
            <w:vAlign w:val="center"/>
          </w:tcPr>
          <w:p w14:paraId="1B2539B3">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65</w:t>
            </w:r>
          </w:p>
        </w:tc>
        <w:tc>
          <w:tcPr>
            <w:tcW w:w="187" w:type="pct"/>
            <w:tcBorders>
              <w:tl2br w:val="nil"/>
              <w:tr2bl w:val="nil"/>
            </w:tcBorders>
            <w:shd w:val="clear" w:color="auto" w:fill="auto"/>
            <w:noWrap/>
            <w:vAlign w:val="center"/>
          </w:tcPr>
          <w:p w14:paraId="02EB5604">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65</w:t>
            </w:r>
          </w:p>
        </w:tc>
        <w:tc>
          <w:tcPr>
            <w:tcW w:w="300" w:type="pct"/>
            <w:tcBorders>
              <w:tl2br w:val="nil"/>
              <w:tr2bl w:val="nil"/>
            </w:tcBorders>
            <w:shd w:val="clear" w:color="auto" w:fill="auto"/>
            <w:noWrap/>
            <w:vAlign w:val="center"/>
          </w:tcPr>
          <w:p w14:paraId="7B2833FE">
            <w:pPr>
              <w:pStyle w:val="55"/>
              <w:keepNext w:val="0"/>
              <w:keepLines w:val="0"/>
              <w:pageBreakBefore w:val="0"/>
              <w:widowControl/>
              <w:kinsoku/>
              <w:wordWrap/>
              <w:overflowPunct/>
              <w:topLinePunct w:val="0"/>
              <w:autoSpaceDE/>
              <w:autoSpaceDN/>
              <w:bidi w:val="0"/>
              <w:adjustRightInd w:val="0"/>
              <w:snapToGrid w:val="0"/>
              <w:textAlignment w:val="auto"/>
              <w:rPr>
                <w:rFonts w:hint="eastAsia"/>
                <w:lang w:val="en-US" w:eastAsia="zh-CN"/>
              </w:rPr>
            </w:pPr>
            <w:r>
              <w:rPr>
                <w:rFonts w:hint="eastAsia"/>
                <w:lang w:val="en-US" w:eastAsia="zh-CN"/>
              </w:rPr>
              <w:t>全天</w:t>
            </w:r>
          </w:p>
        </w:tc>
        <w:tc>
          <w:tcPr>
            <w:tcW w:w="179" w:type="pct"/>
            <w:tcBorders>
              <w:tl2br w:val="nil"/>
              <w:tr2bl w:val="nil"/>
            </w:tcBorders>
            <w:shd w:val="clear" w:color="auto" w:fill="auto"/>
            <w:noWrap/>
            <w:vAlign w:val="center"/>
          </w:tcPr>
          <w:p w14:paraId="41EC853B">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43</w:t>
            </w:r>
          </w:p>
        </w:tc>
        <w:tc>
          <w:tcPr>
            <w:tcW w:w="195" w:type="pct"/>
            <w:tcBorders>
              <w:tl2br w:val="nil"/>
              <w:tr2bl w:val="nil"/>
            </w:tcBorders>
            <w:shd w:val="clear" w:color="auto" w:fill="auto"/>
            <w:noWrap/>
            <w:vAlign w:val="center"/>
          </w:tcPr>
          <w:p w14:paraId="75BBDBD3">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42</w:t>
            </w:r>
          </w:p>
        </w:tc>
        <w:tc>
          <w:tcPr>
            <w:tcW w:w="200" w:type="pct"/>
            <w:tcBorders>
              <w:tl2br w:val="nil"/>
              <w:tr2bl w:val="nil"/>
            </w:tcBorders>
            <w:shd w:val="clear" w:color="auto" w:fill="auto"/>
            <w:noWrap/>
            <w:vAlign w:val="center"/>
          </w:tcPr>
          <w:p w14:paraId="388EA883">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39</w:t>
            </w:r>
          </w:p>
        </w:tc>
        <w:tc>
          <w:tcPr>
            <w:tcW w:w="237" w:type="pct"/>
            <w:tcBorders>
              <w:tl2br w:val="nil"/>
              <w:tr2bl w:val="nil"/>
            </w:tcBorders>
            <w:shd w:val="clear" w:color="auto" w:fill="auto"/>
            <w:noWrap/>
            <w:vAlign w:val="center"/>
          </w:tcPr>
          <w:p w14:paraId="3769062A">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39</w:t>
            </w:r>
          </w:p>
        </w:tc>
        <w:tc>
          <w:tcPr>
            <w:tcW w:w="403" w:type="pct"/>
            <w:tcBorders>
              <w:tl2br w:val="nil"/>
              <w:tr2bl w:val="nil"/>
            </w:tcBorders>
            <w:shd w:val="clear" w:color="auto" w:fill="auto"/>
            <w:noWrap/>
            <w:vAlign w:val="center"/>
          </w:tcPr>
          <w:p w14:paraId="7599E709">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r>
      <w:tr w14:paraId="46C99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00" w:type="pct"/>
            <w:tcBorders>
              <w:tl2br w:val="nil"/>
              <w:tr2bl w:val="nil"/>
            </w:tcBorders>
            <w:shd w:val="clear" w:color="auto" w:fill="auto"/>
            <w:noWrap/>
            <w:vAlign w:val="center"/>
          </w:tcPr>
          <w:p w14:paraId="6C553225">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12</w:t>
            </w:r>
          </w:p>
        </w:tc>
        <w:tc>
          <w:tcPr>
            <w:tcW w:w="223" w:type="pct"/>
            <w:vMerge w:val="continue"/>
            <w:tcBorders>
              <w:tl2br w:val="nil"/>
              <w:tr2bl w:val="nil"/>
            </w:tcBorders>
            <w:shd w:val="clear" w:color="auto" w:fill="auto"/>
            <w:noWrap/>
            <w:vAlign w:val="center"/>
          </w:tcPr>
          <w:p w14:paraId="4E7DF1C2">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p>
        </w:tc>
        <w:tc>
          <w:tcPr>
            <w:tcW w:w="603" w:type="pct"/>
            <w:tcBorders>
              <w:tl2br w:val="nil"/>
              <w:tr2bl w:val="nil"/>
            </w:tcBorders>
            <w:shd w:val="clear" w:color="auto" w:fill="auto"/>
            <w:noWrap/>
            <w:vAlign w:val="center"/>
          </w:tcPr>
          <w:p w14:paraId="1AD7D27A">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挤出机</w:t>
            </w:r>
          </w:p>
        </w:tc>
        <w:tc>
          <w:tcPr>
            <w:tcW w:w="199" w:type="pct"/>
            <w:tcBorders>
              <w:tl2br w:val="nil"/>
              <w:tr2bl w:val="nil"/>
            </w:tcBorders>
            <w:shd w:val="clear" w:color="auto" w:fill="auto"/>
            <w:noWrap/>
            <w:vAlign w:val="center"/>
          </w:tcPr>
          <w:p w14:paraId="5DD5833A">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-82 </w:t>
            </w:r>
          </w:p>
        </w:tc>
        <w:tc>
          <w:tcPr>
            <w:tcW w:w="204" w:type="pct"/>
            <w:tcBorders>
              <w:tl2br w:val="nil"/>
              <w:tr2bl w:val="nil"/>
            </w:tcBorders>
            <w:shd w:val="clear" w:color="auto" w:fill="auto"/>
            <w:noWrap/>
            <w:vAlign w:val="center"/>
          </w:tcPr>
          <w:p w14:paraId="037FCD14">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122 </w:t>
            </w:r>
          </w:p>
        </w:tc>
        <w:tc>
          <w:tcPr>
            <w:tcW w:w="139" w:type="pct"/>
            <w:tcBorders>
              <w:tl2br w:val="nil"/>
              <w:tr2bl w:val="nil"/>
            </w:tcBorders>
            <w:shd w:val="clear" w:color="auto" w:fill="auto"/>
            <w:noWrap/>
            <w:vAlign w:val="center"/>
          </w:tcPr>
          <w:p w14:paraId="305C8F66">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c>
          <w:tcPr>
            <w:tcW w:w="327" w:type="pct"/>
            <w:tcBorders>
              <w:tl2br w:val="nil"/>
              <w:tr2bl w:val="nil"/>
            </w:tcBorders>
            <w:shd w:val="clear" w:color="auto" w:fill="auto"/>
            <w:noWrap/>
            <w:vAlign w:val="center"/>
          </w:tcPr>
          <w:p w14:paraId="14E30B90">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94</w:t>
            </w:r>
          </w:p>
        </w:tc>
        <w:tc>
          <w:tcPr>
            <w:tcW w:w="186" w:type="pct"/>
            <w:tcBorders>
              <w:tl2br w:val="nil"/>
              <w:tr2bl w:val="nil"/>
            </w:tcBorders>
            <w:shd w:val="clear" w:color="auto" w:fill="auto"/>
            <w:noWrap/>
            <w:vAlign w:val="center"/>
          </w:tcPr>
          <w:p w14:paraId="5D2CF31D">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17</w:t>
            </w:r>
          </w:p>
        </w:tc>
        <w:tc>
          <w:tcPr>
            <w:tcW w:w="186" w:type="pct"/>
            <w:tcBorders>
              <w:tl2br w:val="nil"/>
              <w:tr2bl w:val="nil"/>
            </w:tcBorders>
            <w:shd w:val="clear" w:color="auto" w:fill="auto"/>
            <w:noWrap/>
            <w:vAlign w:val="center"/>
          </w:tcPr>
          <w:p w14:paraId="6983791D">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11</w:t>
            </w:r>
          </w:p>
        </w:tc>
        <w:tc>
          <w:tcPr>
            <w:tcW w:w="186" w:type="pct"/>
            <w:tcBorders>
              <w:tl2br w:val="nil"/>
              <w:tr2bl w:val="nil"/>
            </w:tcBorders>
            <w:shd w:val="clear" w:color="auto" w:fill="auto"/>
            <w:noWrap/>
            <w:vAlign w:val="center"/>
          </w:tcPr>
          <w:p w14:paraId="5127E353">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17</w:t>
            </w:r>
          </w:p>
        </w:tc>
        <w:tc>
          <w:tcPr>
            <w:tcW w:w="187" w:type="pct"/>
            <w:tcBorders>
              <w:tl2br w:val="nil"/>
              <w:tr2bl w:val="nil"/>
            </w:tcBorders>
            <w:shd w:val="clear" w:color="auto" w:fill="auto"/>
            <w:noWrap/>
            <w:vAlign w:val="center"/>
          </w:tcPr>
          <w:p w14:paraId="159F904F">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22</w:t>
            </w:r>
          </w:p>
        </w:tc>
        <w:tc>
          <w:tcPr>
            <w:tcW w:w="217" w:type="pct"/>
            <w:tcBorders>
              <w:tl2br w:val="nil"/>
              <w:tr2bl w:val="nil"/>
            </w:tcBorders>
            <w:shd w:val="clear" w:color="auto" w:fill="auto"/>
            <w:noWrap/>
            <w:vAlign w:val="center"/>
          </w:tcPr>
          <w:p w14:paraId="4F9C9092">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66</w:t>
            </w:r>
          </w:p>
        </w:tc>
        <w:tc>
          <w:tcPr>
            <w:tcW w:w="217" w:type="pct"/>
            <w:tcBorders>
              <w:tl2br w:val="nil"/>
              <w:tr2bl w:val="nil"/>
            </w:tcBorders>
            <w:shd w:val="clear" w:color="auto" w:fill="auto"/>
            <w:noWrap/>
            <w:vAlign w:val="center"/>
          </w:tcPr>
          <w:p w14:paraId="6F273A3C">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68</w:t>
            </w:r>
          </w:p>
        </w:tc>
        <w:tc>
          <w:tcPr>
            <w:tcW w:w="217" w:type="pct"/>
            <w:tcBorders>
              <w:tl2br w:val="nil"/>
              <w:tr2bl w:val="nil"/>
            </w:tcBorders>
            <w:shd w:val="clear" w:color="auto" w:fill="auto"/>
            <w:noWrap/>
            <w:vAlign w:val="center"/>
          </w:tcPr>
          <w:p w14:paraId="7A663F27">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66</w:t>
            </w:r>
          </w:p>
        </w:tc>
        <w:tc>
          <w:tcPr>
            <w:tcW w:w="187" w:type="pct"/>
            <w:tcBorders>
              <w:tl2br w:val="nil"/>
              <w:tr2bl w:val="nil"/>
            </w:tcBorders>
            <w:shd w:val="clear" w:color="auto" w:fill="auto"/>
            <w:noWrap/>
            <w:vAlign w:val="center"/>
          </w:tcPr>
          <w:p w14:paraId="591F42FE">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65</w:t>
            </w:r>
          </w:p>
        </w:tc>
        <w:tc>
          <w:tcPr>
            <w:tcW w:w="300" w:type="pct"/>
            <w:tcBorders>
              <w:tl2br w:val="nil"/>
              <w:tr2bl w:val="nil"/>
            </w:tcBorders>
            <w:shd w:val="clear" w:color="auto" w:fill="auto"/>
            <w:noWrap/>
            <w:vAlign w:val="center"/>
          </w:tcPr>
          <w:p w14:paraId="6F8AA004">
            <w:pPr>
              <w:pStyle w:val="55"/>
              <w:keepNext w:val="0"/>
              <w:keepLines w:val="0"/>
              <w:pageBreakBefore w:val="0"/>
              <w:widowControl/>
              <w:kinsoku/>
              <w:wordWrap/>
              <w:overflowPunct/>
              <w:topLinePunct w:val="0"/>
              <w:autoSpaceDE/>
              <w:autoSpaceDN/>
              <w:bidi w:val="0"/>
              <w:adjustRightInd w:val="0"/>
              <w:snapToGrid w:val="0"/>
              <w:textAlignment w:val="auto"/>
              <w:rPr>
                <w:rFonts w:hint="eastAsia"/>
                <w:lang w:val="en-US" w:eastAsia="zh-CN"/>
              </w:rPr>
            </w:pPr>
            <w:r>
              <w:rPr>
                <w:rFonts w:hint="eastAsia"/>
                <w:lang w:val="en-US" w:eastAsia="zh-CN"/>
              </w:rPr>
              <w:t>全天</w:t>
            </w:r>
          </w:p>
        </w:tc>
        <w:tc>
          <w:tcPr>
            <w:tcW w:w="179" w:type="pct"/>
            <w:tcBorders>
              <w:tl2br w:val="nil"/>
              <w:tr2bl w:val="nil"/>
            </w:tcBorders>
            <w:shd w:val="clear" w:color="auto" w:fill="auto"/>
            <w:noWrap/>
            <w:vAlign w:val="center"/>
          </w:tcPr>
          <w:p w14:paraId="52E2F169">
            <w:pPr>
              <w:pStyle w:val="55"/>
              <w:keepNext w:val="0"/>
              <w:keepLines w:val="0"/>
              <w:pageBreakBefore w:val="0"/>
              <w:widowControl/>
              <w:kinsoku/>
              <w:wordWrap/>
              <w:overflowPunct/>
              <w:topLinePunct w:val="0"/>
              <w:autoSpaceDE/>
              <w:autoSpaceDN/>
              <w:bidi w:val="0"/>
              <w:adjustRightInd w:val="0"/>
              <w:snapToGrid w:val="0"/>
              <w:textAlignment w:val="auto"/>
              <w:rPr>
                <w:rFonts w:hint="default"/>
                <w:lang w:val="en-US"/>
              </w:rPr>
            </w:pPr>
            <w:r>
              <w:rPr>
                <w:rFonts w:hint="eastAsia"/>
                <w:lang w:val="en-US" w:eastAsia="zh-CN"/>
              </w:rPr>
              <w:t>40</w:t>
            </w:r>
          </w:p>
        </w:tc>
        <w:tc>
          <w:tcPr>
            <w:tcW w:w="195" w:type="pct"/>
            <w:tcBorders>
              <w:tl2br w:val="nil"/>
              <w:tr2bl w:val="nil"/>
            </w:tcBorders>
            <w:shd w:val="clear" w:color="auto" w:fill="auto"/>
            <w:noWrap/>
            <w:vAlign w:val="center"/>
          </w:tcPr>
          <w:p w14:paraId="06B0EE38">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42</w:t>
            </w:r>
          </w:p>
        </w:tc>
        <w:tc>
          <w:tcPr>
            <w:tcW w:w="200" w:type="pct"/>
            <w:tcBorders>
              <w:tl2br w:val="nil"/>
              <w:tr2bl w:val="nil"/>
            </w:tcBorders>
            <w:shd w:val="clear" w:color="auto" w:fill="auto"/>
            <w:noWrap/>
            <w:vAlign w:val="center"/>
          </w:tcPr>
          <w:p w14:paraId="0728FD0A">
            <w:pPr>
              <w:pStyle w:val="55"/>
              <w:keepNext w:val="0"/>
              <w:keepLines w:val="0"/>
              <w:pageBreakBefore w:val="0"/>
              <w:widowControl/>
              <w:kinsoku/>
              <w:wordWrap/>
              <w:overflowPunct/>
              <w:topLinePunct w:val="0"/>
              <w:autoSpaceDE/>
              <w:autoSpaceDN/>
              <w:bidi w:val="0"/>
              <w:adjustRightInd w:val="0"/>
              <w:snapToGrid w:val="0"/>
              <w:textAlignment w:val="auto"/>
              <w:rPr>
                <w:rFonts w:hint="default"/>
                <w:lang w:val="en-US"/>
              </w:rPr>
            </w:pPr>
            <w:r>
              <w:rPr>
                <w:rFonts w:hint="eastAsia"/>
                <w:lang w:val="en-US" w:eastAsia="zh-CN"/>
              </w:rPr>
              <w:t>40</w:t>
            </w:r>
          </w:p>
        </w:tc>
        <w:tc>
          <w:tcPr>
            <w:tcW w:w="237" w:type="pct"/>
            <w:tcBorders>
              <w:tl2br w:val="nil"/>
              <w:tr2bl w:val="nil"/>
            </w:tcBorders>
            <w:shd w:val="clear" w:color="auto" w:fill="auto"/>
            <w:noWrap/>
            <w:vAlign w:val="center"/>
          </w:tcPr>
          <w:p w14:paraId="39E88D30">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39</w:t>
            </w:r>
          </w:p>
        </w:tc>
        <w:tc>
          <w:tcPr>
            <w:tcW w:w="403" w:type="pct"/>
            <w:tcBorders>
              <w:tl2br w:val="nil"/>
              <w:tr2bl w:val="nil"/>
            </w:tcBorders>
            <w:shd w:val="clear" w:color="auto" w:fill="auto"/>
            <w:noWrap/>
            <w:vAlign w:val="center"/>
          </w:tcPr>
          <w:p w14:paraId="25B22DE2">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r>
      <w:tr w14:paraId="0CA56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00" w:type="pct"/>
            <w:tcBorders>
              <w:tl2br w:val="nil"/>
              <w:tr2bl w:val="nil"/>
            </w:tcBorders>
            <w:shd w:val="clear" w:color="auto" w:fill="auto"/>
            <w:noWrap/>
            <w:vAlign w:val="center"/>
          </w:tcPr>
          <w:p w14:paraId="571B3C8C">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13</w:t>
            </w:r>
          </w:p>
        </w:tc>
        <w:tc>
          <w:tcPr>
            <w:tcW w:w="223" w:type="pct"/>
            <w:vMerge w:val="continue"/>
            <w:tcBorders>
              <w:tl2br w:val="nil"/>
              <w:tr2bl w:val="nil"/>
            </w:tcBorders>
            <w:shd w:val="clear" w:color="auto" w:fill="auto"/>
            <w:noWrap/>
            <w:vAlign w:val="center"/>
          </w:tcPr>
          <w:p w14:paraId="1FD8A6DD">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p>
        </w:tc>
        <w:tc>
          <w:tcPr>
            <w:tcW w:w="603" w:type="pct"/>
            <w:tcBorders>
              <w:tl2br w:val="nil"/>
              <w:tr2bl w:val="nil"/>
            </w:tcBorders>
            <w:shd w:val="clear" w:color="auto" w:fill="auto"/>
            <w:noWrap/>
            <w:vAlign w:val="center"/>
          </w:tcPr>
          <w:p w14:paraId="2094E277">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切粒机</w:t>
            </w:r>
          </w:p>
        </w:tc>
        <w:tc>
          <w:tcPr>
            <w:tcW w:w="199" w:type="pct"/>
            <w:tcBorders>
              <w:tl2br w:val="nil"/>
              <w:tr2bl w:val="nil"/>
            </w:tcBorders>
            <w:shd w:val="clear" w:color="auto" w:fill="auto"/>
            <w:noWrap/>
            <w:vAlign w:val="center"/>
          </w:tcPr>
          <w:p w14:paraId="5AD82C3D">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-82 </w:t>
            </w:r>
          </w:p>
        </w:tc>
        <w:tc>
          <w:tcPr>
            <w:tcW w:w="204" w:type="pct"/>
            <w:tcBorders>
              <w:tl2br w:val="nil"/>
              <w:tr2bl w:val="nil"/>
            </w:tcBorders>
            <w:shd w:val="clear" w:color="auto" w:fill="auto"/>
            <w:noWrap/>
            <w:vAlign w:val="center"/>
          </w:tcPr>
          <w:p w14:paraId="5C02246B">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130 </w:t>
            </w:r>
          </w:p>
        </w:tc>
        <w:tc>
          <w:tcPr>
            <w:tcW w:w="139" w:type="pct"/>
            <w:tcBorders>
              <w:tl2br w:val="nil"/>
              <w:tr2bl w:val="nil"/>
            </w:tcBorders>
            <w:shd w:val="clear" w:color="auto" w:fill="auto"/>
            <w:noWrap/>
            <w:vAlign w:val="center"/>
          </w:tcPr>
          <w:p w14:paraId="2BE9B2E5">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c>
          <w:tcPr>
            <w:tcW w:w="327" w:type="pct"/>
            <w:tcBorders>
              <w:tl2br w:val="nil"/>
              <w:tr2bl w:val="nil"/>
            </w:tcBorders>
            <w:shd w:val="clear" w:color="auto" w:fill="auto"/>
            <w:noWrap/>
            <w:vAlign w:val="center"/>
          </w:tcPr>
          <w:p w14:paraId="7661C89B">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94</w:t>
            </w:r>
          </w:p>
        </w:tc>
        <w:tc>
          <w:tcPr>
            <w:tcW w:w="186" w:type="pct"/>
            <w:tcBorders>
              <w:tl2br w:val="nil"/>
              <w:tr2bl w:val="nil"/>
            </w:tcBorders>
            <w:shd w:val="clear" w:color="auto" w:fill="auto"/>
            <w:noWrap/>
            <w:vAlign w:val="center"/>
          </w:tcPr>
          <w:p w14:paraId="46654CEE">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25</w:t>
            </w:r>
          </w:p>
        </w:tc>
        <w:tc>
          <w:tcPr>
            <w:tcW w:w="186" w:type="pct"/>
            <w:tcBorders>
              <w:tl2br w:val="nil"/>
              <w:tr2bl w:val="nil"/>
            </w:tcBorders>
            <w:shd w:val="clear" w:color="auto" w:fill="auto"/>
            <w:noWrap/>
            <w:vAlign w:val="center"/>
          </w:tcPr>
          <w:p w14:paraId="1BF08788">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11</w:t>
            </w:r>
          </w:p>
        </w:tc>
        <w:tc>
          <w:tcPr>
            <w:tcW w:w="186" w:type="pct"/>
            <w:tcBorders>
              <w:tl2br w:val="nil"/>
              <w:tr2bl w:val="nil"/>
            </w:tcBorders>
            <w:shd w:val="clear" w:color="auto" w:fill="auto"/>
            <w:noWrap/>
            <w:vAlign w:val="center"/>
          </w:tcPr>
          <w:p w14:paraId="4843B865">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9</w:t>
            </w:r>
          </w:p>
        </w:tc>
        <w:tc>
          <w:tcPr>
            <w:tcW w:w="187" w:type="pct"/>
            <w:tcBorders>
              <w:tl2br w:val="nil"/>
              <w:tr2bl w:val="nil"/>
            </w:tcBorders>
            <w:shd w:val="clear" w:color="auto" w:fill="auto"/>
            <w:noWrap/>
            <w:vAlign w:val="center"/>
          </w:tcPr>
          <w:p w14:paraId="4414D295">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21</w:t>
            </w:r>
          </w:p>
        </w:tc>
        <w:tc>
          <w:tcPr>
            <w:tcW w:w="217" w:type="pct"/>
            <w:tcBorders>
              <w:tl2br w:val="nil"/>
              <w:tr2bl w:val="nil"/>
            </w:tcBorders>
            <w:shd w:val="clear" w:color="auto" w:fill="auto"/>
            <w:noWrap/>
            <w:vAlign w:val="center"/>
          </w:tcPr>
          <w:p w14:paraId="7492EE47">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64</w:t>
            </w:r>
          </w:p>
        </w:tc>
        <w:tc>
          <w:tcPr>
            <w:tcW w:w="217" w:type="pct"/>
            <w:tcBorders>
              <w:tl2br w:val="nil"/>
              <w:tr2bl w:val="nil"/>
            </w:tcBorders>
            <w:shd w:val="clear" w:color="auto" w:fill="auto"/>
            <w:noWrap/>
            <w:vAlign w:val="center"/>
          </w:tcPr>
          <w:p w14:paraId="7EE2F217">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67</w:t>
            </w:r>
          </w:p>
        </w:tc>
        <w:tc>
          <w:tcPr>
            <w:tcW w:w="217" w:type="pct"/>
            <w:tcBorders>
              <w:tl2br w:val="nil"/>
              <w:tr2bl w:val="nil"/>
            </w:tcBorders>
            <w:shd w:val="clear" w:color="auto" w:fill="auto"/>
            <w:noWrap/>
            <w:vAlign w:val="center"/>
          </w:tcPr>
          <w:p w14:paraId="6D46F926">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68</w:t>
            </w:r>
          </w:p>
        </w:tc>
        <w:tc>
          <w:tcPr>
            <w:tcW w:w="187" w:type="pct"/>
            <w:tcBorders>
              <w:tl2br w:val="nil"/>
              <w:tr2bl w:val="nil"/>
            </w:tcBorders>
            <w:shd w:val="clear" w:color="auto" w:fill="auto"/>
            <w:noWrap/>
            <w:vAlign w:val="center"/>
          </w:tcPr>
          <w:p w14:paraId="32C3FD73">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65</w:t>
            </w:r>
          </w:p>
        </w:tc>
        <w:tc>
          <w:tcPr>
            <w:tcW w:w="300" w:type="pct"/>
            <w:tcBorders>
              <w:tl2br w:val="nil"/>
              <w:tr2bl w:val="nil"/>
            </w:tcBorders>
            <w:shd w:val="clear" w:color="auto" w:fill="auto"/>
            <w:noWrap/>
            <w:vAlign w:val="center"/>
          </w:tcPr>
          <w:p w14:paraId="746FC80A">
            <w:pPr>
              <w:pStyle w:val="55"/>
              <w:keepNext w:val="0"/>
              <w:keepLines w:val="0"/>
              <w:pageBreakBefore w:val="0"/>
              <w:widowControl/>
              <w:kinsoku/>
              <w:wordWrap/>
              <w:overflowPunct/>
              <w:topLinePunct w:val="0"/>
              <w:autoSpaceDE/>
              <w:autoSpaceDN/>
              <w:bidi w:val="0"/>
              <w:adjustRightInd w:val="0"/>
              <w:snapToGrid w:val="0"/>
              <w:textAlignment w:val="auto"/>
              <w:rPr>
                <w:rFonts w:hint="eastAsia"/>
                <w:lang w:val="en-US" w:eastAsia="zh-CN"/>
              </w:rPr>
            </w:pPr>
            <w:r>
              <w:rPr>
                <w:rFonts w:hint="eastAsia"/>
                <w:lang w:val="en-US" w:eastAsia="zh-CN"/>
              </w:rPr>
              <w:t>全天</w:t>
            </w:r>
          </w:p>
        </w:tc>
        <w:tc>
          <w:tcPr>
            <w:tcW w:w="179" w:type="pct"/>
            <w:tcBorders>
              <w:tl2br w:val="nil"/>
              <w:tr2bl w:val="nil"/>
            </w:tcBorders>
            <w:shd w:val="clear" w:color="auto" w:fill="auto"/>
            <w:noWrap/>
            <w:vAlign w:val="center"/>
          </w:tcPr>
          <w:p w14:paraId="705F5255">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38</w:t>
            </w:r>
          </w:p>
        </w:tc>
        <w:tc>
          <w:tcPr>
            <w:tcW w:w="195" w:type="pct"/>
            <w:tcBorders>
              <w:tl2br w:val="nil"/>
              <w:tr2bl w:val="nil"/>
            </w:tcBorders>
            <w:shd w:val="clear" w:color="auto" w:fill="auto"/>
            <w:noWrap/>
            <w:vAlign w:val="center"/>
          </w:tcPr>
          <w:p w14:paraId="1E488DFC">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41</w:t>
            </w:r>
          </w:p>
        </w:tc>
        <w:tc>
          <w:tcPr>
            <w:tcW w:w="200" w:type="pct"/>
            <w:tcBorders>
              <w:tl2br w:val="nil"/>
              <w:tr2bl w:val="nil"/>
            </w:tcBorders>
            <w:shd w:val="clear" w:color="auto" w:fill="auto"/>
            <w:noWrap/>
            <w:vAlign w:val="center"/>
          </w:tcPr>
          <w:p w14:paraId="57593476">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42</w:t>
            </w:r>
          </w:p>
        </w:tc>
        <w:tc>
          <w:tcPr>
            <w:tcW w:w="237" w:type="pct"/>
            <w:tcBorders>
              <w:tl2br w:val="nil"/>
              <w:tr2bl w:val="nil"/>
            </w:tcBorders>
            <w:shd w:val="clear" w:color="auto" w:fill="auto"/>
            <w:noWrap/>
            <w:vAlign w:val="center"/>
          </w:tcPr>
          <w:p w14:paraId="600E658F">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39</w:t>
            </w:r>
          </w:p>
        </w:tc>
        <w:tc>
          <w:tcPr>
            <w:tcW w:w="403" w:type="pct"/>
            <w:tcBorders>
              <w:tl2br w:val="nil"/>
              <w:tr2bl w:val="nil"/>
            </w:tcBorders>
            <w:shd w:val="clear" w:color="auto" w:fill="auto"/>
            <w:noWrap/>
            <w:vAlign w:val="center"/>
          </w:tcPr>
          <w:p w14:paraId="3F7E6ECB">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r>
      <w:tr w14:paraId="05F2E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200" w:type="pct"/>
            <w:tcBorders>
              <w:tl2br w:val="nil"/>
              <w:tr2bl w:val="nil"/>
            </w:tcBorders>
            <w:shd w:val="clear" w:color="auto" w:fill="auto"/>
            <w:noWrap/>
            <w:vAlign w:val="center"/>
          </w:tcPr>
          <w:p w14:paraId="67818E4F">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14</w:t>
            </w:r>
          </w:p>
        </w:tc>
        <w:tc>
          <w:tcPr>
            <w:tcW w:w="223" w:type="pct"/>
            <w:vMerge w:val="continue"/>
            <w:tcBorders>
              <w:tl2br w:val="nil"/>
              <w:tr2bl w:val="nil"/>
            </w:tcBorders>
            <w:shd w:val="clear" w:color="auto" w:fill="auto"/>
            <w:noWrap/>
            <w:vAlign w:val="center"/>
          </w:tcPr>
          <w:p w14:paraId="22D675BC">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p>
        </w:tc>
        <w:tc>
          <w:tcPr>
            <w:tcW w:w="603" w:type="pct"/>
            <w:tcBorders>
              <w:tl2br w:val="nil"/>
              <w:tr2bl w:val="nil"/>
            </w:tcBorders>
            <w:shd w:val="clear" w:color="auto" w:fill="auto"/>
            <w:noWrap/>
            <w:vAlign w:val="center"/>
          </w:tcPr>
          <w:p w14:paraId="278CD12A">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牵引机</w:t>
            </w:r>
          </w:p>
        </w:tc>
        <w:tc>
          <w:tcPr>
            <w:tcW w:w="199" w:type="pct"/>
            <w:tcBorders>
              <w:tl2br w:val="nil"/>
              <w:tr2bl w:val="nil"/>
            </w:tcBorders>
            <w:shd w:val="clear" w:color="auto" w:fill="auto"/>
            <w:noWrap/>
            <w:vAlign w:val="center"/>
          </w:tcPr>
          <w:p w14:paraId="4C17D5BF">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-81 </w:t>
            </w:r>
          </w:p>
        </w:tc>
        <w:tc>
          <w:tcPr>
            <w:tcW w:w="204" w:type="pct"/>
            <w:tcBorders>
              <w:tl2br w:val="nil"/>
              <w:tr2bl w:val="nil"/>
            </w:tcBorders>
            <w:shd w:val="clear" w:color="auto" w:fill="auto"/>
            <w:noWrap/>
            <w:vAlign w:val="center"/>
          </w:tcPr>
          <w:p w14:paraId="184B8A7C">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136 </w:t>
            </w:r>
          </w:p>
        </w:tc>
        <w:tc>
          <w:tcPr>
            <w:tcW w:w="139" w:type="pct"/>
            <w:tcBorders>
              <w:tl2br w:val="nil"/>
              <w:tr2bl w:val="nil"/>
            </w:tcBorders>
            <w:shd w:val="clear" w:color="auto" w:fill="auto"/>
            <w:noWrap/>
            <w:vAlign w:val="center"/>
          </w:tcPr>
          <w:p w14:paraId="2F66EA77">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c>
          <w:tcPr>
            <w:tcW w:w="327" w:type="pct"/>
            <w:tcBorders>
              <w:tl2br w:val="nil"/>
              <w:tr2bl w:val="nil"/>
            </w:tcBorders>
            <w:shd w:val="clear" w:color="auto" w:fill="auto"/>
            <w:noWrap/>
            <w:vAlign w:val="center"/>
          </w:tcPr>
          <w:p w14:paraId="318CE2B5">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80</w:t>
            </w:r>
          </w:p>
        </w:tc>
        <w:tc>
          <w:tcPr>
            <w:tcW w:w="186" w:type="pct"/>
            <w:tcBorders>
              <w:tl2br w:val="nil"/>
              <w:tr2bl w:val="nil"/>
            </w:tcBorders>
            <w:shd w:val="clear" w:color="auto" w:fill="auto"/>
            <w:noWrap/>
            <w:vAlign w:val="center"/>
          </w:tcPr>
          <w:p w14:paraId="1C89A6CB">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32</w:t>
            </w:r>
          </w:p>
        </w:tc>
        <w:tc>
          <w:tcPr>
            <w:tcW w:w="186" w:type="pct"/>
            <w:tcBorders>
              <w:tl2br w:val="nil"/>
              <w:tr2bl w:val="nil"/>
            </w:tcBorders>
            <w:shd w:val="clear" w:color="auto" w:fill="auto"/>
            <w:noWrap/>
            <w:vAlign w:val="center"/>
          </w:tcPr>
          <w:p w14:paraId="5DF51BFF">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11</w:t>
            </w:r>
          </w:p>
        </w:tc>
        <w:tc>
          <w:tcPr>
            <w:tcW w:w="186" w:type="pct"/>
            <w:tcBorders>
              <w:tl2br w:val="nil"/>
              <w:tr2bl w:val="nil"/>
            </w:tcBorders>
            <w:shd w:val="clear" w:color="auto" w:fill="auto"/>
            <w:noWrap/>
            <w:vAlign w:val="center"/>
          </w:tcPr>
          <w:p w14:paraId="137B4036">
            <w:pPr>
              <w:pStyle w:val="55"/>
              <w:keepNext w:val="0"/>
              <w:keepLines w:val="0"/>
              <w:pageBreakBefore w:val="0"/>
              <w:widowControl/>
              <w:kinsoku/>
              <w:wordWrap/>
              <w:overflowPunct/>
              <w:topLinePunct w:val="0"/>
              <w:autoSpaceDE/>
              <w:autoSpaceDN/>
              <w:bidi w:val="0"/>
              <w:adjustRightInd w:val="0"/>
              <w:snapToGrid w:val="0"/>
              <w:textAlignment w:val="auto"/>
              <w:rPr>
                <w:rFonts w:hint="eastAsia"/>
                <w:lang w:val="en-US" w:eastAsia="zh-CN"/>
              </w:rPr>
            </w:pPr>
            <w:r>
              <w:rPr>
                <w:rFonts w:hint="eastAsia"/>
                <w:lang w:val="en-US" w:eastAsia="zh-CN"/>
              </w:rPr>
              <w:t>3</w:t>
            </w:r>
          </w:p>
        </w:tc>
        <w:tc>
          <w:tcPr>
            <w:tcW w:w="187" w:type="pct"/>
            <w:tcBorders>
              <w:tl2br w:val="nil"/>
              <w:tr2bl w:val="nil"/>
            </w:tcBorders>
            <w:shd w:val="clear" w:color="auto" w:fill="auto"/>
            <w:noWrap/>
            <w:vAlign w:val="center"/>
          </w:tcPr>
          <w:p w14:paraId="367F39FD">
            <w:pPr>
              <w:pStyle w:val="55"/>
              <w:keepNext w:val="0"/>
              <w:keepLines w:val="0"/>
              <w:pageBreakBefore w:val="0"/>
              <w:widowControl/>
              <w:kinsoku/>
              <w:wordWrap/>
              <w:overflowPunct/>
              <w:topLinePunct w:val="0"/>
              <w:autoSpaceDE/>
              <w:autoSpaceDN/>
              <w:bidi w:val="0"/>
              <w:adjustRightInd w:val="0"/>
              <w:snapToGrid w:val="0"/>
              <w:textAlignment w:val="auto"/>
              <w:rPr>
                <w:rFonts w:hint="default"/>
                <w:lang w:val="en-US"/>
              </w:rPr>
            </w:pPr>
            <w:r>
              <w:rPr>
                <w:rFonts w:hint="eastAsia"/>
                <w:lang w:val="en-US" w:eastAsia="zh-CN"/>
              </w:rPr>
              <w:t>22</w:t>
            </w:r>
          </w:p>
        </w:tc>
        <w:tc>
          <w:tcPr>
            <w:tcW w:w="217" w:type="pct"/>
            <w:tcBorders>
              <w:tl2br w:val="nil"/>
              <w:tr2bl w:val="nil"/>
            </w:tcBorders>
            <w:shd w:val="clear" w:color="auto" w:fill="auto"/>
            <w:noWrap/>
            <w:vAlign w:val="center"/>
          </w:tcPr>
          <w:p w14:paraId="058F1E31">
            <w:pPr>
              <w:pStyle w:val="55"/>
              <w:keepNext w:val="0"/>
              <w:keepLines w:val="0"/>
              <w:pageBreakBefore w:val="0"/>
              <w:widowControl/>
              <w:kinsoku/>
              <w:wordWrap/>
              <w:overflowPunct/>
              <w:topLinePunct w:val="0"/>
              <w:autoSpaceDE/>
              <w:autoSpaceDN/>
              <w:bidi w:val="0"/>
              <w:adjustRightInd w:val="0"/>
              <w:snapToGrid w:val="0"/>
              <w:textAlignment w:val="auto"/>
              <w:rPr>
                <w:rFonts w:hint="default"/>
                <w:lang w:val="en-US"/>
              </w:rPr>
            </w:pPr>
            <w:r>
              <w:rPr>
                <w:rFonts w:hint="eastAsia"/>
                <w:lang w:val="en-US" w:eastAsia="zh-CN"/>
              </w:rPr>
              <w:t>50</w:t>
            </w:r>
          </w:p>
        </w:tc>
        <w:tc>
          <w:tcPr>
            <w:tcW w:w="217" w:type="pct"/>
            <w:tcBorders>
              <w:tl2br w:val="nil"/>
              <w:tr2bl w:val="nil"/>
            </w:tcBorders>
            <w:shd w:val="clear" w:color="auto" w:fill="auto"/>
            <w:noWrap/>
            <w:vAlign w:val="center"/>
          </w:tcPr>
          <w:p w14:paraId="1D565121">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53</w:t>
            </w:r>
          </w:p>
        </w:tc>
        <w:tc>
          <w:tcPr>
            <w:tcW w:w="217" w:type="pct"/>
            <w:tcBorders>
              <w:tl2br w:val="nil"/>
              <w:tr2bl w:val="nil"/>
            </w:tcBorders>
            <w:shd w:val="clear" w:color="auto" w:fill="auto"/>
            <w:noWrap/>
            <w:vAlign w:val="center"/>
          </w:tcPr>
          <w:p w14:paraId="60F90522">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63</w:t>
            </w:r>
          </w:p>
        </w:tc>
        <w:tc>
          <w:tcPr>
            <w:tcW w:w="187" w:type="pct"/>
            <w:tcBorders>
              <w:tl2br w:val="nil"/>
              <w:tr2bl w:val="nil"/>
            </w:tcBorders>
            <w:shd w:val="clear" w:color="auto" w:fill="auto"/>
            <w:noWrap/>
            <w:vAlign w:val="center"/>
          </w:tcPr>
          <w:p w14:paraId="090CEB22">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50</w:t>
            </w:r>
          </w:p>
        </w:tc>
        <w:tc>
          <w:tcPr>
            <w:tcW w:w="300" w:type="pct"/>
            <w:tcBorders>
              <w:tl2br w:val="nil"/>
              <w:tr2bl w:val="nil"/>
            </w:tcBorders>
            <w:shd w:val="clear" w:color="auto" w:fill="auto"/>
            <w:noWrap/>
            <w:vAlign w:val="center"/>
          </w:tcPr>
          <w:p w14:paraId="1CE0A25F">
            <w:pPr>
              <w:pStyle w:val="55"/>
              <w:keepNext w:val="0"/>
              <w:keepLines w:val="0"/>
              <w:pageBreakBefore w:val="0"/>
              <w:widowControl/>
              <w:kinsoku/>
              <w:wordWrap/>
              <w:overflowPunct/>
              <w:topLinePunct w:val="0"/>
              <w:autoSpaceDE/>
              <w:autoSpaceDN/>
              <w:bidi w:val="0"/>
              <w:adjustRightInd w:val="0"/>
              <w:snapToGrid w:val="0"/>
              <w:textAlignment w:val="auto"/>
              <w:rPr>
                <w:rFonts w:hint="eastAsia"/>
                <w:lang w:val="en-US" w:eastAsia="zh-CN"/>
              </w:rPr>
            </w:pPr>
            <w:r>
              <w:rPr>
                <w:rFonts w:hint="eastAsia"/>
                <w:lang w:val="en-US" w:eastAsia="zh-CN"/>
              </w:rPr>
              <w:t>全天</w:t>
            </w:r>
          </w:p>
        </w:tc>
        <w:tc>
          <w:tcPr>
            <w:tcW w:w="179" w:type="pct"/>
            <w:tcBorders>
              <w:tl2br w:val="nil"/>
              <w:tr2bl w:val="nil"/>
            </w:tcBorders>
            <w:shd w:val="clear" w:color="auto" w:fill="auto"/>
            <w:noWrap/>
            <w:vAlign w:val="center"/>
          </w:tcPr>
          <w:p w14:paraId="50EAAC83">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24</w:t>
            </w:r>
          </w:p>
        </w:tc>
        <w:tc>
          <w:tcPr>
            <w:tcW w:w="195" w:type="pct"/>
            <w:tcBorders>
              <w:tl2br w:val="nil"/>
              <w:tr2bl w:val="nil"/>
            </w:tcBorders>
            <w:shd w:val="clear" w:color="auto" w:fill="auto"/>
            <w:noWrap/>
            <w:vAlign w:val="center"/>
          </w:tcPr>
          <w:p w14:paraId="569A35D8">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27</w:t>
            </w:r>
          </w:p>
        </w:tc>
        <w:tc>
          <w:tcPr>
            <w:tcW w:w="200" w:type="pct"/>
            <w:tcBorders>
              <w:tl2br w:val="nil"/>
              <w:tr2bl w:val="nil"/>
            </w:tcBorders>
            <w:shd w:val="clear" w:color="auto" w:fill="auto"/>
            <w:noWrap/>
            <w:vAlign w:val="center"/>
          </w:tcPr>
          <w:p w14:paraId="0CDECA46">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37</w:t>
            </w:r>
          </w:p>
        </w:tc>
        <w:tc>
          <w:tcPr>
            <w:tcW w:w="237" w:type="pct"/>
            <w:tcBorders>
              <w:tl2br w:val="nil"/>
              <w:tr2bl w:val="nil"/>
            </w:tcBorders>
            <w:shd w:val="clear" w:color="auto" w:fill="auto"/>
            <w:noWrap/>
            <w:vAlign w:val="center"/>
          </w:tcPr>
          <w:p w14:paraId="1D0FD5EB">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24</w:t>
            </w:r>
          </w:p>
        </w:tc>
        <w:tc>
          <w:tcPr>
            <w:tcW w:w="403" w:type="pct"/>
            <w:tcBorders>
              <w:tl2br w:val="nil"/>
              <w:tr2bl w:val="nil"/>
            </w:tcBorders>
            <w:shd w:val="clear" w:color="auto" w:fill="auto"/>
            <w:noWrap/>
            <w:vAlign w:val="center"/>
          </w:tcPr>
          <w:p w14:paraId="70B43FBA">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r>
      <w:tr w14:paraId="43963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00" w:type="pct"/>
            <w:tcBorders>
              <w:tl2br w:val="nil"/>
              <w:tr2bl w:val="nil"/>
            </w:tcBorders>
            <w:shd w:val="clear" w:color="auto" w:fill="auto"/>
            <w:noWrap/>
            <w:vAlign w:val="center"/>
          </w:tcPr>
          <w:p w14:paraId="2A42EDA5">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15</w:t>
            </w:r>
          </w:p>
        </w:tc>
        <w:tc>
          <w:tcPr>
            <w:tcW w:w="223" w:type="pct"/>
            <w:vMerge w:val="restart"/>
            <w:tcBorders>
              <w:tl2br w:val="nil"/>
              <w:tr2bl w:val="nil"/>
            </w:tcBorders>
            <w:shd w:val="clear" w:color="auto" w:fill="auto"/>
            <w:noWrap/>
            <w:vAlign w:val="center"/>
          </w:tcPr>
          <w:p w14:paraId="23BACEA1">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3#生产车间</w:t>
            </w:r>
          </w:p>
        </w:tc>
        <w:tc>
          <w:tcPr>
            <w:tcW w:w="603" w:type="pct"/>
            <w:tcBorders>
              <w:tl2br w:val="nil"/>
              <w:tr2bl w:val="nil"/>
            </w:tcBorders>
            <w:shd w:val="clear" w:color="auto" w:fill="auto"/>
            <w:noWrap/>
            <w:vAlign w:val="center"/>
          </w:tcPr>
          <w:p w14:paraId="736C8FC1">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破碎机</w:t>
            </w:r>
          </w:p>
        </w:tc>
        <w:tc>
          <w:tcPr>
            <w:tcW w:w="199" w:type="pct"/>
            <w:tcBorders>
              <w:tl2br w:val="nil"/>
              <w:tr2bl w:val="nil"/>
            </w:tcBorders>
            <w:shd w:val="clear" w:color="auto" w:fill="auto"/>
            <w:noWrap/>
            <w:vAlign w:val="center"/>
          </w:tcPr>
          <w:p w14:paraId="73A37360">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-24 </w:t>
            </w:r>
          </w:p>
        </w:tc>
        <w:tc>
          <w:tcPr>
            <w:tcW w:w="204" w:type="pct"/>
            <w:tcBorders>
              <w:tl2br w:val="nil"/>
              <w:tr2bl w:val="nil"/>
            </w:tcBorders>
            <w:shd w:val="clear" w:color="auto" w:fill="auto"/>
            <w:noWrap/>
            <w:vAlign w:val="center"/>
          </w:tcPr>
          <w:p w14:paraId="61EA9028">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81 </w:t>
            </w:r>
          </w:p>
        </w:tc>
        <w:tc>
          <w:tcPr>
            <w:tcW w:w="139" w:type="pct"/>
            <w:tcBorders>
              <w:tl2br w:val="nil"/>
              <w:tr2bl w:val="nil"/>
            </w:tcBorders>
            <w:shd w:val="clear" w:color="auto" w:fill="auto"/>
            <w:noWrap/>
            <w:vAlign w:val="center"/>
          </w:tcPr>
          <w:p w14:paraId="0BEC6BD8">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c>
          <w:tcPr>
            <w:tcW w:w="327" w:type="pct"/>
            <w:tcBorders>
              <w:tl2br w:val="nil"/>
              <w:tr2bl w:val="nil"/>
            </w:tcBorders>
            <w:shd w:val="clear" w:color="auto" w:fill="auto"/>
            <w:noWrap/>
            <w:vAlign w:val="center"/>
          </w:tcPr>
          <w:p w14:paraId="7DEB090A">
            <w:pPr>
              <w:pStyle w:val="55"/>
              <w:keepNext w:val="0"/>
              <w:keepLines w:val="0"/>
              <w:pageBreakBefore w:val="0"/>
              <w:widowControl/>
              <w:kinsoku/>
              <w:wordWrap/>
              <w:overflowPunct/>
              <w:topLinePunct w:val="0"/>
              <w:autoSpaceDE/>
              <w:autoSpaceDN/>
              <w:bidi w:val="0"/>
              <w:adjustRightInd w:val="0"/>
              <w:snapToGrid w:val="0"/>
              <w:textAlignment w:val="auto"/>
              <w:rPr>
                <w:rFonts w:hint="default"/>
                <w:lang w:val="en-US"/>
              </w:rPr>
            </w:pPr>
            <w:r>
              <w:rPr>
                <w:rFonts w:hint="eastAsia"/>
                <w:lang w:val="en-US" w:eastAsia="zh-CN"/>
              </w:rPr>
              <w:t>85</w:t>
            </w:r>
          </w:p>
        </w:tc>
        <w:tc>
          <w:tcPr>
            <w:tcW w:w="186" w:type="pct"/>
            <w:tcBorders>
              <w:tl2br w:val="nil"/>
              <w:tr2bl w:val="nil"/>
            </w:tcBorders>
            <w:shd w:val="clear" w:color="auto" w:fill="auto"/>
            <w:noWrap/>
            <w:vAlign w:val="center"/>
          </w:tcPr>
          <w:p w14:paraId="48656A26">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5</w:t>
            </w:r>
          </w:p>
        </w:tc>
        <w:tc>
          <w:tcPr>
            <w:tcW w:w="186" w:type="pct"/>
            <w:tcBorders>
              <w:tl2br w:val="nil"/>
              <w:tr2bl w:val="nil"/>
            </w:tcBorders>
            <w:shd w:val="clear" w:color="auto" w:fill="auto"/>
            <w:noWrap/>
            <w:vAlign w:val="center"/>
          </w:tcPr>
          <w:p w14:paraId="52DD64AB">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11</w:t>
            </w:r>
          </w:p>
        </w:tc>
        <w:tc>
          <w:tcPr>
            <w:tcW w:w="186" w:type="pct"/>
            <w:tcBorders>
              <w:tl2br w:val="nil"/>
              <w:tr2bl w:val="nil"/>
            </w:tcBorders>
            <w:shd w:val="clear" w:color="auto" w:fill="auto"/>
            <w:noWrap/>
            <w:vAlign w:val="center"/>
          </w:tcPr>
          <w:p w14:paraId="5D05E206">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33</w:t>
            </w:r>
          </w:p>
        </w:tc>
        <w:tc>
          <w:tcPr>
            <w:tcW w:w="187" w:type="pct"/>
            <w:tcBorders>
              <w:tl2br w:val="nil"/>
              <w:tr2bl w:val="nil"/>
            </w:tcBorders>
            <w:shd w:val="clear" w:color="auto" w:fill="auto"/>
            <w:noWrap/>
            <w:vAlign w:val="center"/>
          </w:tcPr>
          <w:p w14:paraId="4A4B631B">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37</w:t>
            </w:r>
          </w:p>
        </w:tc>
        <w:tc>
          <w:tcPr>
            <w:tcW w:w="217" w:type="pct"/>
            <w:tcBorders>
              <w:tl2br w:val="nil"/>
              <w:tr2bl w:val="nil"/>
            </w:tcBorders>
            <w:shd w:val="clear" w:color="auto" w:fill="auto"/>
            <w:noWrap/>
            <w:vAlign w:val="center"/>
          </w:tcPr>
          <w:p w14:paraId="770F6ADF">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69</w:t>
            </w:r>
          </w:p>
        </w:tc>
        <w:tc>
          <w:tcPr>
            <w:tcW w:w="217" w:type="pct"/>
            <w:tcBorders>
              <w:tl2br w:val="nil"/>
              <w:tr2bl w:val="nil"/>
            </w:tcBorders>
            <w:shd w:val="clear" w:color="auto" w:fill="auto"/>
            <w:noWrap/>
            <w:vAlign w:val="center"/>
          </w:tcPr>
          <w:p w14:paraId="6C2F0E7C">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64</w:t>
            </w:r>
          </w:p>
        </w:tc>
        <w:tc>
          <w:tcPr>
            <w:tcW w:w="217" w:type="pct"/>
            <w:tcBorders>
              <w:tl2br w:val="nil"/>
              <w:tr2bl w:val="nil"/>
            </w:tcBorders>
            <w:shd w:val="clear" w:color="auto" w:fill="auto"/>
            <w:noWrap/>
            <w:vAlign w:val="center"/>
          </w:tcPr>
          <w:p w14:paraId="64B0BC05">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61</w:t>
            </w:r>
          </w:p>
        </w:tc>
        <w:tc>
          <w:tcPr>
            <w:tcW w:w="187" w:type="pct"/>
            <w:tcBorders>
              <w:tl2br w:val="nil"/>
              <w:tr2bl w:val="nil"/>
            </w:tcBorders>
            <w:shd w:val="clear" w:color="auto" w:fill="auto"/>
            <w:noWrap/>
            <w:vAlign w:val="center"/>
          </w:tcPr>
          <w:p w14:paraId="31200E71">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61</w:t>
            </w:r>
          </w:p>
        </w:tc>
        <w:tc>
          <w:tcPr>
            <w:tcW w:w="300" w:type="pct"/>
            <w:tcBorders>
              <w:tl2br w:val="nil"/>
              <w:tr2bl w:val="nil"/>
            </w:tcBorders>
            <w:shd w:val="clear" w:color="auto" w:fill="auto"/>
            <w:noWrap/>
            <w:vAlign w:val="center"/>
          </w:tcPr>
          <w:p w14:paraId="173ED7A0">
            <w:pPr>
              <w:pStyle w:val="55"/>
              <w:keepNext w:val="0"/>
              <w:keepLines w:val="0"/>
              <w:pageBreakBefore w:val="0"/>
              <w:widowControl/>
              <w:kinsoku/>
              <w:wordWrap/>
              <w:overflowPunct/>
              <w:topLinePunct w:val="0"/>
              <w:autoSpaceDE/>
              <w:autoSpaceDN/>
              <w:bidi w:val="0"/>
              <w:adjustRightInd w:val="0"/>
              <w:snapToGrid w:val="0"/>
              <w:textAlignment w:val="auto"/>
              <w:rPr>
                <w:rFonts w:hint="eastAsia"/>
                <w:lang w:val="en-US" w:eastAsia="zh-CN"/>
              </w:rPr>
            </w:pPr>
            <w:r>
              <w:rPr>
                <w:rFonts w:hint="eastAsia"/>
                <w:lang w:val="en-US" w:eastAsia="zh-CN"/>
              </w:rPr>
              <w:t>全天</w:t>
            </w:r>
          </w:p>
        </w:tc>
        <w:tc>
          <w:tcPr>
            <w:tcW w:w="179" w:type="pct"/>
            <w:tcBorders>
              <w:tl2br w:val="nil"/>
              <w:tr2bl w:val="nil"/>
            </w:tcBorders>
            <w:shd w:val="clear" w:color="auto" w:fill="auto"/>
            <w:noWrap/>
            <w:vAlign w:val="center"/>
          </w:tcPr>
          <w:p w14:paraId="267DB848">
            <w:pPr>
              <w:pStyle w:val="55"/>
              <w:keepNext w:val="0"/>
              <w:keepLines w:val="0"/>
              <w:pageBreakBefore w:val="0"/>
              <w:widowControl/>
              <w:kinsoku/>
              <w:wordWrap/>
              <w:overflowPunct/>
              <w:topLinePunct w:val="0"/>
              <w:autoSpaceDE/>
              <w:autoSpaceDN/>
              <w:bidi w:val="0"/>
              <w:adjustRightInd w:val="0"/>
              <w:snapToGrid w:val="0"/>
              <w:textAlignment w:val="auto"/>
              <w:rPr>
                <w:rFonts w:hint="default"/>
                <w:lang w:val="en-US" w:eastAsia="zh-CN"/>
              </w:rPr>
            </w:pPr>
            <w:r>
              <w:rPr>
                <w:rFonts w:hint="eastAsia"/>
                <w:lang w:val="en-US" w:eastAsia="zh-CN"/>
              </w:rPr>
              <w:t>43</w:t>
            </w:r>
          </w:p>
        </w:tc>
        <w:tc>
          <w:tcPr>
            <w:tcW w:w="195" w:type="pct"/>
            <w:tcBorders>
              <w:tl2br w:val="nil"/>
              <w:tr2bl w:val="nil"/>
            </w:tcBorders>
            <w:shd w:val="clear" w:color="auto" w:fill="auto"/>
            <w:noWrap/>
            <w:vAlign w:val="center"/>
          </w:tcPr>
          <w:p w14:paraId="0EE0D819">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38</w:t>
            </w:r>
          </w:p>
        </w:tc>
        <w:tc>
          <w:tcPr>
            <w:tcW w:w="200" w:type="pct"/>
            <w:tcBorders>
              <w:tl2br w:val="nil"/>
              <w:tr2bl w:val="nil"/>
            </w:tcBorders>
            <w:shd w:val="clear" w:color="auto" w:fill="auto"/>
            <w:noWrap/>
            <w:vAlign w:val="center"/>
          </w:tcPr>
          <w:p w14:paraId="72C77263">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35</w:t>
            </w:r>
          </w:p>
        </w:tc>
        <w:tc>
          <w:tcPr>
            <w:tcW w:w="237" w:type="pct"/>
            <w:tcBorders>
              <w:tl2br w:val="nil"/>
              <w:tr2bl w:val="nil"/>
            </w:tcBorders>
            <w:shd w:val="clear" w:color="auto" w:fill="auto"/>
            <w:noWrap/>
            <w:vAlign w:val="center"/>
          </w:tcPr>
          <w:p w14:paraId="3BFC77F9">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35</w:t>
            </w:r>
          </w:p>
        </w:tc>
        <w:tc>
          <w:tcPr>
            <w:tcW w:w="403" w:type="pct"/>
            <w:tcBorders>
              <w:tl2br w:val="nil"/>
              <w:tr2bl w:val="nil"/>
            </w:tcBorders>
            <w:shd w:val="clear" w:color="auto" w:fill="auto"/>
            <w:noWrap/>
            <w:vAlign w:val="center"/>
          </w:tcPr>
          <w:p w14:paraId="1B1F55F4">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r>
      <w:tr w14:paraId="2CD96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00" w:type="pct"/>
            <w:tcBorders>
              <w:tl2br w:val="nil"/>
              <w:tr2bl w:val="nil"/>
            </w:tcBorders>
            <w:shd w:val="clear" w:color="auto" w:fill="auto"/>
            <w:noWrap/>
            <w:vAlign w:val="center"/>
          </w:tcPr>
          <w:p w14:paraId="1D49221D">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16</w:t>
            </w:r>
          </w:p>
        </w:tc>
        <w:tc>
          <w:tcPr>
            <w:tcW w:w="223" w:type="pct"/>
            <w:vMerge w:val="continue"/>
            <w:tcBorders>
              <w:tl2br w:val="nil"/>
              <w:tr2bl w:val="nil"/>
            </w:tcBorders>
            <w:shd w:val="clear" w:color="auto" w:fill="auto"/>
            <w:noWrap/>
            <w:vAlign w:val="center"/>
          </w:tcPr>
          <w:p w14:paraId="7F08E6FB">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p>
        </w:tc>
        <w:tc>
          <w:tcPr>
            <w:tcW w:w="603" w:type="pct"/>
            <w:tcBorders>
              <w:tl2br w:val="nil"/>
              <w:tr2bl w:val="nil"/>
            </w:tcBorders>
            <w:shd w:val="clear" w:color="auto" w:fill="auto"/>
            <w:noWrap/>
            <w:vAlign w:val="center"/>
          </w:tcPr>
          <w:p w14:paraId="03E1BA24">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水浮分离机</w:t>
            </w:r>
          </w:p>
        </w:tc>
        <w:tc>
          <w:tcPr>
            <w:tcW w:w="199" w:type="pct"/>
            <w:tcBorders>
              <w:tl2br w:val="nil"/>
              <w:tr2bl w:val="nil"/>
            </w:tcBorders>
            <w:shd w:val="clear" w:color="auto" w:fill="auto"/>
            <w:noWrap/>
            <w:vAlign w:val="center"/>
          </w:tcPr>
          <w:p w14:paraId="75EA16E3">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-24 </w:t>
            </w:r>
          </w:p>
        </w:tc>
        <w:tc>
          <w:tcPr>
            <w:tcW w:w="204" w:type="pct"/>
            <w:tcBorders>
              <w:tl2br w:val="nil"/>
              <w:tr2bl w:val="nil"/>
            </w:tcBorders>
            <w:shd w:val="clear" w:color="auto" w:fill="auto"/>
            <w:noWrap/>
            <w:vAlign w:val="center"/>
          </w:tcPr>
          <w:p w14:paraId="3D6AF984">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70 </w:t>
            </w:r>
          </w:p>
        </w:tc>
        <w:tc>
          <w:tcPr>
            <w:tcW w:w="139" w:type="pct"/>
            <w:tcBorders>
              <w:tl2br w:val="nil"/>
              <w:tr2bl w:val="nil"/>
            </w:tcBorders>
            <w:shd w:val="clear" w:color="auto" w:fill="auto"/>
            <w:noWrap/>
            <w:vAlign w:val="center"/>
          </w:tcPr>
          <w:p w14:paraId="45716186">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c>
          <w:tcPr>
            <w:tcW w:w="327" w:type="pct"/>
            <w:tcBorders>
              <w:tl2br w:val="nil"/>
              <w:tr2bl w:val="nil"/>
            </w:tcBorders>
            <w:shd w:val="clear" w:color="auto" w:fill="auto"/>
            <w:noWrap/>
            <w:vAlign w:val="center"/>
          </w:tcPr>
          <w:p w14:paraId="4F166982">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80</w:t>
            </w:r>
          </w:p>
        </w:tc>
        <w:tc>
          <w:tcPr>
            <w:tcW w:w="186" w:type="pct"/>
            <w:tcBorders>
              <w:tl2br w:val="nil"/>
              <w:tr2bl w:val="nil"/>
            </w:tcBorders>
            <w:shd w:val="clear" w:color="auto" w:fill="auto"/>
            <w:noWrap/>
            <w:vAlign w:val="center"/>
          </w:tcPr>
          <w:p w14:paraId="13D7F66A">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16</w:t>
            </w:r>
          </w:p>
        </w:tc>
        <w:tc>
          <w:tcPr>
            <w:tcW w:w="186" w:type="pct"/>
            <w:tcBorders>
              <w:tl2br w:val="nil"/>
              <w:tr2bl w:val="nil"/>
            </w:tcBorders>
            <w:shd w:val="clear" w:color="auto" w:fill="auto"/>
            <w:noWrap/>
            <w:vAlign w:val="center"/>
          </w:tcPr>
          <w:p w14:paraId="4DC72DE1">
            <w:pPr>
              <w:pStyle w:val="55"/>
              <w:keepNext w:val="0"/>
              <w:keepLines w:val="0"/>
              <w:pageBreakBefore w:val="0"/>
              <w:widowControl/>
              <w:kinsoku/>
              <w:wordWrap/>
              <w:overflowPunct/>
              <w:topLinePunct w:val="0"/>
              <w:autoSpaceDE/>
              <w:autoSpaceDN/>
              <w:bidi w:val="0"/>
              <w:adjustRightInd w:val="0"/>
              <w:snapToGrid w:val="0"/>
              <w:textAlignment w:val="auto"/>
              <w:rPr>
                <w:rFonts w:hint="default"/>
                <w:lang w:val="en-US"/>
              </w:rPr>
            </w:pPr>
            <w:r>
              <w:rPr>
                <w:rFonts w:hint="eastAsia"/>
                <w:lang w:val="en-US" w:eastAsia="zh-CN"/>
              </w:rPr>
              <w:t>10</w:t>
            </w:r>
          </w:p>
        </w:tc>
        <w:tc>
          <w:tcPr>
            <w:tcW w:w="186" w:type="pct"/>
            <w:tcBorders>
              <w:tl2br w:val="nil"/>
              <w:tr2bl w:val="nil"/>
            </w:tcBorders>
            <w:shd w:val="clear" w:color="auto" w:fill="auto"/>
            <w:noWrap/>
            <w:vAlign w:val="center"/>
          </w:tcPr>
          <w:p w14:paraId="7A2E774A">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22</w:t>
            </w:r>
          </w:p>
        </w:tc>
        <w:tc>
          <w:tcPr>
            <w:tcW w:w="187" w:type="pct"/>
            <w:tcBorders>
              <w:tl2br w:val="nil"/>
              <w:tr2bl w:val="nil"/>
            </w:tcBorders>
            <w:shd w:val="clear" w:color="auto" w:fill="auto"/>
            <w:noWrap/>
            <w:vAlign w:val="center"/>
          </w:tcPr>
          <w:p w14:paraId="2B1D67AC">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38</w:t>
            </w:r>
          </w:p>
        </w:tc>
        <w:tc>
          <w:tcPr>
            <w:tcW w:w="217" w:type="pct"/>
            <w:tcBorders>
              <w:tl2br w:val="nil"/>
              <w:tr2bl w:val="nil"/>
            </w:tcBorders>
            <w:shd w:val="clear" w:color="auto" w:fill="auto"/>
            <w:noWrap/>
            <w:vAlign w:val="center"/>
          </w:tcPr>
          <w:p w14:paraId="4CD86D0D">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52</w:t>
            </w:r>
          </w:p>
        </w:tc>
        <w:tc>
          <w:tcPr>
            <w:tcW w:w="217" w:type="pct"/>
            <w:tcBorders>
              <w:tl2br w:val="nil"/>
              <w:tr2bl w:val="nil"/>
            </w:tcBorders>
            <w:shd w:val="clear" w:color="auto" w:fill="auto"/>
            <w:noWrap/>
            <w:vAlign w:val="center"/>
          </w:tcPr>
          <w:p w14:paraId="61CEF810">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54</w:t>
            </w:r>
          </w:p>
        </w:tc>
        <w:tc>
          <w:tcPr>
            <w:tcW w:w="217" w:type="pct"/>
            <w:tcBorders>
              <w:tl2br w:val="nil"/>
              <w:tr2bl w:val="nil"/>
            </w:tcBorders>
            <w:shd w:val="clear" w:color="auto" w:fill="auto"/>
            <w:noWrap/>
            <w:vAlign w:val="center"/>
          </w:tcPr>
          <w:p w14:paraId="4F4AAE87">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51</w:t>
            </w:r>
          </w:p>
        </w:tc>
        <w:tc>
          <w:tcPr>
            <w:tcW w:w="187" w:type="pct"/>
            <w:tcBorders>
              <w:tl2br w:val="nil"/>
              <w:tr2bl w:val="nil"/>
            </w:tcBorders>
            <w:shd w:val="clear" w:color="auto" w:fill="auto"/>
            <w:noWrap/>
            <w:vAlign w:val="center"/>
          </w:tcPr>
          <w:p w14:paraId="6311FD45">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50</w:t>
            </w:r>
          </w:p>
        </w:tc>
        <w:tc>
          <w:tcPr>
            <w:tcW w:w="300" w:type="pct"/>
            <w:tcBorders>
              <w:tl2br w:val="nil"/>
              <w:tr2bl w:val="nil"/>
            </w:tcBorders>
            <w:shd w:val="clear" w:color="auto" w:fill="auto"/>
            <w:noWrap/>
            <w:vAlign w:val="center"/>
          </w:tcPr>
          <w:p w14:paraId="12826E30">
            <w:pPr>
              <w:pStyle w:val="55"/>
              <w:keepNext w:val="0"/>
              <w:keepLines w:val="0"/>
              <w:pageBreakBefore w:val="0"/>
              <w:widowControl/>
              <w:kinsoku/>
              <w:wordWrap/>
              <w:overflowPunct/>
              <w:topLinePunct w:val="0"/>
              <w:autoSpaceDE/>
              <w:autoSpaceDN/>
              <w:bidi w:val="0"/>
              <w:adjustRightInd w:val="0"/>
              <w:snapToGrid w:val="0"/>
              <w:textAlignment w:val="auto"/>
              <w:rPr>
                <w:rFonts w:hint="eastAsia"/>
                <w:lang w:val="en-US" w:eastAsia="zh-CN"/>
              </w:rPr>
            </w:pPr>
            <w:r>
              <w:rPr>
                <w:rFonts w:hint="eastAsia"/>
                <w:lang w:val="en-US" w:eastAsia="zh-CN"/>
              </w:rPr>
              <w:t>全天</w:t>
            </w:r>
          </w:p>
        </w:tc>
        <w:tc>
          <w:tcPr>
            <w:tcW w:w="179" w:type="pct"/>
            <w:tcBorders>
              <w:tl2br w:val="nil"/>
              <w:tr2bl w:val="nil"/>
            </w:tcBorders>
            <w:shd w:val="clear" w:color="auto" w:fill="auto"/>
            <w:noWrap/>
            <w:vAlign w:val="center"/>
          </w:tcPr>
          <w:p w14:paraId="62672691">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26</w:t>
            </w:r>
          </w:p>
        </w:tc>
        <w:tc>
          <w:tcPr>
            <w:tcW w:w="195" w:type="pct"/>
            <w:tcBorders>
              <w:tl2br w:val="nil"/>
              <w:tr2bl w:val="nil"/>
            </w:tcBorders>
            <w:shd w:val="clear" w:color="auto" w:fill="auto"/>
            <w:noWrap/>
            <w:vAlign w:val="center"/>
          </w:tcPr>
          <w:p w14:paraId="49994E9E">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28</w:t>
            </w:r>
          </w:p>
        </w:tc>
        <w:tc>
          <w:tcPr>
            <w:tcW w:w="200" w:type="pct"/>
            <w:tcBorders>
              <w:tl2br w:val="nil"/>
              <w:tr2bl w:val="nil"/>
            </w:tcBorders>
            <w:shd w:val="clear" w:color="auto" w:fill="auto"/>
            <w:noWrap/>
            <w:vAlign w:val="center"/>
          </w:tcPr>
          <w:p w14:paraId="6A1365D6">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25</w:t>
            </w:r>
          </w:p>
        </w:tc>
        <w:tc>
          <w:tcPr>
            <w:tcW w:w="237" w:type="pct"/>
            <w:tcBorders>
              <w:tl2br w:val="nil"/>
              <w:tr2bl w:val="nil"/>
            </w:tcBorders>
            <w:shd w:val="clear" w:color="auto" w:fill="auto"/>
            <w:noWrap/>
            <w:vAlign w:val="center"/>
          </w:tcPr>
          <w:p w14:paraId="7C1D0BB8">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24</w:t>
            </w:r>
          </w:p>
        </w:tc>
        <w:tc>
          <w:tcPr>
            <w:tcW w:w="403" w:type="pct"/>
            <w:tcBorders>
              <w:tl2br w:val="nil"/>
              <w:tr2bl w:val="nil"/>
            </w:tcBorders>
            <w:shd w:val="clear" w:color="auto" w:fill="auto"/>
            <w:noWrap/>
            <w:vAlign w:val="center"/>
          </w:tcPr>
          <w:p w14:paraId="677CFCD0">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r>
      <w:tr w14:paraId="26869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00" w:type="pct"/>
            <w:tcBorders>
              <w:tl2br w:val="nil"/>
              <w:tr2bl w:val="nil"/>
            </w:tcBorders>
            <w:shd w:val="clear" w:color="auto" w:fill="auto"/>
            <w:noWrap/>
            <w:vAlign w:val="center"/>
          </w:tcPr>
          <w:p w14:paraId="56FE5A8C">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17</w:t>
            </w:r>
          </w:p>
        </w:tc>
        <w:tc>
          <w:tcPr>
            <w:tcW w:w="223" w:type="pct"/>
            <w:vMerge w:val="continue"/>
            <w:tcBorders>
              <w:tl2br w:val="nil"/>
              <w:tr2bl w:val="nil"/>
            </w:tcBorders>
            <w:shd w:val="clear" w:color="auto" w:fill="auto"/>
            <w:noWrap/>
            <w:vAlign w:val="center"/>
          </w:tcPr>
          <w:p w14:paraId="5BFBB3AB">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p>
        </w:tc>
        <w:tc>
          <w:tcPr>
            <w:tcW w:w="603" w:type="pct"/>
            <w:tcBorders>
              <w:tl2br w:val="nil"/>
              <w:tr2bl w:val="nil"/>
            </w:tcBorders>
            <w:shd w:val="clear" w:color="auto" w:fill="auto"/>
            <w:noWrap/>
            <w:vAlign w:val="center"/>
          </w:tcPr>
          <w:p w14:paraId="0FF2C0C3">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卧式甩干机</w:t>
            </w:r>
          </w:p>
        </w:tc>
        <w:tc>
          <w:tcPr>
            <w:tcW w:w="199" w:type="pct"/>
            <w:tcBorders>
              <w:tl2br w:val="nil"/>
              <w:tr2bl w:val="nil"/>
            </w:tcBorders>
            <w:shd w:val="clear" w:color="auto" w:fill="auto"/>
            <w:noWrap/>
            <w:vAlign w:val="center"/>
          </w:tcPr>
          <w:p w14:paraId="69513096">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-24 </w:t>
            </w:r>
          </w:p>
        </w:tc>
        <w:tc>
          <w:tcPr>
            <w:tcW w:w="204" w:type="pct"/>
            <w:tcBorders>
              <w:tl2br w:val="nil"/>
              <w:tr2bl w:val="nil"/>
            </w:tcBorders>
            <w:shd w:val="clear" w:color="auto" w:fill="auto"/>
            <w:noWrap/>
            <w:vAlign w:val="center"/>
          </w:tcPr>
          <w:p w14:paraId="76DAF2A0">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57 </w:t>
            </w:r>
          </w:p>
        </w:tc>
        <w:tc>
          <w:tcPr>
            <w:tcW w:w="139" w:type="pct"/>
            <w:tcBorders>
              <w:tl2br w:val="nil"/>
              <w:tr2bl w:val="nil"/>
            </w:tcBorders>
            <w:shd w:val="clear" w:color="auto" w:fill="auto"/>
            <w:noWrap/>
            <w:vAlign w:val="center"/>
          </w:tcPr>
          <w:p w14:paraId="552CE15E">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c>
          <w:tcPr>
            <w:tcW w:w="327" w:type="pct"/>
            <w:tcBorders>
              <w:tl2br w:val="nil"/>
              <w:tr2bl w:val="nil"/>
            </w:tcBorders>
            <w:shd w:val="clear" w:color="auto" w:fill="auto"/>
            <w:noWrap/>
            <w:vAlign w:val="center"/>
          </w:tcPr>
          <w:p w14:paraId="03F1CD19">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80</w:t>
            </w:r>
          </w:p>
        </w:tc>
        <w:tc>
          <w:tcPr>
            <w:tcW w:w="186" w:type="pct"/>
            <w:tcBorders>
              <w:tl2br w:val="nil"/>
              <w:tr2bl w:val="nil"/>
            </w:tcBorders>
            <w:shd w:val="clear" w:color="auto" w:fill="auto"/>
            <w:noWrap/>
            <w:vAlign w:val="center"/>
          </w:tcPr>
          <w:p w14:paraId="2A27FCBE">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29</w:t>
            </w:r>
          </w:p>
        </w:tc>
        <w:tc>
          <w:tcPr>
            <w:tcW w:w="186" w:type="pct"/>
            <w:tcBorders>
              <w:tl2br w:val="nil"/>
              <w:tr2bl w:val="nil"/>
            </w:tcBorders>
            <w:shd w:val="clear" w:color="auto" w:fill="auto"/>
            <w:noWrap/>
            <w:vAlign w:val="center"/>
          </w:tcPr>
          <w:p w14:paraId="15D4C8B6">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9</w:t>
            </w:r>
          </w:p>
        </w:tc>
        <w:tc>
          <w:tcPr>
            <w:tcW w:w="186" w:type="pct"/>
            <w:tcBorders>
              <w:tl2br w:val="nil"/>
              <w:tr2bl w:val="nil"/>
            </w:tcBorders>
            <w:shd w:val="clear" w:color="auto" w:fill="auto"/>
            <w:noWrap/>
            <w:vAlign w:val="center"/>
          </w:tcPr>
          <w:p w14:paraId="0DBF0859">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9</w:t>
            </w:r>
          </w:p>
        </w:tc>
        <w:tc>
          <w:tcPr>
            <w:tcW w:w="187" w:type="pct"/>
            <w:tcBorders>
              <w:tl2br w:val="nil"/>
              <w:tr2bl w:val="nil"/>
            </w:tcBorders>
            <w:shd w:val="clear" w:color="auto" w:fill="auto"/>
            <w:noWrap/>
            <w:vAlign w:val="center"/>
          </w:tcPr>
          <w:p w14:paraId="627EF1B2">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38</w:t>
            </w:r>
          </w:p>
        </w:tc>
        <w:tc>
          <w:tcPr>
            <w:tcW w:w="217" w:type="pct"/>
            <w:tcBorders>
              <w:tl2br w:val="nil"/>
              <w:tr2bl w:val="nil"/>
            </w:tcBorders>
            <w:shd w:val="clear" w:color="auto" w:fill="auto"/>
            <w:noWrap/>
            <w:vAlign w:val="center"/>
          </w:tcPr>
          <w:p w14:paraId="2956C962">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50</w:t>
            </w:r>
          </w:p>
        </w:tc>
        <w:tc>
          <w:tcPr>
            <w:tcW w:w="217" w:type="pct"/>
            <w:tcBorders>
              <w:tl2br w:val="nil"/>
              <w:tr2bl w:val="nil"/>
            </w:tcBorders>
            <w:shd w:val="clear" w:color="auto" w:fill="auto"/>
            <w:noWrap/>
            <w:vAlign w:val="center"/>
          </w:tcPr>
          <w:p w14:paraId="1452CC06">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54</w:t>
            </w:r>
          </w:p>
        </w:tc>
        <w:tc>
          <w:tcPr>
            <w:tcW w:w="217" w:type="pct"/>
            <w:tcBorders>
              <w:tl2br w:val="nil"/>
              <w:tr2bl w:val="nil"/>
            </w:tcBorders>
            <w:shd w:val="clear" w:color="auto" w:fill="auto"/>
            <w:noWrap/>
            <w:vAlign w:val="center"/>
          </w:tcPr>
          <w:p w14:paraId="0E6E1B8A">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55</w:t>
            </w:r>
          </w:p>
        </w:tc>
        <w:tc>
          <w:tcPr>
            <w:tcW w:w="187" w:type="pct"/>
            <w:tcBorders>
              <w:tl2br w:val="nil"/>
              <w:tr2bl w:val="nil"/>
            </w:tcBorders>
            <w:shd w:val="clear" w:color="auto" w:fill="auto"/>
            <w:noWrap/>
            <w:vAlign w:val="center"/>
          </w:tcPr>
          <w:p w14:paraId="6CC6C54D">
            <w:pPr>
              <w:pStyle w:val="55"/>
              <w:keepNext w:val="0"/>
              <w:keepLines w:val="0"/>
              <w:pageBreakBefore w:val="0"/>
              <w:widowControl/>
              <w:kinsoku/>
              <w:wordWrap/>
              <w:overflowPunct/>
              <w:topLinePunct w:val="0"/>
              <w:autoSpaceDE/>
              <w:autoSpaceDN/>
              <w:bidi w:val="0"/>
              <w:adjustRightInd w:val="0"/>
              <w:snapToGrid w:val="0"/>
              <w:textAlignment w:val="auto"/>
              <w:rPr>
                <w:rFonts w:hint="default"/>
                <w:lang w:val="en-US" w:eastAsia="zh-CN"/>
              </w:rPr>
            </w:pPr>
            <w:r>
              <w:rPr>
                <w:rFonts w:hint="eastAsia"/>
                <w:lang w:val="en-US" w:eastAsia="zh-CN"/>
              </w:rPr>
              <w:t>50</w:t>
            </w:r>
          </w:p>
        </w:tc>
        <w:tc>
          <w:tcPr>
            <w:tcW w:w="300" w:type="pct"/>
            <w:tcBorders>
              <w:tl2br w:val="nil"/>
              <w:tr2bl w:val="nil"/>
            </w:tcBorders>
            <w:shd w:val="clear" w:color="auto" w:fill="auto"/>
            <w:noWrap/>
            <w:vAlign w:val="center"/>
          </w:tcPr>
          <w:p w14:paraId="05DA4986">
            <w:pPr>
              <w:pStyle w:val="55"/>
              <w:keepNext w:val="0"/>
              <w:keepLines w:val="0"/>
              <w:pageBreakBefore w:val="0"/>
              <w:widowControl/>
              <w:kinsoku/>
              <w:wordWrap/>
              <w:overflowPunct/>
              <w:topLinePunct w:val="0"/>
              <w:autoSpaceDE/>
              <w:autoSpaceDN/>
              <w:bidi w:val="0"/>
              <w:adjustRightInd w:val="0"/>
              <w:snapToGrid w:val="0"/>
              <w:textAlignment w:val="auto"/>
              <w:rPr>
                <w:rFonts w:hint="eastAsia"/>
                <w:lang w:val="en-US" w:eastAsia="zh-CN"/>
              </w:rPr>
            </w:pPr>
            <w:r>
              <w:rPr>
                <w:rFonts w:hint="eastAsia"/>
                <w:lang w:val="en-US" w:eastAsia="zh-CN"/>
              </w:rPr>
              <w:t>全天</w:t>
            </w:r>
          </w:p>
        </w:tc>
        <w:tc>
          <w:tcPr>
            <w:tcW w:w="179" w:type="pct"/>
            <w:tcBorders>
              <w:tl2br w:val="nil"/>
              <w:tr2bl w:val="nil"/>
            </w:tcBorders>
            <w:shd w:val="clear" w:color="auto" w:fill="auto"/>
            <w:noWrap/>
            <w:vAlign w:val="center"/>
          </w:tcPr>
          <w:p w14:paraId="29E6122F">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24</w:t>
            </w:r>
          </w:p>
        </w:tc>
        <w:tc>
          <w:tcPr>
            <w:tcW w:w="195" w:type="pct"/>
            <w:tcBorders>
              <w:tl2br w:val="nil"/>
              <w:tr2bl w:val="nil"/>
            </w:tcBorders>
            <w:shd w:val="clear" w:color="auto" w:fill="auto"/>
            <w:noWrap/>
            <w:vAlign w:val="center"/>
          </w:tcPr>
          <w:p w14:paraId="4E05D072">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28</w:t>
            </w:r>
          </w:p>
        </w:tc>
        <w:tc>
          <w:tcPr>
            <w:tcW w:w="200" w:type="pct"/>
            <w:tcBorders>
              <w:tl2br w:val="nil"/>
              <w:tr2bl w:val="nil"/>
            </w:tcBorders>
            <w:shd w:val="clear" w:color="auto" w:fill="auto"/>
            <w:noWrap/>
            <w:vAlign w:val="center"/>
          </w:tcPr>
          <w:p w14:paraId="69258BAC">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29</w:t>
            </w:r>
          </w:p>
        </w:tc>
        <w:tc>
          <w:tcPr>
            <w:tcW w:w="237" w:type="pct"/>
            <w:tcBorders>
              <w:tl2br w:val="nil"/>
              <w:tr2bl w:val="nil"/>
            </w:tcBorders>
            <w:shd w:val="clear" w:color="auto" w:fill="auto"/>
            <w:noWrap/>
            <w:vAlign w:val="center"/>
          </w:tcPr>
          <w:p w14:paraId="1EF4734C">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24</w:t>
            </w:r>
          </w:p>
        </w:tc>
        <w:tc>
          <w:tcPr>
            <w:tcW w:w="403" w:type="pct"/>
            <w:tcBorders>
              <w:tl2br w:val="nil"/>
              <w:tr2bl w:val="nil"/>
            </w:tcBorders>
            <w:shd w:val="clear" w:color="auto" w:fill="auto"/>
            <w:noWrap/>
            <w:vAlign w:val="center"/>
          </w:tcPr>
          <w:p w14:paraId="78C4AEE1">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r>
      <w:tr w14:paraId="79AF3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00" w:type="pct"/>
            <w:tcBorders>
              <w:tl2br w:val="nil"/>
              <w:tr2bl w:val="nil"/>
            </w:tcBorders>
            <w:shd w:val="clear" w:color="auto" w:fill="auto"/>
            <w:noWrap/>
            <w:vAlign w:val="center"/>
          </w:tcPr>
          <w:p w14:paraId="3BCA9826">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18</w:t>
            </w:r>
          </w:p>
        </w:tc>
        <w:tc>
          <w:tcPr>
            <w:tcW w:w="223" w:type="pct"/>
            <w:vMerge w:val="continue"/>
            <w:tcBorders>
              <w:tl2br w:val="nil"/>
              <w:tr2bl w:val="nil"/>
            </w:tcBorders>
            <w:shd w:val="clear" w:color="auto" w:fill="auto"/>
            <w:noWrap/>
            <w:vAlign w:val="center"/>
          </w:tcPr>
          <w:p w14:paraId="62FC26B8">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p>
        </w:tc>
        <w:tc>
          <w:tcPr>
            <w:tcW w:w="603" w:type="pct"/>
            <w:tcBorders>
              <w:tl2br w:val="nil"/>
              <w:tr2bl w:val="nil"/>
            </w:tcBorders>
            <w:shd w:val="clear" w:color="auto" w:fill="auto"/>
            <w:noWrap/>
            <w:vAlign w:val="center"/>
          </w:tcPr>
          <w:p w14:paraId="05AADEC4">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高速混合机</w:t>
            </w:r>
          </w:p>
        </w:tc>
        <w:tc>
          <w:tcPr>
            <w:tcW w:w="199" w:type="pct"/>
            <w:tcBorders>
              <w:tl2br w:val="nil"/>
              <w:tr2bl w:val="nil"/>
            </w:tcBorders>
            <w:shd w:val="clear" w:color="auto" w:fill="auto"/>
            <w:noWrap/>
            <w:vAlign w:val="center"/>
          </w:tcPr>
          <w:p w14:paraId="7B2468B0">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-46 </w:t>
            </w:r>
          </w:p>
        </w:tc>
        <w:tc>
          <w:tcPr>
            <w:tcW w:w="204" w:type="pct"/>
            <w:tcBorders>
              <w:tl2br w:val="nil"/>
              <w:tr2bl w:val="nil"/>
            </w:tcBorders>
            <w:shd w:val="clear" w:color="auto" w:fill="auto"/>
            <w:noWrap/>
            <w:vAlign w:val="center"/>
          </w:tcPr>
          <w:p w14:paraId="44A739FE">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82 </w:t>
            </w:r>
          </w:p>
        </w:tc>
        <w:tc>
          <w:tcPr>
            <w:tcW w:w="139" w:type="pct"/>
            <w:tcBorders>
              <w:tl2br w:val="nil"/>
              <w:tr2bl w:val="nil"/>
            </w:tcBorders>
            <w:shd w:val="clear" w:color="auto" w:fill="auto"/>
            <w:noWrap/>
            <w:vAlign w:val="center"/>
          </w:tcPr>
          <w:p w14:paraId="4BA0D70E">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c>
          <w:tcPr>
            <w:tcW w:w="327" w:type="pct"/>
            <w:tcBorders>
              <w:tl2br w:val="nil"/>
              <w:tr2bl w:val="nil"/>
            </w:tcBorders>
            <w:shd w:val="clear" w:color="auto" w:fill="auto"/>
            <w:noWrap/>
            <w:vAlign w:val="center"/>
          </w:tcPr>
          <w:p w14:paraId="30ED379A">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91</w:t>
            </w:r>
          </w:p>
        </w:tc>
        <w:tc>
          <w:tcPr>
            <w:tcW w:w="186" w:type="pct"/>
            <w:tcBorders>
              <w:tl2br w:val="nil"/>
              <w:tr2bl w:val="nil"/>
            </w:tcBorders>
            <w:shd w:val="clear" w:color="auto" w:fill="auto"/>
            <w:noWrap/>
            <w:vAlign w:val="center"/>
          </w:tcPr>
          <w:p w14:paraId="5226F67D">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4</w:t>
            </w:r>
          </w:p>
        </w:tc>
        <w:tc>
          <w:tcPr>
            <w:tcW w:w="186" w:type="pct"/>
            <w:tcBorders>
              <w:tl2br w:val="nil"/>
              <w:tr2bl w:val="nil"/>
            </w:tcBorders>
            <w:shd w:val="clear" w:color="auto" w:fill="auto"/>
            <w:noWrap/>
            <w:vAlign w:val="center"/>
          </w:tcPr>
          <w:p w14:paraId="3AD330DD">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33</w:t>
            </w:r>
          </w:p>
        </w:tc>
        <w:tc>
          <w:tcPr>
            <w:tcW w:w="186" w:type="pct"/>
            <w:tcBorders>
              <w:tl2br w:val="nil"/>
              <w:tr2bl w:val="nil"/>
            </w:tcBorders>
            <w:shd w:val="clear" w:color="auto" w:fill="auto"/>
            <w:noWrap/>
            <w:vAlign w:val="center"/>
          </w:tcPr>
          <w:p w14:paraId="19E2C04E">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33</w:t>
            </w:r>
          </w:p>
        </w:tc>
        <w:tc>
          <w:tcPr>
            <w:tcW w:w="187" w:type="pct"/>
            <w:tcBorders>
              <w:tl2br w:val="nil"/>
              <w:tr2bl w:val="nil"/>
            </w:tcBorders>
            <w:shd w:val="clear" w:color="auto" w:fill="auto"/>
            <w:noWrap/>
            <w:vAlign w:val="center"/>
          </w:tcPr>
          <w:p w14:paraId="25B1074B">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15</w:t>
            </w:r>
          </w:p>
        </w:tc>
        <w:tc>
          <w:tcPr>
            <w:tcW w:w="217" w:type="pct"/>
            <w:tcBorders>
              <w:tl2br w:val="nil"/>
              <w:tr2bl w:val="nil"/>
            </w:tcBorders>
            <w:shd w:val="clear" w:color="auto" w:fill="auto"/>
            <w:noWrap/>
            <w:vAlign w:val="center"/>
          </w:tcPr>
          <w:p w14:paraId="30E78B6D">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71</w:t>
            </w:r>
          </w:p>
        </w:tc>
        <w:tc>
          <w:tcPr>
            <w:tcW w:w="217" w:type="pct"/>
            <w:tcBorders>
              <w:tl2br w:val="nil"/>
              <w:tr2bl w:val="nil"/>
            </w:tcBorders>
            <w:shd w:val="clear" w:color="auto" w:fill="auto"/>
            <w:noWrap/>
            <w:vAlign w:val="center"/>
          </w:tcPr>
          <w:p w14:paraId="72A6DCB0">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61</w:t>
            </w:r>
          </w:p>
        </w:tc>
        <w:tc>
          <w:tcPr>
            <w:tcW w:w="217" w:type="pct"/>
            <w:tcBorders>
              <w:tl2br w:val="nil"/>
              <w:tr2bl w:val="nil"/>
            </w:tcBorders>
            <w:shd w:val="clear" w:color="auto" w:fill="auto"/>
            <w:noWrap/>
            <w:vAlign w:val="center"/>
          </w:tcPr>
          <w:p w14:paraId="53FF5022">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61</w:t>
            </w:r>
          </w:p>
        </w:tc>
        <w:tc>
          <w:tcPr>
            <w:tcW w:w="187" w:type="pct"/>
            <w:tcBorders>
              <w:tl2br w:val="nil"/>
              <w:tr2bl w:val="nil"/>
            </w:tcBorders>
            <w:shd w:val="clear" w:color="auto" w:fill="auto"/>
            <w:noWrap/>
            <w:vAlign w:val="center"/>
          </w:tcPr>
          <w:p w14:paraId="248AAB78">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63</w:t>
            </w:r>
          </w:p>
        </w:tc>
        <w:tc>
          <w:tcPr>
            <w:tcW w:w="300" w:type="pct"/>
            <w:tcBorders>
              <w:tl2br w:val="nil"/>
              <w:tr2bl w:val="nil"/>
            </w:tcBorders>
            <w:shd w:val="clear" w:color="auto" w:fill="auto"/>
            <w:noWrap/>
            <w:vAlign w:val="center"/>
          </w:tcPr>
          <w:p w14:paraId="26414DB6">
            <w:pPr>
              <w:pStyle w:val="55"/>
              <w:keepNext w:val="0"/>
              <w:keepLines w:val="0"/>
              <w:pageBreakBefore w:val="0"/>
              <w:widowControl/>
              <w:kinsoku/>
              <w:wordWrap/>
              <w:overflowPunct/>
              <w:topLinePunct w:val="0"/>
              <w:autoSpaceDE/>
              <w:autoSpaceDN/>
              <w:bidi w:val="0"/>
              <w:adjustRightInd w:val="0"/>
              <w:snapToGrid w:val="0"/>
              <w:textAlignment w:val="auto"/>
              <w:rPr>
                <w:rFonts w:hint="eastAsia"/>
                <w:lang w:val="en-US" w:eastAsia="zh-CN"/>
              </w:rPr>
            </w:pPr>
            <w:r>
              <w:rPr>
                <w:rFonts w:hint="eastAsia"/>
                <w:lang w:val="en-US" w:eastAsia="zh-CN"/>
              </w:rPr>
              <w:t>全天</w:t>
            </w:r>
          </w:p>
        </w:tc>
        <w:tc>
          <w:tcPr>
            <w:tcW w:w="179" w:type="pct"/>
            <w:tcBorders>
              <w:tl2br w:val="nil"/>
              <w:tr2bl w:val="nil"/>
            </w:tcBorders>
            <w:shd w:val="clear" w:color="auto" w:fill="auto"/>
            <w:noWrap/>
            <w:vAlign w:val="center"/>
          </w:tcPr>
          <w:p w14:paraId="5AB9E0BE">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45</w:t>
            </w:r>
          </w:p>
        </w:tc>
        <w:tc>
          <w:tcPr>
            <w:tcW w:w="195" w:type="pct"/>
            <w:tcBorders>
              <w:tl2br w:val="nil"/>
              <w:tr2bl w:val="nil"/>
            </w:tcBorders>
            <w:shd w:val="clear" w:color="auto" w:fill="auto"/>
            <w:noWrap/>
            <w:vAlign w:val="center"/>
          </w:tcPr>
          <w:p w14:paraId="2873266B">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35</w:t>
            </w:r>
          </w:p>
        </w:tc>
        <w:tc>
          <w:tcPr>
            <w:tcW w:w="200" w:type="pct"/>
            <w:tcBorders>
              <w:tl2br w:val="nil"/>
              <w:tr2bl w:val="nil"/>
            </w:tcBorders>
            <w:shd w:val="clear" w:color="auto" w:fill="auto"/>
            <w:noWrap/>
            <w:vAlign w:val="center"/>
          </w:tcPr>
          <w:p w14:paraId="3B898EF5">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35</w:t>
            </w:r>
          </w:p>
        </w:tc>
        <w:tc>
          <w:tcPr>
            <w:tcW w:w="237" w:type="pct"/>
            <w:tcBorders>
              <w:tl2br w:val="nil"/>
              <w:tr2bl w:val="nil"/>
            </w:tcBorders>
            <w:shd w:val="clear" w:color="auto" w:fill="auto"/>
            <w:noWrap/>
            <w:vAlign w:val="center"/>
          </w:tcPr>
          <w:p w14:paraId="4F0E2FBE">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37</w:t>
            </w:r>
          </w:p>
        </w:tc>
        <w:tc>
          <w:tcPr>
            <w:tcW w:w="403" w:type="pct"/>
            <w:tcBorders>
              <w:tl2br w:val="nil"/>
              <w:tr2bl w:val="nil"/>
            </w:tcBorders>
            <w:shd w:val="clear" w:color="auto" w:fill="auto"/>
            <w:noWrap/>
            <w:vAlign w:val="center"/>
          </w:tcPr>
          <w:p w14:paraId="06148BF0">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r>
      <w:tr w14:paraId="02952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00" w:type="pct"/>
            <w:tcBorders>
              <w:tl2br w:val="nil"/>
              <w:tr2bl w:val="nil"/>
            </w:tcBorders>
            <w:shd w:val="clear" w:color="auto" w:fill="auto"/>
            <w:noWrap/>
            <w:vAlign w:val="center"/>
          </w:tcPr>
          <w:p w14:paraId="4ABE937D">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19</w:t>
            </w:r>
          </w:p>
        </w:tc>
        <w:tc>
          <w:tcPr>
            <w:tcW w:w="223" w:type="pct"/>
            <w:vMerge w:val="continue"/>
            <w:tcBorders>
              <w:tl2br w:val="nil"/>
              <w:tr2bl w:val="nil"/>
            </w:tcBorders>
            <w:shd w:val="clear" w:color="auto" w:fill="auto"/>
            <w:noWrap/>
            <w:vAlign w:val="center"/>
          </w:tcPr>
          <w:p w14:paraId="6EAC6787">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p>
        </w:tc>
        <w:tc>
          <w:tcPr>
            <w:tcW w:w="603" w:type="pct"/>
            <w:tcBorders>
              <w:tl2br w:val="nil"/>
              <w:tr2bl w:val="nil"/>
            </w:tcBorders>
            <w:shd w:val="clear" w:color="auto" w:fill="auto"/>
            <w:noWrap/>
            <w:vAlign w:val="center"/>
          </w:tcPr>
          <w:p w14:paraId="460DDC2B">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挤出机</w:t>
            </w:r>
          </w:p>
        </w:tc>
        <w:tc>
          <w:tcPr>
            <w:tcW w:w="199" w:type="pct"/>
            <w:tcBorders>
              <w:tl2br w:val="nil"/>
              <w:tr2bl w:val="nil"/>
            </w:tcBorders>
            <w:shd w:val="clear" w:color="auto" w:fill="auto"/>
            <w:noWrap/>
            <w:vAlign w:val="center"/>
          </w:tcPr>
          <w:p w14:paraId="29C60B90">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-47 </w:t>
            </w:r>
          </w:p>
        </w:tc>
        <w:tc>
          <w:tcPr>
            <w:tcW w:w="204" w:type="pct"/>
            <w:tcBorders>
              <w:tl2br w:val="nil"/>
              <w:tr2bl w:val="nil"/>
            </w:tcBorders>
            <w:shd w:val="clear" w:color="auto" w:fill="auto"/>
            <w:noWrap/>
            <w:vAlign w:val="center"/>
          </w:tcPr>
          <w:p w14:paraId="695FF09A">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72 </w:t>
            </w:r>
          </w:p>
        </w:tc>
        <w:tc>
          <w:tcPr>
            <w:tcW w:w="139" w:type="pct"/>
            <w:tcBorders>
              <w:tl2br w:val="nil"/>
              <w:tr2bl w:val="nil"/>
            </w:tcBorders>
            <w:shd w:val="clear" w:color="auto" w:fill="auto"/>
            <w:noWrap/>
            <w:vAlign w:val="center"/>
          </w:tcPr>
          <w:p w14:paraId="10EF668D">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c>
          <w:tcPr>
            <w:tcW w:w="327" w:type="pct"/>
            <w:tcBorders>
              <w:tl2br w:val="nil"/>
              <w:tr2bl w:val="nil"/>
            </w:tcBorders>
            <w:shd w:val="clear" w:color="auto" w:fill="auto"/>
            <w:noWrap/>
            <w:vAlign w:val="center"/>
          </w:tcPr>
          <w:p w14:paraId="2815A7FF">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91</w:t>
            </w:r>
          </w:p>
        </w:tc>
        <w:tc>
          <w:tcPr>
            <w:tcW w:w="186" w:type="pct"/>
            <w:tcBorders>
              <w:tl2br w:val="nil"/>
              <w:tr2bl w:val="nil"/>
            </w:tcBorders>
            <w:shd w:val="clear" w:color="auto" w:fill="auto"/>
            <w:noWrap/>
            <w:vAlign w:val="center"/>
          </w:tcPr>
          <w:p w14:paraId="4CC0DAC1">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14</w:t>
            </w:r>
          </w:p>
        </w:tc>
        <w:tc>
          <w:tcPr>
            <w:tcW w:w="186" w:type="pct"/>
            <w:tcBorders>
              <w:tl2br w:val="nil"/>
              <w:tr2bl w:val="nil"/>
            </w:tcBorders>
            <w:shd w:val="clear" w:color="auto" w:fill="auto"/>
            <w:noWrap/>
            <w:vAlign w:val="center"/>
          </w:tcPr>
          <w:p w14:paraId="22C08AE8">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32</w:t>
            </w:r>
          </w:p>
        </w:tc>
        <w:tc>
          <w:tcPr>
            <w:tcW w:w="186" w:type="pct"/>
            <w:tcBorders>
              <w:tl2br w:val="nil"/>
              <w:tr2bl w:val="nil"/>
            </w:tcBorders>
            <w:shd w:val="clear" w:color="auto" w:fill="auto"/>
            <w:noWrap/>
            <w:vAlign w:val="center"/>
          </w:tcPr>
          <w:p w14:paraId="18FEF9F2">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24</w:t>
            </w:r>
          </w:p>
        </w:tc>
        <w:tc>
          <w:tcPr>
            <w:tcW w:w="187" w:type="pct"/>
            <w:tcBorders>
              <w:tl2br w:val="nil"/>
              <w:tr2bl w:val="nil"/>
            </w:tcBorders>
            <w:shd w:val="clear" w:color="auto" w:fill="auto"/>
            <w:noWrap/>
            <w:vAlign w:val="center"/>
          </w:tcPr>
          <w:p w14:paraId="7966B0B2">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15</w:t>
            </w:r>
          </w:p>
        </w:tc>
        <w:tc>
          <w:tcPr>
            <w:tcW w:w="217" w:type="pct"/>
            <w:tcBorders>
              <w:tl2br w:val="nil"/>
              <w:tr2bl w:val="nil"/>
            </w:tcBorders>
            <w:shd w:val="clear" w:color="auto" w:fill="auto"/>
            <w:noWrap/>
            <w:vAlign w:val="center"/>
          </w:tcPr>
          <w:p w14:paraId="205A3B02">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63</w:t>
            </w:r>
          </w:p>
        </w:tc>
        <w:tc>
          <w:tcPr>
            <w:tcW w:w="217" w:type="pct"/>
            <w:tcBorders>
              <w:tl2br w:val="nil"/>
              <w:tr2bl w:val="nil"/>
            </w:tcBorders>
            <w:shd w:val="clear" w:color="auto" w:fill="auto"/>
            <w:noWrap/>
            <w:vAlign w:val="center"/>
          </w:tcPr>
          <w:p w14:paraId="3C3651F0">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61</w:t>
            </w:r>
          </w:p>
        </w:tc>
        <w:tc>
          <w:tcPr>
            <w:tcW w:w="217" w:type="pct"/>
            <w:tcBorders>
              <w:tl2br w:val="nil"/>
              <w:tr2bl w:val="nil"/>
            </w:tcBorders>
            <w:shd w:val="clear" w:color="auto" w:fill="auto"/>
            <w:noWrap/>
            <w:vAlign w:val="center"/>
          </w:tcPr>
          <w:p w14:paraId="68960B05">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61</w:t>
            </w:r>
          </w:p>
        </w:tc>
        <w:tc>
          <w:tcPr>
            <w:tcW w:w="187" w:type="pct"/>
            <w:tcBorders>
              <w:tl2br w:val="nil"/>
              <w:tr2bl w:val="nil"/>
            </w:tcBorders>
            <w:shd w:val="clear" w:color="auto" w:fill="auto"/>
            <w:noWrap/>
            <w:vAlign w:val="center"/>
          </w:tcPr>
          <w:p w14:paraId="176F861D">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63</w:t>
            </w:r>
          </w:p>
        </w:tc>
        <w:tc>
          <w:tcPr>
            <w:tcW w:w="300" w:type="pct"/>
            <w:tcBorders>
              <w:tl2br w:val="nil"/>
              <w:tr2bl w:val="nil"/>
            </w:tcBorders>
            <w:shd w:val="clear" w:color="auto" w:fill="auto"/>
            <w:noWrap/>
            <w:vAlign w:val="center"/>
          </w:tcPr>
          <w:p w14:paraId="134B844B">
            <w:pPr>
              <w:pStyle w:val="55"/>
              <w:keepNext w:val="0"/>
              <w:keepLines w:val="0"/>
              <w:pageBreakBefore w:val="0"/>
              <w:widowControl/>
              <w:kinsoku/>
              <w:wordWrap/>
              <w:overflowPunct/>
              <w:topLinePunct w:val="0"/>
              <w:autoSpaceDE/>
              <w:autoSpaceDN/>
              <w:bidi w:val="0"/>
              <w:adjustRightInd w:val="0"/>
              <w:snapToGrid w:val="0"/>
              <w:textAlignment w:val="auto"/>
              <w:rPr>
                <w:rFonts w:hint="eastAsia"/>
                <w:lang w:val="en-US" w:eastAsia="zh-CN"/>
              </w:rPr>
            </w:pPr>
            <w:r>
              <w:rPr>
                <w:rFonts w:hint="eastAsia"/>
                <w:lang w:val="en-US" w:eastAsia="zh-CN"/>
              </w:rPr>
              <w:t>全天</w:t>
            </w:r>
          </w:p>
        </w:tc>
        <w:tc>
          <w:tcPr>
            <w:tcW w:w="179" w:type="pct"/>
            <w:tcBorders>
              <w:tl2br w:val="nil"/>
              <w:tr2bl w:val="nil"/>
            </w:tcBorders>
            <w:shd w:val="clear" w:color="auto" w:fill="auto"/>
            <w:noWrap/>
            <w:vAlign w:val="center"/>
          </w:tcPr>
          <w:p w14:paraId="133C0C22">
            <w:pPr>
              <w:pStyle w:val="55"/>
              <w:keepNext w:val="0"/>
              <w:keepLines w:val="0"/>
              <w:pageBreakBefore w:val="0"/>
              <w:widowControl/>
              <w:kinsoku/>
              <w:wordWrap/>
              <w:overflowPunct/>
              <w:topLinePunct w:val="0"/>
              <w:autoSpaceDE/>
              <w:autoSpaceDN/>
              <w:bidi w:val="0"/>
              <w:adjustRightInd w:val="0"/>
              <w:snapToGrid w:val="0"/>
              <w:textAlignment w:val="auto"/>
              <w:rPr>
                <w:rFonts w:hint="default"/>
                <w:lang w:val="en-US"/>
              </w:rPr>
            </w:pPr>
            <w:r>
              <w:rPr>
                <w:rFonts w:hint="eastAsia"/>
                <w:lang w:val="en-US" w:eastAsia="zh-CN"/>
              </w:rPr>
              <w:t>37</w:t>
            </w:r>
          </w:p>
        </w:tc>
        <w:tc>
          <w:tcPr>
            <w:tcW w:w="195" w:type="pct"/>
            <w:tcBorders>
              <w:tl2br w:val="nil"/>
              <w:tr2bl w:val="nil"/>
            </w:tcBorders>
            <w:shd w:val="clear" w:color="auto" w:fill="auto"/>
            <w:noWrap/>
            <w:vAlign w:val="center"/>
          </w:tcPr>
          <w:p w14:paraId="6B6EB32D">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35</w:t>
            </w:r>
          </w:p>
        </w:tc>
        <w:tc>
          <w:tcPr>
            <w:tcW w:w="200" w:type="pct"/>
            <w:tcBorders>
              <w:tl2br w:val="nil"/>
              <w:tr2bl w:val="nil"/>
            </w:tcBorders>
            <w:shd w:val="clear" w:color="auto" w:fill="auto"/>
            <w:noWrap/>
            <w:vAlign w:val="center"/>
          </w:tcPr>
          <w:p w14:paraId="37E19460">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35</w:t>
            </w:r>
          </w:p>
        </w:tc>
        <w:tc>
          <w:tcPr>
            <w:tcW w:w="237" w:type="pct"/>
            <w:tcBorders>
              <w:tl2br w:val="nil"/>
              <w:tr2bl w:val="nil"/>
            </w:tcBorders>
            <w:shd w:val="clear" w:color="auto" w:fill="auto"/>
            <w:noWrap/>
            <w:vAlign w:val="center"/>
          </w:tcPr>
          <w:p w14:paraId="3EA7C58C">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37</w:t>
            </w:r>
          </w:p>
        </w:tc>
        <w:tc>
          <w:tcPr>
            <w:tcW w:w="403" w:type="pct"/>
            <w:tcBorders>
              <w:tl2br w:val="nil"/>
              <w:tr2bl w:val="nil"/>
            </w:tcBorders>
            <w:shd w:val="clear" w:color="auto" w:fill="auto"/>
            <w:noWrap/>
            <w:vAlign w:val="center"/>
          </w:tcPr>
          <w:p w14:paraId="772AE045">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r>
      <w:tr w14:paraId="779D8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00" w:type="pct"/>
            <w:tcBorders>
              <w:tl2br w:val="nil"/>
              <w:tr2bl w:val="nil"/>
            </w:tcBorders>
            <w:shd w:val="clear" w:color="auto" w:fill="auto"/>
            <w:noWrap/>
            <w:vAlign w:val="center"/>
          </w:tcPr>
          <w:p w14:paraId="6F91F27C">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20</w:t>
            </w:r>
          </w:p>
        </w:tc>
        <w:tc>
          <w:tcPr>
            <w:tcW w:w="223" w:type="pct"/>
            <w:vMerge w:val="continue"/>
            <w:tcBorders>
              <w:tl2br w:val="nil"/>
              <w:tr2bl w:val="nil"/>
            </w:tcBorders>
            <w:shd w:val="clear" w:color="auto" w:fill="auto"/>
            <w:noWrap/>
            <w:vAlign w:val="center"/>
          </w:tcPr>
          <w:p w14:paraId="19E6A149">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p>
        </w:tc>
        <w:tc>
          <w:tcPr>
            <w:tcW w:w="603" w:type="pct"/>
            <w:tcBorders>
              <w:tl2br w:val="nil"/>
              <w:tr2bl w:val="nil"/>
            </w:tcBorders>
            <w:shd w:val="clear" w:color="auto" w:fill="auto"/>
            <w:noWrap/>
            <w:vAlign w:val="center"/>
          </w:tcPr>
          <w:p w14:paraId="27789DE6">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切粒机</w:t>
            </w:r>
          </w:p>
        </w:tc>
        <w:tc>
          <w:tcPr>
            <w:tcW w:w="199" w:type="pct"/>
            <w:tcBorders>
              <w:tl2br w:val="nil"/>
              <w:tr2bl w:val="nil"/>
            </w:tcBorders>
            <w:shd w:val="clear" w:color="auto" w:fill="auto"/>
            <w:noWrap/>
            <w:vAlign w:val="center"/>
          </w:tcPr>
          <w:p w14:paraId="36CEBA84">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-46 </w:t>
            </w:r>
          </w:p>
        </w:tc>
        <w:tc>
          <w:tcPr>
            <w:tcW w:w="204" w:type="pct"/>
            <w:tcBorders>
              <w:tl2br w:val="nil"/>
              <w:tr2bl w:val="nil"/>
            </w:tcBorders>
            <w:shd w:val="clear" w:color="auto" w:fill="auto"/>
            <w:noWrap/>
            <w:vAlign w:val="center"/>
          </w:tcPr>
          <w:p w14:paraId="1DDD008C">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 xml:space="preserve">59 </w:t>
            </w:r>
          </w:p>
        </w:tc>
        <w:tc>
          <w:tcPr>
            <w:tcW w:w="139" w:type="pct"/>
            <w:tcBorders>
              <w:tl2br w:val="nil"/>
              <w:tr2bl w:val="nil"/>
            </w:tcBorders>
            <w:shd w:val="clear" w:color="auto" w:fill="auto"/>
            <w:noWrap/>
            <w:vAlign w:val="center"/>
          </w:tcPr>
          <w:p w14:paraId="57D330D8">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c>
          <w:tcPr>
            <w:tcW w:w="327" w:type="pct"/>
            <w:tcBorders>
              <w:tl2br w:val="nil"/>
              <w:tr2bl w:val="nil"/>
            </w:tcBorders>
            <w:shd w:val="clear" w:color="auto" w:fill="auto"/>
            <w:noWrap/>
            <w:vAlign w:val="center"/>
          </w:tcPr>
          <w:p w14:paraId="71FD7E2D">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91</w:t>
            </w:r>
          </w:p>
        </w:tc>
        <w:tc>
          <w:tcPr>
            <w:tcW w:w="186" w:type="pct"/>
            <w:tcBorders>
              <w:tl2br w:val="nil"/>
              <w:tr2bl w:val="nil"/>
            </w:tcBorders>
            <w:shd w:val="clear" w:color="auto" w:fill="auto"/>
            <w:noWrap/>
            <w:vAlign w:val="center"/>
          </w:tcPr>
          <w:p w14:paraId="70D3C5D0">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27</w:t>
            </w:r>
          </w:p>
        </w:tc>
        <w:tc>
          <w:tcPr>
            <w:tcW w:w="186" w:type="pct"/>
            <w:tcBorders>
              <w:tl2br w:val="nil"/>
              <w:tr2bl w:val="nil"/>
            </w:tcBorders>
            <w:shd w:val="clear" w:color="auto" w:fill="auto"/>
            <w:noWrap/>
            <w:vAlign w:val="center"/>
          </w:tcPr>
          <w:p w14:paraId="62C12E88">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32</w:t>
            </w:r>
          </w:p>
        </w:tc>
        <w:tc>
          <w:tcPr>
            <w:tcW w:w="186" w:type="pct"/>
            <w:tcBorders>
              <w:tl2br w:val="nil"/>
              <w:tr2bl w:val="nil"/>
            </w:tcBorders>
            <w:shd w:val="clear" w:color="auto" w:fill="auto"/>
            <w:noWrap/>
            <w:vAlign w:val="center"/>
          </w:tcPr>
          <w:p w14:paraId="1CA3891B">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11</w:t>
            </w:r>
          </w:p>
        </w:tc>
        <w:tc>
          <w:tcPr>
            <w:tcW w:w="187" w:type="pct"/>
            <w:tcBorders>
              <w:tl2br w:val="nil"/>
              <w:tr2bl w:val="nil"/>
            </w:tcBorders>
            <w:shd w:val="clear" w:color="auto" w:fill="auto"/>
            <w:noWrap/>
            <w:vAlign w:val="center"/>
          </w:tcPr>
          <w:p w14:paraId="12CD98EA">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15</w:t>
            </w:r>
          </w:p>
        </w:tc>
        <w:tc>
          <w:tcPr>
            <w:tcW w:w="217" w:type="pct"/>
            <w:tcBorders>
              <w:tl2br w:val="nil"/>
              <w:tr2bl w:val="nil"/>
            </w:tcBorders>
            <w:shd w:val="clear" w:color="auto" w:fill="auto"/>
            <w:noWrap/>
            <w:vAlign w:val="center"/>
          </w:tcPr>
          <w:p w14:paraId="1DC98FD1">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61</w:t>
            </w:r>
          </w:p>
        </w:tc>
        <w:tc>
          <w:tcPr>
            <w:tcW w:w="217" w:type="pct"/>
            <w:tcBorders>
              <w:tl2br w:val="nil"/>
              <w:tr2bl w:val="nil"/>
            </w:tcBorders>
            <w:shd w:val="clear" w:color="auto" w:fill="auto"/>
            <w:noWrap/>
            <w:vAlign w:val="center"/>
          </w:tcPr>
          <w:p w14:paraId="4DBA48EC">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60</w:t>
            </w:r>
          </w:p>
        </w:tc>
        <w:tc>
          <w:tcPr>
            <w:tcW w:w="217" w:type="pct"/>
            <w:tcBorders>
              <w:tl2br w:val="nil"/>
              <w:tr2bl w:val="nil"/>
            </w:tcBorders>
            <w:shd w:val="clear" w:color="auto" w:fill="auto"/>
            <w:noWrap/>
            <w:vAlign w:val="center"/>
          </w:tcPr>
          <w:p w14:paraId="5382F946">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64</w:t>
            </w:r>
          </w:p>
        </w:tc>
        <w:tc>
          <w:tcPr>
            <w:tcW w:w="187" w:type="pct"/>
            <w:tcBorders>
              <w:tl2br w:val="nil"/>
              <w:tr2bl w:val="nil"/>
            </w:tcBorders>
            <w:shd w:val="clear" w:color="auto" w:fill="auto"/>
            <w:noWrap/>
            <w:vAlign w:val="center"/>
          </w:tcPr>
          <w:p w14:paraId="49CB95EC">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62</w:t>
            </w:r>
          </w:p>
        </w:tc>
        <w:tc>
          <w:tcPr>
            <w:tcW w:w="300" w:type="pct"/>
            <w:tcBorders>
              <w:tl2br w:val="nil"/>
              <w:tr2bl w:val="nil"/>
            </w:tcBorders>
            <w:shd w:val="clear" w:color="auto" w:fill="auto"/>
            <w:noWrap/>
            <w:vAlign w:val="center"/>
          </w:tcPr>
          <w:p w14:paraId="5B3F8666">
            <w:pPr>
              <w:pStyle w:val="55"/>
              <w:keepNext w:val="0"/>
              <w:keepLines w:val="0"/>
              <w:pageBreakBefore w:val="0"/>
              <w:widowControl/>
              <w:kinsoku/>
              <w:wordWrap/>
              <w:overflowPunct/>
              <w:topLinePunct w:val="0"/>
              <w:autoSpaceDE/>
              <w:autoSpaceDN/>
              <w:bidi w:val="0"/>
              <w:adjustRightInd w:val="0"/>
              <w:snapToGrid w:val="0"/>
              <w:textAlignment w:val="auto"/>
              <w:rPr>
                <w:rFonts w:hint="eastAsia"/>
                <w:lang w:val="en-US" w:eastAsia="zh-CN"/>
              </w:rPr>
            </w:pPr>
            <w:r>
              <w:rPr>
                <w:rFonts w:hint="eastAsia"/>
                <w:lang w:val="en-US" w:eastAsia="zh-CN"/>
              </w:rPr>
              <w:t>全天</w:t>
            </w:r>
          </w:p>
        </w:tc>
        <w:tc>
          <w:tcPr>
            <w:tcW w:w="179" w:type="pct"/>
            <w:tcBorders>
              <w:tl2br w:val="nil"/>
              <w:tr2bl w:val="nil"/>
            </w:tcBorders>
            <w:shd w:val="clear" w:color="auto" w:fill="auto"/>
            <w:noWrap/>
            <w:vAlign w:val="center"/>
          </w:tcPr>
          <w:p w14:paraId="0B36942A">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35</w:t>
            </w:r>
          </w:p>
        </w:tc>
        <w:tc>
          <w:tcPr>
            <w:tcW w:w="195" w:type="pct"/>
            <w:tcBorders>
              <w:tl2br w:val="nil"/>
              <w:tr2bl w:val="nil"/>
            </w:tcBorders>
            <w:shd w:val="clear" w:color="auto" w:fill="auto"/>
            <w:noWrap/>
            <w:vAlign w:val="center"/>
          </w:tcPr>
          <w:p w14:paraId="7470CA6C">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34</w:t>
            </w:r>
          </w:p>
        </w:tc>
        <w:tc>
          <w:tcPr>
            <w:tcW w:w="200" w:type="pct"/>
            <w:tcBorders>
              <w:tl2br w:val="nil"/>
              <w:tr2bl w:val="nil"/>
            </w:tcBorders>
            <w:shd w:val="clear" w:color="auto" w:fill="auto"/>
            <w:noWrap/>
            <w:vAlign w:val="center"/>
          </w:tcPr>
          <w:p w14:paraId="502AF250">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38</w:t>
            </w:r>
          </w:p>
        </w:tc>
        <w:tc>
          <w:tcPr>
            <w:tcW w:w="237" w:type="pct"/>
            <w:tcBorders>
              <w:tl2br w:val="nil"/>
              <w:tr2bl w:val="nil"/>
            </w:tcBorders>
            <w:shd w:val="clear" w:color="auto" w:fill="auto"/>
            <w:noWrap/>
            <w:vAlign w:val="center"/>
          </w:tcPr>
          <w:p w14:paraId="41EDA469">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36</w:t>
            </w:r>
          </w:p>
        </w:tc>
        <w:tc>
          <w:tcPr>
            <w:tcW w:w="403" w:type="pct"/>
            <w:tcBorders>
              <w:tl2br w:val="nil"/>
              <w:tr2bl w:val="nil"/>
            </w:tcBorders>
            <w:shd w:val="clear" w:color="auto" w:fill="auto"/>
            <w:noWrap/>
            <w:vAlign w:val="center"/>
          </w:tcPr>
          <w:p w14:paraId="7586CD73">
            <w:pPr>
              <w:pStyle w:val="55"/>
              <w:keepNext w:val="0"/>
              <w:keepLines w:val="0"/>
              <w:pageBreakBefore w:val="0"/>
              <w:widowControl/>
              <w:kinsoku/>
              <w:wordWrap/>
              <w:overflowPunct/>
              <w:topLinePunct w:val="0"/>
              <w:autoSpaceDE/>
              <w:autoSpaceDN/>
              <w:bidi w:val="0"/>
              <w:adjustRightInd w:val="0"/>
              <w:snapToGrid w:val="0"/>
              <w:textAlignment w:val="auto"/>
              <w:rPr>
                <w:rFonts w:hint="eastAsia"/>
              </w:rPr>
            </w:pPr>
            <w:r>
              <w:rPr>
                <w:rFonts w:hint="eastAsia"/>
                <w:lang w:val="en-US" w:eastAsia="zh-CN"/>
              </w:rPr>
              <w:t>1</w:t>
            </w:r>
          </w:p>
        </w:tc>
      </w:tr>
    </w:tbl>
    <w:p w14:paraId="64BA71F6">
      <w:pPr>
        <w:pStyle w:val="47"/>
        <w:ind w:firstLine="482"/>
      </w:pPr>
    </w:p>
    <w:p w14:paraId="24A6B786">
      <w:pPr>
        <w:pStyle w:val="47"/>
        <w:ind w:firstLine="482"/>
      </w:pPr>
    </w:p>
    <w:p w14:paraId="3314A30D">
      <w:pPr>
        <w:pStyle w:val="47"/>
        <w:ind w:firstLine="482"/>
      </w:pPr>
    </w:p>
    <w:p w14:paraId="53734CB9">
      <w:pPr>
        <w:pStyle w:val="47"/>
        <w:ind w:firstLine="482"/>
      </w:pPr>
    </w:p>
    <w:p w14:paraId="450A98DF">
      <w:pPr>
        <w:pStyle w:val="47"/>
        <w:ind w:firstLine="482"/>
      </w:pPr>
    </w:p>
    <w:p w14:paraId="789A7BFB">
      <w:pPr>
        <w:pStyle w:val="47"/>
        <w:ind w:firstLine="482"/>
      </w:pPr>
    </w:p>
    <w:p w14:paraId="3EE9E9E6">
      <w:pPr>
        <w:pStyle w:val="47"/>
        <w:ind w:firstLine="482"/>
      </w:pPr>
    </w:p>
    <w:p w14:paraId="69F0E0A9">
      <w:pPr>
        <w:pStyle w:val="47"/>
        <w:ind w:firstLine="482"/>
      </w:pPr>
    </w:p>
    <w:p w14:paraId="7E28BF20">
      <w:pPr>
        <w:pStyle w:val="47"/>
        <w:ind w:firstLine="482"/>
        <w:sectPr>
          <w:pgSz w:w="16838" w:h="11906" w:orient="landscape"/>
          <w:pgMar w:top="1417" w:right="1417" w:bottom="1417" w:left="1417" w:header="964" w:footer="964" w:gutter="0"/>
          <w:pgBorders>
            <w:top w:val="none" w:sz="0" w:space="0"/>
            <w:left w:val="none" w:sz="0" w:space="0"/>
            <w:bottom w:val="none" w:sz="0" w:space="0"/>
            <w:right w:val="none" w:sz="0" w:space="0"/>
          </w:pgBorders>
          <w:pgNumType w:fmt="decimal"/>
          <w:cols w:space="425" w:num="1"/>
          <w:docGrid w:type="linesAndChars" w:linePitch="326" w:charSpace="190"/>
        </w:sectPr>
      </w:pPr>
    </w:p>
    <w:p w14:paraId="208B79A4">
      <w:pPr>
        <w:pStyle w:val="47"/>
        <w:ind w:firstLine="482"/>
        <w:rPr>
          <w:rFonts w:hint="eastAsia"/>
        </w:rPr>
      </w:pPr>
      <w:r>
        <w:rPr>
          <w:rFonts w:hint="eastAsia"/>
          <w:lang w:eastAsia="zh-CN"/>
        </w:rPr>
        <w:t>（</w:t>
      </w:r>
      <w:r>
        <w:rPr>
          <w:rFonts w:hint="eastAsia"/>
          <w:lang w:val="en-US" w:eastAsia="zh-CN"/>
        </w:rPr>
        <w:t>2</w:t>
      </w:r>
      <w:r>
        <w:rPr>
          <w:rFonts w:hint="eastAsia"/>
          <w:lang w:eastAsia="zh-CN"/>
        </w:rPr>
        <w:t>）</w:t>
      </w:r>
      <w:r>
        <w:rPr>
          <w:rFonts w:hint="eastAsia"/>
        </w:rPr>
        <w:t>预测模式</w:t>
      </w:r>
    </w:p>
    <w:p w14:paraId="50FB2711">
      <w:pPr>
        <w:pStyle w:val="47"/>
        <w:ind w:firstLine="482"/>
        <w:rPr>
          <w:rFonts w:hint="eastAsia"/>
        </w:rPr>
      </w:pPr>
      <w:r>
        <w:rPr>
          <w:rFonts w:hint="eastAsia"/>
        </w:rPr>
        <w:t>①室外点声源对场界噪声预测点贡献值预测模式</w:t>
      </w:r>
    </w:p>
    <w:p w14:paraId="2426E990">
      <w:pPr>
        <w:pStyle w:val="47"/>
        <w:ind w:firstLine="482"/>
        <w:rPr>
          <w:rFonts w:hint="eastAsia"/>
        </w:rPr>
      </w:pPr>
      <w:r>
        <w:rPr>
          <w:rFonts w:hint="eastAsia"/>
        </w:rPr>
        <w:t>各声源对预测点的贡献值按下式计算：</w:t>
      </w:r>
    </w:p>
    <w:p w14:paraId="15330E9D">
      <w:pPr>
        <w:pStyle w:val="47"/>
        <w:ind w:firstLine="482"/>
        <w:rPr>
          <w:rFonts w:hint="eastAsia"/>
        </w:rPr>
      </w:pPr>
      <w:r>
        <w:rPr>
          <w:rFonts w:hint="eastAsia"/>
        </w:rPr>
        <w:t>Lp（r）=Lp（r</w:t>
      </w:r>
      <w:r>
        <w:rPr>
          <w:rFonts w:hint="eastAsia"/>
          <w:lang w:val="en-US" w:eastAsia="zh-CN"/>
        </w:rPr>
        <w:t>0</w:t>
      </w:r>
      <w:r>
        <w:rPr>
          <w:rFonts w:hint="eastAsia"/>
        </w:rPr>
        <w:t>）+Dc－（Adiv+Aatm+Agr+Abar+Amisc）</w:t>
      </w:r>
    </w:p>
    <w:p w14:paraId="412F006B">
      <w:pPr>
        <w:pStyle w:val="47"/>
        <w:ind w:firstLine="482"/>
        <w:rPr>
          <w:rFonts w:hint="eastAsia"/>
        </w:rPr>
      </w:pPr>
      <w:r>
        <w:rPr>
          <w:rFonts w:hint="eastAsia"/>
        </w:rPr>
        <w:t>式中：Lp（r）——预测点处声压级，dB；</w:t>
      </w:r>
    </w:p>
    <w:p w14:paraId="11327F4C">
      <w:pPr>
        <w:pStyle w:val="47"/>
        <w:ind w:firstLine="482"/>
        <w:rPr>
          <w:rFonts w:hint="eastAsia"/>
        </w:rPr>
      </w:pPr>
      <w:r>
        <w:rPr>
          <w:rFonts w:hint="eastAsia"/>
        </w:rPr>
        <w:t>Lp（r0）——参考位置r0处的声压级，dB；</w:t>
      </w:r>
    </w:p>
    <w:p w14:paraId="6783381F">
      <w:pPr>
        <w:pStyle w:val="47"/>
        <w:ind w:firstLine="482"/>
        <w:rPr>
          <w:rFonts w:hint="eastAsia"/>
        </w:rPr>
      </w:pPr>
      <w:r>
        <w:rPr>
          <w:rFonts w:hint="eastAsia"/>
        </w:rPr>
        <w:t>DC——指向性校正，它描述点声源的等效连续声压级与产生声功率级Lw的全向点声源在规定方向的声级的偏差程度，dB；</w:t>
      </w:r>
    </w:p>
    <w:p w14:paraId="5396E9B8">
      <w:pPr>
        <w:pStyle w:val="47"/>
        <w:ind w:firstLine="482"/>
        <w:rPr>
          <w:rFonts w:hint="eastAsia"/>
        </w:rPr>
      </w:pPr>
      <w:r>
        <w:rPr>
          <w:rFonts w:hint="eastAsia"/>
        </w:rPr>
        <w:t>Adiv——几何发散引起的衰减，dB；</w:t>
      </w:r>
    </w:p>
    <w:p w14:paraId="56FA5FB6">
      <w:pPr>
        <w:pStyle w:val="47"/>
        <w:ind w:firstLine="482"/>
        <w:rPr>
          <w:rFonts w:hint="eastAsia"/>
        </w:rPr>
      </w:pPr>
      <w:r>
        <w:rPr>
          <w:rFonts w:hint="eastAsia"/>
        </w:rPr>
        <w:t>Aatm——大气吸收引起的衰减，dB；</w:t>
      </w:r>
    </w:p>
    <w:p w14:paraId="55A5CAD8">
      <w:pPr>
        <w:pStyle w:val="47"/>
        <w:ind w:firstLine="482"/>
        <w:rPr>
          <w:rFonts w:hint="eastAsia"/>
        </w:rPr>
      </w:pPr>
      <w:r>
        <w:rPr>
          <w:rFonts w:hint="eastAsia"/>
        </w:rPr>
        <w:t>Agr——地面效应引起的衰减，dB；</w:t>
      </w:r>
    </w:p>
    <w:p w14:paraId="734F31DE">
      <w:pPr>
        <w:pStyle w:val="47"/>
        <w:ind w:firstLine="482"/>
        <w:rPr>
          <w:rFonts w:hint="eastAsia"/>
        </w:rPr>
      </w:pPr>
      <w:r>
        <w:rPr>
          <w:rFonts w:hint="eastAsia"/>
        </w:rPr>
        <w:t>Abar——障碍物屏蔽引起的衰减，dB；</w:t>
      </w:r>
    </w:p>
    <w:p w14:paraId="11B7A7B6">
      <w:pPr>
        <w:pStyle w:val="47"/>
        <w:ind w:firstLine="482"/>
        <w:rPr>
          <w:rFonts w:hint="eastAsia"/>
        </w:rPr>
      </w:pPr>
      <w:r>
        <w:rPr>
          <w:rFonts w:hint="eastAsia"/>
        </w:rPr>
        <w:t>Amisc——其他多方面效应引起的衰减，dB。</w:t>
      </w:r>
    </w:p>
    <w:p w14:paraId="61518287">
      <w:pPr>
        <w:pStyle w:val="47"/>
        <w:ind w:firstLine="482"/>
        <w:rPr>
          <w:rFonts w:hint="eastAsia"/>
        </w:rPr>
      </w:pPr>
      <w:r>
        <w:rPr>
          <w:rFonts w:hint="eastAsia"/>
        </w:rPr>
        <w:t>②室内点声源对场界噪声预测点贡献值预测模式</w:t>
      </w:r>
    </w:p>
    <w:p w14:paraId="298E2344">
      <w:pPr>
        <w:pStyle w:val="47"/>
        <w:ind w:firstLine="482"/>
        <w:rPr>
          <w:rFonts w:hint="eastAsia"/>
        </w:rPr>
      </w:pPr>
      <w:r>
        <w:rPr>
          <w:rFonts w:hint="eastAsia"/>
        </w:rPr>
        <w:t>室内声源首先换算为等效室外声源，再按各类声源模式计算。</w:t>
      </w:r>
    </w:p>
    <w:p w14:paraId="29442631">
      <w:pPr>
        <w:pStyle w:val="47"/>
        <w:ind w:firstLine="482"/>
        <w:rPr>
          <w:rFonts w:hint="eastAsia"/>
        </w:rPr>
      </w:pPr>
      <w:r>
        <w:rPr>
          <w:rFonts w:hint="eastAsia"/>
        </w:rPr>
        <w:t>首先计算出某个室内声源靠近围护结构处的倍频带声压级：</w:t>
      </w:r>
    </w:p>
    <w:p w14:paraId="71065204">
      <w:pPr>
        <w:pStyle w:val="47"/>
        <w:keepNext w:val="0"/>
        <w:keepLines w:val="0"/>
        <w:pageBreakBefore w:val="0"/>
        <w:widowControl w:val="0"/>
        <w:kinsoku/>
        <w:wordWrap/>
        <w:overflowPunct/>
        <w:topLinePunct w:val="0"/>
        <w:autoSpaceDE/>
        <w:autoSpaceDN/>
        <w:bidi w:val="0"/>
        <w:adjustRightInd w:val="0"/>
        <w:snapToGrid w:val="0"/>
        <w:spacing w:line="360" w:lineRule="auto"/>
        <w:ind w:firstLine="482"/>
        <w:textAlignment w:val="auto"/>
        <w:rPr>
          <w:rFonts w:hint="eastAsia"/>
        </w:rPr>
      </w:pPr>
      <w:r>
        <w:rPr>
          <w:rFonts w:hint="default" w:ascii="Times New Roman" w:hAnsi="Times New Roman" w:eastAsia="楷体" w:cs="Times New Roman"/>
          <w:bCs/>
          <w:caps w:val="0"/>
          <w:smallCaps w:val="0"/>
          <w:color w:val="000000" w:themeColor="text1"/>
          <w:spacing w:val="0"/>
          <w:w w:val="100"/>
          <w:position w:val="0"/>
          <w:sz w:val="24"/>
          <w:szCs w:val="24"/>
          <w:highlight w:val="none"/>
          <w:lang w:val="zh-CN" w:eastAsia="zh-CN" w:bidi="zh-CN"/>
          <w14:textFill>
            <w14:solidFill>
              <w14:schemeClr w14:val="tx1"/>
            </w14:solidFill>
          </w14:textFill>
        </w:rPr>
        <w:drawing>
          <wp:inline distT="0" distB="0" distL="114300" distR="114300">
            <wp:extent cx="1905000" cy="504825"/>
            <wp:effectExtent l="0" t="0" r="0" b="9525"/>
            <wp:docPr id="30" name="图片 95" descr="1655175387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95" descr="1655175387476"/>
                    <pic:cNvPicPr>
                      <a:picLocks noChangeAspect="1"/>
                    </pic:cNvPicPr>
                  </pic:nvPicPr>
                  <pic:blipFill>
                    <a:blip r:embed="rId40"/>
                    <a:stretch>
                      <a:fillRect/>
                    </a:stretch>
                  </pic:blipFill>
                  <pic:spPr>
                    <a:xfrm>
                      <a:off x="0" y="0"/>
                      <a:ext cx="1905000" cy="504825"/>
                    </a:xfrm>
                    <a:prstGeom prst="rect">
                      <a:avLst/>
                    </a:prstGeom>
                    <a:noFill/>
                    <a:ln>
                      <a:noFill/>
                    </a:ln>
                  </pic:spPr>
                </pic:pic>
              </a:graphicData>
            </a:graphic>
          </wp:inline>
        </w:drawing>
      </w:r>
    </w:p>
    <w:p w14:paraId="4126F2C3">
      <w:pPr>
        <w:pStyle w:val="47"/>
        <w:ind w:firstLine="482"/>
        <w:rPr>
          <w:rFonts w:hint="eastAsia"/>
        </w:rPr>
      </w:pPr>
      <w:r>
        <w:rPr>
          <w:rFonts w:hint="eastAsia"/>
        </w:rPr>
        <w:t>式中：L</w:t>
      </w:r>
      <w:r>
        <w:rPr>
          <w:rFonts w:hint="eastAsia"/>
          <w:vertAlign w:val="subscript"/>
        </w:rPr>
        <w:t>p1</w:t>
      </w:r>
      <w:r>
        <w:rPr>
          <w:rFonts w:hint="eastAsia"/>
        </w:rPr>
        <w:t>——靠近开口处（或窗户）室内某倍频带的声压级或A 声级，dB；</w:t>
      </w:r>
    </w:p>
    <w:p w14:paraId="643F51CB">
      <w:pPr>
        <w:pStyle w:val="47"/>
        <w:ind w:firstLine="482"/>
        <w:rPr>
          <w:rFonts w:hint="eastAsia"/>
        </w:rPr>
      </w:pPr>
      <w:r>
        <w:rPr>
          <w:rFonts w:hint="eastAsia"/>
        </w:rPr>
        <w:t>L</w:t>
      </w:r>
      <w:r>
        <w:rPr>
          <w:rFonts w:hint="eastAsia"/>
          <w:vertAlign w:val="subscript"/>
        </w:rPr>
        <w:t>w</w:t>
      </w:r>
      <w:r>
        <w:rPr>
          <w:rFonts w:hint="eastAsia"/>
        </w:rPr>
        <w:t xml:space="preserve"> ——点声源声功率级（A 计权或倍频带），dB；</w:t>
      </w:r>
    </w:p>
    <w:p w14:paraId="201AE568">
      <w:pPr>
        <w:pStyle w:val="47"/>
        <w:ind w:firstLine="482"/>
        <w:rPr>
          <w:rFonts w:hint="eastAsia"/>
        </w:rPr>
      </w:pPr>
      <w:r>
        <w:rPr>
          <w:rFonts w:hint="eastAsia"/>
        </w:rPr>
        <w:t>Q——指向性因数；通常对无指向性声源，当声源放在房间中心时，Q=1；当放在一面墙的中心时，Q=2；当放在两面墙夹角处时，Q=4；当放在三面墙夹角处时，Q=8；</w:t>
      </w:r>
    </w:p>
    <w:p w14:paraId="495D6563">
      <w:pPr>
        <w:pStyle w:val="47"/>
        <w:ind w:firstLine="482"/>
        <w:rPr>
          <w:rFonts w:hint="eastAsia"/>
        </w:rPr>
      </w:pPr>
      <w:r>
        <w:rPr>
          <w:rFonts w:hint="eastAsia"/>
        </w:rPr>
        <w:t>R——房间常数；R=Sα/（1-α），S 为房间内表面面积，m2；α为平均吸声系数；</w:t>
      </w:r>
    </w:p>
    <w:p w14:paraId="1ADDF3FD">
      <w:pPr>
        <w:pStyle w:val="47"/>
        <w:ind w:firstLine="482"/>
        <w:rPr>
          <w:rFonts w:hint="eastAsia"/>
        </w:rPr>
      </w:pPr>
      <w:r>
        <w:rPr>
          <w:rFonts w:hint="eastAsia"/>
        </w:rPr>
        <w:t>r——声源到靠近围护结构某点处的距离，m。</w:t>
      </w:r>
    </w:p>
    <w:p w14:paraId="680753F1">
      <w:pPr>
        <w:pStyle w:val="47"/>
        <w:ind w:firstLine="482"/>
        <w:rPr>
          <w:rFonts w:hint="eastAsia"/>
        </w:rPr>
      </w:pPr>
      <w:r>
        <w:rPr>
          <w:rFonts w:hint="eastAsia"/>
        </w:rPr>
        <w:t>计算出所有室内声源的靠近围护结构处产生的总倍频带声压级：</w:t>
      </w:r>
    </w:p>
    <w:p w14:paraId="3B4B0F3A">
      <w:pPr>
        <w:pStyle w:val="47"/>
        <w:keepNext w:val="0"/>
        <w:keepLines w:val="0"/>
        <w:pageBreakBefore w:val="0"/>
        <w:widowControl w:val="0"/>
        <w:kinsoku/>
        <w:wordWrap/>
        <w:overflowPunct/>
        <w:topLinePunct w:val="0"/>
        <w:autoSpaceDE/>
        <w:autoSpaceDN/>
        <w:bidi w:val="0"/>
        <w:adjustRightInd w:val="0"/>
        <w:snapToGrid w:val="0"/>
        <w:spacing w:line="360" w:lineRule="auto"/>
        <w:ind w:firstLine="482"/>
        <w:textAlignment w:val="auto"/>
        <w:rPr>
          <w:rFonts w:hint="eastAsia"/>
        </w:rPr>
      </w:pPr>
      <w:r>
        <w:rPr>
          <w:rFonts w:hint="default" w:ascii="Times New Roman" w:hAnsi="Times New Roman" w:eastAsia="楷体" w:cs="Times New Roman"/>
          <w:bCs/>
          <w:caps w:val="0"/>
          <w:smallCaps w:val="0"/>
          <w:color w:val="000000" w:themeColor="text1"/>
          <w:spacing w:val="0"/>
          <w:w w:val="100"/>
          <w:position w:val="0"/>
          <w:sz w:val="24"/>
          <w:szCs w:val="24"/>
          <w:highlight w:val="none"/>
          <w:lang w:val="zh-CN" w:eastAsia="zh-CN" w:bidi="zh-CN"/>
          <w14:textFill>
            <w14:solidFill>
              <w14:schemeClr w14:val="tx1"/>
            </w14:solidFill>
          </w14:textFill>
        </w:rPr>
        <w:drawing>
          <wp:inline distT="0" distB="0" distL="114300" distR="114300">
            <wp:extent cx="1778000" cy="522605"/>
            <wp:effectExtent l="0" t="0" r="12700" b="10795"/>
            <wp:docPr id="31" name="图片 96" descr="1655176726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96" descr="1655176726311"/>
                    <pic:cNvPicPr>
                      <a:picLocks noChangeAspect="1"/>
                    </pic:cNvPicPr>
                  </pic:nvPicPr>
                  <pic:blipFill>
                    <a:blip r:embed="rId41"/>
                    <a:stretch>
                      <a:fillRect/>
                    </a:stretch>
                  </pic:blipFill>
                  <pic:spPr>
                    <a:xfrm>
                      <a:off x="0" y="0"/>
                      <a:ext cx="1778000" cy="522605"/>
                    </a:xfrm>
                    <a:prstGeom prst="rect">
                      <a:avLst/>
                    </a:prstGeom>
                    <a:noFill/>
                    <a:ln>
                      <a:noFill/>
                    </a:ln>
                  </pic:spPr>
                </pic:pic>
              </a:graphicData>
            </a:graphic>
          </wp:inline>
        </w:drawing>
      </w:r>
    </w:p>
    <w:p w14:paraId="09CC85C0">
      <w:pPr>
        <w:pStyle w:val="47"/>
        <w:ind w:firstLine="482"/>
        <w:rPr>
          <w:rFonts w:hint="eastAsia"/>
        </w:rPr>
      </w:pPr>
      <w:r>
        <w:rPr>
          <w:rFonts w:hint="eastAsia"/>
        </w:rPr>
        <w:t>式中：L</w:t>
      </w:r>
      <w:r>
        <w:rPr>
          <w:rFonts w:hint="eastAsia"/>
          <w:vertAlign w:val="subscript"/>
        </w:rPr>
        <w:t>p1i</w:t>
      </w:r>
      <w:r>
        <w:rPr>
          <w:rFonts w:hint="eastAsia"/>
        </w:rPr>
        <w:t>（T）——靠近围护结构处室内N 个声源i 倍频带的叠加声压级，dB；</w:t>
      </w:r>
    </w:p>
    <w:p w14:paraId="717549E8">
      <w:pPr>
        <w:pStyle w:val="47"/>
        <w:ind w:firstLine="482"/>
        <w:rPr>
          <w:rFonts w:hint="eastAsia"/>
        </w:rPr>
      </w:pPr>
      <w:r>
        <w:rPr>
          <w:rFonts w:hint="eastAsia"/>
        </w:rPr>
        <w:t>L</w:t>
      </w:r>
      <w:r>
        <w:rPr>
          <w:rFonts w:hint="eastAsia"/>
          <w:vertAlign w:val="subscript"/>
        </w:rPr>
        <w:t>p1i</w:t>
      </w:r>
      <w:r>
        <w:rPr>
          <w:rFonts w:hint="eastAsia"/>
        </w:rPr>
        <w:t>j——室内j声源i倍频带的声压级，dB；</w:t>
      </w:r>
    </w:p>
    <w:p w14:paraId="6B6C7A08">
      <w:pPr>
        <w:pStyle w:val="47"/>
        <w:ind w:firstLine="482"/>
        <w:rPr>
          <w:rFonts w:hint="eastAsia"/>
        </w:rPr>
      </w:pPr>
      <w:r>
        <w:rPr>
          <w:rFonts w:hint="eastAsia"/>
        </w:rPr>
        <w:t>N ——室内声源总数。</w:t>
      </w:r>
    </w:p>
    <w:p w14:paraId="4C2B5FDD">
      <w:pPr>
        <w:pStyle w:val="47"/>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eastAsia"/>
        </w:rPr>
      </w:pPr>
      <w:r>
        <w:rPr>
          <w:rFonts w:hint="eastAsia"/>
        </w:rPr>
        <w:t>计算出室外靠近围护结构处的声压级：</w:t>
      </w:r>
    </w:p>
    <w:p w14:paraId="5AFC6FE2">
      <w:pPr>
        <w:pStyle w:val="47"/>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eastAsia"/>
        </w:rPr>
      </w:pPr>
      <w:r>
        <w:rPr>
          <w:rFonts w:hint="default" w:ascii="Times New Roman" w:hAnsi="Times New Roman" w:eastAsia="楷体" w:cs="Times New Roman"/>
          <w:bCs/>
          <w:caps w:val="0"/>
          <w:smallCaps w:val="0"/>
          <w:color w:val="000000" w:themeColor="text1"/>
          <w:spacing w:val="0"/>
          <w:w w:val="100"/>
          <w:kern w:val="0"/>
          <w:position w:val="0"/>
          <w:sz w:val="24"/>
          <w:szCs w:val="24"/>
          <w:highlight w:val="none"/>
          <w:lang w:val="zh-CN" w:eastAsia="zh-CN" w:bidi="zh-CN"/>
          <w14:textFill>
            <w14:solidFill>
              <w14:schemeClr w14:val="tx1"/>
            </w14:solidFill>
          </w14:textFill>
        </w:rPr>
        <w:drawing>
          <wp:inline distT="0" distB="0" distL="114300" distR="114300">
            <wp:extent cx="1882775" cy="250190"/>
            <wp:effectExtent l="0" t="0" r="3175" b="16510"/>
            <wp:docPr id="5" name="图片 14" descr="1655177374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4" descr="1655177374047"/>
                    <pic:cNvPicPr>
                      <a:picLocks noChangeAspect="1"/>
                    </pic:cNvPicPr>
                  </pic:nvPicPr>
                  <pic:blipFill>
                    <a:blip r:embed="rId42"/>
                    <a:stretch>
                      <a:fillRect/>
                    </a:stretch>
                  </pic:blipFill>
                  <pic:spPr>
                    <a:xfrm>
                      <a:off x="0" y="0"/>
                      <a:ext cx="1882775" cy="250190"/>
                    </a:xfrm>
                    <a:prstGeom prst="rect">
                      <a:avLst/>
                    </a:prstGeom>
                    <a:noFill/>
                    <a:ln>
                      <a:noFill/>
                    </a:ln>
                  </pic:spPr>
                </pic:pic>
              </a:graphicData>
            </a:graphic>
          </wp:inline>
        </w:drawing>
      </w:r>
    </w:p>
    <w:p w14:paraId="60A63E9E">
      <w:pPr>
        <w:pStyle w:val="47"/>
        <w:ind w:firstLine="482"/>
        <w:rPr>
          <w:rFonts w:hint="eastAsia"/>
        </w:rPr>
      </w:pPr>
      <w:r>
        <w:rPr>
          <w:rFonts w:hint="eastAsia"/>
        </w:rPr>
        <w:t>式中：L</w:t>
      </w:r>
      <w:r>
        <w:rPr>
          <w:rFonts w:hint="eastAsia"/>
          <w:vertAlign w:val="subscript"/>
        </w:rPr>
        <w:t>p2i</w:t>
      </w:r>
      <w:r>
        <w:rPr>
          <w:rFonts w:hint="eastAsia"/>
        </w:rPr>
        <w:t>（T）——靠近围护结构处室外N 个声源i 倍频带的叠加声压级，dB；</w:t>
      </w:r>
    </w:p>
    <w:p w14:paraId="2561627C">
      <w:pPr>
        <w:pStyle w:val="47"/>
        <w:ind w:firstLine="482"/>
        <w:rPr>
          <w:rFonts w:hint="eastAsia"/>
        </w:rPr>
      </w:pPr>
      <w:r>
        <w:rPr>
          <w:rFonts w:hint="eastAsia"/>
        </w:rPr>
        <w:t>L</w:t>
      </w:r>
      <w:r>
        <w:rPr>
          <w:rFonts w:hint="eastAsia"/>
          <w:vertAlign w:val="subscript"/>
        </w:rPr>
        <w:t>p1i</w:t>
      </w:r>
      <w:r>
        <w:rPr>
          <w:rFonts w:hint="eastAsia"/>
        </w:rPr>
        <w:t>（T）——靠近围护结构处室内N 个声源i 倍频带的叠加声压级，dB；</w:t>
      </w:r>
    </w:p>
    <w:p w14:paraId="298ABDEE">
      <w:pPr>
        <w:pStyle w:val="47"/>
        <w:ind w:firstLine="482"/>
        <w:rPr>
          <w:rFonts w:hint="eastAsia"/>
        </w:rPr>
      </w:pPr>
      <w:r>
        <w:rPr>
          <w:rFonts w:hint="eastAsia"/>
        </w:rPr>
        <w:t>TL</w:t>
      </w:r>
      <w:r>
        <w:rPr>
          <w:rFonts w:hint="eastAsia"/>
          <w:vertAlign w:val="subscript"/>
        </w:rPr>
        <w:t>i</w:t>
      </w:r>
      <w:r>
        <w:rPr>
          <w:rFonts w:hint="eastAsia"/>
        </w:rPr>
        <w:t>——围护结构i 倍频带的隔声量，dB。</w:t>
      </w:r>
    </w:p>
    <w:p w14:paraId="1B80C802">
      <w:pPr>
        <w:pStyle w:val="47"/>
        <w:ind w:firstLine="482"/>
        <w:rPr>
          <w:rFonts w:hint="eastAsia"/>
        </w:rPr>
      </w:pPr>
      <w:r>
        <w:rPr>
          <w:rFonts w:hint="eastAsia"/>
        </w:rPr>
        <w:t>将室外声级和透声面积换算成等效的室外声源，计算出中心位置位于透声面积（S）处的等效声源的倍频带声功率级；</w:t>
      </w:r>
    </w:p>
    <w:p w14:paraId="29EFEED1">
      <w:pPr>
        <w:pStyle w:val="47"/>
        <w:ind w:firstLine="482"/>
        <w:rPr>
          <w:rFonts w:hint="eastAsia"/>
        </w:rPr>
      </w:pPr>
      <w:r>
        <w:rPr>
          <w:rFonts w:hint="eastAsia"/>
        </w:rPr>
        <w:t>Lw=Lp2（T）+10lgS</w:t>
      </w:r>
    </w:p>
    <w:p w14:paraId="072A6AB6">
      <w:pPr>
        <w:pStyle w:val="47"/>
        <w:ind w:firstLine="482"/>
        <w:rPr>
          <w:rFonts w:hint="eastAsia"/>
        </w:rPr>
      </w:pPr>
      <w:r>
        <w:rPr>
          <w:rFonts w:hint="eastAsia"/>
        </w:rPr>
        <w:t>式中：Lw——中心位置位于透声面积（S）处的等效声源的倍频带声功率级，dB；</w:t>
      </w:r>
    </w:p>
    <w:p w14:paraId="041BB2F0">
      <w:pPr>
        <w:pStyle w:val="47"/>
        <w:ind w:firstLine="482"/>
        <w:rPr>
          <w:rFonts w:hint="eastAsia"/>
        </w:rPr>
      </w:pPr>
      <w:r>
        <w:rPr>
          <w:rFonts w:hint="eastAsia"/>
        </w:rPr>
        <w:t>Lp2（T）——靠近围护结构处室外声源的声压级，dB；</w:t>
      </w:r>
    </w:p>
    <w:p w14:paraId="06CE0418">
      <w:pPr>
        <w:pStyle w:val="47"/>
        <w:ind w:firstLine="482"/>
        <w:rPr>
          <w:rFonts w:hint="eastAsia"/>
        </w:rPr>
      </w:pPr>
      <w:r>
        <w:rPr>
          <w:rFonts w:hint="eastAsia"/>
        </w:rPr>
        <w:t>S——透声面积，m</w:t>
      </w:r>
      <w:r>
        <w:rPr>
          <w:rFonts w:hint="eastAsia"/>
          <w:vertAlign w:val="superscript"/>
        </w:rPr>
        <w:t>2</w:t>
      </w:r>
      <w:r>
        <w:rPr>
          <w:rFonts w:hint="eastAsia"/>
        </w:rPr>
        <w:t>。</w:t>
      </w:r>
    </w:p>
    <w:p w14:paraId="5307E5ED">
      <w:pPr>
        <w:pStyle w:val="47"/>
        <w:ind w:firstLine="482"/>
        <w:rPr>
          <w:rFonts w:hint="eastAsia"/>
        </w:rPr>
      </w:pPr>
      <w:r>
        <w:rPr>
          <w:rFonts w:hint="eastAsia"/>
        </w:rPr>
        <w:t>③计算总声压级</w:t>
      </w:r>
    </w:p>
    <w:p w14:paraId="33F74C57">
      <w:pPr>
        <w:pStyle w:val="47"/>
        <w:ind w:firstLine="482"/>
        <w:rPr>
          <w:rFonts w:hint="eastAsia"/>
        </w:rPr>
      </w:pPr>
      <w:r>
        <w:rPr>
          <w:rFonts w:hint="eastAsia"/>
        </w:rPr>
        <w:t>计算各室外噪声源和各含噪声源厂房对各预测点噪声贡献值。</w:t>
      </w:r>
    </w:p>
    <w:p w14:paraId="2F99D434">
      <w:pPr>
        <w:pStyle w:val="47"/>
        <w:ind w:firstLine="482"/>
        <w:rPr>
          <w:rFonts w:hint="eastAsia"/>
        </w:rPr>
      </w:pPr>
      <w:r>
        <w:rPr>
          <w:rFonts w:hint="eastAsia"/>
        </w:rPr>
        <w:t>设第i个室外声源在预测点产生的A声级为LAi，在T时间内该声源工作时间为ti；第j个等效室外声源在预测点产生的A声级为LAj，在T时间内该声源工作时间为tj，则拟建工程声源对预测点产生的贡献值（Leqg）为：</w:t>
      </w:r>
    </w:p>
    <w:p w14:paraId="63FCDAE4">
      <w:pPr>
        <w:pStyle w:val="47"/>
        <w:keepNext w:val="0"/>
        <w:keepLines w:val="0"/>
        <w:pageBreakBefore w:val="0"/>
        <w:widowControl w:val="0"/>
        <w:kinsoku/>
        <w:wordWrap/>
        <w:overflowPunct/>
        <w:topLinePunct w:val="0"/>
        <w:autoSpaceDE/>
        <w:autoSpaceDN/>
        <w:bidi w:val="0"/>
        <w:adjustRightInd w:val="0"/>
        <w:snapToGrid w:val="0"/>
        <w:spacing w:line="360" w:lineRule="auto"/>
        <w:ind w:firstLine="482"/>
        <w:textAlignment w:val="auto"/>
        <w:rPr>
          <w:rFonts w:hint="eastAsia"/>
        </w:rPr>
      </w:pPr>
      <w:r>
        <w:rPr>
          <w:rFonts w:hint="default" w:ascii="Times New Roman" w:hAnsi="Times New Roman" w:eastAsia="楷体" w:cs="Times New Roman"/>
          <w:bCs/>
          <w:caps w:val="0"/>
          <w:smallCaps w:val="0"/>
          <w:color w:val="000000" w:themeColor="text1"/>
          <w:spacing w:val="0"/>
          <w:w w:val="100"/>
          <w:position w:val="0"/>
          <w:sz w:val="24"/>
          <w:szCs w:val="24"/>
          <w:highlight w:val="none"/>
          <w:lang w:val="pt-BR" w:eastAsia="zh-CN" w:bidi="zh-CN"/>
          <w14:textFill>
            <w14:solidFill>
              <w14:schemeClr w14:val="tx1"/>
            </w14:solidFill>
          </w14:textFill>
        </w:rPr>
        <w:drawing>
          <wp:inline distT="0" distB="0" distL="114300" distR="114300">
            <wp:extent cx="2757170" cy="492125"/>
            <wp:effectExtent l="0" t="0" r="5080" b="3175"/>
            <wp:docPr id="32" name="图片 97" descr="1655170930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97" descr="1655170930616"/>
                    <pic:cNvPicPr>
                      <a:picLocks noChangeAspect="1"/>
                    </pic:cNvPicPr>
                  </pic:nvPicPr>
                  <pic:blipFill>
                    <a:blip r:embed="rId43"/>
                    <a:stretch>
                      <a:fillRect/>
                    </a:stretch>
                  </pic:blipFill>
                  <pic:spPr>
                    <a:xfrm>
                      <a:off x="0" y="0"/>
                      <a:ext cx="2757170" cy="492125"/>
                    </a:xfrm>
                    <a:prstGeom prst="rect">
                      <a:avLst/>
                    </a:prstGeom>
                    <a:noFill/>
                    <a:ln>
                      <a:noFill/>
                    </a:ln>
                  </pic:spPr>
                </pic:pic>
              </a:graphicData>
            </a:graphic>
          </wp:inline>
        </w:drawing>
      </w:r>
    </w:p>
    <w:p w14:paraId="105FA5A2">
      <w:pPr>
        <w:pStyle w:val="47"/>
        <w:ind w:firstLine="482"/>
        <w:rPr>
          <w:rFonts w:hint="eastAsia"/>
        </w:rPr>
      </w:pPr>
      <w:r>
        <w:rPr>
          <w:rFonts w:hint="eastAsia"/>
        </w:rPr>
        <w:t>式中：L</w:t>
      </w:r>
      <w:r>
        <w:rPr>
          <w:rFonts w:hint="eastAsia"/>
          <w:vertAlign w:val="subscript"/>
        </w:rPr>
        <w:t>eqg</w:t>
      </w:r>
      <w:r>
        <w:rPr>
          <w:rFonts w:hint="eastAsia"/>
        </w:rPr>
        <w:t>——建设项目声源在预测点产生的噪声贡献值，dB；</w:t>
      </w:r>
    </w:p>
    <w:p w14:paraId="28F573F5">
      <w:pPr>
        <w:pStyle w:val="47"/>
        <w:ind w:firstLine="482"/>
        <w:rPr>
          <w:rFonts w:hint="eastAsia"/>
        </w:rPr>
      </w:pPr>
      <w:r>
        <w:rPr>
          <w:rFonts w:hint="eastAsia"/>
        </w:rPr>
        <w:t>T——用于计算等效声级的时间，s；</w:t>
      </w:r>
    </w:p>
    <w:p w14:paraId="7D1DB50E">
      <w:pPr>
        <w:pStyle w:val="47"/>
        <w:ind w:firstLine="482"/>
        <w:rPr>
          <w:rFonts w:hint="eastAsia"/>
        </w:rPr>
      </w:pPr>
      <w:r>
        <w:rPr>
          <w:rFonts w:hint="eastAsia"/>
        </w:rPr>
        <w:t>N——室外声源个数；</w:t>
      </w:r>
    </w:p>
    <w:p w14:paraId="3B0B5C2C">
      <w:pPr>
        <w:pStyle w:val="47"/>
        <w:ind w:firstLine="482"/>
        <w:rPr>
          <w:rFonts w:hint="eastAsia"/>
        </w:rPr>
      </w:pPr>
      <w:r>
        <w:rPr>
          <w:rFonts w:hint="eastAsia"/>
        </w:rPr>
        <w:t>ti——在T时间内i声源工作时间，s；</w:t>
      </w:r>
    </w:p>
    <w:p w14:paraId="7EDAF402">
      <w:pPr>
        <w:pStyle w:val="47"/>
        <w:ind w:firstLine="482"/>
        <w:rPr>
          <w:rFonts w:hint="eastAsia"/>
        </w:rPr>
      </w:pPr>
      <w:r>
        <w:rPr>
          <w:rFonts w:hint="eastAsia"/>
        </w:rPr>
        <w:t>M——等效室外声源个数；</w:t>
      </w:r>
    </w:p>
    <w:p w14:paraId="1ED519F0">
      <w:pPr>
        <w:pStyle w:val="47"/>
        <w:ind w:firstLine="482"/>
        <w:rPr>
          <w:rFonts w:hint="eastAsia"/>
        </w:rPr>
      </w:pPr>
      <w:r>
        <w:rPr>
          <w:rFonts w:hint="eastAsia"/>
        </w:rPr>
        <w:t>tj——在T时间内j声源工作时间，s。</w:t>
      </w:r>
    </w:p>
    <w:p w14:paraId="5D601E23">
      <w:pPr>
        <w:pStyle w:val="47"/>
        <w:ind w:firstLine="482"/>
        <w:rPr>
          <w:rFonts w:hint="eastAsia"/>
        </w:rPr>
      </w:pPr>
      <w:r>
        <w:rPr>
          <w:rFonts w:hint="eastAsia"/>
        </w:rPr>
        <w:t>④噪声预测点</w:t>
      </w:r>
    </w:p>
    <w:p w14:paraId="24AA9959">
      <w:pPr>
        <w:pStyle w:val="47"/>
        <w:ind w:firstLine="482"/>
        <w:rPr>
          <w:rFonts w:hint="eastAsia"/>
        </w:rPr>
      </w:pPr>
      <w:r>
        <w:rPr>
          <w:rFonts w:hint="eastAsia"/>
        </w:rPr>
        <w:t>噪声预测点以现状监测点为评价点。</w:t>
      </w:r>
    </w:p>
    <w:p w14:paraId="4BDC3DF0">
      <w:pPr>
        <w:pStyle w:val="47"/>
        <w:ind w:firstLine="482"/>
        <w:rPr>
          <w:rFonts w:hint="eastAsia"/>
        </w:rPr>
      </w:pPr>
      <w:r>
        <w:rPr>
          <w:rFonts w:hint="eastAsia"/>
        </w:rPr>
        <w:t>（3）预测结果及其分析</w:t>
      </w:r>
    </w:p>
    <w:p w14:paraId="29252039">
      <w:pPr>
        <w:pStyle w:val="47"/>
        <w:ind w:firstLine="482"/>
      </w:pPr>
      <w:r>
        <w:rPr>
          <w:rFonts w:hint="eastAsia"/>
        </w:rPr>
        <w:t>对厂界噪声预测结果见下表。</w:t>
      </w:r>
    </w:p>
    <w:p w14:paraId="3CEAA7DF">
      <w:pPr>
        <w:pStyle w:val="94"/>
        <w:bidi w:val="0"/>
        <w:ind w:left="0" w:leftChars="0" w:firstLine="0" w:firstLineChars="0"/>
        <w:rPr>
          <w:rFonts w:hint="default"/>
          <w:lang w:val="en-US" w:eastAsia="zh-CN"/>
        </w:rPr>
      </w:pPr>
      <w:r>
        <w:rPr>
          <w:rFonts w:hint="default"/>
          <w:lang w:val="en-US" w:eastAsia="zh-CN"/>
        </w:rPr>
        <w:t>噪声贡献值预测结果一览表  单位：dB（A）</w:t>
      </w:r>
    </w:p>
    <w:tbl>
      <w:tblPr>
        <w:tblStyle w:val="3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0"/>
        <w:gridCol w:w="2073"/>
        <w:gridCol w:w="1191"/>
        <w:gridCol w:w="1274"/>
        <w:gridCol w:w="2383"/>
      </w:tblGrid>
      <w:tr w14:paraId="3F422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1" w:type="pct"/>
            <w:vMerge w:val="restart"/>
            <w:tcBorders>
              <w:right w:val="single" w:color="auto" w:sz="4" w:space="0"/>
            </w:tcBorders>
            <w:noWrap w:val="0"/>
            <w:vAlign w:val="center"/>
          </w:tcPr>
          <w:p w14:paraId="787DE53C">
            <w:pPr>
              <w:pStyle w:val="120"/>
              <w:keepNext w:val="0"/>
              <w:keepLines w:val="0"/>
              <w:pageBreakBefore w:val="0"/>
              <w:widowControl/>
              <w:kinsoku/>
              <w:wordWrap/>
              <w:overflowPunct/>
              <w:topLinePunct w:val="0"/>
              <w:autoSpaceDE/>
              <w:autoSpaceDN/>
              <w:bidi w:val="0"/>
              <w:adjustRightInd w:val="0"/>
              <w:snapToGrid w:val="0"/>
              <w:spacing w:line="300" w:lineRule="exact"/>
              <w:ind w:firstLine="0" w:firstLineChars="0"/>
              <w:jc w:val="center"/>
              <w:textAlignment w:val="auto"/>
              <w:rPr>
                <w:rFonts w:hint="default" w:ascii="Times New Roman" w:hAnsi="Times New Roman" w:eastAsia="楷体" w:cs="Times New Roman"/>
                <w:b w:val="0"/>
                <w:bCs w:val="0"/>
                <w:color w:val="000000" w:themeColor="text1"/>
                <w:sz w:val="24"/>
                <w:szCs w:val="24"/>
                <w:highlight w:val="none"/>
                <w:lang w:val="zh-CN"/>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lang w:val="zh-CN"/>
                <w14:textFill>
                  <w14:solidFill>
                    <w14:schemeClr w14:val="tx1"/>
                  </w14:solidFill>
                </w14:textFill>
              </w:rPr>
              <w:t>预测点</w:t>
            </w:r>
          </w:p>
        </w:tc>
        <w:tc>
          <w:tcPr>
            <w:tcW w:w="1116" w:type="pct"/>
            <w:vMerge w:val="restart"/>
            <w:tcBorders>
              <w:left w:val="single" w:color="auto" w:sz="4" w:space="0"/>
              <w:right w:val="single" w:color="auto" w:sz="4" w:space="0"/>
            </w:tcBorders>
            <w:noWrap w:val="0"/>
            <w:vAlign w:val="center"/>
          </w:tcPr>
          <w:p w14:paraId="7A52A6C6">
            <w:pPr>
              <w:pStyle w:val="120"/>
              <w:keepNext w:val="0"/>
              <w:keepLines w:val="0"/>
              <w:pageBreakBefore w:val="0"/>
              <w:widowControl/>
              <w:kinsoku/>
              <w:wordWrap/>
              <w:overflowPunct/>
              <w:topLinePunct w:val="0"/>
              <w:autoSpaceDE/>
              <w:autoSpaceDN/>
              <w:bidi w:val="0"/>
              <w:adjustRightInd w:val="0"/>
              <w:snapToGrid w:val="0"/>
              <w:spacing w:line="300" w:lineRule="exact"/>
              <w:ind w:firstLine="0" w:firstLineChars="0"/>
              <w:jc w:val="center"/>
              <w:textAlignment w:val="auto"/>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lang w:val="zh-CN"/>
                <w14:textFill>
                  <w14:solidFill>
                    <w14:schemeClr w14:val="tx1"/>
                  </w14:solidFill>
                </w14:textFill>
              </w:rPr>
              <w:t>贡献值</w:t>
            </w:r>
          </w:p>
        </w:tc>
        <w:tc>
          <w:tcPr>
            <w:tcW w:w="1327" w:type="pct"/>
            <w:gridSpan w:val="2"/>
            <w:tcBorders>
              <w:left w:val="single" w:color="auto" w:sz="4" w:space="0"/>
              <w:bottom w:val="single" w:color="auto" w:sz="4" w:space="0"/>
              <w:right w:val="single" w:color="auto" w:sz="4" w:space="0"/>
            </w:tcBorders>
            <w:noWrap w:val="0"/>
            <w:vAlign w:val="center"/>
          </w:tcPr>
          <w:p w14:paraId="25024430">
            <w:pPr>
              <w:pStyle w:val="120"/>
              <w:keepNext w:val="0"/>
              <w:keepLines w:val="0"/>
              <w:pageBreakBefore w:val="0"/>
              <w:widowControl/>
              <w:kinsoku/>
              <w:wordWrap/>
              <w:overflowPunct/>
              <w:topLinePunct w:val="0"/>
              <w:autoSpaceDE/>
              <w:autoSpaceDN/>
              <w:bidi w:val="0"/>
              <w:adjustRightInd w:val="0"/>
              <w:snapToGrid w:val="0"/>
              <w:spacing w:line="300" w:lineRule="exact"/>
              <w:ind w:firstLine="0" w:firstLineChars="0"/>
              <w:jc w:val="center"/>
              <w:textAlignment w:val="auto"/>
              <w:rPr>
                <w:rFonts w:hint="default" w:ascii="Times New Roman" w:hAnsi="Times New Roman" w:eastAsia="楷体" w:cs="Times New Roman"/>
                <w:b w:val="0"/>
                <w:bCs w:val="0"/>
                <w:color w:val="000000" w:themeColor="text1"/>
                <w:sz w:val="24"/>
                <w:szCs w:val="24"/>
                <w:highlight w:val="none"/>
                <w:lang w:val="zh-CN"/>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lang w:val="zh-CN"/>
                <w14:textFill>
                  <w14:solidFill>
                    <w14:schemeClr w14:val="tx1"/>
                  </w14:solidFill>
                </w14:textFill>
              </w:rPr>
              <w:t>评价标准</w:t>
            </w:r>
          </w:p>
        </w:tc>
        <w:tc>
          <w:tcPr>
            <w:tcW w:w="1283" w:type="pct"/>
            <w:vMerge w:val="restart"/>
            <w:tcBorders>
              <w:left w:val="single" w:color="auto" w:sz="4" w:space="0"/>
            </w:tcBorders>
            <w:noWrap w:val="0"/>
            <w:vAlign w:val="center"/>
          </w:tcPr>
          <w:p w14:paraId="750CAE72">
            <w:pPr>
              <w:pStyle w:val="120"/>
              <w:keepNext w:val="0"/>
              <w:keepLines w:val="0"/>
              <w:pageBreakBefore w:val="0"/>
              <w:widowControl/>
              <w:kinsoku/>
              <w:wordWrap/>
              <w:overflowPunct/>
              <w:topLinePunct w:val="0"/>
              <w:autoSpaceDE/>
              <w:autoSpaceDN/>
              <w:bidi w:val="0"/>
              <w:adjustRightInd w:val="0"/>
              <w:snapToGrid w:val="0"/>
              <w:spacing w:line="300" w:lineRule="exact"/>
              <w:ind w:firstLine="0" w:firstLineChars="0"/>
              <w:jc w:val="center"/>
              <w:textAlignment w:val="auto"/>
              <w:rPr>
                <w:rFonts w:hint="default" w:ascii="Times New Roman" w:hAnsi="Times New Roman" w:eastAsia="楷体" w:cs="Times New Roman"/>
                <w:b w:val="0"/>
                <w:bCs w:val="0"/>
                <w:color w:val="000000" w:themeColor="text1"/>
                <w:sz w:val="24"/>
                <w:szCs w:val="24"/>
                <w:highlight w:val="none"/>
                <w:lang w:val="zh-CN"/>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lang w:val="zh-CN"/>
                <w14:textFill>
                  <w14:solidFill>
                    <w14:schemeClr w14:val="tx1"/>
                  </w14:solidFill>
                </w14:textFill>
              </w:rPr>
              <w:t>评价结果</w:t>
            </w:r>
          </w:p>
        </w:tc>
      </w:tr>
      <w:tr w14:paraId="4DD4E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1" w:type="pct"/>
            <w:vMerge w:val="continue"/>
            <w:tcBorders>
              <w:bottom w:val="single" w:color="000000" w:sz="4" w:space="0"/>
              <w:right w:val="single" w:color="auto" w:sz="4" w:space="0"/>
            </w:tcBorders>
            <w:noWrap w:val="0"/>
            <w:vAlign w:val="center"/>
          </w:tcPr>
          <w:p w14:paraId="412CAD69">
            <w:pPr>
              <w:pStyle w:val="120"/>
              <w:keepNext w:val="0"/>
              <w:keepLines w:val="0"/>
              <w:pageBreakBefore w:val="0"/>
              <w:widowControl/>
              <w:kinsoku/>
              <w:wordWrap/>
              <w:overflowPunct/>
              <w:topLinePunct w:val="0"/>
              <w:autoSpaceDE/>
              <w:autoSpaceDN/>
              <w:bidi w:val="0"/>
              <w:adjustRightInd w:val="0"/>
              <w:snapToGrid w:val="0"/>
              <w:spacing w:line="300" w:lineRule="exact"/>
              <w:ind w:firstLine="0" w:firstLineChars="0"/>
              <w:jc w:val="center"/>
              <w:textAlignment w:val="auto"/>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pPr>
          </w:p>
        </w:tc>
        <w:tc>
          <w:tcPr>
            <w:tcW w:w="1116" w:type="pct"/>
            <w:vMerge w:val="continue"/>
            <w:tcBorders>
              <w:left w:val="single" w:color="auto" w:sz="4" w:space="0"/>
              <w:bottom w:val="single" w:color="000000" w:sz="4" w:space="0"/>
              <w:right w:val="single" w:color="auto" w:sz="4" w:space="0"/>
            </w:tcBorders>
            <w:noWrap w:val="0"/>
            <w:vAlign w:val="center"/>
          </w:tcPr>
          <w:p w14:paraId="0D6B6592">
            <w:pPr>
              <w:pStyle w:val="120"/>
              <w:keepNext w:val="0"/>
              <w:keepLines w:val="0"/>
              <w:pageBreakBefore w:val="0"/>
              <w:widowControl/>
              <w:kinsoku/>
              <w:wordWrap/>
              <w:overflowPunct/>
              <w:topLinePunct w:val="0"/>
              <w:autoSpaceDE/>
              <w:autoSpaceDN/>
              <w:bidi w:val="0"/>
              <w:adjustRightInd w:val="0"/>
              <w:snapToGrid w:val="0"/>
              <w:spacing w:line="300" w:lineRule="exact"/>
              <w:ind w:firstLine="0" w:firstLineChars="0"/>
              <w:jc w:val="center"/>
              <w:textAlignment w:val="auto"/>
              <w:rPr>
                <w:rFonts w:hint="default" w:ascii="Times New Roman" w:hAnsi="Times New Roman" w:eastAsia="楷体" w:cs="Times New Roman"/>
                <w:b w:val="0"/>
                <w:bCs w:val="0"/>
                <w:color w:val="000000" w:themeColor="text1"/>
                <w:sz w:val="24"/>
                <w:szCs w:val="24"/>
                <w:highlight w:val="none"/>
                <w14:textFill>
                  <w14:solidFill>
                    <w14:schemeClr w14:val="tx1"/>
                  </w14:solidFill>
                </w14:textFill>
              </w:rPr>
            </w:pPr>
          </w:p>
        </w:tc>
        <w:tc>
          <w:tcPr>
            <w:tcW w:w="641" w:type="pct"/>
            <w:tcBorders>
              <w:top w:val="single" w:color="auto" w:sz="4" w:space="0"/>
              <w:left w:val="single" w:color="auto" w:sz="4" w:space="0"/>
              <w:bottom w:val="single" w:color="000000" w:sz="4" w:space="0"/>
              <w:right w:val="single" w:color="000000" w:sz="4" w:space="0"/>
            </w:tcBorders>
            <w:noWrap w:val="0"/>
            <w:vAlign w:val="center"/>
          </w:tcPr>
          <w:p w14:paraId="1303DCB1">
            <w:pPr>
              <w:pStyle w:val="120"/>
              <w:keepNext w:val="0"/>
              <w:keepLines w:val="0"/>
              <w:pageBreakBefore w:val="0"/>
              <w:widowControl/>
              <w:kinsoku/>
              <w:wordWrap/>
              <w:overflowPunct/>
              <w:topLinePunct w:val="0"/>
              <w:autoSpaceDE/>
              <w:autoSpaceDN/>
              <w:bidi w:val="0"/>
              <w:adjustRightInd w:val="0"/>
              <w:snapToGrid w:val="0"/>
              <w:spacing w:line="300" w:lineRule="exact"/>
              <w:ind w:firstLine="0" w:firstLineChars="0"/>
              <w:jc w:val="center"/>
              <w:textAlignment w:val="auto"/>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t>昼间</w:t>
            </w:r>
          </w:p>
        </w:tc>
        <w:tc>
          <w:tcPr>
            <w:tcW w:w="686" w:type="pct"/>
            <w:tcBorders>
              <w:top w:val="single" w:color="auto" w:sz="4" w:space="0"/>
              <w:left w:val="single" w:color="000000" w:sz="4" w:space="0"/>
              <w:bottom w:val="single" w:color="000000" w:sz="4" w:space="0"/>
              <w:right w:val="single" w:color="auto" w:sz="4" w:space="0"/>
            </w:tcBorders>
            <w:noWrap w:val="0"/>
            <w:vAlign w:val="center"/>
          </w:tcPr>
          <w:p w14:paraId="0A75332E">
            <w:pPr>
              <w:pStyle w:val="120"/>
              <w:keepNext w:val="0"/>
              <w:keepLines w:val="0"/>
              <w:pageBreakBefore w:val="0"/>
              <w:widowControl/>
              <w:kinsoku/>
              <w:wordWrap/>
              <w:overflowPunct/>
              <w:topLinePunct w:val="0"/>
              <w:autoSpaceDE/>
              <w:autoSpaceDN/>
              <w:bidi w:val="0"/>
              <w:adjustRightInd w:val="0"/>
              <w:snapToGrid w:val="0"/>
              <w:spacing w:line="300" w:lineRule="exact"/>
              <w:ind w:firstLine="0" w:firstLineChars="0"/>
              <w:jc w:val="center"/>
              <w:textAlignment w:val="auto"/>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pPr>
            <w:r>
              <w:rPr>
                <w:rFonts w:hint="eastAsia"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t>夜间</w:t>
            </w:r>
          </w:p>
        </w:tc>
        <w:tc>
          <w:tcPr>
            <w:tcW w:w="1283" w:type="pct"/>
            <w:vMerge w:val="continue"/>
            <w:tcBorders>
              <w:left w:val="single" w:color="auto" w:sz="4" w:space="0"/>
              <w:bottom w:val="single" w:color="000000" w:sz="4" w:space="0"/>
            </w:tcBorders>
            <w:noWrap w:val="0"/>
            <w:vAlign w:val="center"/>
          </w:tcPr>
          <w:p w14:paraId="030CB184">
            <w:pPr>
              <w:pStyle w:val="120"/>
              <w:keepNext w:val="0"/>
              <w:keepLines w:val="0"/>
              <w:pageBreakBefore w:val="0"/>
              <w:widowControl/>
              <w:kinsoku/>
              <w:wordWrap/>
              <w:overflowPunct/>
              <w:topLinePunct w:val="0"/>
              <w:autoSpaceDE/>
              <w:autoSpaceDN/>
              <w:bidi w:val="0"/>
              <w:adjustRightInd w:val="0"/>
              <w:snapToGrid w:val="0"/>
              <w:spacing w:line="300" w:lineRule="exact"/>
              <w:ind w:firstLine="0" w:firstLineChars="0"/>
              <w:jc w:val="center"/>
              <w:textAlignment w:val="auto"/>
              <w:rPr>
                <w:rFonts w:hint="default" w:ascii="Times New Roman" w:hAnsi="Times New Roman" w:eastAsia="楷体" w:cs="Times New Roman"/>
                <w:b w:val="0"/>
                <w:bCs w:val="0"/>
                <w:color w:val="000000" w:themeColor="text1"/>
                <w:sz w:val="24"/>
                <w:szCs w:val="24"/>
                <w:highlight w:val="none"/>
                <w:lang w:val="zh-CN"/>
                <w14:textFill>
                  <w14:solidFill>
                    <w14:schemeClr w14:val="tx1"/>
                  </w14:solidFill>
                </w14:textFill>
              </w:rPr>
            </w:pPr>
          </w:p>
        </w:tc>
      </w:tr>
      <w:tr w14:paraId="0D3A0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1" w:type="pct"/>
            <w:tcBorders>
              <w:top w:val="single" w:color="auto" w:sz="4" w:space="0"/>
              <w:bottom w:val="single" w:color="auto" w:sz="4" w:space="0"/>
              <w:right w:val="single" w:color="auto" w:sz="4" w:space="0"/>
            </w:tcBorders>
            <w:noWrap w:val="0"/>
            <w:vAlign w:val="center"/>
          </w:tcPr>
          <w:p w14:paraId="36EC0F8B">
            <w:pPr>
              <w:keepNext w:val="0"/>
              <w:keepLines w:val="0"/>
              <w:pageBreakBefore w:val="0"/>
              <w:widowControl/>
              <w:suppressLineNumbers w:val="0"/>
              <w:kinsoku/>
              <w:wordWrap/>
              <w:overflowPunct/>
              <w:topLinePunct w:val="0"/>
              <w:autoSpaceDE/>
              <w:autoSpaceDN/>
              <w:bidi w:val="0"/>
              <w:adjustRightInd w:val="0"/>
              <w:snapToGrid w:val="0"/>
              <w:spacing w:line="300" w:lineRule="exact"/>
              <w:ind w:firstLine="0" w:firstLineChars="0"/>
              <w:jc w:val="center"/>
              <w:textAlignment w:val="center"/>
              <w:rPr>
                <w:rFonts w:hint="default" w:ascii="Times New Roman" w:hAnsi="Times New Roman" w:eastAsia="楷体" w:cs="Times New Roman"/>
                <w:b w:val="0"/>
                <w:bCs w:val="0"/>
                <w:color w:val="000000" w:themeColor="text1"/>
                <w:sz w:val="24"/>
                <w:szCs w:val="24"/>
                <w:highlight w:val="none"/>
                <w:lang w:val="en-US"/>
                <w14:textFill>
                  <w14:solidFill>
                    <w14:schemeClr w14:val="tx1"/>
                  </w14:solidFill>
                </w14:textFill>
              </w:rPr>
            </w:pPr>
            <w:r>
              <w:rPr>
                <w:rFonts w:hint="default" w:ascii="Times New Roman" w:hAnsi="Times New Roman" w:eastAsia="楷体" w:cs="Times New Roman"/>
                <w:i w:val="0"/>
                <w:iCs w:val="0"/>
                <w:color w:val="000000" w:themeColor="text1"/>
                <w:kern w:val="0"/>
                <w:sz w:val="24"/>
                <w:szCs w:val="24"/>
                <w:highlight w:val="none"/>
                <w:u w:val="none"/>
                <w:lang w:val="en-US" w:eastAsia="zh-CN" w:bidi="ar"/>
                <w14:textFill>
                  <w14:solidFill>
                    <w14:schemeClr w14:val="tx1"/>
                  </w14:solidFill>
                </w14:textFill>
              </w:rPr>
              <w:t>北</w:t>
            </w:r>
            <w:r>
              <w:rPr>
                <w:rFonts w:hint="eastAsia" w:ascii="Times New Roman" w:hAnsi="Times New Roman" w:eastAsia="楷体" w:cs="Times New Roman"/>
                <w:i w:val="0"/>
                <w:iCs w:val="0"/>
                <w:color w:val="000000" w:themeColor="text1"/>
                <w:kern w:val="0"/>
                <w:sz w:val="24"/>
                <w:szCs w:val="24"/>
                <w:highlight w:val="none"/>
                <w:u w:val="none"/>
                <w:lang w:val="en-US" w:eastAsia="zh-CN" w:bidi="ar"/>
                <w14:textFill>
                  <w14:solidFill>
                    <w14:schemeClr w14:val="tx1"/>
                  </w14:solidFill>
                </w14:textFill>
              </w:rPr>
              <w:t>厂界</w:t>
            </w:r>
          </w:p>
        </w:tc>
        <w:tc>
          <w:tcPr>
            <w:tcW w:w="2073" w:type="dxa"/>
            <w:tcBorders>
              <w:top w:val="single" w:color="auto" w:sz="4" w:space="0"/>
              <w:left w:val="single" w:color="auto" w:sz="4" w:space="0"/>
              <w:bottom w:val="single" w:color="auto" w:sz="4" w:space="0"/>
              <w:right w:val="single" w:color="auto" w:sz="4" w:space="0"/>
            </w:tcBorders>
            <w:noWrap w:val="0"/>
            <w:vAlign w:val="center"/>
          </w:tcPr>
          <w:p w14:paraId="5168CCA3">
            <w:pPr>
              <w:pStyle w:val="55"/>
              <w:bidi w:val="0"/>
              <w:rPr>
                <w:rFonts w:hint="default"/>
                <w:sz w:val="24"/>
                <w:szCs w:val="24"/>
                <w:lang w:val="en-US" w:eastAsia="zh-CN"/>
              </w:rPr>
            </w:pPr>
            <w:r>
              <w:rPr>
                <w:rFonts w:hint="eastAsia"/>
                <w:sz w:val="24"/>
                <w:szCs w:val="24"/>
                <w:lang w:val="en-US" w:eastAsia="zh-CN"/>
              </w:rPr>
              <w:t>35</w:t>
            </w:r>
          </w:p>
        </w:tc>
        <w:tc>
          <w:tcPr>
            <w:tcW w:w="641" w:type="pct"/>
            <w:tcBorders>
              <w:top w:val="single" w:color="auto" w:sz="4" w:space="0"/>
              <w:left w:val="single" w:color="auto" w:sz="4" w:space="0"/>
              <w:bottom w:val="single" w:color="auto" w:sz="4" w:space="0"/>
              <w:right w:val="single" w:color="000000" w:sz="4" w:space="0"/>
            </w:tcBorders>
            <w:noWrap w:val="0"/>
            <w:vAlign w:val="center"/>
          </w:tcPr>
          <w:p w14:paraId="11E047F0">
            <w:pPr>
              <w:pStyle w:val="120"/>
              <w:keepNext w:val="0"/>
              <w:keepLines w:val="0"/>
              <w:pageBreakBefore w:val="0"/>
              <w:widowControl/>
              <w:kinsoku/>
              <w:wordWrap/>
              <w:overflowPunct/>
              <w:topLinePunct w:val="0"/>
              <w:autoSpaceDE/>
              <w:autoSpaceDN/>
              <w:bidi w:val="0"/>
              <w:adjustRightInd w:val="0"/>
              <w:snapToGrid w:val="0"/>
              <w:spacing w:line="300" w:lineRule="exact"/>
              <w:ind w:firstLine="0" w:firstLineChars="0"/>
              <w:jc w:val="center"/>
              <w:textAlignment w:val="auto"/>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t>6</w:t>
            </w:r>
            <w:r>
              <w:rPr>
                <w:rFonts w:hint="eastAsia"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t>0</w:t>
            </w:r>
          </w:p>
        </w:tc>
        <w:tc>
          <w:tcPr>
            <w:tcW w:w="686" w:type="pct"/>
            <w:tcBorders>
              <w:top w:val="single" w:color="auto" w:sz="4" w:space="0"/>
              <w:left w:val="single" w:color="000000" w:sz="4" w:space="0"/>
              <w:bottom w:val="single" w:color="auto" w:sz="4" w:space="0"/>
              <w:right w:val="single" w:color="auto" w:sz="4" w:space="0"/>
            </w:tcBorders>
            <w:noWrap w:val="0"/>
            <w:vAlign w:val="center"/>
          </w:tcPr>
          <w:p w14:paraId="764D623C">
            <w:pPr>
              <w:pStyle w:val="120"/>
              <w:keepNext w:val="0"/>
              <w:keepLines w:val="0"/>
              <w:pageBreakBefore w:val="0"/>
              <w:widowControl/>
              <w:kinsoku/>
              <w:wordWrap/>
              <w:overflowPunct/>
              <w:topLinePunct w:val="0"/>
              <w:autoSpaceDE/>
              <w:autoSpaceDN/>
              <w:bidi w:val="0"/>
              <w:adjustRightInd w:val="0"/>
              <w:snapToGrid w:val="0"/>
              <w:spacing w:line="300" w:lineRule="exact"/>
              <w:ind w:firstLine="0" w:firstLineChars="0"/>
              <w:jc w:val="center"/>
              <w:textAlignment w:val="auto"/>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pPr>
            <w:r>
              <w:rPr>
                <w:rFonts w:hint="eastAsia"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t>50</w:t>
            </w:r>
          </w:p>
        </w:tc>
        <w:tc>
          <w:tcPr>
            <w:tcW w:w="1283" w:type="pct"/>
            <w:tcBorders>
              <w:top w:val="single" w:color="auto" w:sz="4" w:space="0"/>
              <w:left w:val="single" w:color="auto" w:sz="4" w:space="0"/>
              <w:bottom w:val="single" w:color="auto" w:sz="4" w:space="0"/>
            </w:tcBorders>
            <w:noWrap w:val="0"/>
            <w:vAlign w:val="center"/>
          </w:tcPr>
          <w:p w14:paraId="14E51530">
            <w:pPr>
              <w:pStyle w:val="120"/>
              <w:keepNext w:val="0"/>
              <w:keepLines w:val="0"/>
              <w:pageBreakBefore w:val="0"/>
              <w:widowControl/>
              <w:kinsoku/>
              <w:wordWrap/>
              <w:overflowPunct/>
              <w:topLinePunct w:val="0"/>
              <w:autoSpaceDE/>
              <w:autoSpaceDN/>
              <w:bidi w:val="0"/>
              <w:adjustRightInd w:val="0"/>
              <w:snapToGrid w:val="0"/>
              <w:spacing w:line="300" w:lineRule="exact"/>
              <w:ind w:firstLine="0" w:firstLineChars="0"/>
              <w:jc w:val="center"/>
              <w:textAlignment w:val="auto"/>
              <w:rPr>
                <w:rFonts w:hint="default" w:ascii="Times New Roman" w:hAnsi="Times New Roman" w:eastAsia="楷体" w:cs="Times New Roman"/>
                <w:b w:val="0"/>
                <w:bCs w:val="0"/>
                <w:color w:val="000000" w:themeColor="text1"/>
                <w:sz w:val="24"/>
                <w:szCs w:val="24"/>
                <w:highlight w:val="none"/>
                <w:lang w:val="zh-CN"/>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lang w:val="zh-CN"/>
                <w14:textFill>
                  <w14:solidFill>
                    <w14:schemeClr w14:val="tx1"/>
                  </w14:solidFill>
                </w14:textFill>
              </w:rPr>
              <w:t>达标</w:t>
            </w:r>
          </w:p>
        </w:tc>
      </w:tr>
      <w:tr w14:paraId="7F2F2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1" w:type="pct"/>
            <w:tcBorders>
              <w:top w:val="single" w:color="auto" w:sz="4" w:space="0"/>
              <w:bottom w:val="single" w:color="auto" w:sz="4" w:space="0"/>
              <w:right w:val="single" w:color="auto" w:sz="4" w:space="0"/>
            </w:tcBorders>
            <w:noWrap w:val="0"/>
            <w:vAlign w:val="center"/>
          </w:tcPr>
          <w:p w14:paraId="3B7C9F50">
            <w:pPr>
              <w:keepNext w:val="0"/>
              <w:keepLines w:val="0"/>
              <w:pageBreakBefore w:val="0"/>
              <w:widowControl/>
              <w:suppressLineNumbers w:val="0"/>
              <w:kinsoku/>
              <w:wordWrap/>
              <w:overflowPunct/>
              <w:topLinePunct w:val="0"/>
              <w:autoSpaceDE/>
              <w:autoSpaceDN/>
              <w:bidi w:val="0"/>
              <w:adjustRightInd w:val="0"/>
              <w:snapToGrid w:val="0"/>
              <w:spacing w:line="300" w:lineRule="exact"/>
              <w:ind w:firstLine="0" w:firstLineChars="0"/>
              <w:jc w:val="center"/>
              <w:textAlignment w:val="center"/>
              <w:rPr>
                <w:rFonts w:hint="default" w:ascii="Times New Roman" w:hAnsi="Times New Roman" w:eastAsia="楷体" w:cs="Times New Roman"/>
                <w:b w:val="0"/>
                <w:bCs w:val="0"/>
                <w:color w:val="000000" w:themeColor="text1"/>
                <w:sz w:val="24"/>
                <w:szCs w:val="24"/>
                <w:highlight w:val="none"/>
                <w:lang w:val="zh-CN"/>
                <w14:textFill>
                  <w14:solidFill>
                    <w14:schemeClr w14:val="tx1"/>
                  </w14:solidFill>
                </w14:textFill>
              </w:rPr>
            </w:pPr>
            <w:r>
              <w:rPr>
                <w:rFonts w:hint="default" w:ascii="Times New Roman" w:hAnsi="Times New Roman" w:eastAsia="楷体" w:cs="Times New Roman"/>
                <w:i w:val="0"/>
                <w:iCs w:val="0"/>
                <w:color w:val="000000" w:themeColor="text1"/>
                <w:kern w:val="0"/>
                <w:sz w:val="24"/>
                <w:szCs w:val="24"/>
                <w:highlight w:val="none"/>
                <w:u w:val="none"/>
                <w:lang w:val="en-US" w:eastAsia="zh-CN" w:bidi="ar"/>
                <w14:textFill>
                  <w14:solidFill>
                    <w14:schemeClr w14:val="tx1"/>
                  </w14:solidFill>
                </w14:textFill>
              </w:rPr>
              <w:t>东</w:t>
            </w:r>
            <w:r>
              <w:rPr>
                <w:rFonts w:hint="eastAsia" w:ascii="Times New Roman" w:hAnsi="Times New Roman" w:eastAsia="楷体" w:cs="Times New Roman"/>
                <w:i w:val="0"/>
                <w:iCs w:val="0"/>
                <w:color w:val="000000" w:themeColor="text1"/>
                <w:kern w:val="0"/>
                <w:sz w:val="24"/>
                <w:szCs w:val="24"/>
                <w:highlight w:val="none"/>
                <w:u w:val="none"/>
                <w:lang w:val="en-US" w:eastAsia="zh-CN" w:bidi="ar"/>
                <w14:textFill>
                  <w14:solidFill>
                    <w14:schemeClr w14:val="tx1"/>
                  </w14:solidFill>
                </w14:textFill>
              </w:rPr>
              <w:t>厂界</w:t>
            </w:r>
          </w:p>
        </w:tc>
        <w:tc>
          <w:tcPr>
            <w:tcW w:w="2073" w:type="dxa"/>
            <w:tcBorders>
              <w:top w:val="single" w:color="auto" w:sz="4" w:space="0"/>
              <w:left w:val="single" w:color="auto" w:sz="4" w:space="0"/>
              <w:bottom w:val="single" w:color="auto" w:sz="4" w:space="0"/>
              <w:right w:val="single" w:color="auto" w:sz="4" w:space="0"/>
            </w:tcBorders>
            <w:noWrap w:val="0"/>
            <w:vAlign w:val="center"/>
          </w:tcPr>
          <w:p w14:paraId="794C1CFA">
            <w:pPr>
              <w:pStyle w:val="55"/>
              <w:bidi w:val="0"/>
              <w:rPr>
                <w:rFonts w:hint="default"/>
                <w:sz w:val="24"/>
                <w:szCs w:val="24"/>
                <w:lang w:val="en-US" w:eastAsia="zh-CN"/>
              </w:rPr>
            </w:pPr>
            <w:r>
              <w:rPr>
                <w:rFonts w:hint="eastAsia"/>
                <w:sz w:val="24"/>
                <w:szCs w:val="24"/>
                <w:lang w:val="en-US" w:eastAsia="zh-CN"/>
              </w:rPr>
              <w:t>46</w:t>
            </w:r>
          </w:p>
        </w:tc>
        <w:tc>
          <w:tcPr>
            <w:tcW w:w="1191" w:type="dxa"/>
            <w:tcBorders>
              <w:top w:val="single" w:color="auto" w:sz="4" w:space="0"/>
              <w:left w:val="single" w:color="auto" w:sz="4" w:space="0"/>
              <w:bottom w:val="single" w:color="auto" w:sz="4" w:space="0"/>
              <w:right w:val="single" w:color="000000" w:sz="4" w:space="0"/>
            </w:tcBorders>
            <w:noWrap w:val="0"/>
            <w:vAlign w:val="center"/>
          </w:tcPr>
          <w:p w14:paraId="3268F8CD">
            <w:pPr>
              <w:pStyle w:val="120"/>
              <w:keepNext w:val="0"/>
              <w:keepLines w:val="0"/>
              <w:pageBreakBefore w:val="0"/>
              <w:widowControl/>
              <w:kinsoku/>
              <w:wordWrap/>
              <w:overflowPunct/>
              <w:topLinePunct w:val="0"/>
              <w:autoSpaceDE/>
              <w:autoSpaceDN/>
              <w:bidi w:val="0"/>
              <w:adjustRightInd w:val="0"/>
              <w:snapToGrid w:val="0"/>
              <w:spacing w:line="300" w:lineRule="exact"/>
              <w:ind w:firstLine="0" w:firstLineChars="0"/>
              <w:jc w:val="center"/>
              <w:textAlignment w:val="auto"/>
              <w:rPr>
                <w:rFonts w:hint="default" w:ascii="Times New Roman" w:hAnsi="Times New Roman" w:eastAsia="楷体" w:cs="Times New Roman"/>
                <w:b w:val="0"/>
                <w:bCs w:val="0"/>
                <w:color w:val="000000" w:themeColor="text1"/>
                <w:sz w:val="24"/>
                <w:szCs w:val="24"/>
                <w:highlight w:val="none"/>
                <w:lang w:val="en-US"/>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t>6</w:t>
            </w:r>
            <w:r>
              <w:rPr>
                <w:rFonts w:hint="eastAsia"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t>0</w:t>
            </w:r>
          </w:p>
        </w:tc>
        <w:tc>
          <w:tcPr>
            <w:tcW w:w="1274" w:type="dxa"/>
            <w:tcBorders>
              <w:top w:val="single" w:color="auto" w:sz="4" w:space="0"/>
              <w:left w:val="single" w:color="000000" w:sz="4" w:space="0"/>
              <w:bottom w:val="single" w:color="auto" w:sz="4" w:space="0"/>
              <w:right w:val="single" w:color="auto" w:sz="4" w:space="0"/>
            </w:tcBorders>
            <w:noWrap w:val="0"/>
            <w:vAlign w:val="center"/>
          </w:tcPr>
          <w:p w14:paraId="7511C289">
            <w:pPr>
              <w:pStyle w:val="120"/>
              <w:keepNext w:val="0"/>
              <w:keepLines w:val="0"/>
              <w:pageBreakBefore w:val="0"/>
              <w:widowControl/>
              <w:kinsoku/>
              <w:wordWrap/>
              <w:overflowPunct/>
              <w:topLinePunct w:val="0"/>
              <w:autoSpaceDE/>
              <w:autoSpaceDN/>
              <w:bidi w:val="0"/>
              <w:adjustRightInd w:val="0"/>
              <w:snapToGrid w:val="0"/>
              <w:spacing w:line="300" w:lineRule="exact"/>
              <w:ind w:firstLine="0" w:firstLineChars="0"/>
              <w:jc w:val="center"/>
              <w:textAlignment w:val="auto"/>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pPr>
            <w:r>
              <w:rPr>
                <w:rFonts w:hint="eastAsia"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t>50</w:t>
            </w:r>
          </w:p>
        </w:tc>
        <w:tc>
          <w:tcPr>
            <w:tcW w:w="1283" w:type="pct"/>
            <w:tcBorders>
              <w:top w:val="single" w:color="auto" w:sz="4" w:space="0"/>
              <w:left w:val="single" w:color="auto" w:sz="4" w:space="0"/>
              <w:bottom w:val="single" w:color="auto" w:sz="4" w:space="0"/>
            </w:tcBorders>
            <w:noWrap w:val="0"/>
            <w:vAlign w:val="center"/>
          </w:tcPr>
          <w:p w14:paraId="07904A6A">
            <w:pPr>
              <w:pStyle w:val="120"/>
              <w:keepNext w:val="0"/>
              <w:keepLines w:val="0"/>
              <w:pageBreakBefore w:val="0"/>
              <w:widowControl/>
              <w:kinsoku/>
              <w:wordWrap/>
              <w:overflowPunct/>
              <w:topLinePunct w:val="0"/>
              <w:autoSpaceDE/>
              <w:autoSpaceDN/>
              <w:bidi w:val="0"/>
              <w:adjustRightInd w:val="0"/>
              <w:snapToGrid w:val="0"/>
              <w:spacing w:line="300" w:lineRule="exact"/>
              <w:ind w:firstLine="0" w:firstLineChars="0"/>
              <w:jc w:val="center"/>
              <w:textAlignment w:val="auto"/>
              <w:rPr>
                <w:rFonts w:hint="default" w:ascii="Times New Roman" w:hAnsi="Times New Roman" w:eastAsia="楷体" w:cs="Times New Roman"/>
                <w:b w:val="0"/>
                <w:bCs w:val="0"/>
                <w:color w:val="000000" w:themeColor="text1"/>
                <w:sz w:val="24"/>
                <w:szCs w:val="24"/>
                <w:highlight w:val="none"/>
                <w:lang w:val="zh-CN"/>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lang w:val="zh-CN"/>
                <w14:textFill>
                  <w14:solidFill>
                    <w14:schemeClr w14:val="tx1"/>
                  </w14:solidFill>
                </w14:textFill>
              </w:rPr>
              <w:t>达标</w:t>
            </w:r>
          </w:p>
        </w:tc>
      </w:tr>
      <w:tr w14:paraId="439A2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1" w:type="pct"/>
            <w:tcBorders>
              <w:top w:val="single" w:color="auto" w:sz="4" w:space="0"/>
              <w:bottom w:val="single" w:color="auto" w:sz="4" w:space="0"/>
              <w:right w:val="single" w:color="auto" w:sz="4" w:space="0"/>
            </w:tcBorders>
            <w:noWrap w:val="0"/>
            <w:vAlign w:val="center"/>
          </w:tcPr>
          <w:p w14:paraId="68F25E3D">
            <w:pPr>
              <w:keepNext w:val="0"/>
              <w:keepLines w:val="0"/>
              <w:pageBreakBefore w:val="0"/>
              <w:widowControl/>
              <w:suppressLineNumbers w:val="0"/>
              <w:kinsoku/>
              <w:wordWrap/>
              <w:overflowPunct/>
              <w:topLinePunct w:val="0"/>
              <w:autoSpaceDE/>
              <w:autoSpaceDN/>
              <w:bidi w:val="0"/>
              <w:adjustRightInd w:val="0"/>
              <w:snapToGrid w:val="0"/>
              <w:spacing w:line="300" w:lineRule="exact"/>
              <w:ind w:firstLine="0" w:firstLineChars="0"/>
              <w:jc w:val="center"/>
              <w:textAlignment w:val="center"/>
              <w:rPr>
                <w:rFonts w:hint="default" w:ascii="Times New Roman" w:hAnsi="Times New Roman" w:eastAsia="楷体" w:cs="Times New Roman"/>
                <w:b w:val="0"/>
                <w:bCs w:val="0"/>
                <w:color w:val="000000" w:themeColor="text1"/>
                <w:sz w:val="24"/>
                <w:szCs w:val="24"/>
                <w:highlight w:val="none"/>
                <w:lang w:val="zh-CN"/>
                <w14:textFill>
                  <w14:solidFill>
                    <w14:schemeClr w14:val="tx1"/>
                  </w14:solidFill>
                </w14:textFill>
              </w:rPr>
            </w:pPr>
            <w:r>
              <w:rPr>
                <w:rFonts w:hint="default" w:ascii="Times New Roman" w:hAnsi="Times New Roman" w:eastAsia="楷体" w:cs="Times New Roman"/>
                <w:i w:val="0"/>
                <w:iCs w:val="0"/>
                <w:color w:val="000000" w:themeColor="text1"/>
                <w:kern w:val="0"/>
                <w:sz w:val="24"/>
                <w:szCs w:val="24"/>
                <w:highlight w:val="none"/>
                <w:u w:val="none"/>
                <w:lang w:val="en-US" w:eastAsia="zh-CN" w:bidi="ar"/>
                <w14:textFill>
                  <w14:solidFill>
                    <w14:schemeClr w14:val="tx1"/>
                  </w14:solidFill>
                </w14:textFill>
              </w:rPr>
              <w:t>南</w:t>
            </w:r>
            <w:r>
              <w:rPr>
                <w:rFonts w:hint="eastAsia" w:ascii="Times New Roman" w:hAnsi="Times New Roman" w:eastAsia="楷体" w:cs="Times New Roman"/>
                <w:i w:val="0"/>
                <w:iCs w:val="0"/>
                <w:color w:val="000000" w:themeColor="text1"/>
                <w:kern w:val="0"/>
                <w:sz w:val="24"/>
                <w:szCs w:val="24"/>
                <w:highlight w:val="none"/>
                <w:u w:val="none"/>
                <w:lang w:val="en-US" w:eastAsia="zh-CN" w:bidi="ar"/>
                <w14:textFill>
                  <w14:solidFill>
                    <w14:schemeClr w14:val="tx1"/>
                  </w14:solidFill>
                </w14:textFill>
              </w:rPr>
              <w:t>厂界</w:t>
            </w:r>
          </w:p>
        </w:tc>
        <w:tc>
          <w:tcPr>
            <w:tcW w:w="2073" w:type="dxa"/>
            <w:tcBorders>
              <w:top w:val="single" w:color="auto" w:sz="4" w:space="0"/>
              <w:left w:val="single" w:color="auto" w:sz="4" w:space="0"/>
              <w:bottom w:val="single" w:color="auto" w:sz="4" w:space="0"/>
              <w:right w:val="single" w:color="auto" w:sz="4" w:space="0"/>
            </w:tcBorders>
            <w:noWrap w:val="0"/>
            <w:vAlign w:val="center"/>
          </w:tcPr>
          <w:p w14:paraId="1C968418">
            <w:pPr>
              <w:pStyle w:val="55"/>
              <w:bidi w:val="0"/>
              <w:rPr>
                <w:rFonts w:hint="default"/>
                <w:sz w:val="24"/>
                <w:szCs w:val="24"/>
                <w:lang w:val="en-US" w:eastAsia="zh-CN"/>
              </w:rPr>
            </w:pPr>
            <w:r>
              <w:rPr>
                <w:rFonts w:hint="eastAsia"/>
                <w:sz w:val="24"/>
                <w:szCs w:val="24"/>
                <w:lang w:val="en-US" w:eastAsia="zh-CN"/>
              </w:rPr>
              <w:t>40</w:t>
            </w:r>
          </w:p>
        </w:tc>
        <w:tc>
          <w:tcPr>
            <w:tcW w:w="1191" w:type="dxa"/>
            <w:tcBorders>
              <w:top w:val="single" w:color="auto" w:sz="4" w:space="0"/>
              <w:left w:val="single" w:color="auto" w:sz="4" w:space="0"/>
              <w:bottom w:val="single" w:color="auto" w:sz="4" w:space="0"/>
              <w:right w:val="single" w:color="000000" w:sz="4" w:space="0"/>
            </w:tcBorders>
            <w:noWrap w:val="0"/>
            <w:vAlign w:val="center"/>
          </w:tcPr>
          <w:p w14:paraId="22234104">
            <w:pPr>
              <w:pStyle w:val="120"/>
              <w:keepNext w:val="0"/>
              <w:keepLines w:val="0"/>
              <w:pageBreakBefore w:val="0"/>
              <w:widowControl/>
              <w:kinsoku/>
              <w:wordWrap/>
              <w:overflowPunct/>
              <w:topLinePunct w:val="0"/>
              <w:autoSpaceDE/>
              <w:autoSpaceDN/>
              <w:bidi w:val="0"/>
              <w:adjustRightInd w:val="0"/>
              <w:snapToGrid w:val="0"/>
              <w:spacing w:line="300" w:lineRule="exact"/>
              <w:ind w:firstLine="0" w:firstLineChars="0"/>
              <w:jc w:val="center"/>
              <w:textAlignment w:val="auto"/>
              <w:rPr>
                <w:rFonts w:hint="default" w:ascii="Times New Roman" w:hAnsi="Times New Roman" w:eastAsia="楷体" w:cs="Times New Roman"/>
                <w:b w:val="0"/>
                <w:bCs w:val="0"/>
                <w:color w:val="000000" w:themeColor="text1"/>
                <w:sz w:val="24"/>
                <w:szCs w:val="24"/>
                <w:highlight w:val="none"/>
                <w:lang w:val="en-US"/>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t>6</w:t>
            </w:r>
            <w:r>
              <w:rPr>
                <w:rFonts w:hint="eastAsia"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t>0</w:t>
            </w:r>
          </w:p>
        </w:tc>
        <w:tc>
          <w:tcPr>
            <w:tcW w:w="1274" w:type="dxa"/>
            <w:tcBorders>
              <w:top w:val="single" w:color="auto" w:sz="4" w:space="0"/>
              <w:left w:val="single" w:color="000000" w:sz="4" w:space="0"/>
              <w:bottom w:val="single" w:color="auto" w:sz="4" w:space="0"/>
              <w:right w:val="single" w:color="auto" w:sz="4" w:space="0"/>
            </w:tcBorders>
            <w:noWrap w:val="0"/>
            <w:vAlign w:val="center"/>
          </w:tcPr>
          <w:p w14:paraId="6C949D7C">
            <w:pPr>
              <w:pStyle w:val="120"/>
              <w:keepNext w:val="0"/>
              <w:keepLines w:val="0"/>
              <w:pageBreakBefore w:val="0"/>
              <w:widowControl/>
              <w:kinsoku/>
              <w:wordWrap/>
              <w:overflowPunct/>
              <w:topLinePunct w:val="0"/>
              <w:autoSpaceDE/>
              <w:autoSpaceDN/>
              <w:bidi w:val="0"/>
              <w:adjustRightInd w:val="0"/>
              <w:snapToGrid w:val="0"/>
              <w:spacing w:line="300" w:lineRule="exact"/>
              <w:ind w:firstLine="0" w:firstLineChars="0"/>
              <w:jc w:val="center"/>
              <w:textAlignment w:val="auto"/>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pPr>
            <w:r>
              <w:rPr>
                <w:rFonts w:hint="eastAsia"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t>50</w:t>
            </w:r>
          </w:p>
        </w:tc>
        <w:tc>
          <w:tcPr>
            <w:tcW w:w="1283" w:type="pct"/>
            <w:tcBorders>
              <w:top w:val="single" w:color="auto" w:sz="4" w:space="0"/>
              <w:left w:val="single" w:color="auto" w:sz="4" w:space="0"/>
              <w:bottom w:val="single" w:color="auto" w:sz="4" w:space="0"/>
            </w:tcBorders>
            <w:noWrap w:val="0"/>
            <w:vAlign w:val="center"/>
          </w:tcPr>
          <w:p w14:paraId="2957C09B">
            <w:pPr>
              <w:pStyle w:val="120"/>
              <w:keepNext w:val="0"/>
              <w:keepLines w:val="0"/>
              <w:pageBreakBefore w:val="0"/>
              <w:widowControl/>
              <w:kinsoku/>
              <w:wordWrap/>
              <w:overflowPunct/>
              <w:topLinePunct w:val="0"/>
              <w:autoSpaceDE/>
              <w:autoSpaceDN/>
              <w:bidi w:val="0"/>
              <w:adjustRightInd w:val="0"/>
              <w:snapToGrid w:val="0"/>
              <w:spacing w:line="300" w:lineRule="exact"/>
              <w:ind w:firstLine="0" w:firstLineChars="0"/>
              <w:jc w:val="center"/>
              <w:textAlignment w:val="auto"/>
              <w:rPr>
                <w:rFonts w:hint="default" w:ascii="Times New Roman" w:hAnsi="Times New Roman" w:eastAsia="楷体" w:cs="Times New Roman"/>
                <w:b w:val="0"/>
                <w:bCs w:val="0"/>
                <w:color w:val="000000" w:themeColor="text1"/>
                <w:sz w:val="24"/>
                <w:szCs w:val="24"/>
                <w:highlight w:val="none"/>
                <w:lang w:val="zh-CN"/>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lang w:val="zh-CN"/>
                <w14:textFill>
                  <w14:solidFill>
                    <w14:schemeClr w14:val="tx1"/>
                  </w14:solidFill>
                </w14:textFill>
              </w:rPr>
              <w:t>达标</w:t>
            </w:r>
          </w:p>
        </w:tc>
      </w:tr>
      <w:tr w14:paraId="5D774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1" w:type="pct"/>
            <w:tcBorders>
              <w:top w:val="single" w:color="auto" w:sz="4" w:space="0"/>
              <w:bottom w:val="single" w:color="auto" w:sz="4" w:space="0"/>
              <w:right w:val="single" w:color="auto" w:sz="4" w:space="0"/>
            </w:tcBorders>
            <w:noWrap w:val="0"/>
            <w:vAlign w:val="center"/>
          </w:tcPr>
          <w:p w14:paraId="75D4BD24">
            <w:pPr>
              <w:keepNext w:val="0"/>
              <w:keepLines w:val="0"/>
              <w:pageBreakBefore w:val="0"/>
              <w:widowControl/>
              <w:suppressLineNumbers w:val="0"/>
              <w:kinsoku/>
              <w:wordWrap/>
              <w:overflowPunct/>
              <w:topLinePunct w:val="0"/>
              <w:autoSpaceDE/>
              <w:autoSpaceDN/>
              <w:bidi w:val="0"/>
              <w:adjustRightInd w:val="0"/>
              <w:snapToGrid w:val="0"/>
              <w:spacing w:line="300" w:lineRule="exact"/>
              <w:ind w:firstLine="0" w:firstLineChars="0"/>
              <w:jc w:val="center"/>
              <w:textAlignment w:val="center"/>
              <w:rPr>
                <w:rFonts w:hint="default" w:ascii="Times New Roman" w:hAnsi="Times New Roman" w:eastAsia="楷体" w:cs="Times New Roman"/>
                <w:b w:val="0"/>
                <w:bCs w:val="0"/>
                <w:color w:val="000000" w:themeColor="text1"/>
                <w:sz w:val="24"/>
                <w:szCs w:val="24"/>
                <w:highlight w:val="none"/>
                <w:lang w:val="zh-CN"/>
                <w14:textFill>
                  <w14:solidFill>
                    <w14:schemeClr w14:val="tx1"/>
                  </w14:solidFill>
                </w14:textFill>
              </w:rPr>
            </w:pPr>
            <w:r>
              <w:rPr>
                <w:rFonts w:hint="default" w:ascii="Times New Roman" w:hAnsi="Times New Roman" w:eastAsia="楷体" w:cs="Times New Roman"/>
                <w:i w:val="0"/>
                <w:iCs w:val="0"/>
                <w:color w:val="000000" w:themeColor="text1"/>
                <w:kern w:val="0"/>
                <w:sz w:val="24"/>
                <w:szCs w:val="24"/>
                <w:highlight w:val="none"/>
                <w:u w:val="none"/>
                <w:lang w:val="en-US" w:eastAsia="zh-CN" w:bidi="ar"/>
                <w14:textFill>
                  <w14:solidFill>
                    <w14:schemeClr w14:val="tx1"/>
                  </w14:solidFill>
                </w14:textFill>
              </w:rPr>
              <w:t>西</w:t>
            </w:r>
            <w:r>
              <w:rPr>
                <w:rFonts w:hint="eastAsia" w:ascii="Times New Roman" w:hAnsi="Times New Roman" w:eastAsia="楷体" w:cs="Times New Roman"/>
                <w:i w:val="0"/>
                <w:iCs w:val="0"/>
                <w:color w:val="000000" w:themeColor="text1"/>
                <w:kern w:val="0"/>
                <w:sz w:val="24"/>
                <w:szCs w:val="24"/>
                <w:highlight w:val="none"/>
                <w:u w:val="none"/>
                <w:lang w:val="en-US" w:eastAsia="zh-CN" w:bidi="ar"/>
                <w14:textFill>
                  <w14:solidFill>
                    <w14:schemeClr w14:val="tx1"/>
                  </w14:solidFill>
                </w14:textFill>
              </w:rPr>
              <w:t>厂界</w:t>
            </w:r>
          </w:p>
        </w:tc>
        <w:tc>
          <w:tcPr>
            <w:tcW w:w="2073" w:type="dxa"/>
            <w:tcBorders>
              <w:top w:val="single" w:color="auto" w:sz="4" w:space="0"/>
              <w:left w:val="single" w:color="auto" w:sz="4" w:space="0"/>
              <w:bottom w:val="single" w:color="auto" w:sz="4" w:space="0"/>
              <w:right w:val="single" w:color="auto" w:sz="4" w:space="0"/>
            </w:tcBorders>
            <w:noWrap w:val="0"/>
            <w:vAlign w:val="center"/>
          </w:tcPr>
          <w:p w14:paraId="23F3BCF8">
            <w:pPr>
              <w:pStyle w:val="55"/>
              <w:bidi w:val="0"/>
              <w:rPr>
                <w:rFonts w:hint="default"/>
                <w:sz w:val="24"/>
                <w:szCs w:val="24"/>
                <w:lang w:val="en-US" w:eastAsia="zh-CN"/>
              </w:rPr>
            </w:pPr>
            <w:r>
              <w:rPr>
                <w:rFonts w:hint="eastAsia"/>
                <w:sz w:val="24"/>
                <w:szCs w:val="24"/>
                <w:lang w:val="en-US" w:eastAsia="zh-CN"/>
              </w:rPr>
              <w:t>44</w:t>
            </w:r>
          </w:p>
        </w:tc>
        <w:tc>
          <w:tcPr>
            <w:tcW w:w="1191" w:type="dxa"/>
            <w:tcBorders>
              <w:top w:val="single" w:color="auto" w:sz="4" w:space="0"/>
              <w:left w:val="single" w:color="auto" w:sz="4" w:space="0"/>
              <w:bottom w:val="single" w:color="auto" w:sz="4" w:space="0"/>
              <w:right w:val="single" w:color="000000" w:sz="4" w:space="0"/>
            </w:tcBorders>
            <w:noWrap w:val="0"/>
            <w:vAlign w:val="center"/>
          </w:tcPr>
          <w:p w14:paraId="628C8714">
            <w:pPr>
              <w:pStyle w:val="120"/>
              <w:keepNext w:val="0"/>
              <w:keepLines w:val="0"/>
              <w:pageBreakBefore w:val="0"/>
              <w:widowControl/>
              <w:kinsoku/>
              <w:wordWrap/>
              <w:overflowPunct/>
              <w:topLinePunct w:val="0"/>
              <w:autoSpaceDE/>
              <w:autoSpaceDN/>
              <w:bidi w:val="0"/>
              <w:adjustRightInd w:val="0"/>
              <w:snapToGrid w:val="0"/>
              <w:spacing w:line="300" w:lineRule="exact"/>
              <w:ind w:firstLine="0" w:firstLineChars="0"/>
              <w:jc w:val="center"/>
              <w:textAlignment w:val="auto"/>
              <w:rPr>
                <w:rFonts w:hint="default" w:ascii="Times New Roman" w:hAnsi="Times New Roman" w:eastAsia="楷体" w:cs="Times New Roman"/>
                <w:b w:val="0"/>
                <w:bCs w:val="0"/>
                <w:color w:val="000000" w:themeColor="text1"/>
                <w:sz w:val="24"/>
                <w:szCs w:val="24"/>
                <w:highlight w:val="none"/>
                <w:lang w:val="en-US"/>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t>6</w:t>
            </w:r>
            <w:r>
              <w:rPr>
                <w:rFonts w:hint="eastAsia"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t>0</w:t>
            </w:r>
          </w:p>
        </w:tc>
        <w:tc>
          <w:tcPr>
            <w:tcW w:w="1274" w:type="dxa"/>
            <w:tcBorders>
              <w:top w:val="single" w:color="auto" w:sz="4" w:space="0"/>
              <w:left w:val="single" w:color="000000" w:sz="4" w:space="0"/>
              <w:bottom w:val="single" w:color="auto" w:sz="4" w:space="0"/>
              <w:right w:val="single" w:color="auto" w:sz="4" w:space="0"/>
            </w:tcBorders>
            <w:noWrap w:val="0"/>
            <w:vAlign w:val="center"/>
          </w:tcPr>
          <w:p w14:paraId="351844E5">
            <w:pPr>
              <w:pStyle w:val="120"/>
              <w:keepNext w:val="0"/>
              <w:keepLines w:val="0"/>
              <w:pageBreakBefore w:val="0"/>
              <w:widowControl/>
              <w:kinsoku/>
              <w:wordWrap/>
              <w:overflowPunct/>
              <w:topLinePunct w:val="0"/>
              <w:autoSpaceDE/>
              <w:autoSpaceDN/>
              <w:bidi w:val="0"/>
              <w:adjustRightInd w:val="0"/>
              <w:snapToGrid w:val="0"/>
              <w:spacing w:line="300" w:lineRule="exact"/>
              <w:ind w:firstLine="0" w:firstLineChars="0"/>
              <w:jc w:val="center"/>
              <w:textAlignment w:val="auto"/>
              <w:rPr>
                <w:rFonts w:hint="default"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pPr>
            <w:r>
              <w:rPr>
                <w:rFonts w:hint="eastAsia" w:ascii="Times New Roman" w:hAnsi="Times New Roman" w:eastAsia="楷体" w:cs="Times New Roman"/>
                <w:b w:val="0"/>
                <w:bCs w:val="0"/>
                <w:color w:val="000000" w:themeColor="text1"/>
                <w:sz w:val="24"/>
                <w:szCs w:val="24"/>
                <w:highlight w:val="none"/>
                <w:lang w:val="en-US" w:eastAsia="zh-CN"/>
                <w14:textFill>
                  <w14:solidFill>
                    <w14:schemeClr w14:val="tx1"/>
                  </w14:solidFill>
                </w14:textFill>
              </w:rPr>
              <w:t>50</w:t>
            </w:r>
          </w:p>
        </w:tc>
        <w:tc>
          <w:tcPr>
            <w:tcW w:w="1283" w:type="pct"/>
            <w:tcBorders>
              <w:top w:val="single" w:color="auto" w:sz="4" w:space="0"/>
              <w:left w:val="single" w:color="auto" w:sz="4" w:space="0"/>
              <w:bottom w:val="single" w:color="auto" w:sz="4" w:space="0"/>
            </w:tcBorders>
            <w:noWrap w:val="0"/>
            <w:vAlign w:val="center"/>
          </w:tcPr>
          <w:p w14:paraId="7DDB635F">
            <w:pPr>
              <w:pStyle w:val="120"/>
              <w:keepNext w:val="0"/>
              <w:keepLines w:val="0"/>
              <w:pageBreakBefore w:val="0"/>
              <w:widowControl/>
              <w:kinsoku/>
              <w:wordWrap/>
              <w:overflowPunct/>
              <w:topLinePunct w:val="0"/>
              <w:autoSpaceDE/>
              <w:autoSpaceDN/>
              <w:bidi w:val="0"/>
              <w:adjustRightInd w:val="0"/>
              <w:snapToGrid w:val="0"/>
              <w:spacing w:line="300" w:lineRule="exact"/>
              <w:ind w:firstLine="0" w:firstLineChars="0"/>
              <w:jc w:val="center"/>
              <w:textAlignment w:val="auto"/>
              <w:rPr>
                <w:rFonts w:hint="default" w:ascii="Times New Roman" w:hAnsi="Times New Roman" w:eastAsia="楷体" w:cs="Times New Roman"/>
                <w:b w:val="0"/>
                <w:bCs w:val="0"/>
                <w:color w:val="000000" w:themeColor="text1"/>
                <w:sz w:val="24"/>
                <w:szCs w:val="24"/>
                <w:highlight w:val="none"/>
                <w:lang w:val="zh-CN"/>
                <w14:textFill>
                  <w14:solidFill>
                    <w14:schemeClr w14:val="tx1"/>
                  </w14:solidFill>
                </w14:textFill>
              </w:rPr>
            </w:pPr>
            <w:r>
              <w:rPr>
                <w:rFonts w:hint="default" w:ascii="Times New Roman" w:hAnsi="Times New Roman" w:eastAsia="楷体" w:cs="Times New Roman"/>
                <w:b w:val="0"/>
                <w:bCs w:val="0"/>
                <w:color w:val="000000" w:themeColor="text1"/>
                <w:sz w:val="24"/>
                <w:szCs w:val="24"/>
                <w:highlight w:val="none"/>
                <w:lang w:val="zh-CN"/>
                <w14:textFill>
                  <w14:solidFill>
                    <w14:schemeClr w14:val="tx1"/>
                  </w14:solidFill>
                </w14:textFill>
              </w:rPr>
              <w:t>达标</w:t>
            </w:r>
          </w:p>
        </w:tc>
      </w:tr>
    </w:tbl>
    <w:p w14:paraId="28C84EA2">
      <w:pPr>
        <w:pStyle w:val="47"/>
        <w:bidi w:val="0"/>
        <w:rPr>
          <w:rFonts w:hint="default"/>
          <w:lang w:val="zh-CN"/>
        </w:rPr>
      </w:pPr>
      <w:r>
        <w:rPr>
          <w:rFonts w:hint="default"/>
          <w:lang w:val="zh-CN"/>
        </w:rPr>
        <w:t>由预测结果可知，</w:t>
      </w:r>
      <w:r>
        <w:rPr>
          <w:rFonts w:hint="default"/>
          <w:lang w:val="zh-CN" w:eastAsia="zh-CN"/>
        </w:rPr>
        <w:t>厂</w:t>
      </w:r>
      <w:r>
        <w:rPr>
          <w:rFonts w:hint="default"/>
          <w:lang w:val="zh-CN"/>
        </w:rPr>
        <w:t>界噪声</w:t>
      </w:r>
      <w:r>
        <w:rPr>
          <w:rFonts w:hint="eastAsia"/>
          <w:lang w:val="en-US" w:eastAsia="zh-CN"/>
        </w:rPr>
        <w:t>贡献值</w:t>
      </w:r>
      <w:r>
        <w:rPr>
          <w:rFonts w:hint="default"/>
          <w:lang w:val="zh-CN"/>
        </w:rPr>
        <w:t>为</w:t>
      </w:r>
      <w:r>
        <w:rPr>
          <w:rFonts w:hint="eastAsia"/>
          <w:lang w:val="en-US" w:eastAsia="zh-CN"/>
        </w:rPr>
        <w:t>35</w:t>
      </w:r>
      <w:r>
        <w:rPr>
          <w:rFonts w:hint="default"/>
          <w:lang w:val="en-US" w:eastAsia="zh-CN"/>
        </w:rPr>
        <w:t>~</w:t>
      </w:r>
      <w:r>
        <w:rPr>
          <w:rFonts w:hint="eastAsia"/>
          <w:lang w:val="en-US" w:eastAsia="zh-CN"/>
        </w:rPr>
        <w:t>46</w:t>
      </w:r>
      <w:r>
        <w:rPr>
          <w:rFonts w:hint="default"/>
          <w:lang w:val="zh-CN"/>
        </w:rPr>
        <w:t>dB（A）</w:t>
      </w:r>
      <w:r>
        <w:rPr>
          <w:rFonts w:hint="eastAsia"/>
          <w:lang w:val="zh-CN"/>
        </w:rPr>
        <w:t>，</w:t>
      </w:r>
      <w:r>
        <w:rPr>
          <w:rFonts w:hint="default"/>
          <w:lang w:val="zh-CN"/>
        </w:rPr>
        <w:t>满足《工业企业厂界环境噪声排放标准》（GB12348-2008）</w:t>
      </w:r>
      <w:r>
        <w:rPr>
          <w:rFonts w:hint="eastAsia"/>
          <w:lang w:val="en-US" w:eastAsia="zh-CN"/>
        </w:rPr>
        <w:t>2</w:t>
      </w:r>
      <w:r>
        <w:rPr>
          <w:rFonts w:hint="default"/>
          <w:lang w:val="zh-CN"/>
        </w:rPr>
        <w:t>类标准要求。</w:t>
      </w:r>
    </w:p>
    <w:p w14:paraId="094984CD">
      <w:pPr>
        <w:pStyle w:val="47"/>
        <w:bidi w:val="0"/>
        <w:rPr>
          <w:rFonts w:hint="eastAsia"/>
          <w:lang w:eastAsia="zh-CN"/>
        </w:rPr>
      </w:pPr>
      <w:r>
        <w:rPr>
          <w:rFonts w:hint="eastAsia"/>
          <w:lang w:eastAsia="zh-CN"/>
        </w:rPr>
        <w:t>（</w:t>
      </w:r>
      <w:r>
        <w:rPr>
          <w:rFonts w:hint="eastAsia"/>
          <w:lang w:val="en-US" w:eastAsia="zh-CN"/>
        </w:rPr>
        <w:t>4</w:t>
      </w:r>
      <w:r>
        <w:rPr>
          <w:rFonts w:hint="eastAsia"/>
          <w:lang w:eastAsia="zh-CN"/>
        </w:rPr>
        <w:t>）声环境影响自查表</w:t>
      </w:r>
    </w:p>
    <w:p w14:paraId="297A22A2">
      <w:pPr>
        <w:pStyle w:val="47"/>
        <w:bidi w:val="0"/>
        <w:rPr>
          <w:rFonts w:hint="default"/>
        </w:rPr>
      </w:pPr>
      <w:r>
        <w:rPr>
          <w:rFonts w:hint="default"/>
        </w:rPr>
        <w:t>项目声环境影响评价自查表见表</w:t>
      </w:r>
      <w:r>
        <w:rPr>
          <w:rFonts w:hint="eastAsia"/>
          <w:lang w:val="en-US" w:eastAsia="zh-CN"/>
        </w:rPr>
        <w:t>6.4-4</w:t>
      </w:r>
      <w:r>
        <w:rPr>
          <w:rFonts w:hint="default"/>
        </w:rPr>
        <w:t>。</w:t>
      </w:r>
    </w:p>
    <w:p w14:paraId="129B04FA">
      <w:pPr>
        <w:pStyle w:val="94"/>
        <w:bidi w:val="0"/>
        <w:ind w:left="0" w:leftChars="0" w:firstLine="0" w:firstLineChars="0"/>
        <w:rPr>
          <w:rFonts w:hint="default"/>
        </w:rPr>
      </w:pPr>
      <w:r>
        <w:rPr>
          <w:rFonts w:hint="default"/>
        </w:rPr>
        <w:t>声环境影响评价自查表</w:t>
      </w:r>
    </w:p>
    <w:tbl>
      <w:tblPr>
        <w:tblStyle w:val="32"/>
        <w:tblW w:w="9128" w:type="dxa"/>
        <w:tblInd w:w="1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030"/>
        <w:gridCol w:w="1680"/>
        <w:gridCol w:w="968"/>
        <w:gridCol w:w="358"/>
        <w:gridCol w:w="698"/>
        <w:gridCol w:w="612"/>
        <w:gridCol w:w="308"/>
        <w:gridCol w:w="1019"/>
        <w:gridCol w:w="433"/>
        <w:gridCol w:w="297"/>
        <w:gridCol w:w="268"/>
        <w:gridCol w:w="1457"/>
      </w:tblGrid>
      <w:tr w14:paraId="6DD812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2" w:hRule="atLeast"/>
        </w:trPr>
        <w:tc>
          <w:tcPr>
            <w:tcW w:w="2710" w:type="dxa"/>
            <w:gridSpan w:val="2"/>
            <w:tcBorders>
              <w:tl2br w:val="nil"/>
              <w:tr2bl w:val="nil"/>
            </w:tcBorders>
            <w:vAlign w:val="center"/>
          </w:tcPr>
          <w:p w14:paraId="33FAF99C">
            <w:pPr>
              <w:pStyle w:val="55"/>
              <w:bidi w:val="0"/>
              <w:rPr>
                <w:rFonts w:hint="default"/>
                <w:lang w:val="en-US" w:eastAsia="zh-CN"/>
              </w:rPr>
            </w:pPr>
            <w:r>
              <w:rPr>
                <w:rFonts w:hint="default"/>
                <w:lang w:val="en-US" w:eastAsia="zh-CN"/>
              </w:rPr>
              <w:t>工作内容</w:t>
            </w:r>
          </w:p>
        </w:tc>
        <w:tc>
          <w:tcPr>
            <w:tcW w:w="6418" w:type="dxa"/>
            <w:gridSpan w:val="10"/>
            <w:tcBorders>
              <w:tl2br w:val="nil"/>
              <w:tr2bl w:val="nil"/>
            </w:tcBorders>
            <w:vAlign w:val="center"/>
          </w:tcPr>
          <w:p w14:paraId="6B211797">
            <w:pPr>
              <w:pStyle w:val="55"/>
              <w:bidi w:val="0"/>
              <w:rPr>
                <w:rFonts w:hint="default"/>
                <w:lang w:val="en-US" w:eastAsia="zh-CN"/>
              </w:rPr>
            </w:pPr>
            <w:r>
              <w:rPr>
                <w:rFonts w:hint="default"/>
                <w:lang w:val="en-US" w:eastAsia="zh-CN"/>
              </w:rPr>
              <w:t>自查项目</w:t>
            </w:r>
          </w:p>
        </w:tc>
      </w:tr>
      <w:tr w14:paraId="584244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12" w:hRule="atLeast"/>
        </w:trPr>
        <w:tc>
          <w:tcPr>
            <w:tcW w:w="1030" w:type="dxa"/>
            <w:vMerge w:val="restart"/>
            <w:tcBorders>
              <w:tl2br w:val="nil"/>
              <w:tr2bl w:val="nil"/>
            </w:tcBorders>
            <w:vAlign w:val="center"/>
          </w:tcPr>
          <w:p w14:paraId="239D700B">
            <w:pPr>
              <w:pStyle w:val="55"/>
              <w:bidi w:val="0"/>
              <w:rPr>
                <w:rFonts w:hint="default"/>
                <w:lang w:val="en-US" w:eastAsia="zh-CN"/>
              </w:rPr>
            </w:pPr>
            <w:r>
              <w:rPr>
                <w:rFonts w:hint="default"/>
                <w:lang w:val="en-US" w:eastAsia="zh-CN"/>
              </w:rPr>
              <w:t>评价等级与范围</w:t>
            </w:r>
          </w:p>
        </w:tc>
        <w:tc>
          <w:tcPr>
            <w:tcW w:w="1680" w:type="dxa"/>
            <w:tcBorders>
              <w:tl2br w:val="nil"/>
              <w:tr2bl w:val="nil"/>
            </w:tcBorders>
            <w:vAlign w:val="center"/>
          </w:tcPr>
          <w:p w14:paraId="2DB2F9B7">
            <w:pPr>
              <w:pStyle w:val="55"/>
              <w:bidi w:val="0"/>
              <w:rPr>
                <w:rFonts w:hint="default"/>
                <w:lang w:val="en-US" w:eastAsia="zh-CN"/>
              </w:rPr>
            </w:pPr>
            <w:r>
              <w:rPr>
                <w:rFonts w:hint="default"/>
                <w:lang w:val="en-US" w:eastAsia="zh-CN"/>
              </w:rPr>
              <w:t>评价等级</w:t>
            </w:r>
          </w:p>
        </w:tc>
        <w:tc>
          <w:tcPr>
            <w:tcW w:w="6418" w:type="dxa"/>
            <w:gridSpan w:val="10"/>
            <w:tcBorders>
              <w:tl2br w:val="nil"/>
              <w:tr2bl w:val="nil"/>
            </w:tcBorders>
            <w:vAlign w:val="center"/>
          </w:tcPr>
          <w:p w14:paraId="5005CD04">
            <w:pPr>
              <w:pStyle w:val="55"/>
              <w:bidi w:val="0"/>
              <w:rPr>
                <w:rFonts w:hint="default"/>
                <w:lang w:val="en-US" w:eastAsia="zh-CN"/>
              </w:rPr>
            </w:pPr>
            <w:r>
              <w:rPr>
                <w:rFonts w:hint="default"/>
                <w:lang w:val="en-US" w:eastAsia="zh-CN"/>
              </w:rPr>
              <w:t>一级□</w:t>
            </w:r>
            <w:r>
              <w:rPr>
                <w:rFonts w:hint="default"/>
                <w:lang w:val="en-US" w:eastAsia="zh-CN"/>
              </w:rPr>
              <w:tab/>
            </w:r>
            <w:r>
              <w:rPr>
                <w:rFonts w:hint="default"/>
                <w:lang w:val="en-US" w:eastAsia="zh-CN"/>
              </w:rPr>
              <w:t>二级</w:t>
            </w:r>
            <w:r>
              <w:rPr>
                <w:rFonts w:hint="eastAsia"/>
                <w:lang w:val="en-US" w:eastAsia="zh-CN"/>
              </w:rPr>
              <w:t>☑</w:t>
            </w:r>
            <w:r>
              <w:rPr>
                <w:rFonts w:hint="default"/>
                <w:lang w:val="en-US" w:eastAsia="zh-CN"/>
              </w:rPr>
              <w:tab/>
            </w:r>
            <w:r>
              <w:rPr>
                <w:rFonts w:hint="default"/>
                <w:lang w:val="en-US" w:eastAsia="zh-CN"/>
              </w:rPr>
              <w:t>三级</w:t>
            </w:r>
            <w:r>
              <w:rPr>
                <w:rFonts w:hint="eastAsia"/>
                <w:lang w:val="en-US" w:eastAsia="zh-CN"/>
              </w:rPr>
              <w:t>□</w:t>
            </w:r>
          </w:p>
        </w:tc>
      </w:tr>
      <w:tr w14:paraId="2A1FE0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1030" w:type="dxa"/>
            <w:vMerge w:val="continue"/>
            <w:tcBorders>
              <w:tl2br w:val="nil"/>
              <w:tr2bl w:val="nil"/>
            </w:tcBorders>
            <w:vAlign w:val="center"/>
          </w:tcPr>
          <w:p w14:paraId="7B0E10EB">
            <w:pPr>
              <w:pStyle w:val="55"/>
              <w:bidi w:val="0"/>
              <w:rPr>
                <w:rFonts w:hint="default"/>
                <w:lang w:val="en-US" w:eastAsia="zh-CN"/>
              </w:rPr>
            </w:pPr>
          </w:p>
        </w:tc>
        <w:tc>
          <w:tcPr>
            <w:tcW w:w="1680" w:type="dxa"/>
            <w:tcBorders>
              <w:tl2br w:val="nil"/>
              <w:tr2bl w:val="nil"/>
            </w:tcBorders>
            <w:vAlign w:val="center"/>
          </w:tcPr>
          <w:p w14:paraId="5BB87C2D">
            <w:pPr>
              <w:pStyle w:val="55"/>
              <w:bidi w:val="0"/>
              <w:rPr>
                <w:rFonts w:hint="default"/>
                <w:lang w:val="en-US" w:eastAsia="zh-CN"/>
              </w:rPr>
            </w:pPr>
            <w:r>
              <w:rPr>
                <w:rFonts w:hint="default"/>
                <w:lang w:val="en-US" w:eastAsia="zh-CN"/>
              </w:rPr>
              <w:t>评价范围</w:t>
            </w:r>
          </w:p>
        </w:tc>
        <w:tc>
          <w:tcPr>
            <w:tcW w:w="6418" w:type="dxa"/>
            <w:gridSpan w:val="10"/>
            <w:tcBorders>
              <w:tl2br w:val="nil"/>
              <w:tr2bl w:val="nil"/>
            </w:tcBorders>
            <w:vAlign w:val="center"/>
          </w:tcPr>
          <w:p w14:paraId="4A15C697">
            <w:pPr>
              <w:pStyle w:val="55"/>
              <w:bidi w:val="0"/>
              <w:rPr>
                <w:rFonts w:hint="default"/>
                <w:lang w:val="en-US" w:eastAsia="zh-CN"/>
              </w:rPr>
            </w:pPr>
            <w:r>
              <w:rPr>
                <w:rFonts w:hint="default"/>
                <w:lang w:val="en-US" w:eastAsia="zh-CN"/>
              </w:rPr>
              <w:t>200m☑</w:t>
            </w:r>
            <w:r>
              <w:rPr>
                <w:rFonts w:hint="default"/>
                <w:lang w:val="en-US" w:eastAsia="zh-CN"/>
              </w:rPr>
              <w:tab/>
            </w:r>
            <w:r>
              <w:rPr>
                <w:rFonts w:hint="default"/>
                <w:lang w:val="en-US" w:eastAsia="zh-CN"/>
              </w:rPr>
              <w:t>大于200m□</w:t>
            </w:r>
            <w:r>
              <w:rPr>
                <w:rFonts w:hint="default"/>
                <w:lang w:val="en-US" w:eastAsia="zh-CN"/>
              </w:rPr>
              <w:tab/>
            </w:r>
            <w:r>
              <w:rPr>
                <w:rFonts w:hint="default"/>
                <w:lang w:val="en-US" w:eastAsia="zh-CN"/>
              </w:rPr>
              <w:t>小于200□</w:t>
            </w:r>
          </w:p>
        </w:tc>
      </w:tr>
      <w:tr w14:paraId="5CCFFA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2" w:hRule="atLeast"/>
        </w:trPr>
        <w:tc>
          <w:tcPr>
            <w:tcW w:w="1030" w:type="dxa"/>
            <w:tcBorders>
              <w:tl2br w:val="nil"/>
              <w:tr2bl w:val="nil"/>
            </w:tcBorders>
            <w:vAlign w:val="center"/>
          </w:tcPr>
          <w:p w14:paraId="555C414A">
            <w:pPr>
              <w:pStyle w:val="55"/>
              <w:bidi w:val="0"/>
              <w:rPr>
                <w:rFonts w:hint="default"/>
                <w:lang w:val="en-US" w:eastAsia="zh-CN"/>
              </w:rPr>
            </w:pPr>
            <w:r>
              <w:rPr>
                <w:rFonts w:hint="default"/>
                <w:lang w:val="en-US" w:eastAsia="zh-CN"/>
              </w:rPr>
              <w:t>评价因子</w:t>
            </w:r>
          </w:p>
        </w:tc>
        <w:tc>
          <w:tcPr>
            <w:tcW w:w="1680" w:type="dxa"/>
            <w:tcBorders>
              <w:tl2br w:val="nil"/>
              <w:tr2bl w:val="nil"/>
            </w:tcBorders>
            <w:vAlign w:val="center"/>
          </w:tcPr>
          <w:p w14:paraId="04F82E00">
            <w:pPr>
              <w:pStyle w:val="55"/>
              <w:bidi w:val="0"/>
              <w:rPr>
                <w:rFonts w:hint="default"/>
                <w:lang w:val="en-US" w:eastAsia="zh-CN"/>
              </w:rPr>
            </w:pPr>
            <w:r>
              <w:rPr>
                <w:rFonts w:hint="default"/>
                <w:lang w:val="en-US" w:eastAsia="zh-CN"/>
              </w:rPr>
              <w:t>评价因子</w:t>
            </w:r>
          </w:p>
        </w:tc>
        <w:tc>
          <w:tcPr>
            <w:tcW w:w="6418" w:type="dxa"/>
            <w:gridSpan w:val="10"/>
            <w:tcBorders>
              <w:tl2br w:val="nil"/>
              <w:tr2bl w:val="nil"/>
            </w:tcBorders>
            <w:vAlign w:val="center"/>
          </w:tcPr>
          <w:p w14:paraId="58B14926">
            <w:pPr>
              <w:pStyle w:val="55"/>
              <w:bidi w:val="0"/>
              <w:rPr>
                <w:rFonts w:hint="default"/>
                <w:lang w:val="en-US" w:eastAsia="zh-CN"/>
              </w:rPr>
            </w:pPr>
            <w:r>
              <w:rPr>
                <w:rFonts w:hint="default"/>
                <w:lang w:val="en-US" w:eastAsia="zh-CN"/>
              </w:rPr>
              <w:t>等效连续A声级☑</w:t>
            </w:r>
            <w:r>
              <w:rPr>
                <w:rFonts w:hint="default"/>
                <w:lang w:val="en-US" w:eastAsia="zh-CN"/>
              </w:rPr>
              <w:tab/>
            </w:r>
            <w:r>
              <w:rPr>
                <w:rFonts w:hint="default"/>
                <w:lang w:val="en-US" w:eastAsia="zh-CN"/>
              </w:rPr>
              <w:t>最大A声级□</w:t>
            </w:r>
            <w:r>
              <w:rPr>
                <w:rFonts w:hint="default"/>
                <w:lang w:val="en-US" w:eastAsia="zh-CN"/>
              </w:rPr>
              <w:tab/>
            </w:r>
            <w:r>
              <w:rPr>
                <w:rFonts w:hint="default"/>
                <w:lang w:val="en-US" w:eastAsia="zh-CN"/>
              </w:rPr>
              <w:t>计权等效连续感觉噪声级□</w:t>
            </w:r>
          </w:p>
        </w:tc>
      </w:tr>
      <w:tr w14:paraId="36451E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2" w:hRule="atLeast"/>
        </w:trPr>
        <w:tc>
          <w:tcPr>
            <w:tcW w:w="1030" w:type="dxa"/>
            <w:tcBorders>
              <w:tl2br w:val="nil"/>
              <w:tr2bl w:val="nil"/>
            </w:tcBorders>
            <w:vAlign w:val="center"/>
          </w:tcPr>
          <w:p w14:paraId="4B34E6FB">
            <w:pPr>
              <w:pStyle w:val="55"/>
              <w:bidi w:val="0"/>
              <w:rPr>
                <w:rFonts w:hint="default"/>
                <w:lang w:val="en-US" w:eastAsia="zh-CN"/>
              </w:rPr>
            </w:pPr>
            <w:r>
              <w:rPr>
                <w:rFonts w:hint="default"/>
                <w:lang w:val="en-US" w:eastAsia="zh-CN"/>
              </w:rPr>
              <w:t>评价标准</w:t>
            </w:r>
          </w:p>
        </w:tc>
        <w:tc>
          <w:tcPr>
            <w:tcW w:w="1680" w:type="dxa"/>
            <w:tcBorders>
              <w:tl2br w:val="nil"/>
              <w:tr2bl w:val="nil"/>
            </w:tcBorders>
            <w:vAlign w:val="center"/>
          </w:tcPr>
          <w:p w14:paraId="1BD8236C">
            <w:pPr>
              <w:pStyle w:val="55"/>
              <w:bidi w:val="0"/>
              <w:rPr>
                <w:rFonts w:hint="default"/>
                <w:lang w:val="en-US" w:eastAsia="zh-CN"/>
              </w:rPr>
            </w:pPr>
            <w:r>
              <w:rPr>
                <w:rFonts w:hint="default"/>
                <w:lang w:val="en-US" w:eastAsia="zh-CN"/>
              </w:rPr>
              <w:t>评价标准</w:t>
            </w:r>
          </w:p>
        </w:tc>
        <w:tc>
          <w:tcPr>
            <w:tcW w:w="6418" w:type="dxa"/>
            <w:gridSpan w:val="10"/>
            <w:tcBorders>
              <w:tl2br w:val="nil"/>
              <w:tr2bl w:val="nil"/>
            </w:tcBorders>
            <w:vAlign w:val="center"/>
          </w:tcPr>
          <w:p w14:paraId="5828AF45">
            <w:pPr>
              <w:pStyle w:val="55"/>
              <w:bidi w:val="0"/>
              <w:rPr>
                <w:rFonts w:hint="default"/>
                <w:lang w:val="en-US" w:eastAsia="zh-CN"/>
              </w:rPr>
            </w:pPr>
            <w:r>
              <w:rPr>
                <w:rFonts w:hint="default"/>
                <w:lang w:val="en-US" w:eastAsia="zh-CN"/>
              </w:rPr>
              <w:t>国家标准☑</w:t>
            </w:r>
            <w:r>
              <w:rPr>
                <w:rFonts w:hint="default"/>
                <w:lang w:val="en-US" w:eastAsia="zh-CN"/>
              </w:rPr>
              <w:tab/>
            </w:r>
            <w:r>
              <w:rPr>
                <w:rFonts w:hint="default"/>
                <w:lang w:val="en-US" w:eastAsia="zh-CN"/>
              </w:rPr>
              <w:t>地方标准□</w:t>
            </w:r>
            <w:r>
              <w:rPr>
                <w:rFonts w:hint="default"/>
                <w:lang w:val="en-US" w:eastAsia="zh-CN"/>
              </w:rPr>
              <w:tab/>
            </w:r>
            <w:r>
              <w:rPr>
                <w:rFonts w:hint="default"/>
                <w:lang w:val="en-US" w:eastAsia="zh-CN"/>
              </w:rPr>
              <w:t>国外标准□</w:t>
            </w:r>
          </w:p>
        </w:tc>
      </w:tr>
      <w:tr w14:paraId="51D982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9" w:hRule="atLeast"/>
        </w:trPr>
        <w:tc>
          <w:tcPr>
            <w:tcW w:w="1030" w:type="dxa"/>
            <w:vMerge w:val="restart"/>
            <w:tcBorders>
              <w:tl2br w:val="nil"/>
              <w:tr2bl w:val="nil"/>
            </w:tcBorders>
            <w:vAlign w:val="center"/>
          </w:tcPr>
          <w:p w14:paraId="63606396">
            <w:pPr>
              <w:pStyle w:val="55"/>
              <w:bidi w:val="0"/>
              <w:jc w:val="both"/>
              <w:rPr>
                <w:rFonts w:hint="default"/>
                <w:lang w:val="en-US" w:eastAsia="zh-CN"/>
              </w:rPr>
            </w:pPr>
            <w:r>
              <w:rPr>
                <w:rFonts w:hint="default"/>
                <w:lang w:val="en-US" w:eastAsia="zh-CN"/>
              </w:rPr>
              <w:t>现状评价</w:t>
            </w:r>
          </w:p>
        </w:tc>
        <w:tc>
          <w:tcPr>
            <w:tcW w:w="1680" w:type="dxa"/>
            <w:tcBorders>
              <w:tl2br w:val="nil"/>
              <w:tr2bl w:val="nil"/>
            </w:tcBorders>
            <w:vAlign w:val="center"/>
          </w:tcPr>
          <w:p w14:paraId="31BD8C10">
            <w:pPr>
              <w:pStyle w:val="55"/>
              <w:bidi w:val="0"/>
              <w:rPr>
                <w:rFonts w:hint="default"/>
                <w:lang w:val="en-US" w:eastAsia="zh-CN"/>
              </w:rPr>
            </w:pPr>
            <w:r>
              <w:rPr>
                <w:rFonts w:hint="default"/>
                <w:lang w:val="en-US" w:eastAsia="zh-CN"/>
              </w:rPr>
              <w:t>环境功能区</w:t>
            </w:r>
          </w:p>
        </w:tc>
        <w:tc>
          <w:tcPr>
            <w:tcW w:w="968" w:type="dxa"/>
            <w:tcBorders>
              <w:tl2br w:val="nil"/>
              <w:tr2bl w:val="nil"/>
            </w:tcBorders>
            <w:vAlign w:val="center"/>
          </w:tcPr>
          <w:p w14:paraId="5D95DD82">
            <w:pPr>
              <w:pStyle w:val="55"/>
              <w:bidi w:val="0"/>
              <w:rPr>
                <w:rFonts w:hint="default"/>
                <w:lang w:val="en-US" w:eastAsia="zh-CN"/>
              </w:rPr>
            </w:pPr>
            <w:r>
              <w:rPr>
                <w:rFonts w:hint="default"/>
                <w:lang w:val="en-US" w:eastAsia="zh-CN"/>
              </w:rPr>
              <w:t>0类区□</w:t>
            </w:r>
          </w:p>
        </w:tc>
        <w:tc>
          <w:tcPr>
            <w:tcW w:w="1056" w:type="dxa"/>
            <w:gridSpan w:val="2"/>
            <w:tcBorders>
              <w:tl2br w:val="nil"/>
              <w:tr2bl w:val="nil"/>
            </w:tcBorders>
            <w:vAlign w:val="center"/>
          </w:tcPr>
          <w:p w14:paraId="59C3EA91">
            <w:pPr>
              <w:pStyle w:val="55"/>
              <w:bidi w:val="0"/>
              <w:rPr>
                <w:rFonts w:hint="default"/>
                <w:lang w:val="en-US" w:eastAsia="zh-CN"/>
              </w:rPr>
            </w:pPr>
            <w:r>
              <w:rPr>
                <w:rFonts w:hint="default"/>
                <w:lang w:val="en-US" w:eastAsia="zh-CN"/>
              </w:rPr>
              <w:t>1类区□</w:t>
            </w:r>
          </w:p>
        </w:tc>
        <w:tc>
          <w:tcPr>
            <w:tcW w:w="920" w:type="dxa"/>
            <w:gridSpan w:val="2"/>
            <w:tcBorders>
              <w:tl2br w:val="nil"/>
              <w:tr2bl w:val="nil"/>
            </w:tcBorders>
            <w:vAlign w:val="center"/>
          </w:tcPr>
          <w:p w14:paraId="6451D887">
            <w:pPr>
              <w:pStyle w:val="55"/>
              <w:bidi w:val="0"/>
              <w:rPr>
                <w:rFonts w:hint="default"/>
                <w:lang w:val="en-US" w:eastAsia="zh-CN"/>
              </w:rPr>
            </w:pPr>
            <w:r>
              <w:rPr>
                <w:rFonts w:hint="default"/>
                <w:lang w:val="en-US" w:eastAsia="zh-CN"/>
              </w:rPr>
              <w:t>2类区</w:t>
            </w:r>
            <w:r>
              <w:rPr>
                <w:rFonts w:hint="eastAsia"/>
                <w:lang w:val="en-US" w:eastAsia="zh-CN"/>
              </w:rPr>
              <w:t>☑</w:t>
            </w:r>
          </w:p>
        </w:tc>
        <w:tc>
          <w:tcPr>
            <w:tcW w:w="1019" w:type="dxa"/>
            <w:tcBorders>
              <w:tl2br w:val="nil"/>
              <w:tr2bl w:val="nil"/>
            </w:tcBorders>
            <w:vAlign w:val="center"/>
          </w:tcPr>
          <w:p w14:paraId="68558245">
            <w:pPr>
              <w:pStyle w:val="55"/>
              <w:bidi w:val="0"/>
              <w:rPr>
                <w:rFonts w:hint="default"/>
                <w:lang w:val="en-US" w:eastAsia="zh-CN"/>
              </w:rPr>
            </w:pPr>
            <w:r>
              <w:rPr>
                <w:rFonts w:hint="default"/>
                <w:lang w:val="en-US" w:eastAsia="zh-CN"/>
              </w:rPr>
              <w:t>3类区</w:t>
            </w:r>
            <w:r>
              <w:rPr>
                <w:rFonts w:hint="eastAsia"/>
                <w:lang w:val="en-US" w:eastAsia="zh-CN"/>
              </w:rPr>
              <w:t>□</w:t>
            </w:r>
          </w:p>
        </w:tc>
        <w:tc>
          <w:tcPr>
            <w:tcW w:w="998" w:type="dxa"/>
            <w:gridSpan w:val="3"/>
            <w:tcBorders>
              <w:tl2br w:val="nil"/>
              <w:tr2bl w:val="nil"/>
            </w:tcBorders>
            <w:vAlign w:val="center"/>
          </w:tcPr>
          <w:p w14:paraId="65C4ECB3">
            <w:pPr>
              <w:pStyle w:val="55"/>
              <w:bidi w:val="0"/>
              <w:rPr>
                <w:rFonts w:hint="default"/>
                <w:lang w:val="en-US" w:eastAsia="zh-CN"/>
              </w:rPr>
            </w:pPr>
            <w:r>
              <w:rPr>
                <w:rFonts w:hint="default"/>
                <w:lang w:val="en-US" w:eastAsia="zh-CN"/>
              </w:rPr>
              <w:t>4a类区□</w:t>
            </w:r>
          </w:p>
        </w:tc>
        <w:tc>
          <w:tcPr>
            <w:tcW w:w="1457" w:type="dxa"/>
            <w:tcBorders>
              <w:tl2br w:val="nil"/>
              <w:tr2bl w:val="nil"/>
            </w:tcBorders>
            <w:vAlign w:val="center"/>
          </w:tcPr>
          <w:p w14:paraId="2E19227E">
            <w:pPr>
              <w:pStyle w:val="55"/>
              <w:bidi w:val="0"/>
              <w:rPr>
                <w:rFonts w:hint="default"/>
                <w:lang w:val="en-US" w:eastAsia="zh-CN"/>
              </w:rPr>
            </w:pPr>
            <w:r>
              <w:rPr>
                <w:rFonts w:hint="default"/>
                <w:lang w:val="en-US" w:eastAsia="zh-CN"/>
              </w:rPr>
              <w:t>4b类区□</w:t>
            </w:r>
          </w:p>
        </w:tc>
      </w:tr>
      <w:tr w14:paraId="23F310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4" w:hRule="atLeast"/>
        </w:trPr>
        <w:tc>
          <w:tcPr>
            <w:tcW w:w="1030" w:type="dxa"/>
            <w:vMerge w:val="continue"/>
            <w:tcBorders>
              <w:tl2br w:val="nil"/>
              <w:tr2bl w:val="nil"/>
            </w:tcBorders>
            <w:vAlign w:val="center"/>
          </w:tcPr>
          <w:p w14:paraId="658E1402">
            <w:pPr>
              <w:pStyle w:val="55"/>
              <w:bidi w:val="0"/>
              <w:rPr>
                <w:rFonts w:hint="default"/>
                <w:lang w:val="en-US" w:eastAsia="zh-CN"/>
              </w:rPr>
            </w:pPr>
          </w:p>
        </w:tc>
        <w:tc>
          <w:tcPr>
            <w:tcW w:w="1680" w:type="dxa"/>
            <w:tcBorders>
              <w:tl2br w:val="nil"/>
              <w:tr2bl w:val="nil"/>
            </w:tcBorders>
            <w:vAlign w:val="center"/>
          </w:tcPr>
          <w:p w14:paraId="40DFBE79">
            <w:pPr>
              <w:pStyle w:val="55"/>
              <w:bidi w:val="0"/>
              <w:rPr>
                <w:rFonts w:hint="default"/>
                <w:lang w:val="en-US" w:eastAsia="zh-CN"/>
              </w:rPr>
            </w:pPr>
            <w:r>
              <w:rPr>
                <w:rFonts w:hint="default"/>
                <w:lang w:val="en-US" w:eastAsia="zh-CN"/>
              </w:rPr>
              <w:t>评价年度</w:t>
            </w:r>
          </w:p>
        </w:tc>
        <w:tc>
          <w:tcPr>
            <w:tcW w:w="1326" w:type="dxa"/>
            <w:gridSpan w:val="2"/>
            <w:tcBorders>
              <w:tl2br w:val="nil"/>
              <w:tr2bl w:val="nil"/>
            </w:tcBorders>
            <w:vAlign w:val="center"/>
          </w:tcPr>
          <w:p w14:paraId="1AAB88C9">
            <w:pPr>
              <w:pStyle w:val="55"/>
              <w:bidi w:val="0"/>
              <w:rPr>
                <w:rFonts w:hint="default"/>
                <w:lang w:val="en-US" w:eastAsia="zh-CN"/>
              </w:rPr>
            </w:pPr>
            <w:r>
              <w:rPr>
                <w:rFonts w:hint="default"/>
                <w:lang w:val="en-US" w:eastAsia="zh-CN"/>
              </w:rPr>
              <w:t>初期□</w:t>
            </w:r>
          </w:p>
        </w:tc>
        <w:tc>
          <w:tcPr>
            <w:tcW w:w="1618" w:type="dxa"/>
            <w:gridSpan w:val="3"/>
            <w:tcBorders>
              <w:tl2br w:val="nil"/>
              <w:tr2bl w:val="nil"/>
            </w:tcBorders>
            <w:vAlign w:val="center"/>
          </w:tcPr>
          <w:p w14:paraId="563381B2">
            <w:pPr>
              <w:pStyle w:val="55"/>
              <w:bidi w:val="0"/>
              <w:rPr>
                <w:rFonts w:hint="default"/>
                <w:lang w:val="en-US" w:eastAsia="zh-CN"/>
              </w:rPr>
            </w:pPr>
            <w:r>
              <w:rPr>
                <w:rFonts w:hint="default"/>
                <w:lang w:val="en-US" w:eastAsia="zh-CN"/>
              </w:rPr>
              <w:t>近期□</w:t>
            </w:r>
          </w:p>
        </w:tc>
        <w:tc>
          <w:tcPr>
            <w:tcW w:w="1452" w:type="dxa"/>
            <w:gridSpan w:val="2"/>
            <w:tcBorders>
              <w:tl2br w:val="nil"/>
              <w:tr2bl w:val="nil"/>
            </w:tcBorders>
            <w:vAlign w:val="center"/>
          </w:tcPr>
          <w:p w14:paraId="7F1ACEF1">
            <w:pPr>
              <w:pStyle w:val="55"/>
              <w:bidi w:val="0"/>
              <w:rPr>
                <w:rFonts w:hint="default"/>
                <w:lang w:val="en-US" w:eastAsia="zh-CN"/>
              </w:rPr>
            </w:pPr>
            <w:r>
              <w:rPr>
                <w:rFonts w:hint="default"/>
                <w:lang w:val="en-US" w:eastAsia="zh-CN"/>
              </w:rPr>
              <w:t>中期□</w:t>
            </w:r>
          </w:p>
        </w:tc>
        <w:tc>
          <w:tcPr>
            <w:tcW w:w="2022" w:type="dxa"/>
            <w:gridSpan w:val="3"/>
            <w:tcBorders>
              <w:tl2br w:val="nil"/>
              <w:tr2bl w:val="nil"/>
            </w:tcBorders>
            <w:vAlign w:val="center"/>
          </w:tcPr>
          <w:p w14:paraId="2ED33C73">
            <w:pPr>
              <w:pStyle w:val="55"/>
              <w:bidi w:val="0"/>
              <w:rPr>
                <w:rFonts w:hint="default"/>
                <w:lang w:val="en-US" w:eastAsia="zh-CN"/>
              </w:rPr>
            </w:pPr>
            <w:r>
              <w:rPr>
                <w:rFonts w:hint="default"/>
                <w:lang w:val="en-US" w:eastAsia="zh-CN"/>
              </w:rPr>
              <w:t>远期☑</w:t>
            </w:r>
          </w:p>
        </w:tc>
      </w:tr>
      <w:tr w14:paraId="3B0C5E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2" w:hRule="atLeast"/>
        </w:trPr>
        <w:tc>
          <w:tcPr>
            <w:tcW w:w="1030" w:type="dxa"/>
            <w:vMerge w:val="continue"/>
            <w:tcBorders>
              <w:tl2br w:val="nil"/>
              <w:tr2bl w:val="nil"/>
            </w:tcBorders>
            <w:vAlign w:val="center"/>
          </w:tcPr>
          <w:p w14:paraId="76CCFBBC">
            <w:pPr>
              <w:pStyle w:val="55"/>
              <w:bidi w:val="0"/>
              <w:rPr>
                <w:rFonts w:hint="default"/>
                <w:lang w:val="en-US" w:eastAsia="zh-CN"/>
              </w:rPr>
            </w:pPr>
          </w:p>
        </w:tc>
        <w:tc>
          <w:tcPr>
            <w:tcW w:w="1680" w:type="dxa"/>
            <w:tcBorders>
              <w:tl2br w:val="nil"/>
              <w:tr2bl w:val="nil"/>
            </w:tcBorders>
            <w:vAlign w:val="center"/>
          </w:tcPr>
          <w:p w14:paraId="7BD7ED32">
            <w:pPr>
              <w:pStyle w:val="55"/>
              <w:bidi w:val="0"/>
              <w:rPr>
                <w:rFonts w:hint="default"/>
                <w:lang w:val="en-US" w:eastAsia="zh-CN"/>
              </w:rPr>
            </w:pPr>
            <w:r>
              <w:rPr>
                <w:rFonts w:hint="default"/>
                <w:lang w:val="en-US" w:eastAsia="zh-CN"/>
              </w:rPr>
              <w:t>现状调查方法</w:t>
            </w:r>
          </w:p>
        </w:tc>
        <w:tc>
          <w:tcPr>
            <w:tcW w:w="6418" w:type="dxa"/>
            <w:gridSpan w:val="10"/>
            <w:tcBorders>
              <w:tl2br w:val="nil"/>
              <w:tr2bl w:val="nil"/>
            </w:tcBorders>
            <w:vAlign w:val="center"/>
          </w:tcPr>
          <w:p w14:paraId="3161DB9B">
            <w:pPr>
              <w:pStyle w:val="55"/>
              <w:bidi w:val="0"/>
              <w:rPr>
                <w:rFonts w:hint="default"/>
                <w:lang w:val="en-US" w:eastAsia="zh-CN"/>
              </w:rPr>
            </w:pPr>
            <w:r>
              <w:rPr>
                <w:rFonts w:hint="default"/>
                <w:lang w:val="en-US" w:eastAsia="zh-CN"/>
              </w:rPr>
              <w:t>现场实测法</w:t>
            </w:r>
            <w:r>
              <w:rPr>
                <w:rFonts w:hint="eastAsia"/>
                <w:lang w:val="en-US" w:eastAsia="zh-CN"/>
              </w:rPr>
              <w:t>☑</w:t>
            </w:r>
            <w:r>
              <w:rPr>
                <w:rFonts w:hint="default"/>
                <w:lang w:val="en-US" w:eastAsia="zh-CN"/>
              </w:rPr>
              <w:tab/>
            </w:r>
            <w:r>
              <w:rPr>
                <w:rFonts w:hint="default"/>
                <w:lang w:val="en-US" w:eastAsia="zh-CN"/>
              </w:rPr>
              <w:t>现场实测加模型计算法□</w:t>
            </w:r>
            <w:r>
              <w:rPr>
                <w:rFonts w:hint="default"/>
                <w:lang w:val="en-US" w:eastAsia="zh-CN"/>
              </w:rPr>
              <w:tab/>
            </w:r>
            <w:r>
              <w:rPr>
                <w:rFonts w:hint="default"/>
                <w:lang w:val="en-US" w:eastAsia="zh-CN"/>
              </w:rPr>
              <w:t>收集资料</w:t>
            </w:r>
            <w:r>
              <w:rPr>
                <w:rFonts w:hint="eastAsia"/>
                <w:lang w:val="en-US" w:eastAsia="zh-CN"/>
              </w:rPr>
              <w:t>□</w:t>
            </w:r>
          </w:p>
        </w:tc>
      </w:tr>
      <w:tr w14:paraId="12C91E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1030" w:type="dxa"/>
            <w:vMerge w:val="continue"/>
            <w:tcBorders>
              <w:tl2br w:val="nil"/>
              <w:tr2bl w:val="nil"/>
            </w:tcBorders>
            <w:vAlign w:val="center"/>
          </w:tcPr>
          <w:p w14:paraId="0CEB70F3">
            <w:pPr>
              <w:pStyle w:val="55"/>
              <w:bidi w:val="0"/>
              <w:rPr>
                <w:rFonts w:hint="default"/>
                <w:lang w:val="en-US" w:eastAsia="zh-CN"/>
              </w:rPr>
            </w:pPr>
          </w:p>
        </w:tc>
        <w:tc>
          <w:tcPr>
            <w:tcW w:w="1680" w:type="dxa"/>
            <w:tcBorders>
              <w:tl2br w:val="nil"/>
              <w:tr2bl w:val="nil"/>
            </w:tcBorders>
            <w:vAlign w:val="center"/>
          </w:tcPr>
          <w:p w14:paraId="6D97FD56">
            <w:pPr>
              <w:pStyle w:val="55"/>
              <w:bidi w:val="0"/>
              <w:rPr>
                <w:rFonts w:hint="default"/>
                <w:lang w:val="en-US" w:eastAsia="zh-CN"/>
              </w:rPr>
            </w:pPr>
            <w:r>
              <w:rPr>
                <w:rFonts w:hint="default"/>
                <w:lang w:val="en-US" w:eastAsia="zh-CN"/>
              </w:rPr>
              <w:t>现状评价</w:t>
            </w:r>
          </w:p>
        </w:tc>
        <w:tc>
          <w:tcPr>
            <w:tcW w:w="2024" w:type="dxa"/>
            <w:gridSpan w:val="3"/>
            <w:tcBorders>
              <w:tl2br w:val="nil"/>
              <w:tr2bl w:val="nil"/>
            </w:tcBorders>
            <w:vAlign w:val="center"/>
          </w:tcPr>
          <w:p w14:paraId="14FDC63A">
            <w:pPr>
              <w:pStyle w:val="55"/>
              <w:bidi w:val="0"/>
              <w:rPr>
                <w:rFonts w:hint="default"/>
                <w:lang w:val="en-US" w:eastAsia="zh-CN"/>
              </w:rPr>
            </w:pPr>
            <w:r>
              <w:rPr>
                <w:rFonts w:hint="default"/>
                <w:lang w:val="en-US" w:eastAsia="zh-CN"/>
              </w:rPr>
              <w:t>达标百分比</w:t>
            </w:r>
          </w:p>
        </w:tc>
        <w:tc>
          <w:tcPr>
            <w:tcW w:w="4394" w:type="dxa"/>
            <w:gridSpan w:val="7"/>
            <w:tcBorders>
              <w:tl2br w:val="nil"/>
              <w:tr2bl w:val="nil"/>
            </w:tcBorders>
            <w:vAlign w:val="center"/>
          </w:tcPr>
          <w:p w14:paraId="46ED6C67">
            <w:pPr>
              <w:pStyle w:val="55"/>
              <w:bidi w:val="0"/>
              <w:rPr>
                <w:rFonts w:hint="default"/>
                <w:lang w:val="en-US" w:eastAsia="zh-CN"/>
              </w:rPr>
            </w:pPr>
            <w:r>
              <w:rPr>
                <w:rFonts w:hint="default"/>
                <w:lang w:val="en-US" w:eastAsia="zh-CN"/>
              </w:rPr>
              <w:t>100%</w:t>
            </w:r>
          </w:p>
        </w:tc>
      </w:tr>
      <w:tr w14:paraId="636BC9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030" w:type="dxa"/>
            <w:tcBorders>
              <w:tl2br w:val="nil"/>
              <w:tr2bl w:val="nil"/>
            </w:tcBorders>
            <w:vAlign w:val="center"/>
          </w:tcPr>
          <w:p w14:paraId="5436F252">
            <w:pPr>
              <w:pStyle w:val="55"/>
              <w:bidi w:val="0"/>
              <w:rPr>
                <w:rFonts w:hint="default"/>
                <w:lang w:val="en-US" w:eastAsia="zh-CN"/>
              </w:rPr>
            </w:pPr>
            <w:r>
              <w:rPr>
                <w:rFonts w:hint="default"/>
                <w:lang w:val="en-US" w:eastAsia="zh-CN"/>
              </w:rPr>
              <w:t>污染源</w:t>
            </w:r>
          </w:p>
          <w:p w14:paraId="437EB4BA">
            <w:pPr>
              <w:pStyle w:val="55"/>
              <w:bidi w:val="0"/>
              <w:rPr>
                <w:rFonts w:hint="default"/>
                <w:lang w:val="en-US" w:eastAsia="zh-CN"/>
              </w:rPr>
            </w:pPr>
            <w:r>
              <w:rPr>
                <w:rFonts w:hint="default"/>
                <w:lang w:val="en-US" w:eastAsia="zh-CN"/>
              </w:rPr>
              <w:t>调查</w:t>
            </w:r>
          </w:p>
        </w:tc>
        <w:tc>
          <w:tcPr>
            <w:tcW w:w="1680" w:type="dxa"/>
            <w:tcBorders>
              <w:tl2br w:val="nil"/>
              <w:tr2bl w:val="nil"/>
            </w:tcBorders>
            <w:vAlign w:val="center"/>
          </w:tcPr>
          <w:p w14:paraId="472C8A30">
            <w:pPr>
              <w:pStyle w:val="55"/>
              <w:bidi w:val="0"/>
              <w:rPr>
                <w:rFonts w:hint="default"/>
                <w:lang w:val="en-US" w:eastAsia="zh-CN"/>
              </w:rPr>
            </w:pPr>
            <w:r>
              <w:rPr>
                <w:rFonts w:hint="default"/>
                <w:lang w:val="en-US" w:eastAsia="zh-CN"/>
              </w:rPr>
              <w:t>噪声源调查方法</w:t>
            </w:r>
          </w:p>
        </w:tc>
        <w:tc>
          <w:tcPr>
            <w:tcW w:w="6418" w:type="dxa"/>
            <w:gridSpan w:val="10"/>
            <w:tcBorders>
              <w:tl2br w:val="nil"/>
              <w:tr2bl w:val="nil"/>
            </w:tcBorders>
            <w:vAlign w:val="center"/>
          </w:tcPr>
          <w:p w14:paraId="25105F3A">
            <w:pPr>
              <w:pStyle w:val="55"/>
              <w:bidi w:val="0"/>
              <w:rPr>
                <w:rFonts w:hint="default"/>
                <w:lang w:val="en-US" w:eastAsia="zh-CN"/>
              </w:rPr>
            </w:pPr>
            <w:r>
              <w:rPr>
                <w:rFonts w:hint="default"/>
                <w:lang w:val="en-US" w:eastAsia="zh-CN"/>
              </w:rPr>
              <w:t>现场实测</w:t>
            </w:r>
            <w:r>
              <w:rPr>
                <w:rFonts w:hint="eastAsia"/>
                <w:lang w:val="en-US" w:eastAsia="zh-CN"/>
              </w:rPr>
              <w:t>□</w:t>
            </w:r>
            <w:r>
              <w:rPr>
                <w:rFonts w:hint="default"/>
                <w:lang w:val="en-US" w:eastAsia="zh-CN"/>
              </w:rPr>
              <w:tab/>
            </w:r>
            <w:r>
              <w:rPr>
                <w:rFonts w:hint="default"/>
                <w:lang w:val="en-US" w:eastAsia="zh-CN"/>
              </w:rPr>
              <w:t>已有资料</w:t>
            </w:r>
            <w:r>
              <w:rPr>
                <w:rFonts w:hint="eastAsia"/>
                <w:lang w:val="en-US" w:eastAsia="zh-CN"/>
              </w:rPr>
              <w:t>□</w:t>
            </w:r>
            <w:r>
              <w:rPr>
                <w:rFonts w:hint="default"/>
                <w:lang w:val="en-US" w:eastAsia="zh-CN"/>
              </w:rPr>
              <w:tab/>
            </w:r>
            <w:r>
              <w:rPr>
                <w:rFonts w:hint="default"/>
                <w:lang w:val="en-US" w:eastAsia="zh-CN"/>
              </w:rPr>
              <w:t>研究成果□</w:t>
            </w:r>
          </w:p>
        </w:tc>
      </w:tr>
      <w:tr w14:paraId="31BD5D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2" w:hRule="atLeast"/>
        </w:trPr>
        <w:tc>
          <w:tcPr>
            <w:tcW w:w="1030" w:type="dxa"/>
            <w:vMerge w:val="restart"/>
            <w:tcBorders>
              <w:tl2br w:val="nil"/>
              <w:tr2bl w:val="nil"/>
            </w:tcBorders>
            <w:vAlign w:val="center"/>
          </w:tcPr>
          <w:p w14:paraId="2A53FC92">
            <w:pPr>
              <w:pStyle w:val="55"/>
              <w:bidi w:val="0"/>
              <w:rPr>
                <w:rFonts w:hint="default"/>
                <w:lang w:val="en-US" w:eastAsia="zh-CN"/>
              </w:rPr>
            </w:pPr>
          </w:p>
          <w:p w14:paraId="6D6A894A">
            <w:pPr>
              <w:pStyle w:val="55"/>
              <w:bidi w:val="0"/>
              <w:rPr>
                <w:rFonts w:hint="default"/>
                <w:lang w:val="en-US" w:eastAsia="zh-CN"/>
              </w:rPr>
            </w:pPr>
          </w:p>
          <w:p w14:paraId="438CEE93">
            <w:pPr>
              <w:pStyle w:val="55"/>
              <w:bidi w:val="0"/>
              <w:rPr>
                <w:rFonts w:hint="default"/>
                <w:lang w:val="en-US" w:eastAsia="zh-CN"/>
              </w:rPr>
            </w:pPr>
            <w:r>
              <w:rPr>
                <w:rFonts w:hint="default"/>
                <w:lang w:val="en-US" w:eastAsia="zh-CN"/>
              </w:rPr>
              <w:t>声环境影响预测与评价</w:t>
            </w:r>
          </w:p>
        </w:tc>
        <w:tc>
          <w:tcPr>
            <w:tcW w:w="1680" w:type="dxa"/>
            <w:tcBorders>
              <w:tl2br w:val="nil"/>
              <w:tr2bl w:val="nil"/>
            </w:tcBorders>
            <w:vAlign w:val="center"/>
          </w:tcPr>
          <w:p w14:paraId="6B758451">
            <w:pPr>
              <w:pStyle w:val="55"/>
              <w:bidi w:val="0"/>
              <w:rPr>
                <w:rFonts w:hint="default"/>
                <w:lang w:val="en-US" w:eastAsia="zh-CN"/>
              </w:rPr>
            </w:pPr>
            <w:r>
              <w:rPr>
                <w:rFonts w:hint="default"/>
                <w:lang w:val="en-US" w:eastAsia="zh-CN"/>
              </w:rPr>
              <w:t>预测模型</w:t>
            </w:r>
          </w:p>
        </w:tc>
        <w:tc>
          <w:tcPr>
            <w:tcW w:w="6418" w:type="dxa"/>
            <w:gridSpan w:val="10"/>
            <w:tcBorders>
              <w:tl2br w:val="nil"/>
              <w:tr2bl w:val="nil"/>
            </w:tcBorders>
            <w:vAlign w:val="center"/>
          </w:tcPr>
          <w:p w14:paraId="3770113A">
            <w:pPr>
              <w:pStyle w:val="55"/>
              <w:bidi w:val="0"/>
              <w:rPr>
                <w:rFonts w:hint="default"/>
                <w:lang w:val="en-US" w:eastAsia="zh-CN"/>
              </w:rPr>
            </w:pPr>
            <w:r>
              <w:rPr>
                <w:rFonts w:hint="default"/>
                <w:lang w:val="en-US" w:eastAsia="zh-CN"/>
              </w:rPr>
              <w:t>导则推荐模型☑</w:t>
            </w:r>
            <w:r>
              <w:rPr>
                <w:rFonts w:hint="default"/>
                <w:lang w:val="en-US" w:eastAsia="zh-CN"/>
              </w:rPr>
              <w:tab/>
            </w:r>
            <w:r>
              <w:rPr>
                <w:rFonts w:hint="default"/>
                <w:lang w:val="en-US" w:eastAsia="zh-CN"/>
              </w:rPr>
              <w:t>其他□</w:t>
            </w:r>
          </w:p>
        </w:tc>
      </w:tr>
      <w:tr w14:paraId="71C4962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2" w:hRule="atLeast"/>
        </w:trPr>
        <w:tc>
          <w:tcPr>
            <w:tcW w:w="1030" w:type="dxa"/>
            <w:vMerge w:val="continue"/>
            <w:tcBorders>
              <w:tl2br w:val="nil"/>
              <w:tr2bl w:val="nil"/>
            </w:tcBorders>
            <w:vAlign w:val="center"/>
          </w:tcPr>
          <w:p w14:paraId="3E3476BF">
            <w:pPr>
              <w:pStyle w:val="55"/>
              <w:bidi w:val="0"/>
              <w:rPr>
                <w:rFonts w:hint="default"/>
                <w:lang w:val="en-US" w:eastAsia="zh-CN"/>
              </w:rPr>
            </w:pPr>
          </w:p>
        </w:tc>
        <w:tc>
          <w:tcPr>
            <w:tcW w:w="1680" w:type="dxa"/>
            <w:tcBorders>
              <w:tl2br w:val="nil"/>
              <w:tr2bl w:val="nil"/>
            </w:tcBorders>
            <w:vAlign w:val="center"/>
          </w:tcPr>
          <w:p w14:paraId="749454E0">
            <w:pPr>
              <w:pStyle w:val="55"/>
              <w:bidi w:val="0"/>
              <w:rPr>
                <w:rFonts w:hint="default"/>
                <w:lang w:val="en-US" w:eastAsia="zh-CN"/>
              </w:rPr>
            </w:pPr>
            <w:r>
              <w:rPr>
                <w:rFonts w:hint="default"/>
                <w:lang w:val="en-US" w:eastAsia="zh-CN"/>
              </w:rPr>
              <w:t>预测范围</w:t>
            </w:r>
          </w:p>
        </w:tc>
        <w:tc>
          <w:tcPr>
            <w:tcW w:w="6418" w:type="dxa"/>
            <w:gridSpan w:val="10"/>
            <w:tcBorders>
              <w:tl2br w:val="nil"/>
              <w:tr2bl w:val="nil"/>
            </w:tcBorders>
            <w:vAlign w:val="center"/>
          </w:tcPr>
          <w:p w14:paraId="76829F5D">
            <w:pPr>
              <w:pStyle w:val="55"/>
              <w:bidi w:val="0"/>
              <w:rPr>
                <w:rFonts w:hint="default"/>
                <w:lang w:val="en-US" w:eastAsia="zh-CN"/>
              </w:rPr>
            </w:pPr>
            <w:r>
              <w:rPr>
                <w:rFonts w:hint="default"/>
                <w:lang w:val="en-US" w:eastAsia="zh-CN"/>
              </w:rPr>
              <w:t>200m☑</w:t>
            </w:r>
            <w:r>
              <w:rPr>
                <w:rFonts w:hint="default"/>
                <w:lang w:val="en-US" w:eastAsia="zh-CN"/>
              </w:rPr>
              <w:tab/>
            </w:r>
            <w:r>
              <w:rPr>
                <w:rFonts w:hint="default"/>
                <w:lang w:val="en-US" w:eastAsia="zh-CN"/>
              </w:rPr>
              <w:t>大于200m□</w:t>
            </w:r>
            <w:r>
              <w:rPr>
                <w:rFonts w:hint="default"/>
                <w:lang w:val="en-US" w:eastAsia="zh-CN"/>
              </w:rPr>
              <w:tab/>
            </w:r>
            <w:r>
              <w:rPr>
                <w:rFonts w:hint="default"/>
                <w:lang w:val="en-US" w:eastAsia="zh-CN"/>
              </w:rPr>
              <w:t>小于200□</w:t>
            </w:r>
          </w:p>
        </w:tc>
      </w:tr>
      <w:tr w14:paraId="4A15B4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45" w:hRule="atLeast"/>
        </w:trPr>
        <w:tc>
          <w:tcPr>
            <w:tcW w:w="1030" w:type="dxa"/>
            <w:vMerge w:val="continue"/>
            <w:tcBorders>
              <w:tl2br w:val="nil"/>
              <w:tr2bl w:val="nil"/>
            </w:tcBorders>
            <w:vAlign w:val="center"/>
          </w:tcPr>
          <w:p w14:paraId="0E1501BD">
            <w:pPr>
              <w:pStyle w:val="55"/>
              <w:bidi w:val="0"/>
              <w:rPr>
                <w:rFonts w:hint="default"/>
                <w:lang w:val="en-US" w:eastAsia="zh-CN"/>
              </w:rPr>
            </w:pPr>
          </w:p>
        </w:tc>
        <w:tc>
          <w:tcPr>
            <w:tcW w:w="1680" w:type="dxa"/>
            <w:tcBorders>
              <w:tl2br w:val="nil"/>
              <w:tr2bl w:val="nil"/>
            </w:tcBorders>
            <w:vAlign w:val="center"/>
          </w:tcPr>
          <w:p w14:paraId="275B7CD3">
            <w:pPr>
              <w:pStyle w:val="55"/>
              <w:bidi w:val="0"/>
              <w:rPr>
                <w:rFonts w:hint="default"/>
                <w:lang w:val="en-US" w:eastAsia="zh-CN"/>
              </w:rPr>
            </w:pPr>
            <w:r>
              <w:rPr>
                <w:rFonts w:hint="default"/>
                <w:lang w:val="en-US" w:eastAsia="zh-CN"/>
              </w:rPr>
              <w:t>预测因子</w:t>
            </w:r>
          </w:p>
        </w:tc>
        <w:tc>
          <w:tcPr>
            <w:tcW w:w="6418" w:type="dxa"/>
            <w:gridSpan w:val="10"/>
            <w:tcBorders>
              <w:tl2br w:val="nil"/>
              <w:tr2bl w:val="nil"/>
            </w:tcBorders>
            <w:vAlign w:val="center"/>
          </w:tcPr>
          <w:p w14:paraId="11FA351F">
            <w:pPr>
              <w:pStyle w:val="55"/>
              <w:bidi w:val="0"/>
              <w:rPr>
                <w:rFonts w:hint="default"/>
                <w:lang w:val="en-US" w:eastAsia="zh-CN"/>
              </w:rPr>
            </w:pPr>
            <w:r>
              <w:rPr>
                <w:rFonts w:hint="default"/>
                <w:lang w:val="en-US" w:eastAsia="zh-CN"/>
              </w:rPr>
              <w:t>等效连续A声级☑</w:t>
            </w:r>
            <w:r>
              <w:rPr>
                <w:rFonts w:hint="default"/>
                <w:lang w:val="en-US" w:eastAsia="zh-CN"/>
              </w:rPr>
              <w:tab/>
            </w:r>
            <w:r>
              <w:rPr>
                <w:rFonts w:hint="default"/>
                <w:lang w:val="en-US" w:eastAsia="zh-CN"/>
              </w:rPr>
              <w:t>最大A声级□</w:t>
            </w:r>
            <w:r>
              <w:rPr>
                <w:rFonts w:hint="default"/>
                <w:lang w:val="en-US" w:eastAsia="zh-CN"/>
              </w:rPr>
              <w:tab/>
            </w:r>
            <w:r>
              <w:rPr>
                <w:rFonts w:hint="default"/>
                <w:lang w:val="en-US" w:eastAsia="zh-CN"/>
              </w:rPr>
              <w:t>计权等效连续感觉噪声级□</w:t>
            </w:r>
          </w:p>
        </w:tc>
      </w:tr>
      <w:tr w14:paraId="77EDDE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2" w:hRule="atLeast"/>
        </w:trPr>
        <w:tc>
          <w:tcPr>
            <w:tcW w:w="1030" w:type="dxa"/>
            <w:vMerge w:val="continue"/>
            <w:tcBorders>
              <w:tl2br w:val="nil"/>
              <w:tr2bl w:val="nil"/>
            </w:tcBorders>
            <w:vAlign w:val="center"/>
          </w:tcPr>
          <w:p w14:paraId="51DBF4DC">
            <w:pPr>
              <w:pStyle w:val="55"/>
              <w:bidi w:val="0"/>
              <w:rPr>
                <w:rFonts w:hint="default"/>
                <w:lang w:val="en-US" w:eastAsia="zh-CN"/>
              </w:rPr>
            </w:pPr>
          </w:p>
        </w:tc>
        <w:tc>
          <w:tcPr>
            <w:tcW w:w="1680" w:type="dxa"/>
            <w:tcBorders>
              <w:tl2br w:val="nil"/>
              <w:tr2bl w:val="nil"/>
            </w:tcBorders>
            <w:vAlign w:val="center"/>
          </w:tcPr>
          <w:p w14:paraId="2CCAC40F">
            <w:pPr>
              <w:pStyle w:val="55"/>
              <w:bidi w:val="0"/>
              <w:rPr>
                <w:rFonts w:hint="default"/>
                <w:lang w:val="en-US" w:eastAsia="zh-CN"/>
              </w:rPr>
            </w:pPr>
            <w:r>
              <w:rPr>
                <w:rFonts w:hint="default"/>
                <w:lang w:val="en-US" w:eastAsia="zh-CN"/>
              </w:rPr>
              <w:t>厂界噪声贡献值</w:t>
            </w:r>
          </w:p>
        </w:tc>
        <w:tc>
          <w:tcPr>
            <w:tcW w:w="6418" w:type="dxa"/>
            <w:gridSpan w:val="10"/>
            <w:tcBorders>
              <w:tl2br w:val="nil"/>
              <w:tr2bl w:val="nil"/>
            </w:tcBorders>
            <w:vAlign w:val="center"/>
          </w:tcPr>
          <w:p w14:paraId="5927D6AF">
            <w:pPr>
              <w:pStyle w:val="55"/>
              <w:bidi w:val="0"/>
              <w:rPr>
                <w:rFonts w:hint="default"/>
                <w:lang w:val="en-US" w:eastAsia="zh-CN"/>
              </w:rPr>
            </w:pPr>
            <w:r>
              <w:rPr>
                <w:rFonts w:hint="default"/>
                <w:lang w:val="en-US" w:eastAsia="zh-CN"/>
              </w:rPr>
              <w:t>达标☑</w:t>
            </w:r>
            <w:r>
              <w:rPr>
                <w:rFonts w:hint="default"/>
                <w:lang w:val="en-US" w:eastAsia="zh-CN"/>
              </w:rPr>
              <w:tab/>
            </w:r>
            <w:r>
              <w:rPr>
                <w:rFonts w:hint="default"/>
                <w:lang w:val="en-US" w:eastAsia="zh-CN"/>
              </w:rPr>
              <w:t>不达标□</w:t>
            </w:r>
          </w:p>
        </w:tc>
      </w:tr>
      <w:tr w14:paraId="36ADB9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030" w:type="dxa"/>
            <w:vMerge w:val="continue"/>
            <w:tcBorders>
              <w:tl2br w:val="nil"/>
              <w:tr2bl w:val="nil"/>
            </w:tcBorders>
            <w:vAlign w:val="center"/>
          </w:tcPr>
          <w:p w14:paraId="292E8F5C">
            <w:pPr>
              <w:pStyle w:val="55"/>
              <w:bidi w:val="0"/>
              <w:rPr>
                <w:rFonts w:hint="default"/>
                <w:lang w:val="en-US" w:eastAsia="zh-CN"/>
              </w:rPr>
            </w:pPr>
          </w:p>
        </w:tc>
        <w:tc>
          <w:tcPr>
            <w:tcW w:w="1680" w:type="dxa"/>
            <w:tcBorders>
              <w:tl2br w:val="nil"/>
              <w:tr2bl w:val="nil"/>
            </w:tcBorders>
            <w:vAlign w:val="center"/>
          </w:tcPr>
          <w:p w14:paraId="4C87BCF3">
            <w:pPr>
              <w:pStyle w:val="55"/>
              <w:bidi w:val="0"/>
              <w:rPr>
                <w:rFonts w:hint="default"/>
                <w:lang w:val="en-US" w:eastAsia="zh-CN"/>
              </w:rPr>
            </w:pPr>
            <w:r>
              <w:rPr>
                <w:rFonts w:hint="default"/>
                <w:lang w:val="en-US" w:eastAsia="zh-CN"/>
              </w:rPr>
              <w:t>声环境保护目标处噪声值</w:t>
            </w:r>
          </w:p>
        </w:tc>
        <w:tc>
          <w:tcPr>
            <w:tcW w:w="6418" w:type="dxa"/>
            <w:gridSpan w:val="10"/>
            <w:tcBorders>
              <w:tl2br w:val="nil"/>
              <w:tr2bl w:val="nil"/>
            </w:tcBorders>
            <w:vAlign w:val="center"/>
          </w:tcPr>
          <w:p w14:paraId="257FC0B6">
            <w:pPr>
              <w:pStyle w:val="55"/>
              <w:bidi w:val="0"/>
              <w:rPr>
                <w:rFonts w:hint="default"/>
                <w:lang w:val="en-US" w:eastAsia="zh-CN"/>
              </w:rPr>
            </w:pPr>
            <w:r>
              <w:rPr>
                <w:rFonts w:hint="default"/>
                <w:lang w:val="en-US" w:eastAsia="zh-CN"/>
              </w:rPr>
              <w:t>达标</w:t>
            </w:r>
            <w:r>
              <w:rPr>
                <w:rFonts w:hint="eastAsia"/>
                <w:lang w:val="en-US" w:eastAsia="zh-CN"/>
              </w:rPr>
              <w:t>□</w:t>
            </w:r>
            <w:r>
              <w:rPr>
                <w:rFonts w:hint="default"/>
                <w:lang w:val="en-US" w:eastAsia="zh-CN"/>
              </w:rPr>
              <w:tab/>
            </w:r>
            <w:r>
              <w:rPr>
                <w:rFonts w:hint="default"/>
                <w:lang w:val="en-US" w:eastAsia="zh-CN"/>
              </w:rPr>
              <w:t>不达标□</w:t>
            </w:r>
          </w:p>
        </w:tc>
      </w:tr>
      <w:tr w14:paraId="55272E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2" w:hRule="atLeast"/>
        </w:trPr>
        <w:tc>
          <w:tcPr>
            <w:tcW w:w="1030" w:type="dxa"/>
            <w:vMerge w:val="restart"/>
            <w:tcBorders>
              <w:tl2br w:val="nil"/>
              <w:tr2bl w:val="nil"/>
            </w:tcBorders>
            <w:vAlign w:val="center"/>
          </w:tcPr>
          <w:p w14:paraId="230CB071">
            <w:pPr>
              <w:pStyle w:val="55"/>
              <w:bidi w:val="0"/>
              <w:rPr>
                <w:rFonts w:hint="default"/>
                <w:lang w:val="en-US" w:eastAsia="zh-CN"/>
              </w:rPr>
            </w:pPr>
            <w:r>
              <w:rPr>
                <w:rFonts w:hint="default"/>
                <w:lang w:val="en-US" w:eastAsia="zh-CN"/>
              </w:rPr>
              <w:t>环境监测计划</w:t>
            </w:r>
          </w:p>
        </w:tc>
        <w:tc>
          <w:tcPr>
            <w:tcW w:w="1680" w:type="dxa"/>
            <w:tcBorders>
              <w:tl2br w:val="nil"/>
              <w:tr2bl w:val="nil"/>
            </w:tcBorders>
            <w:vAlign w:val="center"/>
          </w:tcPr>
          <w:p w14:paraId="57A1EB40">
            <w:pPr>
              <w:pStyle w:val="55"/>
              <w:bidi w:val="0"/>
              <w:rPr>
                <w:rFonts w:hint="default"/>
                <w:lang w:val="en-US" w:eastAsia="zh-CN"/>
              </w:rPr>
            </w:pPr>
            <w:r>
              <w:rPr>
                <w:rFonts w:hint="default"/>
                <w:lang w:val="en-US" w:eastAsia="zh-CN"/>
              </w:rPr>
              <w:t>排放监测</w:t>
            </w:r>
          </w:p>
        </w:tc>
        <w:tc>
          <w:tcPr>
            <w:tcW w:w="6418" w:type="dxa"/>
            <w:gridSpan w:val="10"/>
            <w:tcBorders>
              <w:tl2br w:val="nil"/>
              <w:tr2bl w:val="nil"/>
            </w:tcBorders>
            <w:vAlign w:val="center"/>
          </w:tcPr>
          <w:p w14:paraId="047EB462">
            <w:pPr>
              <w:pStyle w:val="55"/>
              <w:bidi w:val="0"/>
              <w:rPr>
                <w:rFonts w:hint="default"/>
                <w:lang w:val="en-US" w:eastAsia="zh-CN"/>
              </w:rPr>
            </w:pPr>
            <w:r>
              <w:rPr>
                <w:rFonts w:hint="default"/>
                <w:lang w:val="en-US" w:eastAsia="zh-CN"/>
              </w:rPr>
              <w:t>厂界监测☑</w:t>
            </w:r>
            <w:r>
              <w:rPr>
                <w:rFonts w:hint="default"/>
                <w:lang w:val="en-US" w:eastAsia="zh-CN"/>
              </w:rPr>
              <w:tab/>
            </w:r>
            <w:r>
              <w:rPr>
                <w:rFonts w:hint="default"/>
                <w:lang w:val="en-US" w:eastAsia="zh-CN"/>
              </w:rPr>
              <w:t>固定位置监测□</w:t>
            </w:r>
            <w:r>
              <w:rPr>
                <w:rFonts w:hint="default"/>
                <w:lang w:val="en-US" w:eastAsia="zh-CN"/>
              </w:rPr>
              <w:tab/>
            </w:r>
            <w:r>
              <w:rPr>
                <w:rFonts w:hint="default"/>
                <w:lang w:val="en-US" w:eastAsia="zh-CN"/>
              </w:rPr>
              <w:t>自动检测□</w:t>
            </w:r>
            <w:r>
              <w:rPr>
                <w:rFonts w:hint="default"/>
                <w:lang w:val="en-US" w:eastAsia="zh-CN"/>
              </w:rPr>
              <w:tab/>
            </w:r>
            <w:r>
              <w:rPr>
                <w:rFonts w:hint="default"/>
                <w:lang w:val="en-US" w:eastAsia="zh-CN"/>
              </w:rPr>
              <w:t>手动监测☑无监测□</w:t>
            </w:r>
          </w:p>
        </w:tc>
      </w:tr>
      <w:tr w14:paraId="672858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trPr>
        <w:tc>
          <w:tcPr>
            <w:tcW w:w="1030" w:type="dxa"/>
            <w:vMerge w:val="continue"/>
            <w:tcBorders>
              <w:tl2br w:val="nil"/>
              <w:tr2bl w:val="nil"/>
            </w:tcBorders>
            <w:vAlign w:val="center"/>
          </w:tcPr>
          <w:p w14:paraId="4AE76387">
            <w:pPr>
              <w:pStyle w:val="55"/>
              <w:bidi w:val="0"/>
              <w:rPr>
                <w:rFonts w:hint="default"/>
                <w:lang w:val="en-US" w:eastAsia="zh-CN"/>
              </w:rPr>
            </w:pPr>
          </w:p>
        </w:tc>
        <w:tc>
          <w:tcPr>
            <w:tcW w:w="1680" w:type="dxa"/>
            <w:tcBorders>
              <w:tl2br w:val="nil"/>
              <w:tr2bl w:val="nil"/>
            </w:tcBorders>
            <w:vAlign w:val="center"/>
          </w:tcPr>
          <w:p w14:paraId="10C8B4A6">
            <w:pPr>
              <w:pStyle w:val="55"/>
              <w:bidi w:val="0"/>
              <w:rPr>
                <w:rFonts w:hint="default"/>
                <w:lang w:val="en-US" w:eastAsia="zh-CN"/>
              </w:rPr>
            </w:pPr>
            <w:r>
              <w:rPr>
                <w:rFonts w:hint="default"/>
                <w:lang w:val="en-US" w:eastAsia="zh-CN"/>
              </w:rPr>
              <w:t>声环境保护目标处噪声监测</w:t>
            </w:r>
          </w:p>
        </w:tc>
        <w:tc>
          <w:tcPr>
            <w:tcW w:w="2636" w:type="dxa"/>
            <w:gridSpan w:val="4"/>
            <w:tcBorders>
              <w:tl2br w:val="nil"/>
              <w:tr2bl w:val="nil"/>
            </w:tcBorders>
            <w:vAlign w:val="center"/>
          </w:tcPr>
          <w:p w14:paraId="2F37BD49">
            <w:pPr>
              <w:pStyle w:val="55"/>
              <w:bidi w:val="0"/>
              <w:rPr>
                <w:rFonts w:hint="default"/>
                <w:lang w:val="en-US" w:eastAsia="zh-CN"/>
              </w:rPr>
            </w:pPr>
            <w:r>
              <w:rPr>
                <w:rFonts w:hint="default"/>
                <w:lang w:val="en-US" w:eastAsia="zh-CN"/>
              </w:rPr>
              <w:t>监测因子：（等效连续A声级）</w:t>
            </w:r>
          </w:p>
        </w:tc>
        <w:tc>
          <w:tcPr>
            <w:tcW w:w="2057" w:type="dxa"/>
            <w:gridSpan w:val="4"/>
            <w:tcBorders>
              <w:tl2br w:val="nil"/>
              <w:tr2bl w:val="nil"/>
            </w:tcBorders>
            <w:vAlign w:val="center"/>
          </w:tcPr>
          <w:p w14:paraId="05D94F2B">
            <w:pPr>
              <w:pStyle w:val="55"/>
              <w:bidi w:val="0"/>
              <w:rPr>
                <w:rFonts w:hint="default"/>
                <w:lang w:val="en-US" w:eastAsia="zh-CN"/>
              </w:rPr>
            </w:pPr>
            <w:r>
              <w:rPr>
                <w:rFonts w:hint="default"/>
                <w:lang w:val="en-US" w:eastAsia="zh-CN"/>
              </w:rPr>
              <w:t>监测点位数（</w:t>
            </w:r>
            <w:r>
              <w:rPr>
                <w:rFonts w:hint="eastAsia"/>
                <w:lang w:val="en-US" w:eastAsia="zh-CN"/>
              </w:rPr>
              <w:t xml:space="preserve"> </w:t>
            </w:r>
            <w:r>
              <w:rPr>
                <w:rFonts w:hint="default"/>
                <w:lang w:val="en-US" w:eastAsia="zh-CN"/>
              </w:rPr>
              <w:t>）</w:t>
            </w:r>
          </w:p>
        </w:tc>
        <w:tc>
          <w:tcPr>
            <w:tcW w:w="1725" w:type="dxa"/>
            <w:gridSpan w:val="2"/>
            <w:tcBorders>
              <w:tl2br w:val="nil"/>
              <w:tr2bl w:val="nil"/>
            </w:tcBorders>
            <w:vAlign w:val="center"/>
          </w:tcPr>
          <w:p w14:paraId="466583B6">
            <w:pPr>
              <w:pStyle w:val="55"/>
              <w:bidi w:val="0"/>
              <w:rPr>
                <w:rFonts w:hint="default"/>
                <w:lang w:val="en-US" w:eastAsia="zh-CN"/>
              </w:rPr>
            </w:pPr>
            <w:r>
              <w:rPr>
                <w:rFonts w:hint="default"/>
                <w:lang w:val="en-US" w:eastAsia="zh-CN"/>
              </w:rPr>
              <w:t>无监测</w:t>
            </w:r>
            <w:r>
              <w:rPr>
                <w:rFonts w:hint="eastAsia"/>
                <w:lang w:val="en-US" w:eastAsia="zh-CN"/>
              </w:rPr>
              <w:t>☑</w:t>
            </w:r>
          </w:p>
        </w:tc>
      </w:tr>
      <w:tr w14:paraId="5DF142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2" w:hRule="atLeast"/>
        </w:trPr>
        <w:tc>
          <w:tcPr>
            <w:tcW w:w="1030" w:type="dxa"/>
            <w:tcBorders>
              <w:tl2br w:val="nil"/>
              <w:tr2bl w:val="nil"/>
            </w:tcBorders>
            <w:vAlign w:val="center"/>
          </w:tcPr>
          <w:p w14:paraId="32834117">
            <w:pPr>
              <w:pStyle w:val="55"/>
              <w:bidi w:val="0"/>
              <w:rPr>
                <w:rFonts w:hint="default"/>
                <w:lang w:val="en-US" w:eastAsia="zh-CN"/>
              </w:rPr>
            </w:pPr>
            <w:r>
              <w:rPr>
                <w:rFonts w:hint="default"/>
                <w:lang w:val="en-US" w:eastAsia="zh-CN"/>
              </w:rPr>
              <w:t>评价结论</w:t>
            </w:r>
          </w:p>
        </w:tc>
        <w:tc>
          <w:tcPr>
            <w:tcW w:w="1680" w:type="dxa"/>
            <w:tcBorders>
              <w:tl2br w:val="nil"/>
              <w:tr2bl w:val="nil"/>
            </w:tcBorders>
            <w:vAlign w:val="center"/>
          </w:tcPr>
          <w:p w14:paraId="30307751">
            <w:pPr>
              <w:pStyle w:val="55"/>
              <w:bidi w:val="0"/>
              <w:rPr>
                <w:rFonts w:hint="default"/>
                <w:lang w:val="en-US" w:eastAsia="zh-CN"/>
              </w:rPr>
            </w:pPr>
            <w:r>
              <w:rPr>
                <w:rFonts w:hint="default"/>
                <w:lang w:val="en-US" w:eastAsia="zh-CN"/>
              </w:rPr>
              <w:t>环境影响</w:t>
            </w:r>
          </w:p>
        </w:tc>
        <w:tc>
          <w:tcPr>
            <w:tcW w:w="6418" w:type="dxa"/>
            <w:gridSpan w:val="10"/>
            <w:tcBorders>
              <w:tl2br w:val="nil"/>
              <w:tr2bl w:val="nil"/>
            </w:tcBorders>
            <w:vAlign w:val="center"/>
          </w:tcPr>
          <w:p w14:paraId="2650F257">
            <w:pPr>
              <w:pStyle w:val="55"/>
              <w:bidi w:val="0"/>
              <w:rPr>
                <w:rFonts w:hint="default"/>
                <w:lang w:val="en-US" w:eastAsia="zh-CN"/>
              </w:rPr>
            </w:pPr>
            <w:r>
              <w:rPr>
                <w:rFonts w:hint="default"/>
                <w:lang w:val="en-US" w:eastAsia="zh-CN"/>
              </w:rPr>
              <w:t>可行☑</w:t>
            </w:r>
            <w:r>
              <w:rPr>
                <w:rFonts w:hint="default"/>
                <w:lang w:val="en-US" w:eastAsia="zh-CN"/>
              </w:rPr>
              <w:tab/>
            </w:r>
            <w:r>
              <w:rPr>
                <w:rFonts w:hint="default"/>
                <w:lang w:val="en-US" w:eastAsia="zh-CN"/>
              </w:rPr>
              <w:t>不可行□</w:t>
            </w:r>
          </w:p>
        </w:tc>
      </w:tr>
      <w:tr w14:paraId="46D952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9128" w:type="dxa"/>
            <w:gridSpan w:val="12"/>
            <w:tcBorders>
              <w:tl2br w:val="nil"/>
              <w:tr2bl w:val="nil"/>
            </w:tcBorders>
            <w:vAlign w:val="center"/>
          </w:tcPr>
          <w:p w14:paraId="27166F79">
            <w:pPr>
              <w:pStyle w:val="55"/>
              <w:bidi w:val="0"/>
              <w:rPr>
                <w:rFonts w:hint="default"/>
                <w:lang w:val="en-US" w:eastAsia="zh-CN"/>
              </w:rPr>
            </w:pPr>
            <w:r>
              <w:rPr>
                <w:rFonts w:hint="default"/>
                <w:lang w:val="en-US" w:eastAsia="zh-CN"/>
              </w:rPr>
              <w:t>注：“□”为勾选项，填“√”；“（</w:t>
            </w:r>
            <w:r>
              <w:rPr>
                <w:rFonts w:hint="default"/>
                <w:lang w:val="en-US" w:eastAsia="zh-CN"/>
              </w:rPr>
              <w:tab/>
            </w:r>
            <w:r>
              <w:rPr>
                <w:rFonts w:hint="default"/>
                <w:lang w:val="en-US" w:eastAsia="zh-CN"/>
              </w:rPr>
              <w:t>）”为内容填写项。</w:t>
            </w:r>
          </w:p>
        </w:tc>
      </w:tr>
    </w:tbl>
    <w:p w14:paraId="67D5DCC1">
      <w:pPr>
        <w:pStyle w:val="90"/>
        <w:bidi w:val="0"/>
        <w:ind w:left="0" w:leftChars="0" w:firstLine="0" w:firstLineChars="0"/>
      </w:pPr>
      <w:bookmarkStart w:id="60" w:name="_Toc14842"/>
      <w:r>
        <w:rPr>
          <w:rFonts w:hint="eastAsia"/>
        </w:rPr>
        <w:t>固体废物对环境的影响分析</w:t>
      </w:r>
      <w:bookmarkEnd w:id="60"/>
    </w:p>
    <w:p w14:paraId="2189AA94">
      <w:pPr>
        <w:pStyle w:val="92"/>
        <w:bidi w:val="0"/>
        <w:ind w:left="0" w:leftChars="0" w:firstLine="0" w:firstLineChars="0"/>
      </w:pPr>
      <w:r>
        <w:rPr>
          <w:rFonts w:hint="eastAsia"/>
        </w:rPr>
        <w:t>固体废物产生量及处置措施可行性</w:t>
      </w:r>
    </w:p>
    <w:p w14:paraId="16B744A3">
      <w:pPr>
        <w:pStyle w:val="47"/>
        <w:ind w:firstLine="482"/>
        <w:rPr>
          <w:szCs w:val="24"/>
        </w:rPr>
      </w:pPr>
      <w:r>
        <w:rPr>
          <w:rFonts w:hint="eastAsia"/>
        </w:rPr>
        <w:t>项目产生的固废包括一般工业固体废物、生活垃圾及危险废物。其中，一般工业固体废物包括</w:t>
      </w:r>
      <w:r>
        <w:rPr>
          <w:rFonts w:hint="eastAsia"/>
          <w:u w:val="none"/>
        </w:rPr>
        <w:t>分拣废物</w:t>
      </w:r>
      <w:r>
        <w:rPr>
          <w:rFonts w:hint="eastAsia"/>
          <w:u w:val="none"/>
          <w:lang w:eastAsia="zh-CN"/>
        </w:rPr>
        <w:t>、</w:t>
      </w:r>
      <w:r>
        <w:rPr>
          <w:rFonts w:hint="eastAsia"/>
          <w:u w:val="none"/>
        </w:rPr>
        <w:t>沉淀池污泥</w:t>
      </w:r>
      <w:r>
        <w:rPr>
          <w:rFonts w:hint="eastAsia"/>
          <w:u w:val="none"/>
          <w:lang w:eastAsia="zh-CN"/>
        </w:rPr>
        <w:t>、</w:t>
      </w:r>
      <w:r>
        <w:rPr>
          <w:rFonts w:hint="eastAsia"/>
          <w:u w:val="none"/>
        </w:rPr>
        <w:t>废滤网</w:t>
      </w:r>
      <w:r>
        <w:rPr>
          <w:rFonts w:hint="eastAsia"/>
          <w:u w:val="none"/>
          <w:lang w:eastAsia="zh-CN"/>
        </w:rPr>
        <w:t>、</w:t>
      </w:r>
      <w:r>
        <w:rPr>
          <w:rFonts w:hint="eastAsia"/>
          <w:u w:val="none"/>
        </w:rPr>
        <w:t>布袋除尘器除尘灰</w:t>
      </w:r>
      <w:r>
        <w:rPr>
          <w:rFonts w:hint="eastAsia"/>
          <w:u w:val="none"/>
          <w:lang w:eastAsia="zh-CN"/>
        </w:rPr>
        <w:t>、</w:t>
      </w:r>
      <w:r>
        <w:rPr>
          <w:rFonts w:hint="eastAsia"/>
          <w:u w:val="none"/>
        </w:rPr>
        <w:t>废包装袋</w:t>
      </w:r>
      <w:r>
        <w:rPr>
          <w:rFonts w:hint="eastAsia"/>
        </w:rPr>
        <w:t>；危险废物包括</w:t>
      </w:r>
      <w:r>
        <w:rPr>
          <w:rFonts w:hint="eastAsia"/>
          <w:u w:val="none"/>
        </w:rPr>
        <w:t>废活性炭</w:t>
      </w:r>
      <w:r>
        <w:rPr>
          <w:rFonts w:hint="eastAsia"/>
          <w:u w:val="none"/>
          <w:lang w:eastAsia="zh-CN"/>
        </w:rPr>
        <w:t>、</w:t>
      </w:r>
      <w:r>
        <w:rPr>
          <w:rFonts w:hint="eastAsia"/>
          <w:u w:val="none"/>
        </w:rPr>
        <w:t>废过滤棉</w:t>
      </w:r>
      <w:r>
        <w:rPr>
          <w:rFonts w:hint="eastAsia"/>
          <w:u w:val="none"/>
          <w:lang w:eastAsia="zh-CN"/>
        </w:rPr>
        <w:t>、</w:t>
      </w:r>
      <w:r>
        <w:rPr>
          <w:rFonts w:hint="eastAsia"/>
          <w:u w:val="none"/>
        </w:rPr>
        <w:t>废润滑油</w:t>
      </w:r>
      <w:r>
        <w:rPr>
          <w:rFonts w:hint="eastAsia"/>
          <w:u w:val="none"/>
          <w:lang w:eastAsia="zh-CN"/>
        </w:rPr>
        <w:t>、</w:t>
      </w:r>
      <w:r>
        <w:rPr>
          <w:rFonts w:hint="eastAsia"/>
          <w:u w:val="none"/>
        </w:rPr>
        <w:t>废润滑油桶</w:t>
      </w:r>
      <w:r>
        <w:rPr>
          <w:rFonts w:hint="eastAsia"/>
        </w:rPr>
        <w:t>。项目固体废物产生及处置情况详见下表。</w:t>
      </w:r>
    </w:p>
    <w:p w14:paraId="438BDE88">
      <w:pPr>
        <w:pStyle w:val="94"/>
        <w:bidi w:val="0"/>
        <w:ind w:left="0" w:leftChars="0" w:firstLine="0" w:firstLineChars="0"/>
      </w:pPr>
      <w:r>
        <w:rPr>
          <w:rFonts w:hint="eastAsia"/>
        </w:rPr>
        <w:t>固体废物产生情况</w:t>
      </w:r>
    </w:p>
    <w:tbl>
      <w:tblPr>
        <w:tblStyle w:val="3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663"/>
        <w:gridCol w:w="1412"/>
        <w:gridCol w:w="764"/>
        <w:gridCol w:w="1434"/>
        <w:gridCol w:w="1412"/>
        <w:gridCol w:w="3494"/>
      </w:tblGrid>
      <w:tr w14:paraId="7B159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361" w:type="pct"/>
            <w:noWrap w:val="0"/>
            <w:vAlign w:val="center"/>
          </w:tcPr>
          <w:p w14:paraId="3B692845">
            <w:pPr>
              <w:pStyle w:val="55"/>
              <w:bidi w:val="0"/>
              <w:rPr>
                <w:rFonts w:hint="default"/>
                <w:sz w:val="24"/>
                <w:szCs w:val="24"/>
              </w:rPr>
            </w:pPr>
            <w:r>
              <w:rPr>
                <w:rFonts w:hint="default"/>
                <w:sz w:val="24"/>
                <w:szCs w:val="24"/>
              </w:rPr>
              <w:t>编号</w:t>
            </w:r>
          </w:p>
        </w:tc>
        <w:tc>
          <w:tcPr>
            <w:tcW w:w="769" w:type="pct"/>
            <w:noWrap w:val="0"/>
            <w:vAlign w:val="center"/>
          </w:tcPr>
          <w:p w14:paraId="7E788BEA">
            <w:pPr>
              <w:pStyle w:val="55"/>
              <w:bidi w:val="0"/>
              <w:rPr>
                <w:rFonts w:hint="default"/>
                <w:sz w:val="24"/>
                <w:szCs w:val="24"/>
              </w:rPr>
            </w:pPr>
            <w:r>
              <w:rPr>
                <w:rFonts w:hint="default"/>
                <w:sz w:val="24"/>
                <w:szCs w:val="24"/>
              </w:rPr>
              <w:t>固废名称</w:t>
            </w:r>
          </w:p>
        </w:tc>
        <w:tc>
          <w:tcPr>
            <w:tcW w:w="416" w:type="pct"/>
            <w:noWrap w:val="0"/>
            <w:vAlign w:val="center"/>
          </w:tcPr>
          <w:p w14:paraId="05F15515">
            <w:pPr>
              <w:pStyle w:val="55"/>
              <w:bidi w:val="0"/>
              <w:rPr>
                <w:rFonts w:hint="default"/>
                <w:sz w:val="24"/>
                <w:szCs w:val="24"/>
              </w:rPr>
            </w:pPr>
            <w:r>
              <w:rPr>
                <w:rFonts w:hint="default"/>
                <w:sz w:val="24"/>
                <w:szCs w:val="24"/>
              </w:rPr>
              <w:t>属性</w:t>
            </w:r>
          </w:p>
        </w:tc>
        <w:tc>
          <w:tcPr>
            <w:tcW w:w="781" w:type="pct"/>
            <w:noWrap w:val="0"/>
            <w:vAlign w:val="center"/>
          </w:tcPr>
          <w:p w14:paraId="1F410CE7">
            <w:pPr>
              <w:pStyle w:val="55"/>
              <w:bidi w:val="0"/>
              <w:rPr>
                <w:rFonts w:hint="default"/>
                <w:sz w:val="24"/>
                <w:szCs w:val="24"/>
              </w:rPr>
            </w:pPr>
            <w:r>
              <w:rPr>
                <w:rFonts w:hint="default"/>
                <w:sz w:val="24"/>
                <w:szCs w:val="24"/>
              </w:rPr>
              <w:t>废物代码</w:t>
            </w:r>
          </w:p>
        </w:tc>
        <w:tc>
          <w:tcPr>
            <w:tcW w:w="769" w:type="pct"/>
            <w:noWrap w:val="0"/>
            <w:vAlign w:val="center"/>
          </w:tcPr>
          <w:p w14:paraId="0C7B8388">
            <w:pPr>
              <w:pStyle w:val="55"/>
              <w:bidi w:val="0"/>
              <w:rPr>
                <w:rFonts w:hint="default"/>
                <w:sz w:val="24"/>
                <w:szCs w:val="24"/>
                <w:lang w:val="en-US" w:eastAsia="zh-CN"/>
              </w:rPr>
            </w:pPr>
            <w:r>
              <w:rPr>
                <w:rFonts w:hint="default"/>
                <w:sz w:val="24"/>
                <w:szCs w:val="24"/>
              </w:rPr>
              <w:t>产生量</w:t>
            </w:r>
            <w:r>
              <w:rPr>
                <w:rFonts w:hint="eastAsia"/>
                <w:sz w:val="24"/>
                <w:szCs w:val="24"/>
                <w:lang w:val="en-US" w:eastAsia="zh-CN"/>
              </w:rPr>
              <w:t>（</w:t>
            </w:r>
            <w:r>
              <w:rPr>
                <w:rFonts w:hint="default"/>
                <w:sz w:val="24"/>
                <w:szCs w:val="24"/>
                <w:lang w:val="en-US" w:eastAsia="zh-CN"/>
              </w:rPr>
              <w:t>t/a</w:t>
            </w:r>
            <w:r>
              <w:rPr>
                <w:rFonts w:hint="eastAsia"/>
                <w:sz w:val="24"/>
                <w:szCs w:val="24"/>
                <w:lang w:val="en-US" w:eastAsia="zh-CN"/>
              </w:rPr>
              <w:t>）</w:t>
            </w:r>
          </w:p>
        </w:tc>
        <w:tc>
          <w:tcPr>
            <w:tcW w:w="1902" w:type="pct"/>
            <w:noWrap w:val="0"/>
            <w:vAlign w:val="center"/>
          </w:tcPr>
          <w:p w14:paraId="5022AB9B">
            <w:pPr>
              <w:pStyle w:val="55"/>
              <w:bidi w:val="0"/>
              <w:rPr>
                <w:rFonts w:hint="default"/>
                <w:sz w:val="24"/>
                <w:szCs w:val="24"/>
              </w:rPr>
            </w:pPr>
            <w:r>
              <w:rPr>
                <w:rFonts w:hint="default"/>
                <w:sz w:val="24"/>
                <w:szCs w:val="24"/>
              </w:rPr>
              <w:t>处置方法</w:t>
            </w:r>
          </w:p>
        </w:tc>
      </w:tr>
      <w:tr w14:paraId="09021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361" w:type="pct"/>
            <w:noWrap w:val="0"/>
            <w:vAlign w:val="center"/>
          </w:tcPr>
          <w:p w14:paraId="6FF5FF4C">
            <w:pPr>
              <w:pStyle w:val="55"/>
              <w:bidi w:val="0"/>
              <w:rPr>
                <w:rFonts w:hint="default"/>
                <w:sz w:val="24"/>
                <w:szCs w:val="24"/>
              </w:rPr>
            </w:pPr>
            <w:r>
              <w:rPr>
                <w:rFonts w:hint="default"/>
                <w:sz w:val="24"/>
                <w:szCs w:val="24"/>
              </w:rPr>
              <w:t>1</w:t>
            </w:r>
          </w:p>
        </w:tc>
        <w:tc>
          <w:tcPr>
            <w:tcW w:w="769" w:type="pct"/>
            <w:noWrap w:val="0"/>
            <w:vAlign w:val="center"/>
          </w:tcPr>
          <w:p w14:paraId="0D7FC060">
            <w:pPr>
              <w:pStyle w:val="55"/>
              <w:rPr>
                <w:rFonts w:hint="default"/>
                <w:sz w:val="24"/>
                <w:szCs w:val="24"/>
              </w:rPr>
            </w:pPr>
            <w:r>
              <w:rPr>
                <w:rFonts w:hint="eastAsia"/>
                <w:sz w:val="24"/>
                <w:szCs w:val="24"/>
              </w:rPr>
              <w:t>分拣废物</w:t>
            </w:r>
          </w:p>
        </w:tc>
        <w:tc>
          <w:tcPr>
            <w:tcW w:w="416" w:type="pct"/>
            <w:vMerge w:val="restart"/>
            <w:noWrap w:val="0"/>
            <w:vAlign w:val="center"/>
          </w:tcPr>
          <w:p w14:paraId="22915C0D">
            <w:pPr>
              <w:pStyle w:val="55"/>
              <w:bidi w:val="0"/>
              <w:rPr>
                <w:rFonts w:hint="default"/>
                <w:sz w:val="24"/>
                <w:szCs w:val="24"/>
                <w:lang w:eastAsia="zh-CN"/>
              </w:rPr>
            </w:pPr>
            <w:r>
              <w:rPr>
                <w:rFonts w:hint="default"/>
                <w:sz w:val="24"/>
                <w:szCs w:val="24"/>
                <w:lang w:eastAsia="zh-CN"/>
              </w:rPr>
              <w:t>一般固废</w:t>
            </w:r>
          </w:p>
        </w:tc>
        <w:tc>
          <w:tcPr>
            <w:tcW w:w="781" w:type="pct"/>
            <w:noWrap w:val="0"/>
            <w:vAlign w:val="center"/>
          </w:tcPr>
          <w:p w14:paraId="141B09FB">
            <w:pPr>
              <w:pStyle w:val="55"/>
              <w:rPr>
                <w:rFonts w:hint="default"/>
                <w:sz w:val="24"/>
                <w:szCs w:val="24"/>
                <w:lang w:val="en-US" w:eastAsia="en-US"/>
              </w:rPr>
            </w:pPr>
            <w:r>
              <w:rPr>
                <w:rFonts w:hint="eastAsia" w:ascii="Times New Roman" w:hAnsi="Times New Roman" w:eastAsia="宋体" w:cs="Times New Roman"/>
                <w:color w:val="auto"/>
                <w:sz w:val="24"/>
                <w:szCs w:val="24"/>
                <w:highlight w:val="none"/>
                <w:lang w:val="en-US" w:eastAsia="zh-CN"/>
              </w:rPr>
              <w:t>900-999-99</w:t>
            </w:r>
          </w:p>
        </w:tc>
        <w:tc>
          <w:tcPr>
            <w:tcW w:w="769" w:type="pct"/>
            <w:noWrap w:val="0"/>
            <w:vAlign w:val="center"/>
          </w:tcPr>
          <w:p w14:paraId="791CA85C">
            <w:pPr>
              <w:pStyle w:val="55"/>
              <w:rPr>
                <w:rFonts w:hint="default"/>
                <w:sz w:val="24"/>
                <w:szCs w:val="24"/>
                <w:lang w:val="en-US" w:eastAsia="zh-CN"/>
              </w:rPr>
            </w:pPr>
            <w:r>
              <w:rPr>
                <w:rFonts w:hint="eastAsia"/>
                <w:lang w:val="en-US" w:eastAsia="zh-CN"/>
              </w:rPr>
              <w:t>1.83</w:t>
            </w:r>
          </w:p>
        </w:tc>
        <w:tc>
          <w:tcPr>
            <w:tcW w:w="1902" w:type="pct"/>
            <w:noWrap w:val="0"/>
            <w:vAlign w:val="center"/>
          </w:tcPr>
          <w:p w14:paraId="0113EFE2">
            <w:pPr>
              <w:pStyle w:val="55"/>
              <w:rPr>
                <w:rFonts w:hint="default"/>
                <w:sz w:val="24"/>
                <w:szCs w:val="24"/>
                <w:lang w:eastAsia="zh-CN"/>
              </w:rPr>
            </w:pPr>
            <w:r>
              <w:rPr>
                <w:rFonts w:hint="eastAsia"/>
                <w:sz w:val="24"/>
                <w:szCs w:val="24"/>
              </w:rPr>
              <w:t>定期送往环卫部门指定地点处置</w:t>
            </w:r>
          </w:p>
        </w:tc>
      </w:tr>
      <w:tr w14:paraId="7CC90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361" w:type="pct"/>
            <w:noWrap w:val="0"/>
            <w:vAlign w:val="center"/>
          </w:tcPr>
          <w:p w14:paraId="1DB0270E">
            <w:pPr>
              <w:pStyle w:val="55"/>
              <w:bidi w:val="0"/>
              <w:rPr>
                <w:rFonts w:hint="default"/>
                <w:sz w:val="24"/>
                <w:szCs w:val="24"/>
                <w:lang w:val="en-US" w:eastAsia="zh-CN"/>
              </w:rPr>
            </w:pPr>
            <w:r>
              <w:rPr>
                <w:rFonts w:hint="default"/>
                <w:sz w:val="24"/>
                <w:szCs w:val="24"/>
                <w:lang w:val="en-US" w:eastAsia="zh-CN"/>
              </w:rPr>
              <w:t>2</w:t>
            </w:r>
          </w:p>
        </w:tc>
        <w:tc>
          <w:tcPr>
            <w:tcW w:w="769" w:type="pct"/>
            <w:noWrap w:val="0"/>
            <w:vAlign w:val="center"/>
          </w:tcPr>
          <w:p w14:paraId="71326C81">
            <w:pPr>
              <w:pStyle w:val="55"/>
              <w:rPr>
                <w:rFonts w:hint="default"/>
                <w:sz w:val="24"/>
                <w:szCs w:val="24"/>
                <w:lang w:eastAsia="zh-CN"/>
              </w:rPr>
            </w:pPr>
            <w:r>
              <w:rPr>
                <w:rFonts w:hint="eastAsia"/>
                <w:sz w:val="24"/>
                <w:szCs w:val="24"/>
              </w:rPr>
              <w:t>沉淀池污泥</w:t>
            </w:r>
          </w:p>
        </w:tc>
        <w:tc>
          <w:tcPr>
            <w:tcW w:w="416" w:type="pct"/>
            <w:vMerge w:val="continue"/>
            <w:noWrap w:val="0"/>
            <w:vAlign w:val="center"/>
          </w:tcPr>
          <w:p w14:paraId="3C09E1B5">
            <w:pPr>
              <w:pStyle w:val="55"/>
              <w:bidi w:val="0"/>
              <w:rPr>
                <w:rFonts w:hint="default"/>
                <w:sz w:val="24"/>
                <w:szCs w:val="24"/>
                <w:lang w:eastAsia="zh-CN"/>
              </w:rPr>
            </w:pPr>
          </w:p>
        </w:tc>
        <w:tc>
          <w:tcPr>
            <w:tcW w:w="781" w:type="pct"/>
            <w:noWrap w:val="0"/>
            <w:vAlign w:val="center"/>
          </w:tcPr>
          <w:p w14:paraId="107B0A59">
            <w:pPr>
              <w:pStyle w:val="55"/>
              <w:rPr>
                <w:rFonts w:hint="default"/>
                <w:sz w:val="24"/>
                <w:szCs w:val="24"/>
                <w:lang w:val="en-US" w:eastAsia="en-US"/>
              </w:rPr>
            </w:pPr>
            <w:r>
              <w:rPr>
                <w:rFonts w:hint="eastAsia" w:ascii="Times New Roman" w:hAnsi="Times New Roman" w:eastAsia="宋体" w:cs="Times New Roman"/>
                <w:color w:val="auto"/>
                <w:sz w:val="24"/>
                <w:szCs w:val="24"/>
                <w:highlight w:val="none"/>
                <w:lang w:val="en-US" w:eastAsia="zh-CN"/>
              </w:rPr>
              <w:t>900-999-99</w:t>
            </w:r>
          </w:p>
        </w:tc>
        <w:tc>
          <w:tcPr>
            <w:tcW w:w="769" w:type="pct"/>
            <w:noWrap w:val="0"/>
            <w:vAlign w:val="center"/>
          </w:tcPr>
          <w:p w14:paraId="25271117">
            <w:pPr>
              <w:pStyle w:val="55"/>
              <w:rPr>
                <w:rFonts w:hint="default"/>
                <w:sz w:val="24"/>
                <w:szCs w:val="24"/>
                <w:lang w:val="en-US" w:eastAsia="zh-CN"/>
              </w:rPr>
            </w:pPr>
            <w:r>
              <w:rPr>
                <w:rFonts w:hint="eastAsia"/>
                <w:sz w:val="24"/>
                <w:szCs w:val="24"/>
                <w:lang w:val="en-US" w:eastAsia="zh-CN"/>
              </w:rPr>
              <w:t>2</w:t>
            </w:r>
          </w:p>
        </w:tc>
        <w:tc>
          <w:tcPr>
            <w:tcW w:w="1902" w:type="pct"/>
            <w:noWrap w:val="0"/>
            <w:vAlign w:val="center"/>
          </w:tcPr>
          <w:p w14:paraId="28467863">
            <w:pPr>
              <w:pStyle w:val="55"/>
              <w:rPr>
                <w:rFonts w:hint="default"/>
                <w:sz w:val="24"/>
                <w:szCs w:val="24"/>
                <w:lang w:eastAsia="zh-CN"/>
              </w:rPr>
            </w:pPr>
            <w:r>
              <w:rPr>
                <w:rFonts w:hint="eastAsia"/>
                <w:sz w:val="24"/>
                <w:szCs w:val="24"/>
              </w:rPr>
              <w:t>定期清掏自然干化后作为生活垃圾交由环卫部门处理</w:t>
            </w:r>
          </w:p>
        </w:tc>
      </w:tr>
      <w:tr w14:paraId="348DD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361" w:type="pct"/>
            <w:noWrap w:val="0"/>
            <w:vAlign w:val="center"/>
          </w:tcPr>
          <w:p w14:paraId="117B4C68">
            <w:pPr>
              <w:pStyle w:val="55"/>
              <w:bidi w:val="0"/>
              <w:rPr>
                <w:rFonts w:hint="default"/>
                <w:sz w:val="24"/>
                <w:szCs w:val="24"/>
                <w:lang w:val="en-US" w:eastAsia="zh-CN"/>
              </w:rPr>
            </w:pPr>
            <w:r>
              <w:rPr>
                <w:rFonts w:hint="default"/>
                <w:sz w:val="24"/>
                <w:szCs w:val="24"/>
                <w:lang w:val="en-US" w:eastAsia="zh-CN"/>
              </w:rPr>
              <w:t>3</w:t>
            </w:r>
          </w:p>
        </w:tc>
        <w:tc>
          <w:tcPr>
            <w:tcW w:w="769" w:type="pct"/>
            <w:noWrap w:val="0"/>
            <w:vAlign w:val="center"/>
          </w:tcPr>
          <w:p w14:paraId="55C5A40C">
            <w:pPr>
              <w:pStyle w:val="55"/>
              <w:rPr>
                <w:rFonts w:hint="default"/>
                <w:sz w:val="24"/>
                <w:szCs w:val="24"/>
                <w:lang w:eastAsia="zh-CN"/>
              </w:rPr>
            </w:pPr>
            <w:r>
              <w:rPr>
                <w:rFonts w:hint="eastAsia"/>
                <w:sz w:val="24"/>
                <w:szCs w:val="24"/>
              </w:rPr>
              <w:t>废滤网</w:t>
            </w:r>
          </w:p>
        </w:tc>
        <w:tc>
          <w:tcPr>
            <w:tcW w:w="416" w:type="pct"/>
            <w:vMerge w:val="continue"/>
            <w:noWrap w:val="0"/>
            <w:vAlign w:val="center"/>
          </w:tcPr>
          <w:p w14:paraId="05DFFBBE">
            <w:pPr>
              <w:pStyle w:val="55"/>
              <w:bidi w:val="0"/>
              <w:rPr>
                <w:rFonts w:hint="default"/>
                <w:sz w:val="24"/>
                <w:szCs w:val="24"/>
                <w:lang w:eastAsia="zh-CN"/>
              </w:rPr>
            </w:pPr>
          </w:p>
        </w:tc>
        <w:tc>
          <w:tcPr>
            <w:tcW w:w="781" w:type="pct"/>
            <w:noWrap w:val="0"/>
            <w:vAlign w:val="center"/>
          </w:tcPr>
          <w:p w14:paraId="728059CB">
            <w:pPr>
              <w:pStyle w:val="55"/>
              <w:rPr>
                <w:rFonts w:hint="default"/>
                <w:sz w:val="24"/>
                <w:szCs w:val="24"/>
                <w:lang w:val="en-US" w:eastAsia="zh-CN"/>
              </w:rPr>
            </w:pPr>
            <w:r>
              <w:rPr>
                <w:rFonts w:hint="eastAsia" w:ascii="Times New Roman" w:hAnsi="Times New Roman" w:eastAsia="宋体" w:cs="Times New Roman"/>
                <w:color w:val="auto"/>
                <w:sz w:val="24"/>
                <w:szCs w:val="24"/>
                <w:highlight w:val="none"/>
                <w:lang w:val="en-US" w:eastAsia="zh-CN"/>
              </w:rPr>
              <w:t>900-999-99</w:t>
            </w:r>
          </w:p>
        </w:tc>
        <w:tc>
          <w:tcPr>
            <w:tcW w:w="769" w:type="pct"/>
            <w:noWrap w:val="0"/>
            <w:vAlign w:val="center"/>
          </w:tcPr>
          <w:p w14:paraId="1966664E">
            <w:pPr>
              <w:pStyle w:val="55"/>
              <w:rPr>
                <w:rFonts w:hint="default"/>
                <w:sz w:val="24"/>
                <w:szCs w:val="24"/>
                <w:lang w:val="en-US" w:eastAsia="zh-CN"/>
              </w:rPr>
            </w:pPr>
            <w:r>
              <w:rPr>
                <w:rFonts w:hint="eastAsia"/>
                <w:sz w:val="24"/>
                <w:szCs w:val="24"/>
                <w:lang w:val="en-US" w:eastAsia="zh-CN"/>
              </w:rPr>
              <w:t>3</w:t>
            </w:r>
          </w:p>
        </w:tc>
        <w:tc>
          <w:tcPr>
            <w:tcW w:w="1902" w:type="pct"/>
            <w:noWrap w:val="0"/>
            <w:vAlign w:val="center"/>
          </w:tcPr>
          <w:p w14:paraId="50F822C7">
            <w:pPr>
              <w:pStyle w:val="55"/>
              <w:rPr>
                <w:rFonts w:hint="default"/>
                <w:sz w:val="24"/>
                <w:szCs w:val="24"/>
                <w:lang w:eastAsia="zh-CN"/>
              </w:rPr>
            </w:pPr>
            <w:r>
              <w:rPr>
                <w:rFonts w:hint="default"/>
                <w:sz w:val="24"/>
                <w:szCs w:val="24"/>
                <w:lang w:val="en-US" w:eastAsia="zh-CN"/>
              </w:rPr>
              <w:t>由原厂家回收</w:t>
            </w:r>
          </w:p>
        </w:tc>
      </w:tr>
      <w:tr w14:paraId="526E0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361" w:type="pct"/>
            <w:noWrap w:val="0"/>
            <w:vAlign w:val="center"/>
          </w:tcPr>
          <w:p w14:paraId="0AA19E2C">
            <w:pPr>
              <w:pStyle w:val="55"/>
              <w:bidi w:val="0"/>
              <w:rPr>
                <w:rFonts w:hint="default"/>
                <w:sz w:val="24"/>
                <w:szCs w:val="24"/>
                <w:lang w:val="en-US" w:eastAsia="zh-CN"/>
              </w:rPr>
            </w:pPr>
            <w:r>
              <w:rPr>
                <w:rFonts w:hint="default"/>
                <w:sz w:val="24"/>
                <w:szCs w:val="24"/>
                <w:lang w:val="en-US" w:eastAsia="zh-CN"/>
              </w:rPr>
              <w:t>4</w:t>
            </w:r>
          </w:p>
        </w:tc>
        <w:tc>
          <w:tcPr>
            <w:tcW w:w="769" w:type="pct"/>
            <w:noWrap w:val="0"/>
            <w:vAlign w:val="center"/>
          </w:tcPr>
          <w:p w14:paraId="3F06EF3D">
            <w:pPr>
              <w:pStyle w:val="55"/>
              <w:rPr>
                <w:rFonts w:hint="default"/>
                <w:sz w:val="24"/>
                <w:szCs w:val="24"/>
                <w:lang w:eastAsia="zh-CN"/>
              </w:rPr>
            </w:pPr>
            <w:r>
              <w:rPr>
                <w:rFonts w:hint="eastAsia"/>
                <w:sz w:val="24"/>
                <w:szCs w:val="24"/>
              </w:rPr>
              <w:t>除尘灰</w:t>
            </w:r>
          </w:p>
        </w:tc>
        <w:tc>
          <w:tcPr>
            <w:tcW w:w="416" w:type="pct"/>
            <w:vMerge w:val="continue"/>
            <w:noWrap w:val="0"/>
            <w:vAlign w:val="center"/>
          </w:tcPr>
          <w:p w14:paraId="445063E5">
            <w:pPr>
              <w:pStyle w:val="55"/>
              <w:bidi w:val="0"/>
              <w:rPr>
                <w:rFonts w:hint="default"/>
                <w:sz w:val="24"/>
                <w:szCs w:val="24"/>
                <w:lang w:eastAsia="zh-CN"/>
              </w:rPr>
            </w:pPr>
          </w:p>
        </w:tc>
        <w:tc>
          <w:tcPr>
            <w:tcW w:w="781" w:type="pct"/>
            <w:noWrap w:val="0"/>
            <w:vAlign w:val="center"/>
          </w:tcPr>
          <w:p w14:paraId="3E13836A">
            <w:pPr>
              <w:pStyle w:val="55"/>
              <w:rPr>
                <w:rFonts w:hint="default"/>
                <w:sz w:val="24"/>
                <w:szCs w:val="24"/>
                <w:lang w:val="en-US" w:eastAsia="zh-CN"/>
              </w:rPr>
            </w:pPr>
            <w:r>
              <w:rPr>
                <w:rFonts w:hint="default" w:ascii="Times New Roman" w:hAnsi="Times New Roman" w:eastAsia="宋体" w:cs="Times New Roman"/>
                <w:color w:val="auto"/>
                <w:sz w:val="24"/>
                <w:szCs w:val="24"/>
                <w:highlight w:val="none"/>
                <w:lang w:val="en-US" w:eastAsia="en-US"/>
              </w:rPr>
              <w:t>900-999-99</w:t>
            </w:r>
          </w:p>
        </w:tc>
        <w:tc>
          <w:tcPr>
            <w:tcW w:w="769" w:type="pct"/>
            <w:noWrap w:val="0"/>
            <w:vAlign w:val="center"/>
          </w:tcPr>
          <w:p w14:paraId="48A2957D">
            <w:pPr>
              <w:pStyle w:val="55"/>
              <w:rPr>
                <w:rFonts w:hint="default"/>
                <w:sz w:val="24"/>
                <w:szCs w:val="24"/>
                <w:lang w:val="en-US" w:eastAsia="zh-CN"/>
              </w:rPr>
            </w:pPr>
            <w:r>
              <w:rPr>
                <w:rFonts w:hint="eastAsia"/>
                <w:sz w:val="24"/>
                <w:szCs w:val="24"/>
                <w:lang w:val="en-US" w:eastAsia="zh-CN"/>
              </w:rPr>
              <w:t>110</w:t>
            </w:r>
          </w:p>
        </w:tc>
        <w:tc>
          <w:tcPr>
            <w:tcW w:w="1902" w:type="pct"/>
            <w:noWrap w:val="0"/>
            <w:vAlign w:val="center"/>
          </w:tcPr>
          <w:p w14:paraId="2B46EB23">
            <w:pPr>
              <w:pStyle w:val="55"/>
              <w:rPr>
                <w:rFonts w:hint="default"/>
                <w:sz w:val="24"/>
                <w:szCs w:val="24"/>
                <w:lang w:eastAsia="zh-CN"/>
              </w:rPr>
            </w:pPr>
            <w:r>
              <w:rPr>
                <w:rFonts w:hint="eastAsia"/>
                <w:sz w:val="24"/>
                <w:szCs w:val="24"/>
                <w:lang w:val="en-US" w:eastAsia="zh-CN"/>
              </w:rPr>
              <w:t>全部回用于生产</w:t>
            </w:r>
          </w:p>
        </w:tc>
      </w:tr>
      <w:tr w14:paraId="6057F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361" w:type="pct"/>
            <w:noWrap w:val="0"/>
            <w:vAlign w:val="center"/>
          </w:tcPr>
          <w:p w14:paraId="439758AC">
            <w:pPr>
              <w:pStyle w:val="55"/>
              <w:bidi w:val="0"/>
              <w:rPr>
                <w:rFonts w:hint="default"/>
                <w:sz w:val="24"/>
                <w:szCs w:val="24"/>
                <w:lang w:val="en-US" w:eastAsia="zh-CN"/>
              </w:rPr>
            </w:pPr>
            <w:r>
              <w:rPr>
                <w:rFonts w:hint="eastAsia"/>
                <w:sz w:val="24"/>
                <w:szCs w:val="24"/>
                <w:lang w:val="en-US" w:eastAsia="zh-CN"/>
              </w:rPr>
              <w:t>5</w:t>
            </w:r>
          </w:p>
        </w:tc>
        <w:tc>
          <w:tcPr>
            <w:tcW w:w="769" w:type="pct"/>
            <w:noWrap w:val="0"/>
            <w:vAlign w:val="center"/>
          </w:tcPr>
          <w:p w14:paraId="1276BD0B">
            <w:pPr>
              <w:pStyle w:val="55"/>
              <w:rPr>
                <w:rFonts w:hint="eastAsia" w:eastAsia="楷体"/>
                <w:sz w:val="24"/>
                <w:szCs w:val="24"/>
                <w:lang w:val="en-US" w:eastAsia="zh-CN"/>
              </w:rPr>
            </w:pPr>
            <w:r>
              <w:rPr>
                <w:rFonts w:hint="eastAsia"/>
                <w:sz w:val="24"/>
                <w:szCs w:val="24"/>
              </w:rPr>
              <w:t>废包装袋</w:t>
            </w:r>
          </w:p>
        </w:tc>
        <w:tc>
          <w:tcPr>
            <w:tcW w:w="416" w:type="pct"/>
            <w:vMerge w:val="continue"/>
            <w:noWrap w:val="0"/>
            <w:vAlign w:val="center"/>
          </w:tcPr>
          <w:p w14:paraId="0F19BEEB">
            <w:pPr>
              <w:pStyle w:val="55"/>
              <w:bidi w:val="0"/>
              <w:rPr>
                <w:rFonts w:hint="default"/>
                <w:sz w:val="24"/>
                <w:szCs w:val="24"/>
                <w:lang w:eastAsia="zh-CN"/>
              </w:rPr>
            </w:pPr>
          </w:p>
        </w:tc>
        <w:tc>
          <w:tcPr>
            <w:tcW w:w="781" w:type="pct"/>
            <w:noWrap w:val="0"/>
            <w:vAlign w:val="center"/>
          </w:tcPr>
          <w:p w14:paraId="4A2D491B">
            <w:pPr>
              <w:pStyle w:val="55"/>
              <w:rPr>
                <w:rFonts w:hint="default"/>
                <w:sz w:val="24"/>
                <w:szCs w:val="24"/>
                <w:lang w:val="en-US" w:eastAsia="en-US"/>
              </w:rPr>
            </w:pPr>
            <w:r>
              <w:rPr>
                <w:rFonts w:hint="default" w:ascii="Times New Roman" w:hAnsi="Times New Roman" w:eastAsia="宋体" w:cs="Times New Roman"/>
                <w:color w:val="auto"/>
                <w:sz w:val="24"/>
                <w:szCs w:val="24"/>
                <w:highlight w:val="none"/>
                <w:lang w:val="en-US" w:eastAsia="en-US"/>
              </w:rPr>
              <w:t>292-006-07</w:t>
            </w:r>
          </w:p>
        </w:tc>
        <w:tc>
          <w:tcPr>
            <w:tcW w:w="769" w:type="pct"/>
            <w:noWrap w:val="0"/>
            <w:vAlign w:val="center"/>
          </w:tcPr>
          <w:p w14:paraId="08DC34F0">
            <w:pPr>
              <w:pStyle w:val="55"/>
              <w:rPr>
                <w:rFonts w:hint="default"/>
                <w:sz w:val="24"/>
                <w:szCs w:val="24"/>
                <w:lang w:val="en-US" w:eastAsia="zh-CN"/>
              </w:rPr>
            </w:pPr>
            <w:r>
              <w:rPr>
                <w:rFonts w:hint="eastAsia"/>
                <w:sz w:val="24"/>
                <w:szCs w:val="24"/>
                <w:lang w:val="en-US" w:eastAsia="zh-CN"/>
              </w:rPr>
              <w:t>1</w:t>
            </w:r>
          </w:p>
        </w:tc>
        <w:tc>
          <w:tcPr>
            <w:tcW w:w="1902" w:type="pct"/>
            <w:noWrap w:val="0"/>
            <w:vAlign w:val="center"/>
          </w:tcPr>
          <w:p w14:paraId="7FA62B5D">
            <w:pPr>
              <w:pStyle w:val="55"/>
              <w:rPr>
                <w:rFonts w:hint="default"/>
                <w:sz w:val="24"/>
                <w:szCs w:val="24"/>
              </w:rPr>
            </w:pPr>
            <w:r>
              <w:rPr>
                <w:rFonts w:hint="eastAsia"/>
                <w:sz w:val="24"/>
                <w:szCs w:val="24"/>
              </w:rPr>
              <w:t>定期外售废品收购站</w:t>
            </w:r>
          </w:p>
        </w:tc>
      </w:tr>
      <w:tr w14:paraId="221BF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361" w:type="pct"/>
            <w:noWrap w:val="0"/>
            <w:vAlign w:val="center"/>
          </w:tcPr>
          <w:p w14:paraId="08E3E976">
            <w:pPr>
              <w:pStyle w:val="55"/>
              <w:bidi w:val="0"/>
              <w:rPr>
                <w:rFonts w:hint="default"/>
                <w:sz w:val="24"/>
                <w:szCs w:val="24"/>
                <w:lang w:val="en-US" w:eastAsia="zh-CN"/>
              </w:rPr>
            </w:pPr>
            <w:r>
              <w:rPr>
                <w:rFonts w:hint="default"/>
                <w:sz w:val="24"/>
                <w:szCs w:val="24"/>
                <w:lang w:val="en-US" w:eastAsia="zh-CN"/>
              </w:rPr>
              <w:t>6</w:t>
            </w:r>
          </w:p>
        </w:tc>
        <w:tc>
          <w:tcPr>
            <w:tcW w:w="769" w:type="pct"/>
            <w:noWrap w:val="0"/>
            <w:vAlign w:val="center"/>
          </w:tcPr>
          <w:p w14:paraId="79E21377">
            <w:pPr>
              <w:pStyle w:val="101"/>
              <w:keepNext w:val="0"/>
              <w:keepLines w:val="0"/>
              <w:pageBreakBefore w:val="0"/>
              <w:widowControl/>
              <w:kinsoku/>
              <w:wordWrap/>
              <w:overflowPunct/>
              <w:topLinePunct w:val="0"/>
              <w:autoSpaceDE/>
              <w:autoSpaceDN/>
              <w:bidi w:val="0"/>
              <w:adjustRightInd w:val="0"/>
              <w:snapToGrid w:val="0"/>
              <w:spacing w:line="300" w:lineRule="atLeast"/>
              <w:ind w:firstLine="0" w:firstLineChars="0"/>
              <w:textAlignment w:val="auto"/>
              <w:rPr>
                <w:rFonts w:hint="default"/>
                <w:sz w:val="24"/>
                <w:szCs w:val="24"/>
                <w:lang w:eastAsia="zh-CN"/>
              </w:rPr>
            </w:pPr>
            <w:r>
              <w:rPr>
                <w:rFonts w:hint="default" w:ascii="Times New Roman" w:hAnsi="Times New Roman" w:eastAsia="楷体" w:cs="Times New Roman"/>
                <w:color w:val="000000" w:themeColor="text1"/>
                <w:sz w:val="24"/>
                <w:szCs w:val="24"/>
                <w:highlight w:val="none"/>
                <w14:textFill>
                  <w14:solidFill>
                    <w14:schemeClr w14:val="tx1"/>
                  </w14:solidFill>
                </w14:textFill>
              </w:rPr>
              <w:t>废活性炭</w:t>
            </w:r>
          </w:p>
        </w:tc>
        <w:tc>
          <w:tcPr>
            <w:tcW w:w="416" w:type="pct"/>
            <w:vMerge w:val="restart"/>
            <w:noWrap w:val="0"/>
            <w:vAlign w:val="center"/>
          </w:tcPr>
          <w:p w14:paraId="44CC613D">
            <w:pPr>
              <w:pStyle w:val="55"/>
              <w:bidi w:val="0"/>
              <w:rPr>
                <w:rFonts w:hint="default"/>
                <w:sz w:val="24"/>
                <w:szCs w:val="24"/>
                <w:lang w:eastAsia="zh-CN"/>
              </w:rPr>
            </w:pPr>
            <w:r>
              <w:rPr>
                <w:rFonts w:hint="default"/>
                <w:sz w:val="24"/>
                <w:szCs w:val="24"/>
                <w:lang w:eastAsia="zh-CN"/>
              </w:rPr>
              <w:t>危险废物</w:t>
            </w:r>
          </w:p>
        </w:tc>
        <w:tc>
          <w:tcPr>
            <w:tcW w:w="781" w:type="pct"/>
            <w:noWrap w:val="0"/>
            <w:vAlign w:val="center"/>
          </w:tcPr>
          <w:p w14:paraId="28995387">
            <w:pPr>
              <w:pStyle w:val="101"/>
              <w:keepNext w:val="0"/>
              <w:keepLines w:val="0"/>
              <w:pageBreakBefore w:val="0"/>
              <w:widowControl/>
              <w:kinsoku/>
              <w:wordWrap/>
              <w:overflowPunct/>
              <w:topLinePunct w:val="0"/>
              <w:autoSpaceDE/>
              <w:autoSpaceDN/>
              <w:bidi w:val="0"/>
              <w:adjustRightInd w:val="0"/>
              <w:snapToGrid w:val="0"/>
              <w:spacing w:line="300" w:lineRule="atLeast"/>
              <w:ind w:firstLine="0" w:firstLineChars="0"/>
              <w:textAlignment w:val="auto"/>
              <w:rPr>
                <w:rFonts w:hint="default"/>
                <w:sz w:val="24"/>
                <w:szCs w:val="24"/>
                <w:lang w:val="en-US" w:eastAsia="zh-CN"/>
              </w:rPr>
            </w:pPr>
            <w:r>
              <w:rPr>
                <w:rFonts w:hint="default" w:ascii="Times New Roman" w:hAnsi="Times New Roman" w:eastAsia="楷体" w:cs="Times New Roman"/>
                <w:color w:val="000000" w:themeColor="text1"/>
                <w:sz w:val="24"/>
                <w:szCs w:val="24"/>
                <w:highlight w:val="none"/>
                <w14:textFill>
                  <w14:solidFill>
                    <w14:schemeClr w14:val="tx1"/>
                  </w14:solidFill>
                </w14:textFill>
              </w:rPr>
              <w:t>900-0</w:t>
            </w:r>
            <w:r>
              <w:rPr>
                <w:rFonts w:hint="eastAsia" w:ascii="Times New Roman" w:hAnsi="Times New Roman" w:eastAsia="楷体" w:cs="Times New Roman"/>
                <w:color w:val="000000" w:themeColor="text1"/>
                <w:sz w:val="24"/>
                <w:szCs w:val="24"/>
                <w:highlight w:val="none"/>
                <w14:textFill>
                  <w14:solidFill>
                    <w14:schemeClr w14:val="tx1"/>
                  </w14:solidFill>
                </w14:textFill>
              </w:rPr>
              <w:t>39</w:t>
            </w:r>
            <w:r>
              <w:rPr>
                <w:rFonts w:hint="default" w:ascii="Times New Roman" w:hAnsi="Times New Roman" w:eastAsia="楷体" w:cs="Times New Roman"/>
                <w:color w:val="000000" w:themeColor="text1"/>
                <w:sz w:val="24"/>
                <w:szCs w:val="24"/>
                <w:highlight w:val="none"/>
                <w14:textFill>
                  <w14:solidFill>
                    <w14:schemeClr w14:val="tx1"/>
                  </w14:solidFill>
                </w14:textFill>
              </w:rPr>
              <w:t>-49</w:t>
            </w:r>
          </w:p>
        </w:tc>
        <w:tc>
          <w:tcPr>
            <w:tcW w:w="769" w:type="pct"/>
            <w:noWrap w:val="0"/>
            <w:vAlign w:val="center"/>
          </w:tcPr>
          <w:p w14:paraId="38EA4B21">
            <w:pPr>
              <w:pStyle w:val="101"/>
              <w:keepNext w:val="0"/>
              <w:keepLines w:val="0"/>
              <w:pageBreakBefore w:val="0"/>
              <w:widowControl/>
              <w:kinsoku/>
              <w:wordWrap/>
              <w:overflowPunct/>
              <w:topLinePunct w:val="0"/>
              <w:autoSpaceDE/>
              <w:autoSpaceDN/>
              <w:bidi w:val="0"/>
              <w:adjustRightInd w:val="0"/>
              <w:snapToGrid w:val="0"/>
              <w:spacing w:line="300" w:lineRule="atLeast"/>
              <w:ind w:firstLine="0" w:firstLineChars="0"/>
              <w:textAlignment w:val="auto"/>
              <w:rPr>
                <w:rFonts w:hint="default"/>
                <w:sz w:val="24"/>
                <w:szCs w:val="24"/>
                <w:lang w:val="en-US" w:eastAsia="zh-CN"/>
              </w:rPr>
            </w:pPr>
            <w:r>
              <w:rPr>
                <w:rFonts w:hint="eastAsia" w:eastAsia="楷体" w:cs="Times New Roman"/>
                <w:snapToGrid w:val="0"/>
                <w:color w:val="000000" w:themeColor="text1"/>
                <w:sz w:val="24"/>
                <w:szCs w:val="24"/>
                <w:highlight w:val="none"/>
                <w:lang w:val="en-US" w:eastAsia="zh-CN" w:bidi="ar-SA"/>
                <w14:textFill>
                  <w14:solidFill>
                    <w14:schemeClr w14:val="tx1"/>
                  </w14:solidFill>
                </w14:textFill>
              </w:rPr>
              <w:t>8</w:t>
            </w:r>
          </w:p>
        </w:tc>
        <w:tc>
          <w:tcPr>
            <w:tcW w:w="1902" w:type="pct"/>
            <w:vMerge w:val="restart"/>
            <w:noWrap w:val="0"/>
            <w:vAlign w:val="center"/>
          </w:tcPr>
          <w:p w14:paraId="75E9C0DA">
            <w:pPr>
              <w:pStyle w:val="55"/>
              <w:bidi w:val="0"/>
              <w:rPr>
                <w:rFonts w:hint="default"/>
                <w:sz w:val="24"/>
                <w:szCs w:val="24"/>
                <w:lang w:eastAsia="zh-CN"/>
              </w:rPr>
            </w:pPr>
            <w:r>
              <w:rPr>
                <w:rFonts w:hint="default"/>
                <w:sz w:val="24"/>
                <w:szCs w:val="24"/>
                <w:lang w:val="en-US" w:eastAsia="zh-CN"/>
              </w:rPr>
              <w:t>暂存于危废暂存间，定期委托有资质单位处置</w:t>
            </w:r>
          </w:p>
        </w:tc>
      </w:tr>
      <w:tr w14:paraId="2A419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361" w:type="pct"/>
            <w:noWrap w:val="0"/>
            <w:vAlign w:val="center"/>
          </w:tcPr>
          <w:p w14:paraId="49278259">
            <w:pPr>
              <w:pStyle w:val="55"/>
              <w:bidi w:val="0"/>
              <w:rPr>
                <w:rFonts w:hint="default"/>
                <w:sz w:val="24"/>
                <w:szCs w:val="24"/>
                <w:lang w:val="en-US" w:eastAsia="zh-CN"/>
              </w:rPr>
            </w:pPr>
            <w:r>
              <w:rPr>
                <w:rFonts w:hint="default"/>
                <w:sz w:val="24"/>
                <w:szCs w:val="24"/>
                <w:lang w:val="en-US" w:eastAsia="zh-CN"/>
              </w:rPr>
              <w:t>7</w:t>
            </w:r>
          </w:p>
        </w:tc>
        <w:tc>
          <w:tcPr>
            <w:tcW w:w="769" w:type="pct"/>
            <w:noWrap w:val="0"/>
            <w:vAlign w:val="center"/>
          </w:tcPr>
          <w:p w14:paraId="5B5B0797">
            <w:pPr>
              <w:pStyle w:val="101"/>
              <w:keepNext w:val="0"/>
              <w:keepLines w:val="0"/>
              <w:pageBreakBefore w:val="0"/>
              <w:widowControl/>
              <w:kinsoku/>
              <w:wordWrap/>
              <w:overflowPunct/>
              <w:topLinePunct w:val="0"/>
              <w:autoSpaceDE/>
              <w:autoSpaceDN/>
              <w:bidi w:val="0"/>
              <w:adjustRightInd w:val="0"/>
              <w:snapToGrid w:val="0"/>
              <w:spacing w:line="300" w:lineRule="atLeast"/>
              <w:ind w:firstLine="0" w:firstLineChars="0"/>
              <w:textAlignment w:val="auto"/>
              <w:rPr>
                <w:rFonts w:hint="default"/>
                <w:sz w:val="24"/>
                <w:szCs w:val="24"/>
                <w:lang w:val="en-US" w:eastAsia="zh-CN"/>
              </w:rPr>
            </w:pPr>
            <w:r>
              <w:rPr>
                <w:rFonts w:hint="eastAsia" w:eastAsia="楷体" w:cs="Times New Roman"/>
                <w:color w:val="000000" w:themeColor="text1"/>
                <w:sz w:val="24"/>
                <w:szCs w:val="24"/>
                <w:highlight w:val="none"/>
                <w:lang w:val="en-US" w:eastAsia="zh-CN"/>
                <w14:textFill>
                  <w14:solidFill>
                    <w14:schemeClr w14:val="tx1"/>
                  </w14:solidFill>
                </w14:textFill>
              </w:rPr>
              <w:t>废过滤棉</w:t>
            </w:r>
          </w:p>
        </w:tc>
        <w:tc>
          <w:tcPr>
            <w:tcW w:w="416" w:type="pct"/>
            <w:vMerge w:val="continue"/>
            <w:noWrap w:val="0"/>
            <w:vAlign w:val="center"/>
          </w:tcPr>
          <w:p w14:paraId="1DABDB04">
            <w:pPr>
              <w:pStyle w:val="55"/>
              <w:bidi w:val="0"/>
              <w:rPr>
                <w:rFonts w:hint="default"/>
                <w:sz w:val="24"/>
                <w:szCs w:val="24"/>
                <w:lang w:eastAsia="zh-CN"/>
              </w:rPr>
            </w:pPr>
          </w:p>
        </w:tc>
        <w:tc>
          <w:tcPr>
            <w:tcW w:w="781" w:type="pct"/>
            <w:noWrap w:val="0"/>
            <w:vAlign w:val="center"/>
          </w:tcPr>
          <w:p w14:paraId="7DB42AE1">
            <w:pPr>
              <w:pStyle w:val="101"/>
              <w:keepNext w:val="0"/>
              <w:keepLines w:val="0"/>
              <w:pageBreakBefore w:val="0"/>
              <w:widowControl/>
              <w:kinsoku/>
              <w:wordWrap/>
              <w:overflowPunct/>
              <w:topLinePunct w:val="0"/>
              <w:autoSpaceDE/>
              <w:autoSpaceDN/>
              <w:bidi w:val="0"/>
              <w:adjustRightInd w:val="0"/>
              <w:snapToGrid w:val="0"/>
              <w:spacing w:line="300" w:lineRule="atLeast"/>
              <w:ind w:firstLine="0" w:firstLineChars="0"/>
              <w:textAlignment w:val="auto"/>
              <w:rPr>
                <w:rFonts w:hint="default"/>
                <w:sz w:val="24"/>
                <w:szCs w:val="24"/>
                <w:lang w:val="en-US" w:eastAsia="zh-CN"/>
              </w:rPr>
            </w:pPr>
            <w:r>
              <w:rPr>
                <w:rFonts w:hint="default" w:ascii="Times New Roman" w:hAnsi="Times New Roman" w:eastAsia="楷体" w:cs="Times New Roman"/>
                <w:b w:val="0"/>
                <w:bCs w:val="0"/>
                <w:color w:val="000000" w:themeColor="text1"/>
                <w:kern w:val="0"/>
                <w:sz w:val="24"/>
                <w:szCs w:val="24"/>
                <w:highlight w:val="none"/>
                <w:lang w:val="en-US" w:eastAsia="zh-CN" w:bidi="ar"/>
                <w14:textFill>
                  <w14:solidFill>
                    <w14:schemeClr w14:val="tx1"/>
                  </w14:solidFill>
                </w14:textFill>
              </w:rPr>
              <w:t>900-041-49</w:t>
            </w:r>
          </w:p>
        </w:tc>
        <w:tc>
          <w:tcPr>
            <w:tcW w:w="769" w:type="pct"/>
            <w:noWrap w:val="0"/>
            <w:vAlign w:val="center"/>
          </w:tcPr>
          <w:p w14:paraId="12DB15EE">
            <w:pPr>
              <w:pStyle w:val="101"/>
              <w:keepNext w:val="0"/>
              <w:keepLines w:val="0"/>
              <w:pageBreakBefore w:val="0"/>
              <w:widowControl/>
              <w:kinsoku/>
              <w:wordWrap/>
              <w:overflowPunct/>
              <w:topLinePunct w:val="0"/>
              <w:autoSpaceDE/>
              <w:autoSpaceDN/>
              <w:bidi w:val="0"/>
              <w:adjustRightInd w:val="0"/>
              <w:snapToGrid w:val="0"/>
              <w:spacing w:line="300" w:lineRule="atLeast"/>
              <w:ind w:firstLine="0" w:firstLineChars="0"/>
              <w:textAlignment w:val="auto"/>
              <w:rPr>
                <w:rFonts w:hint="default"/>
                <w:sz w:val="24"/>
                <w:szCs w:val="24"/>
                <w:lang w:val="en-US" w:eastAsia="zh-CN"/>
              </w:rPr>
            </w:pPr>
            <w:r>
              <w:rPr>
                <w:rFonts w:hint="eastAsia" w:eastAsia="楷体" w:cs="Times New Roman"/>
                <w:color w:val="000000" w:themeColor="text1"/>
                <w:sz w:val="24"/>
                <w:szCs w:val="24"/>
                <w:highlight w:val="none"/>
                <w:lang w:val="en-US" w:eastAsia="zh-CN"/>
                <w14:textFill>
                  <w14:solidFill>
                    <w14:schemeClr w14:val="tx1"/>
                  </w14:solidFill>
                </w14:textFill>
              </w:rPr>
              <w:t>2</w:t>
            </w:r>
          </w:p>
        </w:tc>
        <w:tc>
          <w:tcPr>
            <w:tcW w:w="1902" w:type="pct"/>
            <w:vMerge w:val="continue"/>
            <w:noWrap w:val="0"/>
            <w:vAlign w:val="center"/>
          </w:tcPr>
          <w:p w14:paraId="6882B168">
            <w:pPr>
              <w:pStyle w:val="55"/>
              <w:bidi w:val="0"/>
              <w:rPr>
                <w:rFonts w:hint="default"/>
                <w:sz w:val="24"/>
                <w:szCs w:val="24"/>
                <w:lang w:eastAsia="zh-CN"/>
              </w:rPr>
            </w:pPr>
          </w:p>
        </w:tc>
      </w:tr>
      <w:tr w14:paraId="491B8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361" w:type="pct"/>
            <w:noWrap w:val="0"/>
            <w:vAlign w:val="center"/>
          </w:tcPr>
          <w:p w14:paraId="33FD512F">
            <w:pPr>
              <w:pStyle w:val="55"/>
              <w:bidi w:val="0"/>
              <w:rPr>
                <w:rFonts w:hint="default"/>
                <w:sz w:val="24"/>
                <w:szCs w:val="24"/>
                <w:lang w:val="en-US" w:eastAsia="zh-CN"/>
              </w:rPr>
            </w:pPr>
            <w:r>
              <w:rPr>
                <w:rFonts w:hint="default"/>
                <w:sz w:val="24"/>
                <w:szCs w:val="24"/>
                <w:lang w:val="en-US" w:eastAsia="zh-CN"/>
              </w:rPr>
              <w:t>8</w:t>
            </w:r>
          </w:p>
        </w:tc>
        <w:tc>
          <w:tcPr>
            <w:tcW w:w="769" w:type="pct"/>
            <w:noWrap w:val="0"/>
            <w:vAlign w:val="center"/>
          </w:tcPr>
          <w:p w14:paraId="49A9F66D">
            <w:pPr>
              <w:pStyle w:val="101"/>
              <w:keepNext w:val="0"/>
              <w:keepLines w:val="0"/>
              <w:pageBreakBefore w:val="0"/>
              <w:widowControl/>
              <w:kinsoku/>
              <w:wordWrap/>
              <w:overflowPunct/>
              <w:topLinePunct w:val="0"/>
              <w:autoSpaceDE/>
              <w:autoSpaceDN/>
              <w:bidi w:val="0"/>
              <w:adjustRightInd w:val="0"/>
              <w:snapToGrid w:val="0"/>
              <w:spacing w:line="300" w:lineRule="atLeast"/>
              <w:ind w:firstLine="0" w:firstLineChars="0"/>
              <w:textAlignment w:val="auto"/>
              <w:rPr>
                <w:rFonts w:hint="default"/>
                <w:sz w:val="24"/>
                <w:szCs w:val="24"/>
                <w:lang w:val="en-US" w:eastAsia="zh-CN"/>
              </w:rPr>
            </w:pPr>
            <w:r>
              <w:rPr>
                <w:rFonts w:hint="default" w:ascii="Times New Roman" w:hAnsi="Times New Roman" w:eastAsia="楷体" w:cs="Times New Roman"/>
                <w:color w:val="000000" w:themeColor="text1"/>
                <w:sz w:val="24"/>
                <w:szCs w:val="24"/>
                <w:highlight w:val="none"/>
                <w14:textFill>
                  <w14:solidFill>
                    <w14:schemeClr w14:val="tx1"/>
                  </w14:solidFill>
                </w14:textFill>
              </w:rPr>
              <w:t>废</w:t>
            </w:r>
            <w:r>
              <w:rPr>
                <w:rFonts w:hint="eastAsia" w:ascii="Times New Roman" w:hAnsi="Times New Roman" w:eastAsia="楷体" w:cs="Times New Roman"/>
                <w:color w:val="000000" w:themeColor="text1"/>
                <w:sz w:val="24"/>
                <w:szCs w:val="24"/>
                <w:highlight w:val="none"/>
                <w:lang w:val="en-US" w:eastAsia="zh-CN"/>
                <w14:textFill>
                  <w14:solidFill>
                    <w14:schemeClr w14:val="tx1"/>
                  </w14:solidFill>
                </w14:textFill>
              </w:rPr>
              <w:t>润滑油</w:t>
            </w:r>
          </w:p>
        </w:tc>
        <w:tc>
          <w:tcPr>
            <w:tcW w:w="416" w:type="pct"/>
            <w:vMerge w:val="continue"/>
            <w:noWrap w:val="0"/>
            <w:vAlign w:val="center"/>
          </w:tcPr>
          <w:p w14:paraId="471526F8">
            <w:pPr>
              <w:pStyle w:val="55"/>
              <w:bidi w:val="0"/>
              <w:rPr>
                <w:rFonts w:hint="default"/>
                <w:sz w:val="24"/>
                <w:szCs w:val="24"/>
                <w:lang w:eastAsia="zh-CN"/>
              </w:rPr>
            </w:pPr>
          </w:p>
        </w:tc>
        <w:tc>
          <w:tcPr>
            <w:tcW w:w="781" w:type="pct"/>
            <w:noWrap w:val="0"/>
            <w:vAlign w:val="center"/>
          </w:tcPr>
          <w:p w14:paraId="7A3AC237">
            <w:pPr>
              <w:pStyle w:val="101"/>
              <w:keepNext w:val="0"/>
              <w:keepLines w:val="0"/>
              <w:pageBreakBefore w:val="0"/>
              <w:widowControl/>
              <w:kinsoku/>
              <w:wordWrap/>
              <w:overflowPunct/>
              <w:topLinePunct w:val="0"/>
              <w:autoSpaceDE/>
              <w:autoSpaceDN/>
              <w:bidi w:val="0"/>
              <w:adjustRightInd w:val="0"/>
              <w:snapToGrid w:val="0"/>
              <w:spacing w:line="300" w:lineRule="atLeast"/>
              <w:ind w:firstLine="0" w:firstLineChars="0"/>
              <w:textAlignment w:val="auto"/>
              <w:rPr>
                <w:rFonts w:hint="default"/>
                <w:sz w:val="24"/>
                <w:szCs w:val="24"/>
                <w:lang w:val="en-US" w:eastAsia="zh-CN"/>
              </w:rPr>
            </w:pPr>
            <w:r>
              <w:rPr>
                <w:rFonts w:hint="default" w:ascii="Times New Roman" w:hAnsi="Times New Roman" w:eastAsia="楷体" w:cs="Times New Roman"/>
                <w:color w:val="000000" w:themeColor="text1"/>
                <w:sz w:val="24"/>
                <w:szCs w:val="24"/>
                <w:highlight w:val="none"/>
                <w14:textFill>
                  <w14:solidFill>
                    <w14:schemeClr w14:val="tx1"/>
                  </w14:solidFill>
                </w14:textFill>
              </w:rPr>
              <w:t>900-214-08</w:t>
            </w:r>
          </w:p>
        </w:tc>
        <w:tc>
          <w:tcPr>
            <w:tcW w:w="769" w:type="pct"/>
            <w:noWrap w:val="0"/>
            <w:vAlign w:val="center"/>
          </w:tcPr>
          <w:p w14:paraId="70BCDC0F">
            <w:pPr>
              <w:pStyle w:val="101"/>
              <w:keepNext w:val="0"/>
              <w:keepLines w:val="0"/>
              <w:pageBreakBefore w:val="0"/>
              <w:widowControl/>
              <w:kinsoku/>
              <w:wordWrap/>
              <w:overflowPunct/>
              <w:topLinePunct w:val="0"/>
              <w:autoSpaceDE/>
              <w:autoSpaceDN/>
              <w:bidi w:val="0"/>
              <w:adjustRightInd w:val="0"/>
              <w:snapToGrid w:val="0"/>
              <w:spacing w:line="300" w:lineRule="atLeast"/>
              <w:ind w:firstLine="0" w:firstLineChars="0"/>
              <w:textAlignment w:val="auto"/>
              <w:rPr>
                <w:rFonts w:hint="default"/>
                <w:sz w:val="24"/>
                <w:szCs w:val="24"/>
                <w:lang w:val="en-US" w:eastAsia="zh-CN"/>
              </w:rPr>
            </w:pPr>
            <w:r>
              <w:rPr>
                <w:rFonts w:hint="default" w:ascii="Times New Roman" w:hAnsi="Times New Roman" w:eastAsia="楷体" w:cs="Times New Roman"/>
                <w:color w:val="000000" w:themeColor="text1"/>
                <w:sz w:val="24"/>
                <w:szCs w:val="24"/>
                <w:highlight w:val="none"/>
                <w14:textFill>
                  <w14:solidFill>
                    <w14:schemeClr w14:val="tx1"/>
                  </w14:solidFill>
                </w14:textFill>
              </w:rPr>
              <w:t>0.</w:t>
            </w:r>
            <w:r>
              <w:rPr>
                <w:rFonts w:hint="eastAsia" w:ascii="Times New Roman" w:hAnsi="Times New Roman" w:eastAsia="楷体" w:cs="Times New Roman"/>
                <w:color w:val="000000" w:themeColor="text1"/>
                <w:sz w:val="24"/>
                <w:szCs w:val="24"/>
                <w:highlight w:val="none"/>
                <w:lang w:val="en-US" w:eastAsia="zh-CN"/>
                <w14:textFill>
                  <w14:solidFill>
                    <w14:schemeClr w14:val="tx1"/>
                  </w14:solidFill>
                </w14:textFill>
              </w:rPr>
              <w:t>8</w:t>
            </w:r>
          </w:p>
        </w:tc>
        <w:tc>
          <w:tcPr>
            <w:tcW w:w="1902" w:type="pct"/>
            <w:vMerge w:val="continue"/>
            <w:noWrap w:val="0"/>
            <w:vAlign w:val="center"/>
          </w:tcPr>
          <w:p w14:paraId="2D65AA44">
            <w:pPr>
              <w:pStyle w:val="55"/>
              <w:bidi w:val="0"/>
              <w:rPr>
                <w:rFonts w:hint="default"/>
                <w:sz w:val="24"/>
                <w:szCs w:val="24"/>
                <w:lang w:eastAsia="zh-CN"/>
              </w:rPr>
            </w:pPr>
          </w:p>
        </w:tc>
      </w:tr>
      <w:tr w14:paraId="0131B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361" w:type="pct"/>
            <w:noWrap w:val="0"/>
            <w:vAlign w:val="center"/>
          </w:tcPr>
          <w:p w14:paraId="3F8AB540">
            <w:pPr>
              <w:pStyle w:val="55"/>
              <w:bidi w:val="0"/>
              <w:rPr>
                <w:rFonts w:hint="default"/>
                <w:sz w:val="24"/>
                <w:szCs w:val="24"/>
                <w:lang w:val="en-US" w:eastAsia="zh-CN"/>
              </w:rPr>
            </w:pPr>
            <w:r>
              <w:rPr>
                <w:rFonts w:hint="eastAsia"/>
                <w:sz w:val="24"/>
                <w:szCs w:val="24"/>
                <w:lang w:val="en-US" w:eastAsia="zh-CN"/>
              </w:rPr>
              <w:t>9</w:t>
            </w:r>
          </w:p>
        </w:tc>
        <w:tc>
          <w:tcPr>
            <w:tcW w:w="769" w:type="pct"/>
            <w:noWrap w:val="0"/>
            <w:vAlign w:val="center"/>
          </w:tcPr>
          <w:p w14:paraId="0C36C03F">
            <w:pPr>
              <w:pStyle w:val="101"/>
              <w:keepNext w:val="0"/>
              <w:keepLines w:val="0"/>
              <w:pageBreakBefore w:val="0"/>
              <w:widowControl/>
              <w:kinsoku/>
              <w:wordWrap/>
              <w:overflowPunct/>
              <w:topLinePunct w:val="0"/>
              <w:autoSpaceDE/>
              <w:autoSpaceDN/>
              <w:bidi w:val="0"/>
              <w:adjustRightInd w:val="0"/>
              <w:snapToGrid w:val="0"/>
              <w:spacing w:line="300" w:lineRule="atLeast"/>
              <w:ind w:firstLine="0" w:firstLineChars="0"/>
              <w:textAlignment w:val="auto"/>
              <w:rPr>
                <w:rFonts w:hint="default"/>
                <w:sz w:val="24"/>
                <w:szCs w:val="24"/>
                <w:lang w:eastAsia="zh-CN"/>
              </w:rPr>
            </w:pPr>
            <w:r>
              <w:rPr>
                <w:rFonts w:hint="default" w:ascii="Times New Roman" w:hAnsi="Times New Roman" w:eastAsia="楷体" w:cs="Times New Roman"/>
                <w:color w:val="000000" w:themeColor="text1"/>
                <w:sz w:val="24"/>
                <w:szCs w:val="24"/>
                <w:highlight w:val="none"/>
                <w14:textFill>
                  <w14:solidFill>
                    <w14:schemeClr w14:val="tx1"/>
                  </w14:solidFill>
                </w14:textFill>
              </w:rPr>
              <w:t>废</w:t>
            </w:r>
            <w:r>
              <w:rPr>
                <w:rFonts w:hint="eastAsia" w:ascii="Times New Roman" w:hAnsi="Times New Roman" w:eastAsia="楷体" w:cs="Times New Roman"/>
                <w:color w:val="000000" w:themeColor="text1"/>
                <w:sz w:val="24"/>
                <w:szCs w:val="24"/>
                <w:highlight w:val="none"/>
                <w:lang w:val="en-US" w:eastAsia="zh-CN"/>
                <w14:textFill>
                  <w14:solidFill>
                    <w14:schemeClr w14:val="tx1"/>
                  </w14:solidFill>
                </w14:textFill>
              </w:rPr>
              <w:t>润滑油桶</w:t>
            </w:r>
          </w:p>
        </w:tc>
        <w:tc>
          <w:tcPr>
            <w:tcW w:w="416" w:type="pct"/>
            <w:vMerge w:val="continue"/>
            <w:noWrap w:val="0"/>
            <w:vAlign w:val="center"/>
          </w:tcPr>
          <w:p w14:paraId="2E35E475">
            <w:pPr>
              <w:pStyle w:val="55"/>
              <w:bidi w:val="0"/>
              <w:rPr>
                <w:rFonts w:hint="default"/>
                <w:sz w:val="24"/>
                <w:szCs w:val="24"/>
                <w:lang w:eastAsia="zh-CN"/>
              </w:rPr>
            </w:pPr>
          </w:p>
        </w:tc>
        <w:tc>
          <w:tcPr>
            <w:tcW w:w="781" w:type="pct"/>
            <w:noWrap w:val="0"/>
            <w:vAlign w:val="center"/>
          </w:tcPr>
          <w:p w14:paraId="2DB57FFD">
            <w:pPr>
              <w:pStyle w:val="101"/>
              <w:keepNext w:val="0"/>
              <w:keepLines w:val="0"/>
              <w:pageBreakBefore w:val="0"/>
              <w:widowControl/>
              <w:kinsoku/>
              <w:wordWrap/>
              <w:overflowPunct/>
              <w:topLinePunct w:val="0"/>
              <w:autoSpaceDE/>
              <w:autoSpaceDN/>
              <w:bidi w:val="0"/>
              <w:adjustRightInd w:val="0"/>
              <w:snapToGrid w:val="0"/>
              <w:spacing w:line="300" w:lineRule="atLeast"/>
              <w:ind w:firstLine="0" w:firstLineChars="0"/>
              <w:textAlignment w:val="auto"/>
              <w:rPr>
                <w:rFonts w:hint="default"/>
                <w:sz w:val="24"/>
                <w:szCs w:val="24"/>
                <w:lang w:val="en-US" w:eastAsia="zh-CN"/>
              </w:rPr>
            </w:pPr>
            <w:r>
              <w:rPr>
                <w:rFonts w:hint="eastAsia" w:ascii="Times New Roman" w:hAnsi="Times New Roman" w:eastAsia="宋体" w:cs="Times New Roman"/>
                <w:b w:val="0"/>
                <w:bCs w:val="0"/>
                <w:color w:val="000000" w:themeColor="text1"/>
                <w:spacing w:val="5"/>
                <w:kern w:val="0"/>
                <w:sz w:val="24"/>
                <w:szCs w:val="24"/>
                <w:highlight w:val="none"/>
                <w:lang w:val="en-US" w:eastAsia="zh-CN" w:bidi="ar-SA"/>
                <w14:textFill>
                  <w14:solidFill>
                    <w14:schemeClr w14:val="tx1"/>
                  </w14:solidFill>
                </w14:textFill>
              </w:rPr>
              <w:t>900-</w:t>
            </w:r>
            <w:r>
              <w:rPr>
                <w:rFonts w:hint="eastAsia" w:cs="Times New Roman"/>
                <w:b w:val="0"/>
                <w:bCs w:val="0"/>
                <w:color w:val="000000" w:themeColor="text1"/>
                <w:spacing w:val="5"/>
                <w:kern w:val="0"/>
                <w:sz w:val="24"/>
                <w:szCs w:val="24"/>
                <w:highlight w:val="none"/>
                <w:lang w:val="en-US" w:eastAsia="zh-CN" w:bidi="ar-SA"/>
                <w14:textFill>
                  <w14:solidFill>
                    <w14:schemeClr w14:val="tx1"/>
                  </w14:solidFill>
                </w14:textFill>
              </w:rPr>
              <w:t>249</w:t>
            </w:r>
            <w:r>
              <w:rPr>
                <w:rFonts w:hint="eastAsia" w:ascii="Times New Roman" w:hAnsi="Times New Roman" w:eastAsia="宋体" w:cs="Times New Roman"/>
                <w:b w:val="0"/>
                <w:bCs w:val="0"/>
                <w:color w:val="000000" w:themeColor="text1"/>
                <w:spacing w:val="5"/>
                <w:kern w:val="0"/>
                <w:sz w:val="24"/>
                <w:szCs w:val="24"/>
                <w:highlight w:val="none"/>
                <w:lang w:val="en-US" w:eastAsia="zh-CN" w:bidi="ar-SA"/>
                <w14:textFill>
                  <w14:solidFill>
                    <w14:schemeClr w14:val="tx1"/>
                  </w14:solidFill>
                </w14:textFill>
              </w:rPr>
              <w:t>-</w:t>
            </w:r>
            <w:r>
              <w:rPr>
                <w:rFonts w:hint="eastAsia" w:cs="Times New Roman"/>
                <w:b w:val="0"/>
                <w:bCs w:val="0"/>
                <w:color w:val="000000" w:themeColor="text1"/>
                <w:spacing w:val="5"/>
                <w:kern w:val="0"/>
                <w:sz w:val="24"/>
                <w:szCs w:val="24"/>
                <w:highlight w:val="none"/>
                <w:lang w:val="en-US" w:eastAsia="zh-CN" w:bidi="ar-SA"/>
                <w14:textFill>
                  <w14:solidFill>
                    <w14:schemeClr w14:val="tx1"/>
                  </w14:solidFill>
                </w14:textFill>
              </w:rPr>
              <w:t>08</w:t>
            </w:r>
          </w:p>
        </w:tc>
        <w:tc>
          <w:tcPr>
            <w:tcW w:w="769" w:type="pct"/>
            <w:noWrap w:val="0"/>
            <w:vAlign w:val="center"/>
          </w:tcPr>
          <w:p w14:paraId="6D8F2352">
            <w:pPr>
              <w:pStyle w:val="101"/>
              <w:keepNext w:val="0"/>
              <w:keepLines w:val="0"/>
              <w:pageBreakBefore w:val="0"/>
              <w:widowControl/>
              <w:kinsoku/>
              <w:wordWrap/>
              <w:overflowPunct/>
              <w:topLinePunct w:val="0"/>
              <w:autoSpaceDE/>
              <w:autoSpaceDN/>
              <w:bidi w:val="0"/>
              <w:adjustRightInd w:val="0"/>
              <w:snapToGrid w:val="0"/>
              <w:spacing w:line="300" w:lineRule="atLeast"/>
              <w:ind w:firstLine="0" w:firstLineChars="0"/>
              <w:textAlignment w:val="auto"/>
              <w:rPr>
                <w:rFonts w:hint="default"/>
                <w:sz w:val="24"/>
                <w:szCs w:val="24"/>
                <w:lang w:val="en-US" w:eastAsia="zh-CN"/>
              </w:rPr>
            </w:pPr>
            <w:r>
              <w:rPr>
                <w:rFonts w:hint="default" w:ascii="Times New Roman" w:hAnsi="Times New Roman" w:eastAsia="楷体" w:cs="Times New Roman"/>
                <w:color w:val="000000" w:themeColor="text1"/>
                <w:sz w:val="24"/>
                <w:szCs w:val="24"/>
                <w:highlight w:val="none"/>
                <w14:textFill>
                  <w14:solidFill>
                    <w14:schemeClr w14:val="tx1"/>
                  </w14:solidFill>
                </w14:textFill>
              </w:rPr>
              <w:t>0.</w:t>
            </w:r>
            <w:r>
              <w:rPr>
                <w:rFonts w:hint="eastAsia" w:ascii="Times New Roman" w:hAnsi="Times New Roman" w:eastAsia="楷体" w:cs="Times New Roman"/>
                <w:color w:val="000000" w:themeColor="text1"/>
                <w:sz w:val="24"/>
                <w:szCs w:val="24"/>
                <w:highlight w:val="none"/>
                <w:lang w:val="en-US" w:eastAsia="zh-CN"/>
                <w14:textFill>
                  <w14:solidFill>
                    <w14:schemeClr w14:val="tx1"/>
                  </w14:solidFill>
                </w14:textFill>
              </w:rPr>
              <w:t>5</w:t>
            </w:r>
          </w:p>
        </w:tc>
        <w:tc>
          <w:tcPr>
            <w:tcW w:w="1902" w:type="pct"/>
            <w:vMerge w:val="continue"/>
            <w:noWrap w:val="0"/>
            <w:vAlign w:val="center"/>
          </w:tcPr>
          <w:p w14:paraId="3C851DE2">
            <w:pPr>
              <w:pStyle w:val="55"/>
              <w:bidi w:val="0"/>
              <w:rPr>
                <w:rFonts w:hint="default"/>
                <w:sz w:val="24"/>
                <w:szCs w:val="24"/>
                <w:lang w:eastAsia="zh-CN"/>
              </w:rPr>
            </w:pPr>
          </w:p>
        </w:tc>
      </w:tr>
      <w:tr w14:paraId="303BD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361" w:type="pct"/>
            <w:noWrap w:val="0"/>
            <w:vAlign w:val="center"/>
          </w:tcPr>
          <w:p w14:paraId="3D048AD4">
            <w:pPr>
              <w:pStyle w:val="55"/>
              <w:bidi w:val="0"/>
              <w:rPr>
                <w:rFonts w:hint="default"/>
                <w:sz w:val="24"/>
                <w:szCs w:val="24"/>
                <w:lang w:val="en-US" w:eastAsia="zh-CN"/>
              </w:rPr>
            </w:pPr>
            <w:r>
              <w:rPr>
                <w:rFonts w:hint="eastAsia"/>
                <w:sz w:val="24"/>
                <w:szCs w:val="24"/>
                <w:lang w:val="en-US" w:eastAsia="zh-CN"/>
              </w:rPr>
              <w:t>10</w:t>
            </w:r>
          </w:p>
        </w:tc>
        <w:tc>
          <w:tcPr>
            <w:tcW w:w="769" w:type="pct"/>
            <w:noWrap w:val="0"/>
            <w:vAlign w:val="center"/>
          </w:tcPr>
          <w:p w14:paraId="58601C77">
            <w:pPr>
              <w:pStyle w:val="55"/>
              <w:bidi w:val="0"/>
              <w:rPr>
                <w:rFonts w:hint="default"/>
                <w:sz w:val="24"/>
                <w:szCs w:val="24"/>
                <w:lang w:eastAsia="zh-CN"/>
              </w:rPr>
            </w:pPr>
            <w:r>
              <w:rPr>
                <w:rFonts w:hint="default"/>
                <w:sz w:val="24"/>
                <w:szCs w:val="24"/>
              </w:rPr>
              <w:t>生活垃圾</w:t>
            </w:r>
          </w:p>
        </w:tc>
        <w:tc>
          <w:tcPr>
            <w:tcW w:w="416" w:type="pct"/>
            <w:noWrap w:val="0"/>
            <w:vAlign w:val="center"/>
          </w:tcPr>
          <w:p w14:paraId="70E9B110">
            <w:pPr>
              <w:pStyle w:val="55"/>
              <w:bidi w:val="0"/>
              <w:rPr>
                <w:rFonts w:hint="default"/>
                <w:sz w:val="24"/>
                <w:szCs w:val="24"/>
                <w:lang w:eastAsia="zh-CN"/>
              </w:rPr>
            </w:pPr>
          </w:p>
        </w:tc>
        <w:tc>
          <w:tcPr>
            <w:tcW w:w="781" w:type="pct"/>
            <w:noWrap w:val="0"/>
            <w:vAlign w:val="center"/>
          </w:tcPr>
          <w:p w14:paraId="2B7276AD">
            <w:pPr>
              <w:pStyle w:val="55"/>
              <w:bidi w:val="0"/>
              <w:rPr>
                <w:rFonts w:hint="default"/>
                <w:sz w:val="24"/>
                <w:szCs w:val="24"/>
                <w:lang w:val="en-US" w:eastAsia="zh-CN"/>
              </w:rPr>
            </w:pPr>
            <w:r>
              <w:rPr>
                <w:rFonts w:hint="default"/>
                <w:sz w:val="24"/>
                <w:szCs w:val="24"/>
                <w:lang w:val="en-US" w:eastAsia="en-US"/>
              </w:rPr>
              <w:t>900-999-99</w:t>
            </w:r>
          </w:p>
        </w:tc>
        <w:tc>
          <w:tcPr>
            <w:tcW w:w="769" w:type="pct"/>
            <w:noWrap w:val="0"/>
            <w:vAlign w:val="center"/>
          </w:tcPr>
          <w:p w14:paraId="35493282">
            <w:pPr>
              <w:pStyle w:val="55"/>
              <w:bidi w:val="0"/>
              <w:rPr>
                <w:rFonts w:hint="default"/>
                <w:sz w:val="24"/>
                <w:szCs w:val="24"/>
                <w:lang w:val="en-US" w:eastAsia="zh-CN"/>
              </w:rPr>
            </w:pPr>
            <w:r>
              <w:rPr>
                <w:rFonts w:hint="eastAsia"/>
                <w:sz w:val="24"/>
                <w:szCs w:val="24"/>
              </w:rPr>
              <w:t>7.5</w:t>
            </w:r>
          </w:p>
        </w:tc>
        <w:tc>
          <w:tcPr>
            <w:tcW w:w="1902" w:type="pct"/>
            <w:noWrap w:val="0"/>
            <w:vAlign w:val="center"/>
          </w:tcPr>
          <w:p w14:paraId="1BF7C11C">
            <w:pPr>
              <w:pStyle w:val="55"/>
              <w:bidi w:val="0"/>
              <w:rPr>
                <w:rFonts w:hint="default"/>
                <w:sz w:val="24"/>
                <w:szCs w:val="24"/>
                <w:lang w:eastAsia="zh-CN"/>
              </w:rPr>
            </w:pPr>
            <w:r>
              <w:rPr>
                <w:rFonts w:hint="default"/>
                <w:sz w:val="24"/>
                <w:szCs w:val="24"/>
                <w:lang w:val="en-US" w:eastAsia="zh-CN"/>
              </w:rPr>
              <w:t>集中收集后交由环卫部门处理</w:t>
            </w:r>
          </w:p>
        </w:tc>
      </w:tr>
    </w:tbl>
    <w:p w14:paraId="66C0DA23">
      <w:pPr>
        <w:pStyle w:val="92"/>
        <w:bidi w:val="0"/>
        <w:ind w:left="0" w:leftChars="0" w:firstLine="0" w:firstLineChars="0"/>
      </w:pPr>
      <w:r>
        <w:rPr>
          <w:rFonts w:hint="eastAsia"/>
        </w:rPr>
        <w:t>一般固体废物环境影响分析</w:t>
      </w:r>
    </w:p>
    <w:p w14:paraId="4EC84649">
      <w:pPr>
        <w:pStyle w:val="47"/>
        <w:ind w:firstLine="482"/>
      </w:pPr>
      <w:r>
        <w:rPr>
          <w:rFonts w:hint="eastAsia"/>
        </w:rPr>
        <w:t>一般固体废物的具体管理措施如下：</w:t>
      </w:r>
    </w:p>
    <w:p w14:paraId="60D1B193">
      <w:pPr>
        <w:pStyle w:val="47"/>
        <w:ind w:firstLine="482"/>
        <w:rPr>
          <w:snapToGrid/>
        </w:rPr>
      </w:pPr>
      <w:r>
        <w:rPr>
          <w:rFonts w:hint="eastAsia"/>
        </w:rPr>
        <w:t>（</w:t>
      </w:r>
      <w:r>
        <w:t>1</w:t>
      </w:r>
      <w:r>
        <w:rPr>
          <w:rFonts w:hint="eastAsia"/>
        </w:rPr>
        <w:t>）</w:t>
      </w:r>
      <w:r>
        <w:rPr>
          <w:rFonts w:hint="eastAsia"/>
          <w:lang w:val="en-US" w:eastAsia="zh-CN"/>
        </w:rPr>
        <w:t>一般固体废物</w:t>
      </w:r>
      <w:r>
        <w:rPr>
          <w:rFonts w:hint="eastAsia"/>
        </w:rPr>
        <w:t>定点堆放，及时清运，堆放点需满足《一般工业固体废物贮存和填埋污染控制标准》（GB18599-2020）中有关要求。</w:t>
      </w:r>
    </w:p>
    <w:p w14:paraId="699A5661">
      <w:pPr>
        <w:pStyle w:val="47"/>
        <w:ind w:firstLine="482"/>
      </w:pPr>
      <w:r>
        <w:rPr>
          <w:rFonts w:hint="eastAsia"/>
        </w:rPr>
        <w:t>（</w:t>
      </w:r>
      <w:r>
        <w:t>2</w:t>
      </w:r>
      <w:r>
        <w:rPr>
          <w:rFonts w:hint="eastAsia"/>
        </w:rPr>
        <w:t>）生活垃圾应采取袋装收集，分类处理的方式处理。</w:t>
      </w:r>
    </w:p>
    <w:p w14:paraId="600432D7">
      <w:pPr>
        <w:pStyle w:val="47"/>
        <w:ind w:firstLine="482"/>
      </w:pPr>
      <w:r>
        <w:rPr>
          <w:rFonts w:hint="eastAsia"/>
        </w:rPr>
        <w:t>综上所述，项目产生的固体废物处置措施可行，不会对周边环境产生明显不利影响，不会造成二次污染。</w:t>
      </w:r>
    </w:p>
    <w:p w14:paraId="0A0D3871">
      <w:pPr>
        <w:pStyle w:val="92"/>
        <w:bidi w:val="0"/>
        <w:ind w:left="0" w:leftChars="0" w:firstLine="0" w:firstLineChars="0"/>
      </w:pPr>
      <w:r>
        <w:rPr>
          <w:rFonts w:hint="eastAsia"/>
        </w:rPr>
        <w:t>危险废物环境影响分析</w:t>
      </w:r>
    </w:p>
    <w:p w14:paraId="56CB0A83">
      <w:pPr>
        <w:pStyle w:val="47"/>
        <w:ind w:firstLine="482"/>
        <w:rPr>
          <w:rFonts w:hint="eastAsia"/>
        </w:rPr>
      </w:pPr>
      <w:r>
        <w:rPr>
          <w:rFonts w:hint="eastAsia"/>
        </w:rPr>
        <w:t>①危险废物暂存间设置</w:t>
      </w:r>
      <w:r>
        <w:rPr>
          <w:rFonts w:hint="eastAsia"/>
          <w:lang w:val="en-US" w:eastAsia="zh-CN"/>
        </w:rPr>
        <w:t>厂区南部</w:t>
      </w:r>
      <w:r>
        <w:rPr>
          <w:rFonts w:hint="eastAsia"/>
        </w:rPr>
        <w:t>，面积</w:t>
      </w:r>
      <w:r>
        <w:rPr>
          <w:rFonts w:hint="eastAsia"/>
          <w:lang w:val="en-US" w:eastAsia="zh-CN"/>
        </w:rPr>
        <w:t>50</w:t>
      </w:r>
      <w:r>
        <w:rPr>
          <w:rFonts w:hint="eastAsia"/>
        </w:rPr>
        <w:t>m</w:t>
      </w:r>
      <w:r>
        <w:rPr>
          <w:rFonts w:hint="eastAsia"/>
          <w:vertAlign w:val="superscript"/>
        </w:rPr>
        <w:t>2</w:t>
      </w:r>
      <w:r>
        <w:rPr>
          <w:rFonts w:hint="eastAsia"/>
        </w:rPr>
        <w:t>，具体建设方案如下：危险废物暂存间应进行基础防渗，防渗层2mm厚高密度聚乙烯膜（渗透系数不大于10-10cm/s）；地面、墙面裙脚、接触危险废物的隔板和墙体等采用坚固的材料建筑，表面无裂缝；地面与裙脚应采取表面防渗措施，表面防渗材料与所接触的物料或污染物相容，可采用抗渗混凝土、高密度聚乙烯膜或其他防渗性能等效的材料；危险废物暂存间内采用相同的防渗、防腐材料，并覆盖所有可能与废物接触的构筑物表面；不同贮存分区之间采取隔离措施，隔离措施可根据危险废物特性采用过道、隔板或隔墙等方式。该危废暂存间具备防风、防雨、防晒、防渗、防漏措施，符合《危险废物贮存污染控制标准》（GB18597-2023）相关要求。</w:t>
      </w:r>
    </w:p>
    <w:p w14:paraId="2809DA1B">
      <w:pPr>
        <w:pStyle w:val="47"/>
        <w:ind w:firstLine="482"/>
        <w:rPr>
          <w:rFonts w:hint="eastAsia"/>
        </w:rPr>
      </w:pPr>
      <w:r>
        <w:rPr>
          <w:rFonts w:hint="eastAsia"/>
        </w:rPr>
        <w:t>②按照《危险废物产生单位管理计划制定指南》等有关要求制定危险废物管理计划，落实污染环境防治责任制度，建立健全工业危险废物产生、收集、贮存、运输、利用、处置全过程的污染环境防治责任制度。</w:t>
      </w:r>
    </w:p>
    <w:p w14:paraId="57E4EC64">
      <w:pPr>
        <w:pStyle w:val="47"/>
        <w:ind w:firstLine="482"/>
        <w:rPr>
          <w:rFonts w:hint="eastAsia"/>
        </w:rPr>
      </w:pPr>
      <w:r>
        <w:rPr>
          <w:rFonts w:hint="eastAsia"/>
        </w:rPr>
        <w:t>③落实危险废物转移联单制度，转移危险废物的，应当按照《危险废物转移管理办法》的有关规定填写、运行危险废物转移联单。运输危险废物，应当采取防止污染环境的措施，并遵守国家有关危险货物运输管理的规定。</w:t>
      </w:r>
    </w:p>
    <w:p w14:paraId="368045E5">
      <w:pPr>
        <w:pStyle w:val="47"/>
        <w:ind w:firstLine="482"/>
        <w:rPr>
          <w:rFonts w:hint="eastAsia"/>
        </w:rPr>
      </w:pPr>
      <w:r>
        <w:rPr>
          <w:rFonts w:hint="eastAsia"/>
        </w:rPr>
        <w:t>④危险废物暂存间设置警示标志；周围设置围墙或其他防护栅栏；配备通讯设备、照明设施、安全防护服装及消防设施等应急防护设施。</w:t>
      </w:r>
    </w:p>
    <w:p w14:paraId="3B13F4B0">
      <w:pPr>
        <w:pStyle w:val="47"/>
        <w:ind w:firstLine="482"/>
        <w:rPr>
          <w:rFonts w:hint="eastAsia"/>
        </w:rPr>
      </w:pPr>
      <w:r>
        <w:rPr>
          <w:rFonts w:hint="eastAsia"/>
        </w:rPr>
        <w:t>⑤建设单位应与危险废物处置签订危险废物处置协议，确保危险废物得到妥善处置。</w:t>
      </w:r>
    </w:p>
    <w:p w14:paraId="3C6D41F7">
      <w:pPr>
        <w:pStyle w:val="47"/>
        <w:ind w:firstLine="482"/>
      </w:pPr>
      <w:r>
        <w:rPr>
          <w:rFonts w:hint="eastAsia"/>
        </w:rPr>
        <w:t>综上，固体废物均能得到妥善处置，对环境无影响。</w:t>
      </w:r>
    </w:p>
    <w:p w14:paraId="4AFC7BA3">
      <w:pPr>
        <w:pStyle w:val="90"/>
        <w:bidi w:val="0"/>
        <w:ind w:left="0" w:leftChars="0" w:firstLine="0" w:firstLineChars="0"/>
      </w:pPr>
      <w:bookmarkStart w:id="61" w:name="_Toc20422"/>
      <w:r>
        <w:rPr>
          <w:rFonts w:hint="eastAsia"/>
        </w:rPr>
        <w:t>土壤环境影响预测与评价</w:t>
      </w:r>
      <w:bookmarkEnd w:id="61"/>
    </w:p>
    <w:p w14:paraId="14533C52">
      <w:pPr>
        <w:pStyle w:val="47"/>
        <w:ind w:firstLine="482"/>
        <w:rPr>
          <w:rFonts w:hint="default" w:ascii="Times New Roman" w:hAnsi="Times New Roman" w:eastAsia="楷体" w:cs="Times New Roman"/>
        </w:rPr>
      </w:pPr>
      <w:r>
        <w:rPr>
          <w:rFonts w:hint="default" w:ascii="Times New Roman" w:hAnsi="Times New Roman" w:eastAsia="楷体" w:cs="Times New Roman"/>
        </w:rPr>
        <w:t>（1）项目类别</w:t>
      </w:r>
    </w:p>
    <w:p w14:paraId="330B671F">
      <w:pPr>
        <w:pStyle w:val="47"/>
        <w:ind w:firstLine="482"/>
        <w:rPr>
          <w:rFonts w:hint="default" w:ascii="Times New Roman" w:hAnsi="Times New Roman" w:eastAsia="楷体" w:cs="Times New Roman"/>
        </w:rPr>
      </w:pPr>
      <w:r>
        <w:rPr>
          <w:rFonts w:hint="default" w:ascii="Times New Roman" w:hAnsi="Times New Roman" w:eastAsia="楷体" w:cs="Times New Roman"/>
        </w:rPr>
        <w:t>项目为废旧资源加工、再生利用行业，根据《环境影响评价技术导则 土壤环境（试行）》（HJ964-2018）土壤环境影响评价项目类别表中“环境和公共设施管理业中废旧资源加工、再生利用”，土壤环境影响评价项目类别为Ⅲ类。</w:t>
      </w:r>
    </w:p>
    <w:p w14:paraId="5E9538EB">
      <w:pPr>
        <w:pStyle w:val="47"/>
        <w:ind w:firstLine="482"/>
        <w:rPr>
          <w:rFonts w:hint="default" w:ascii="Times New Roman" w:hAnsi="Times New Roman" w:eastAsia="楷体" w:cs="Times New Roman"/>
        </w:rPr>
      </w:pPr>
      <w:r>
        <w:rPr>
          <w:rFonts w:hint="default" w:ascii="Times New Roman" w:hAnsi="Times New Roman" w:eastAsia="楷体" w:cs="Times New Roman"/>
        </w:rPr>
        <w:t>（2）影响类型与影响途径识别</w:t>
      </w:r>
    </w:p>
    <w:p w14:paraId="78031B8D">
      <w:pPr>
        <w:pStyle w:val="47"/>
        <w:ind w:firstLine="482"/>
        <w:rPr>
          <w:rFonts w:hint="default" w:ascii="Times New Roman" w:hAnsi="Times New Roman" w:eastAsia="楷体" w:cs="Times New Roman"/>
        </w:rPr>
      </w:pPr>
      <w:r>
        <w:rPr>
          <w:rFonts w:hint="default" w:ascii="Times New Roman" w:hAnsi="Times New Roman" w:eastAsia="楷体" w:cs="Times New Roman"/>
        </w:rPr>
        <w:t>项目建设内容主要为废旧资源加工、再生利用行业，属于污染影响型。根据《环境影响评价技术导则 土壤环境》（HJ964-2018）附录B要求，结合项目特点，对区域土壤环境影响类型及途径见下表。</w:t>
      </w:r>
    </w:p>
    <w:p w14:paraId="7748540B">
      <w:pPr>
        <w:pStyle w:val="94"/>
        <w:bidi w:val="0"/>
        <w:ind w:left="0" w:leftChars="0" w:firstLine="0" w:firstLineChars="0"/>
      </w:pPr>
      <w:r>
        <w:t>建设项目土壤环境影响类型及影响途径表</w:t>
      </w:r>
    </w:p>
    <w:tbl>
      <w:tblPr>
        <w:tblStyle w:val="3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360"/>
        <w:gridCol w:w="1766"/>
        <w:gridCol w:w="1915"/>
        <w:gridCol w:w="1811"/>
        <w:gridCol w:w="1432"/>
      </w:tblGrid>
      <w:tr w14:paraId="3849F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271" w:type="pct"/>
            <w:vMerge w:val="restart"/>
            <w:tcBorders>
              <w:tl2br w:val="nil"/>
              <w:tr2bl w:val="nil"/>
            </w:tcBorders>
            <w:noWrap w:val="0"/>
            <w:vAlign w:val="center"/>
          </w:tcPr>
          <w:p w14:paraId="2E59564A">
            <w:pPr>
              <w:pStyle w:val="55"/>
              <w:bidi w:val="0"/>
            </w:pPr>
            <w:r>
              <w:t>不同时段</w:t>
            </w:r>
          </w:p>
        </w:tc>
        <w:tc>
          <w:tcPr>
            <w:tcW w:w="3728" w:type="pct"/>
            <w:gridSpan w:val="4"/>
            <w:tcBorders>
              <w:tl2br w:val="nil"/>
              <w:tr2bl w:val="nil"/>
            </w:tcBorders>
            <w:noWrap w:val="0"/>
            <w:vAlign w:val="center"/>
          </w:tcPr>
          <w:p w14:paraId="12F07955">
            <w:pPr>
              <w:pStyle w:val="55"/>
              <w:bidi w:val="0"/>
            </w:pPr>
            <w:r>
              <w:t>污染影响类型</w:t>
            </w:r>
          </w:p>
        </w:tc>
      </w:tr>
      <w:tr w14:paraId="2ECC2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271" w:type="pct"/>
            <w:vMerge w:val="continue"/>
            <w:tcBorders>
              <w:tl2br w:val="nil"/>
              <w:tr2bl w:val="nil"/>
            </w:tcBorders>
            <w:noWrap w:val="0"/>
            <w:vAlign w:val="center"/>
          </w:tcPr>
          <w:p w14:paraId="23481EB3">
            <w:pPr>
              <w:pStyle w:val="55"/>
              <w:bidi w:val="0"/>
            </w:pPr>
          </w:p>
        </w:tc>
        <w:tc>
          <w:tcPr>
            <w:tcW w:w="951" w:type="pct"/>
            <w:tcBorders>
              <w:tl2br w:val="nil"/>
              <w:tr2bl w:val="nil"/>
            </w:tcBorders>
            <w:noWrap w:val="0"/>
            <w:vAlign w:val="center"/>
          </w:tcPr>
          <w:p w14:paraId="44577279">
            <w:pPr>
              <w:pStyle w:val="55"/>
              <w:bidi w:val="0"/>
            </w:pPr>
            <w:r>
              <w:t>大气沉降</w:t>
            </w:r>
          </w:p>
        </w:tc>
        <w:tc>
          <w:tcPr>
            <w:tcW w:w="1031" w:type="pct"/>
            <w:tcBorders>
              <w:tl2br w:val="nil"/>
              <w:tr2bl w:val="nil"/>
            </w:tcBorders>
            <w:noWrap w:val="0"/>
            <w:vAlign w:val="center"/>
          </w:tcPr>
          <w:p w14:paraId="04C2C648">
            <w:pPr>
              <w:pStyle w:val="55"/>
              <w:bidi w:val="0"/>
            </w:pPr>
            <w:r>
              <w:t>地表漫流</w:t>
            </w:r>
          </w:p>
        </w:tc>
        <w:tc>
          <w:tcPr>
            <w:tcW w:w="975" w:type="pct"/>
            <w:tcBorders>
              <w:tl2br w:val="nil"/>
              <w:tr2bl w:val="nil"/>
            </w:tcBorders>
            <w:noWrap w:val="0"/>
            <w:vAlign w:val="center"/>
          </w:tcPr>
          <w:p w14:paraId="7CFC943E">
            <w:pPr>
              <w:pStyle w:val="55"/>
              <w:bidi w:val="0"/>
            </w:pPr>
            <w:r>
              <w:t>垂直入渗</w:t>
            </w:r>
          </w:p>
        </w:tc>
        <w:tc>
          <w:tcPr>
            <w:tcW w:w="771" w:type="pct"/>
            <w:tcBorders>
              <w:tl2br w:val="nil"/>
              <w:tr2bl w:val="nil"/>
            </w:tcBorders>
            <w:noWrap w:val="0"/>
            <w:vAlign w:val="center"/>
          </w:tcPr>
          <w:p w14:paraId="3B0E8E66">
            <w:pPr>
              <w:pStyle w:val="55"/>
              <w:bidi w:val="0"/>
            </w:pPr>
            <w:r>
              <w:t>其他</w:t>
            </w:r>
          </w:p>
        </w:tc>
      </w:tr>
      <w:tr w14:paraId="661FA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271" w:type="pct"/>
            <w:tcBorders>
              <w:tl2br w:val="nil"/>
              <w:tr2bl w:val="nil"/>
            </w:tcBorders>
            <w:noWrap w:val="0"/>
            <w:vAlign w:val="center"/>
          </w:tcPr>
          <w:p w14:paraId="572C1665">
            <w:pPr>
              <w:pStyle w:val="55"/>
              <w:bidi w:val="0"/>
              <w:rPr>
                <w:rFonts w:hint="eastAsia" w:eastAsia="楷体"/>
                <w:lang w:eastAsia="zh-CN"/>
              </w:rPr>
            </w:pPr>
            <w:r>
              <w:rPr>
                <w:rFonts w:hint="eastAsia"/>
                <w:lang w:eastAsia="zh-CN"/>
              </w:rPr>
              <w:t>施工期</w:t>
            </w:r>
          </w:p>
        </w:tc>
        <w:tc>
          <w:tcPr>
            <w:tcW w:w="951" w:type="pct"/>
            <w:tcBorders>
              <w:tl2br w:val="nil"/>
              <w:tr2bl w:val="nil"/>
            </w:tcBorders>
            <w:noWrap w:val="0"/>
            <w:vAlign w:val="center"/>
          </w:tcPr>
          <w:p w14:paraId="3013F39A">
            <w:pPr>
              <w:pStyle w:val="55"/>
              <w:bidi w:val="0"/>
              <w:rPr>
                <w:rFonts w:hint="eastAsia"/>
                <w:lang w:val="en-US" w:eastAsia="zh-CN"/>
              </w:rPr>
            </w:pPr>
            <w:r>
              <w:rPr>
                <w:rFonts w:hint="eastAsia"/>
                <w:lang w:val="en-US" w:eastAsia="zh-CN"/>
              </w:rPr>
              <w:t>/</w:t>
            </w:r>
          </w:p>
        </w:tc>
        <w:tc>
          <w:tcPr>
            <w:tcW w:w="1031" w:type="pct"/>
            <w:tcBorders>
              <w:tl2br w:val="nil"/>
              <w:tr2bl w:val="nil"/>
            </w:tcBorders>
            <w:noWrap w:val="0"/>
            <w:vAlign w:val="center"/>
          </w:tcPr>
          <w:p w14:paraId="702B1851">
            <w:pPr>
              <w:pStyle w:val="55"/>
              <w:bidi w:val="0"/>
              <w:rPr>
                <w:rFonts w:hint="eastAsia"/>
                <w:lang w:val="en-US" w:eastAsia="zh-CN"/>
              </w:rPr>
            </w:pPr>
            <w:r>
              <w:rPr>
                <w:rFonts w:hint="eastAsia"/>
                <w:lang w:val="en-US" w:eastAsia="zh-CN"/>
              </w:rPr>
              <w:t>/</w:t>
            </w:r>
          </w:p>
        </w:tc>
        <w:tc>
          <w:tcPr>
            <w:tcW w:w="975" w:type="pct"/>
            <w:tcBorders>
              <w:tl2br w:val="nil"/>
              <w:tr2bl w:val="nil"/>
            </w:tcBorders>
            <w:noWrap w:val="0"/>
            <w:vAlign w:val="center"/>
          </w:tcPr>
          <w:p w14:paraId="05DDECCA">
            <w:pPr>
              <w:pStyle w:val="55"/>
              <w:bidi w:val="0"/>
              <w:rPr>
                <w:rFonts w:hint="eastAsia"/>
                <w:lang w:val="en-US" w:eastAsia="zh-CN"/>
              </w:rPr>
            </w:pPr>
            <w:r>
              <w:rPr>
                <w:rFonts w:hint="eastAsia"/>
                <w:lang w:val="en-US" w:eastAsia="zh-CN"/>
              </w:rPr>
              <w:t>/</w:t>
            </w:r>
          </w:p>
        </w:tc>
        <w:tc>
          <w:tcPr>
            <w:tcW w:w="771" w:type="pct"/>
            <w:tcBorders>
              <w:tl2br w:val="nil"/>
              <w:tr2bl w:val="nil"/>
            </w:tcBorders>
            <w:noWrap w:val="0"/>
            <w:vAlign w:val="center"/>
          </w:tcPr>
          <w:p w14:paraId="4B8262A1">
            <w:pPr>
              <w:pStyle w:val="55"/>
              <w:bidi w:val="0"/>
              <w:rPr>
                <w:rFonts w:hint="eastAsia"/>
                <w:lang w:val="en-US" w:eastAsia="zh-CN"/>
              </w:rPr>
            </w:pPr>
            <w:r>
              <w:rPr>
                <w:rFonts w:hint="eastAsia"/>
                <w:lang w:val="en-US" w:eastAsia="zh-CN"/>
              </w:rPr>
              <w:t>/</w:t>
            </w:r>
          </w:p>
        </w:tc>
      </w:tr>
      <w:tr w14:paraId="50FA3B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271" w:type="pct"/>
            <w:tcBorders>
              <w:tl2br w:val="nil"/>
              <w:tr2bl w:val="nil"/>
            </w:tcBorders>
            <w:noWrap w:val="0"/>
            <w:vAlign w:val="center"/>
          </w:tcPr>
          <w:p w14:paraId="21377703">
            <w:pPr>
              <w:pStyle w:val="55"/>
              <w:bidi w:val="0"/>
            </w:pPr>
            <w:r>
              <w:t>运营期</w:t>
            </w:r>
          </w:p>
        </w:tc>
        <w:tc>
          <w:tcPr>
            <w:tcW w:w="951" w:type="pct"/>
            <w:tcBorders>
              <w:tl2br w:val="nil"/>
              <w:tr2bl w:val="nil"/>
            </w:tcBorders>
            <w:noWrap w:val="0"/>
            <w:vAlign w:val="center"/>
          </w:tcPr>
          <w:p w14:paraId="2B708D9C">
            <w:pPr>
              <w:pStyle w:val="55"/>
              <w:bidi w:val="0"/>
              <w:rPr>
                <w:rFonts w:hint="eastAsia"/>
                <w:lang w:eastAsia="zh-CN"/>
              </w:rPr>
            </w:pPr>
            <w:r>
              <w:t>√</w:t>
            </w:r>
          </w:p>
        </w:tc>
        <w:tc>
          <w:tcPr>
            <w:tcW w:w="1031" w:type="pct"/>
            <w:tcBorders>
              <w:tl2br w:val="nil"/>
              <w:tr2bl w:val="nil"/>
            </w:tcBorders>
            <w:noWrap w:val="0"/>
            <w:vAlign w:val="center"/>
          </w:tcPr>
          <w:p w14:paraId="78BCA3C9">
            <w:pPr>
              <w:pStyle w:val="55"/>
              <w:bidi w:val="0"/>
            </w:pPr>
            <w:r>
              <w:rPr>
                <w:rFonts w:hint="eastAsia"/>
                <w:lang w:val="en-US" w:eastAsia="zh-CN"/>
              </w:rPr>
              <w:t>/</w:t>
            </w:r>
          </w:p>
        </w:tc>
        <w:tc>
          <w:tcPr>
            <w:tcW w:w="975" w:type="pct"/>
            <w:tcBorders>
              <w:tl2br w:val="nil"/>
              <w:tr2bl w:val="nil"/>
            </w:tcBorders>
            <w:noWrap w:val="0"/>
            <w:vAlign w:val="center"/>
          </w:tcPr>
          <w:p w14:paraId="5BEF4E92">
            <w:pPr>
              <w:pStyle w:val="55"/>
              <w:bidi w:val="0"/>
            </w:pPr>
            <w:r>
              <w:t>√</w:t>
            </w:r>
          </w:p>
        </w:tc>
        <w:tc>
          <w:tcPr>
            <w:tcW w:w="771" w:type="pct"/>
            <w:tcBorders>
              <w:tl2br w:val="nil"/>
              <w:tr2bl w:val="nil"/>
            </w:tcBorders>
            <w:noWrap w:val="0"/>
            <w:vAlign w:val="center"/>
          </w:tcPr>
          <w:p w14:paraId="23769673">
            <w:pPr>
              <w:pStyle w:val="55"/>
              <w:bidi w:val="0"/>
              <w:rPr>
                <w:rFonts w:hint="eastAsia"/>
                <w:lang w:val="en-US" w:eastAsia="zh-CN"/>
              </w:rPr>
            </w:pPr>
            <w:r>
              <w:rPr>
                <w:rFonts w:hint="eastAsia"/>
                <w:lang w:val="en-US" w:eastAsia="zh-CN"/>
              </w:rPr>
              <w:t>/</w:t>
            </w:r>
          </w:p>
        </w:tc>
      </w:tr>
    </w:tbl>
    <w:p w14:paraId="0838185A">
      <w:pPr>
        <w:pStyle w:val="94"/>
        <w:bidi w:val="0"/>
        <w:ind w:left="0" w:leftChars="0" w:firstLine="0" w:firstLineChars="0"/>
      </w:pPr>
      <w:r>
        <w:t>建设项目</w:t>
      </w:r>
      <w:r>
        <w:rPr>
          <w:rFonts w:hint="eastAsia"/>
        </w:rPr>
        <w:t>污染影响型</w:t>
      </w:r>
      <w:r>
        <w:t>土壤环境影响源及影响因子识别表</w:t>
      </w:r>
    </w:p>
    <w:tbl>
      <w:tblPr>
        <w:tblStyle w:val="3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282"/>
        <w:gridCol w:w="2457"/>
        <w:gridCol w:w="1604"/>
        <w:gridCol w:w="1556"/>
        <w:gridCol w:w="1389"/>
      </w:tblGrid>
      <w:tr w14:paraId="3F5045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rPr>
        <w:tc>
          <w:tcPr>
            <w:tcW w:w="1228" w:type="pct"/>
            <w:tcBorders>
              <w:tl2br w:val="nil"/>
              <w:tr2bl w:val="nil"/>
            </w:tcBorders>
            <w:noWrap w:val="0"/>
            <w:vAlign w:val="center"/>
          </w:tcPr>
          <w:p w14:paraId="7926AA23">
            <w:pPr>
              <w:pStyle w:val="55"/>
              <w:bidi w:val="0"/>
            </w:pPr>
            <w:r>
              <w:t>污染源</w:t>
            </w:r>
          </w:p>
        </w:tc>
        <w:tc>
          <w:tcPr>
            <w:tcW w:w="1322" w:type="pct"/>
            <w:tcBorders>
              <w:tl2br w:val="nil"/>
              <w:tr2bl w:val="nil"/>
            </w:tcBorders>
            <w:noWrap w:val="0"/>
            <w:vAlign w:val="center"/>
          </w:tcPr>
          <w:p w14:paraId="02B22664">
            <w:pPr>
              <w:pStyle w:val="55"/>
              <w:bidi w:val="0"/>
            </w:pPr>
            <w:r>
              <w:t>工艺流程/节点</w:t>
            </w:r>
          </w:p>
        </w:tc>
        <w:tc>
          <w:tcPr>
            <w:tcW w:w="863" w:type="pct"/>
            <w:tcBorders>
              <w:tl2br w:val="nil"/>
              <w:tr2bl w:val="nil"/>
            </w:tcBorders>
            <w:noWrap w:val="0"/>
            <w:vAlign w:val="center"/>
          </w:tcPr>
          <w:p w14:paraId="338B8DC2">
            <w:pPr>
              <w:pStyle w:val="55"/>
              <w:bidi w:val="0"/>
            </w:pPr>
            <w:r>
              <w:t>污染途径</w:t>
            </w:r>
          </w:p>
        </w:tc>
        <w:tc>
          <w:tcPr>
            <w:tcW w:w="837" w:type="pct"/>
            <w:tcBorders>
              <w:tl2br w:val="nil"/>
              <w:tr2bl w:val="nil"/>
            </w:tcBorders>
            <w:noWrap w:val="0"/>
            <w:vAlign w:val="center"/>
          </w:tcPr>
          <w:p w14:paraId="55771346">
            <w:pPr>
              <w:pStyle w:val="55"/>
              <w:bidi w:val="0"/>
            </w:pPr>
            <w:r>
              <w:t>特征因子</w:t>
            </w:r>
          </w:p>
        </w:tc>
        <w:tc>
          <w:tcPr>
            <w:tcW w:w="747" w:type="pct"/>
            <w:tcBorders>
              <w:tl2br w:val="nil"/>
              <w:tr2bl w:val="nil"/>
            </w:tcBorders>
            <w:noWrap w:val="0"/>
            <w:vAlign w:val="center"/>
          </w:tcPr>
          <w:p w14:paraId="3DB7C9DE">
            <w:pPr>
              <w:pStyle w:val="55"/>
              <w:bidi w:val="0"/>
            </w:pPr>
            <w:r>
              <w:t>备注</w:t>
            </w:r>
          </w:p>
        </w:tc>
      </w:tr>
      <w:tr w14:paraId="0F5C2E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rPr>
        <w:tc>
          <w:tcPr>
            <w:tcW w:w="1228" w:type="pct"/>
            <w:tcBorders>
              <w:tl2br w:val="nil"/>
              <w:tr2bl w:val="nil"/>
            </w:tcBorders>
            <w:noWrap w:val="0"/>
            <w:vAlign w:val="center"/>
          </w:tcPr>
          <w:p w14:paraId="468C0CEC">
            <w:pPr>
              <w:pStyle w:val="55"/>
              <w:bidi w:val="0"/>
              <w:rPr>
                <w:rFonts w:hint="eastAsia" w:eastAsia="楷体"/>
                <w:lang w:eastAsia="zh-CN"/>
              </w:rPr>
            </w:pPr>
            <w:r>
              <w:rPr>
                <w:rFonts w:hint="eastAsia"/>
                <w:lang w:eastAsia="zh-CN"/>
              </w:rPr>
              <w:t>排气筒</w:t>
            </w:r>
          </w:p>
        </w:tc>
        <w:tc>
          <w:tcPr>
            <w:tcW w:w="1322" w:type="pct"/>
            <w:tcBorders>
              <w:tl2br w:val="nil"/>
              <w:tr2bl w:val="nil"/>
            </w:tcBorders>
            <w:noWrap w:val="0"/>
            <w:vAlign w:val="center"/>
          </w:tcPr>
          <w:p w14:paraId="00EE2120">
            <w:pPr>
              <w:pStyle w:val="55"/>
              <w:bidi w:val="0"/>
              <w:rPr>
                <w:rFonts w:hint="default" w:eastAsia="楷体"/>
                <w:lang w:val="en-US" w:eastAsia="zh-CN"/>
              </w:rPr>
            </w:pPr>
            <w:r>
              <w:rPr>
                <w:rFonts w:hint="eastAsia"/>
                <w:lang w:eastAsia="zh-CN"/>
              </w:rPr>
              <w:t>生产过程</w:t>
            </w:r>
            <w:r>
              <w:rPr>
                <w:rFonts w:hint="eastAsia"/>
                <w:lang w:val="en-US" w:eastAsia="zh-CN"/>
              </w:rPr>
              <w:t>/</w:t>
            </w:r>
            <w:r>
              <w:t>泄漏事故</w:t>
            </w:r>
          </w:p>
        </w:tc>
        <w:tc>
          <w:tcPr>
            <w:tcW w:w="863" w:type="pct"/>
            <w:tcBorders>
              <w:tl2br w:val="nil"/>
              <w:tr2bl w:val="nil"/>
            </w:tcBorders>
            <w:noWrap w:val="0"/>
            <w:vAlign w:val="center"/>
          </w:tcPr>
          <w:p w14:paraId="71959E41">
            <w:pPr>
              <w:pStyle w:val="55"/>
              <w:bidi w:val="0"/>
            </w:pPr>
            <w:r>
              <w:t>大气沉降</w:t>
            </w:r>
          </w:p>
        </w:tc>
        <w:tc>
          <w:tcPr>
            <w:tcW w:w="837" w:type="pct"/>
            <w:tcBorders>
              <w:tl2br w:val="nil"/>
              <w:tr2bl w:val="nil"/>
            </w:tcBorders>
            <w:noWrap w:val="0"/>
            <w:vAlign w:val="center"/>
          </w:tcPr>
          <w:p w14:paraId="37245CA2">
            <w:pPr>
              <w:pStyle w:val="55"/>
              <w:bidi w:val="0"/>
              <w:rPr>
                <w:rFonts w:hint="eastAsia" w:eastAsia="楷体"/>
                <w:lang w:eastAsia="zh-CN"/>
              </w:rPr>
            </w:pPr>
            <w:r>
              <w:rPr>
                <w:rFonts w:hint="eastAsia"/>
                <w:lang w:eastAsia="zh-CN"/>
              </w:rPr>
              <w:t>颗粒物</w:t>
            </w:r>
          </w:p>
        </w:tc>
        <w:tc>
          <w:tcPr>
            <w:tcW w:w="747" w:type="pct"/>
            <w:tcBorders>
              <w:tl2br w:val="nil"/>
              <w:tr2bl w:val="nil"/>
            </w:tcBorders>
            <w:noWrap w:val="0"/>
            <w:vAlign w:val="center"/>
          </w:tcPr>
          <w:p w14:paraId="5E66D66E">
            <w:pPr>
              <w:pStyle w:val="55"/>
              <w:bidi w:val="0"/>
            </w:pPr>
            <w:r>
              <w:t>事故</w:t>
            </w:r>
            <w:r>
              <w:rPr>
                <w:rFonts w:hint="eastAsia"/>
                <w:lang w:val="en-US" w:eastAsia="zh-CN"/>
              </w:rPr>
              <w:t>排放</w:t>
            </w:r>
          </w:p>
        </w:tc>
      </w:tr>
      <w:tr w14:paraId="4F5FBD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rPr>
        <w:tc>
          <w:tcPr>
            <w:tcW w:w="1228" w:type="pct"/>
            <w:tcBorders>
              <w:tl2br w:val="nil"/>
              <w:tr2bl w:val="nil"/>
            </w:tcBorders>
            <w:noWrap w:val="0"/>
            <w:vAlign w:val="center"/>
          </w:tcPr>
          <w:p w14:paraId="15ECEFD9">
            <w:pPr>
              <w:pStyle w:val="55"/>
              <w:bidi w:val="0"/>
              <w:rPr>
                <w:rFonts w:hint="default"/>
                <w:lang w:val="en-US" w:eastAsia="zh-CN"/>
              </w:rPr>
            </w:pPr>
            <w:r>
              <w:rPr>
                <w:rFonts w:hint="eastAsia"/>
                <w:lang w:val="en-US" w:eastAsia="zh-CN"/>
              </w:rPr>
              <w:t>沉淀池</w:t>
            </w:r>
          </w:p>
        </w:tc>
        <w:tc>
          <w:tcPr>
            <w:tcW w:w="1322" w:type="pct"/>
            <w:tcBorders>
              <w:tl2br w:val="nil"/>
              <w:tr2bl w:val="nil"/>
            </w:tcBorders>
            <w:noWrap w:val="0"/>
            <w:vAlign w:val="center"/>
          </w:tcPr>
          <w:p w14:paraId="55D81D5B">
            <w:pPr>
              <w:pStyle w:val="55"/>
              <w:bidi w:val="0"/>
            </w:pPr>
            <w:r>
              <w:t>泄漏事故</w:t>
            </w:r>
          </w:p>
        </w:tc>
        <w:tc>
          <w:tcPr>
            <w:tcW w:w="863" w:type="pct"/>
            <w:tcBorders>
              <w:tl2br w:val="nil"/>
              <w:tr2bl w:val="nil"/>
            </w:tcBorders>
            <w:noWrap w:val="0"/>
            <w:vAlign w:val="center"/>
          </w:tcPr>
          <w:p w14:paraId="55E50CB5">
            <w:pPr>
              <w:pStyle w:val="55"/>
              <w:bidi w:val="0"/>
            </w:pPr>
            <w:r>
              <w:t>垂直渗入</w:t>
            </w:r>
          </w:p>
        </w:tc>
        <w:tc>
          <w:tcPr>
            <w:tcW w:w="837" w:type="pct"/>
            <w:tcBorders>
              <w:tl2br w:val="nil"/>
              <w:tr2bl w:val="nil"/>
            </w:tcBorders>
            <w:noWrap w:val="0"/>
            <w:vAlign w:val="center"/>
          </w:tcPr>
          <w:p w14:paraId="07871931">
            <w:pPr>
              <w:pStyle w:val="55"/>
              <w:bidi w:val="0"/>
              <w:rPr>
                <w:rFonts w:hint="eastAsia"/>
                <w:lang w:eastAsia="zh-CN"/>
              </w:rPr>
            </w:pPr>
            <w:r>
              <w:rPr>
                <w:rFonts w:hint="eastAsia"/>
                <w:lang w:val="en-US" w:eastAsia="zh-CN"/>
              </w:rPr>
              <w:t>SS</w:t>
            </w:r>
          </w:p>
        </w:tc>
        <w:tc>
          <w:tcPr>
            <w:tcW w:w="747" w:type="pct"/>
            <w:tcBorders>
              <w:tl2br w:val="nil"/>
              <w:tr2bl w:val="nil"/>
            </w:tcBorders>
            <w:noWrap w:val="0"/>
            <w:vAlign w:val="center"/>
          </w:tcPr>
          <w:p w14:paraId="31D654F4">
            <w:pPr>
              <w:pStyle w:val="55"/>
              <w:bidi w:val="0"/>
              <w:rPr>
                <w:rFonts w:hint="eastAsia"/>
                <w:lang w:val="en-US" w:eastAsia="zh-CN"/>
              </w:rPr>
            </w:pPr>
            <w:r>
              <w:t>事故</w:t>
            </w:r>
            <w:r>
              <w:rPr>
                <w:rFonts w:hint="eastAsia"/>
                <w:lang w:val="en-US" w:eastAsia="zh-CN"/>
              </w:rPr>
              <w:t>排放</w:t>
            </w:r>
          </w:p>
        </w:tc>
      </w:tr>
      <w:tr w14:paraId="280E8E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rPr>
        <w:tc>
          <w:tcPr>
            <w:tcW w:w="1228" w:type="pct"/>
            <w:tcBorders>
              <w:tl2br w:val="nil"/>
              <w:tr2bl w:val="nil"/>
            </w:tcBorders>
            <w:noWrap w:val="0"/>
            <w:vAlign w:val="center"/>
          </w:tcPr>
          <w:p w14:paraId="571DFBCA">
            <w:pPr>
              <w:pStyle w:val="55"/>
              <w:bidi w:val="0"/>
              <w:rPr>
                <w:rFonts w:hint="default"/>
                <w:lang w:val="en-US" w:eastAsia="zh-CN"/>
              </w:rPr>
            </w:pPr>
            <w:r>
              <w:rPr>
                <w:rFonts w:hint="eastAsia"/>
                <w:lang w:val="en-US" w:eastAsia="zh-CN"/>
              </w:rPr>
              <w:t>防渗旱厕</w:t>
            </w:r>
          </w:p>
        </w:tc>
        <w:tc>
          <w:tcPr>
            <w:tcW w:w="1322" w:type="pct"/>
            <w:tcBorders>
              <w:tl2br w:val="nil"/>
              <w:tr2bl w:val="nil"/>
            </w:tcBorders>
            <w:noWrap w:val="0"/>
            <w:vAlign w:val="center"/>
          </w:tcPr>
          <w:p w14:paraId="2BD75171">
            <w:pPr>
              <w:pStyle w:val="55"/>
              <w:bidi w:val="0"/>
            </w:pPr>
            <w:r>
              <w:t>泄漏事故</w:t>
            </w:r>
          </w:p>
        </w:tc>
        <w:tc>
          <w:tcPr>
            <w:tcW w:w="863" w:type="pct"/>
            <w:tcBorders>
              <w:tl2br w:val="nil"/>
              <w:tr2bl w:val="nil"/>
            </w:tcBorders>
            <w:noWrap w:val="0"/>
            <w:vAlign w:val="center"/>
          </w:tcPr>
          <w:p w14:paraId="2C1DD020">
            <w:pPr>
              <w:pStyle w:val="55"/>
              <w:bidi w:val="0"/>
            </w:pPr>
            <w:r>
              <w:t>垂直渗入</w:t>
            </w:r>
          </w:p>
        </w:tc>
        <w:tc>
          <w:tcPr>
            <w:tcW w:w="837" w:type="pct"/>
            <w:tcBorders>
              <w:tl2br w:val="nil"/>
              <w:tr2bl w:val="nil"/>
            </w:tcBorders>
            <w:noWrap w:val="0"/>
            <w:vAlign w:val="center"/>
          </w:tcPr>
          <w:p w14:paraId="6AF2255E">
            <w:pPr>
              <w:pStyle w:val="55"/>
              <w:bidi w:val="0"/>
              <w:rPr>
                <w:rFonts w:hint="eastAsia"/>
                <w:lang w:val="en-US" w:eastAsia="zh-CN"/>
              </w:rPr>
            </w:pPr>
            <w:r>
              <w:rPr>
                <w:rFonts w:hint="eastAsia"/>
                <w:lang w:val="en-US" w:eastAsia="zh-CN"/>
              </w:rPr>
              <w:t>氨氮、COD</w:t>
            </w:r>
          </w:p>
        </w:tc>
        <w:tc>
          <w:tcPr>
            <w:tcW w:w="747" w:type="pct"/>
            <w:tcBorders>
              <w:tl2br w:val="nil"/>
              <w:tr2bl w:val="nil"/>
            </w:tcBorders>
            <w:noWrap w:val="0"/>
            <w:vAlign w:val="center"/>
          </w:tcPr>
          <w:p w14:paraId="72B963C5">
            <w:pPr>
              <w:pStyle w:val="55"/>
              <w:bidi w:val="0"/>
            </w:pPr>
            <w:r>
              <w:t>事故</w:t>
            </w:r>
            <w:r>
              <w:rPr>
                <w:rFonts w:hint="eastAsia"/>
                <w:lang w:val="en-US" w:eastAsia="zh-CN"/>
              </w:rPr>
              <w:t>排放</w:t>
            </w:r>
          </w:p>
        </w:tc>
      </w:tr>
    </w:tbl>
    <w:p w14:paraId="4B6D1F3D">
      <w:pPr>
        <w:pStyle w:val="47"/>
        <w:ind w:firstLine="482"/>
        <w:rPr>
          <w:rFonts w:hint="default" w:ascii="Times New Roman" w:hAnsi="Times New Roman" w:eastAsia="楷体" w:cs="Times New Roman"/>
        </w:rPr>
      </w:pPr>
      <w:r>
        <w:rPr>
          <w:rFonts w:hint="default" w:ascii="Times New Roman" w:hAnsi="Times New Roman" w:eastAsia="楷体" w:cs="Times New Roman"/>
        </w:rPr>
        <w:t>（</w:t>
      </w:r>
      <w:r>
        <w:rPr>
          <w:rFonts w:hint="eastAsia" w:ascii="Times New Roman" w:hAnsi="Times New Roman" w:cs="Times New Roman"/>
          <w:lang w:val="en-US" w:eastAsia="zh-CN"/>
        </w:rPr>
        <w:t>3</w:t>
      </w:r>
      <w:r>
        <w:rPr>
          <w:rFonts w:hint="default" w:ascii="Times New Roman" w:hAnsi="Times New Roman" w:eastAsia="楷体" w:cs="Times New Roman"/>
        </w:rPr>
        <w:t>）土壤影响分析</w:t>
      </w:r>
    </w:p>
    <w:p w14:paraId="6B72D594">
      <w:pPr>
        <w:pStyle w:val="47"/>
        <w:ind w:firstLine="482"/>
        <w:rPr>
          <w:rFonts w:hint="default" w:ascii="Times New Roman" w:hAnsi="Times New Roman" w:eastAsia="楷体" w:cs="Times New Roman"/>
        </w:rPr>
      </w:pPr>
      <w:r>
        <w:rPr>
          <w:rFonts w:hint="default" w:ascii="Times New Roman" w:hAnsi="Times New Roman" w:eastAsia="楷体" w:cs="Times New Roman"/>
        </w:rPr>
        <w:t>根据《环境影响评价技术导则 土壤环境》（HJ964-2018），项目属于Ⅲ类项目，土壤环境敏感程度属于敏感，占地属于小型规模，综上确定项目土壤环境评价工作等级为三级，本项目可采用定性描述进行预测。</w:t>
      </w:r>
    </w:p>
    <w:p w14:paraId="6F6D4E0B">
      <w:pPr>
        <w:pStyle w:val="47"/>
        <w:ind w:firstLine="482"/>
        <w:rPr>
          <w:rFonts w:hint="default" w:ascii="Times New Roman" w:hAnsi="Times New Roman" w:eastAsia="楷体" w:cs="Times New Roman"/>
        </w:rPr>
      </w:pPr>
      <w:r>
        <w:rPr>
          <w:rFonts w:hint="default" w:ascii="Times New Roman" w:hAnsi="Times New Roman" w:eastAsia="楷体" w:cs="Times New Roman"/>
        </w:rPr>
        <w:t>本次评价对可能产生污染的土壤进行了取样监测，通过现状土壤环境质量监测结果可以看出，项目所在地土壤环境质量均满足相应的环境质量标准，因此可说明本项目区土壤环境质量较好。</w:t>
      </w:r>
    </w:p>
    <w:p w14:paraId="4341AC6B">
      <w:pPr>
        <w:pStyle w:val="47"/>
        <w:ind w:firstLine="482"/>
        <w:rPr>
          <w:rFonts w:hint="default" w:ascii="Times New Roman" w:hAnsi="Times New Roman" w:eastAsia="楷体" w:cs="Times New Roman"/>
        </w:rPr>
      </w:pPr>
      <w:r>
        <w:rPr>
          <w:rFonts w:hint="default" w:ascii="Times New Roman" w:hAnsi="Times New Roman" w:eastAsia="楷体" w:cs="Times New Roman"/>
        </w:rPr>
        <w:t>项目营运期产生的废气主要是非甲烷总烃</w:t>
      </w:r>
      <w:r>
        <w:rPr>
          <w:rFonts w:hint="eastAsia" w:ascii="Times New Roman" w:hAnsi="Times New Roman" w:cs="Times New Roman"/>
          <w:lang w:eastAsia="zh-CN"/>
        </w:rPr>
        <w:t>、</w:t>
      </w:r>
      <w:r>
        <w:rPr>
          <w:rFonts w:hint="default" w:ascii="Times New Roman" w:hAnsi="Times New Roman" w:eastAsia="楷体" w:cs="Times New Roman"/>
        </w:rPr>
        <w:t>颗粒物</w:t>
      </w:r>
      <w:r>
        <w:rPr>
          <w:rFonts w:hint="eastAsia" w:ascii="Times New Roman" w:hAnsi="Times New Roman" w:cs="Times New Roman"/>
          <w:lang w:eastAsia="zh-CN"/>
        </w:rPr>
        <w:t>、</w:t>
      </w:r>
      <w:r>
        <w:rPr>
          <w:rFonts w:hint="eastAsia" w:ascii="Times New Roman" w:hAnsi="Times New Roman" w:cs="Times New Roman"/>
          <w:lang w:val="en-US" w:eastAsia="zh-CN"/>
        </w:rPr>
        <w:t>HCl、臭气浓度</w:t>
      </w:r>
      <w:r>
        <w:rPr>
          <w:rFonts w:hint="default" w:ascii="Times New Roman" w:hAnsi="Times New Roman" w:eastAsia="楷体" w:cs="Times New Roman"/>
        </w:rPr>
        <w:t>，非甲烷总烃</w:t>
      </w:r>
      <w:r>
        <w:rPr>
          <w:rFonts w:hint="eastAsia" w:ascii="Times New Roman" w:hAnsi="Times New Roman" w:cs="Times New Roman"/>
          <w:lang w:eastAsia="zh-CN"/>
        </w:rPr>
        <w:t>、</w:t>
      </w:r>
      <w:r>
        <w:rPr>
          <w:rFonts w:hint="eastAsia" w:ascii="Times New Roman" w:hAnsi="Times New Roman" w:cs="Times New Roman"/>
          <w:lang w:val="en-US" w:eastAsia="zh-CN"/>
        </w:rPr>
        <w:t>HCl、臭气浓度</w:t>
      </w:r>
      <w:r>
        <w:rPr>
          <w:rFonts w:hint="default" w:ascii="Times New Roman" w:hAnsi="Times New Roman" w:eastAsia="楷体" w:cs="Times New Roman"/>
        </w:rPr>
        <w:t>属于气态物质，不会对土壤产生影响，因此项目排放废气中仅少量颗粒物会沉降在土壤内，但颗粒物不含有重金属等物质，由此推知，项目废气污染物排放不会对周边土壤环境产生影响。项目对土壤可能产生影响的途径主要为污水的入渗，会有部分污染物进入土壤。项目各功能区均采取“源头控制”、“分区防控”的防渗措施，可以有效保证污染物不会进入土壤环境，防止污染土壤。项目产生的固体废物均在室内堆放，满足“防风、防雨、防晒”的要求，经收集后均进行妥善处理，不直接排入土壤环境。项目危险废物</w:t>
      </w:r>
      <w:r>
        <w:rPr>
          <w:rFonts w:hint="eastAsia" w:cs="Times New Roman"/>
          <w:lang w:eastAsia="zh-CN"/>
        </w:rPr>
        <w:t>暂存间</w:t>
      </w:r>
      <w:r>
        <w:rPr>
          <w:rFonts w:hint="default" w:ascii="Times New Roman" w:hAnsi="Times New Roman" w:eastAsia="楷体" w:cs="Times New Roman"/>
        </w:rPr>
        <w:t>须按《危险废物贮存污染控制标准》（GB18597-2023）相关要求进行设计建造。危险废物分类收集后，委托有资质的危险废物处置单位处置。整个过程基本上可以杜绝危险废物接触土壤，不会对土壤环境造成影响。</w:t>
      </w:r>
    </w:p>
    <w:p w14:paraId="0A0B283D">
      <w:pPr>
        <w:pStyle w:val="47"/>
        <w:ind w:firstLine="482"/>
        <w:rPr>
          <w:rFonts w:hint="eastAsia" w:ascii="Times New Roman" w:hAnsi="Times New Roman" w:eastAsia="楷体" w:cs="Times New Roman"/>
          <w:lang w:eastAsia="zh-CN"/>
        </w:rPr>
      </w:pPr>
      <w:r>
        <w:rPr>
          <w:rFonts w:hint="eastAsia" w:ascii="Times New Roman" w:hAnsi="Times New Roman" w:cs="Times New Roman"/>
          <w:lang w:eastAsia="zh-CN"/>
        </w:rPr>
        <w:t>（</w:t>
      </w:r>
      <w:r>
        <w:rPr>
          <w:rFonts w:hint="eastAsia" w:ascii="Times New Roman" w:hAnsi="Times New Roman" w:cs="Times New Roman"/>
          <w:lang w:val="en-US" w:eastAsia="zh-CN"/>
        </w:rPr>
        <w:t>4</w:t>
      </w:r>
      <w:r>
        <w:rPr>
          <w:rFonts w:hint="eastAsia" w:ascii="Times New Roman" w:hAnsi="Times New Roman" w:cs="Times New Roman"/>
          <w:lang w:eastAsia="zh-CN"/>
        </w:rPr>
        <w:t>）土壤环境影响评价自查表</w:t>
      </w:r>
    </w:p>
    <w:p w14:paraId="59D40B54">
      <w:pPr>
        <w:pStyle w:val="47"/>
        <w:ind w:firstLine="482"/>
        <w:rPr>
          <w:rFonts w:hint="default" w:ascii="Times New Roman" w:hAnsi="Times New Roman" w:eastAsia="楷体" w:cs="Times New Roman"/>
        </w:rPr>
      </w:pPr>
      <w:r>
        <w:rPr>
          <w:rFonts w:hint="default" w:ascii="Times New Roman" w:hAnsi="Times New Roman" w:eastAsia="楷体" w:cs="Times New Roman"/>
        </w:rPr>
        <w:t>运营期产生的废气、废水均严格执行各项环保措施，则各种污染物对土壤环境的影响均处于可接受范围内。</w:t>
      </w:r>
    </w:p>
    <w:p w14:paraId="29C26BCF">
      <w:pPr>
        <w:pStyle w:val="47"/>
        <w:ind w:firstLine="482"/>
        <w:rPr>
          <w:rFonts w:hint="default" w:ascii="Times New Roman" w:hAnsi="Times New Roman" w:eastAsia="楷体" w:cs="Times New Roman"/>
        </w:rPr>
      </w:pPr>
      <w:r>
        <w:rPr>
          <w:rFonts w:hint="default" w:ascii="Times New Roman" w:hAnsi="Times New Roman" w:eastAsia="楷体" w:cs="Times New Roman"/>
        </w:rPr>
        <w:t>土壤环境影响评价自查表见</w:t>
      </w:r>
      <w:r>
        <w:rPr>
          <w:rFonts w:hint="eastAsia" w:ascii="Times New Roman" w:hAnsi="Times New Roman" w:cs="Times New Roman"/>
          <w:lang w:val="en-US" w:eastAsia="zh-CN"/>
        </w:rPr>
        <w:t>下</w:t>
      </w:r>
      <w:r>
        <w:rPr>
          <w:rFonts w:hint="default" w:ascii="Times New Roman" w:hAnsi="Times New Roman" w:eastAsia="楷体" w:cs="Times New Roman"/>
        </w:rPr>
        <w:t>表。</w:t>
      </w:r>
    </w:p>
    <w:p w14:paraId="2441FCB0">
      <w:pPr>
        <w:pStyle w:val="94"/>
        <w:bidi w:val="0"/>
        <w:ind w:left="0" w:leftChars="0" w:firstLine="0" w:firstLineChars="0"/>
        <w:rPr>
          <w:rFonts w:hint="eastAsia"/>
          <w:lang w:val="en-US" w:eastAsia="zh-CN"/>
        </w:rPr>
      </w:pPr>
      <w:r>
        <w:rPr>
          <w:rFonts w:hint="eastAsia"/>
          <w:lang w:val="en-US" w:eastAsia="zh-CN"/>
        </w:rPr>
        <w:t>土壤环境影响评价自查表</w:t>
      </w:r>
    </w:p>
    <w:tbl>
      <w:tblPr>
        <w:tblStyle w:val="3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9"/>
        <w:gridCol w:w="1856"/>
        <w:gridCol w:w="1751"/>
        <w:gridCol w:w="299"/>
        <w:gridCol w:w="1212"/>
        <w:gridCol w:w="1616"/>
        <w:gridCol w:w="134"/>
        <w:gridCol w:w="1700"/>
      </w:tblGrid>
      <w:tr w14:paraId="5131C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blHeader/>
          <w:jc w:val="center"/>
        </w:trPr>
        <w:tc>
          <w:tcPr>
            <w:tcW w:w="2469" w:type="dxa"/>
            <w:gridSpan w:val="2"/>
            <w:tcBorders>
              <w:tl2br w:val="nil"/>
              <w:tr2bl w:val="nil"/>
            </w:tcBorders>
            <w:noWrap w:val="0"/>
            <w:vAlign w:val="center"/>
          </w:tcPr>
          <w:p w14:paraId="2604D36A">
            <w:pPr>
              <w:pStyle w:val="55"/>
              <w:bidi w:val="0"/>
            </w:pPr>
            <w:r>
              <w:t>工作内容</w:t>
            </w:r>
          </w:p>
        </w:tc>
        <w:tc>
          <w:tcPr>
            <w:tcW w:w="6450" w:type="dxa"/>
            <w:gridSpan w:val="6"/>
            <w:tcBorders>
              <w:tl2br w:val="nil"/>
              <w:tr2bl w:val="nil"/>
            </w:tcBorders>
            <w:noWrap w:val="0"/>
            <w:vAlign w:val="center"/>
          </w:tcPr>
          <w:p w14:paraId="1FFFEBA4">
            <w:pPr>
              <w:pStyle w:val="55"/>
              <w:bidi w:val="0"/>
            </w:pPr>
            <w:r>
              <w:t>完成情况</w:t>
            </w:r>
          </w:p>
        </w:tc>
      </w:tr>
      <w:tr w14:paraId="4F3A4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84" w:type="dxa"/>
            <w:vMerge w:val="restart"/>
            <w:tcBorders>
              <w:tl2br w:val="nil"/>
              <w:tr2bl w:val="nil"/>
            </w:tcBorders>
            <w:noWrap w:val="0"/>
            <w:vAlign w:val="center"/>
          </w:tcPr>
          <w:p w14:paraId="283DFADD">
            <w:pPr>
              <w:pStyle w:val="55"/>
              <w:bidi w:val="0"/>
            </w:pPr>
            <w:bookmarkStart w:id="84" w:name="_GoBack" w:colFirst="2" w:colLast="5"/>
            <w:r>
              <w:t>影响识别</w:t>
            </w:r>
          </w:p>
        </w:tc>
        <w:tc>
          <w:tcPr>
            <w:tcW w:w="1785" w:type="dxa"/>
            <w:tcBorders>
              <w:tl2br w:val="nil"/>
              <w:tr2bl w:val="nil"/>
            </w:tcBorders>
            <w:noWrap w:val="0"/>
            <w:vAlign w:val="center"/>
          </w:tcPr>
          <w:p w14:paraId="41B17CE2">
            <w:pPr>
              <w:pStyle w:val="55"/>
              <w:bidi w:val="0"/>
            </w:pPr>
            <w:r>
              <w:t>影响类型</w:t>
            </w:r>
          </w:p>
        </w:tc>
        <w:tc>
          <w:tcPr>
            <w:tcW w:w="6450" w:type="dxa"/>
            <w:gridSpan w:val="6"/>
            <w:tcBorders>
              <w:tl2br w:val="nil"/>
              <w:tr2bl w:val="nil"/>
            </w:tcBorders>
            <w:noWrap w:val="0"/>
            <w:vAlign w:val="center"/>
          </w:tcPr>
          <w:p w14:paraId="7136D2B6">
            <w:pPr>
              <w:pStyle w:val="55"/>
              <w:bidi w:val="0"/>
            </w:pPr>
            <w:r>
              <w:t>污染影响型</w:t>
            </w:r>
            <w:r>
              <w:rPr/>
              <w:sym w:font="Wingdings 2" w:char="0052"/>
            </w:r>
            <w:r>
              <w:t>；生态影响型</w:t>
            </w:r>
            <w:r>
              <w:rPr/>
              <w:sym w:font="Wingdings 2" w:char="00A3"/>
            </w:r>
            <w:r>
              <w:t>；两种兼有</w:t>
            </w:r>
            <w:r>
              <w:rPr/>
              <w:sym w:font="Wingdings 2" w:char="00A3"/>
            </w:r>
          </w:p>
        </w:tc>
      </w:tr>
      <w:tr w14:paraId="38BB41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84" w:type="dxa"/>
            <w:vMerge w:val="continue"/>
            <w:tcBorders>
              <w:tl2br w:val="nil"/>
              <w:tr2bl w:val="nil"/>
            </w:tcBorders>
            <w:noWrap w:val="0"/>
            <w:vAlign w:val="center"/>
          </w:tcPr>
          <w:p w14:paraId="425EA796">
            <w:pPr>
              <w:pStyle w:val="55"/>
              <w:bidi w:val="0"/>
            </w:pPr>
          </w:p>
        </w:tc>
        <w:tc>
          <w:tcPr>
            <w:tcW w:w="1785" w:type="dxa"/>
            <w:tcBorders>
              <w:tl2br w:val="nil"/>
              <w:tr2bl w:val="nil"/>
            </w:tcBorders>
            <w:noWrap w:val="0"/>
            <w:vAlign w:val="center"/>
          </w:tcPr>
          <w:p w14:paraId="56FD172C">
            <w:pPr>
              <w:pStyle w:val="55"/>
              <w:bidi w:val="0"/>
            </w:pPr>
            <w:r>
              <w:t>土地利用类型</w:t>
            </w:r>
          </w:p>
        </w:tc>
        <w:tc>
          <w:tcPr>
            <w:tcW w:w="6450" w:type="dxa"/>
            <w:gridSpan w:val="6"/>
            <w:tcBorders>
              <w:tl2br w:val="nil"/>
              <w:tr2bl w:val="nil"/>
            </w:tcBorders>
            <w:noWrap w:val="0"/>
            <w:vAlign w:val="center"/>
          </w:tcPr>
          <w:p w14:paraId="0288732E">
            <w:pPr>
              <w:pStyle w:val="55"/>
              <w:bidi w:val="0"/>
            </w:pPr>
            <w:r>
              <w:t>建设用地</w:t>
            </w:r>
            <w:r>
              <w:rPr/>
              <w:sym w:font="Wingdings 2" w:char="0052"/>
            </w:r>
            <w:r>
              <w:t>；农用地</w:t>
            </w:r>
            <w:r>
              <w:rPr/>
              <w:sym w:font="Wingdings 2" w:char="00A3"/>
            </w:r>
            <w:r>
              <w:t>；未利用地</w:t>
            </w:r>
            <w:r>
              <w:rPr/>
              <w:sym w:font="Wingdings 2" w:char="00A3"/>
            </w:r>
          </w:p>
        </w:tc>
      </w:tr>
      <w:tr w14:paraId="36FB69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84" w:type="dxa"/>
            <w:vMerge w:val="continue"/>
            <w:tcBorders>
              <w:tl2br w:val="nil"/>
              <w:tr2bl w:val="nil"/>
            </w:tcBorders>
            <w:noWrap w:val="0"/>
            <w:vAlign w:val="center"/>
          </w:tcPr>
          <w:p w14:paraId="3DE50979">
            <w:pPr>
              <w:pStyle w:val="55"/>
              <w:bidi w:val="0"/>
            </w:pPr>
          </w:p>
        </w:tc>
        <w:tc>
          <w:tcPr>
            <w:tcW w:w="1785" w:type="dxa"/>
            <w:tcBorders>
              <w:tl2br w:val="nil"/>
              <w:tr2bl w:val="nil"/>
            </w:tcBorders>
            <w:noWrap w:val="0"/>
            <w:vAlign w:val="center"/>
          </w:tcPr>
          <w:p w14:paraId="76E3C87F">
            <w:pPr>
              <w:pStyle w:val="55"/>
              <w:bidi w:val="0"/>
            </w:pPr>
            <w:r>
              <w:t>占地规模</w:t>
            </w:r>
          </w:p>
        </w:tc>
        <w:tc>
          <w:tcPr>
            <w:tcW w:w="6450" w:type="dxa"/>
            <w:gridSpan w:val="6"/>
            <w:tcBorders>
              <w:tl2br w:val="nil"/>
              <w:tr2bl w:val="nil"/>
            </w:tcBorders>
            <w:noWrap w:val="0"/>
            <w:vAlign w:val="center"/>
          </w:tcPr>
          <w:p w14:paraId="6D510E61">
            <w:pPr>
              <w:pStyle w:val="55"/>
              <w:bidi w:val="0"/>
              <w:rPr>
                <w:rFonts w:hint="default" w:eastAsia="楷体"/>
                <w:highlight w:val="none"/>
                <w:lang w:val="en-US" w:eastAsia="zh-CN"/>
              </w:rPr>
            </w:pPr>
            <w:r>
              <w:rPr>
                <w:highlight w:val="none"/>
              </w:rPr>
              <w:t>（</w:t>
            </w:r>
            <w:r>
              <w:rPr>
                <w:rFonts w:hint="eastAsia"/>
                <w:highlight w:val="none"/>
                <w:lang w:val="en-US" w:eastAsia="zh-CN"/>
              </w:rPr>
              <w:t>0.9</w:t>
            </w:r>
            <w:r>
              <w:rPr>
                <w:highlight w:val="none"/>
              </w:rPr>
              <w:t>）</w:t>
            </w:r>
            <w:r>
              <w:rPr>
                <w:rFonts w:hint="eastAsia"/>
                <w:highlight w:val="none"/>
                <w:lang w:val="en-US" w:eastAsia="zh-CN"/>
              </w:rPr>
              <w:t>hm</w:t>
            </w:r>
            <w:r>
              <w:rPr>
                <w:rFonts w:hint="eastAsia"/>
                <w:highlight w:val="none"/>
                <w:vertAlign w:val="superscript"/>
                <w:lang w:val="en-US" w:eastAsia="zh-CN"/>
              </w:rPr>
              <w:t>2</w:t>
            </w:r>
          </w:p>
        </w:tc>
      </w:tr>
      <w:tr w14:paraId="6F7AE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84" w:type="dxa"/>
            <w:vMerge w:val="continue"/>
            <w:tcBorders>
              <w:tl2br w:val="nil"/>
              <w:tr2bl w:val="nil"/>
            </w:tcBorders>
            <w:noWrap w:val="0"/>
            <w:vAlign w:val="center"/>
          </w:tcPr>
          <w:p w14:paraId="04B89F71">
            <w:pPr>
              <w:pStyle w:val="55"/>
              <w:bidi w:val="0"/>
            </w:pPr>
          </w:p>
        </w:tc>
        <w:tc>
          <w:tcPr>
            <w:tcW w:w="1785" w:type="dxa"/>
            <w:tcBorders>
              <w:tl2br w:val="nil"/>
              <w:tr2bl w:val="nil"/>
            </w:tcBorders>
            <w:noWrap w:val="0"/>
            <w:vAlign w:val="center"/>
          </w:tcPr>
          <w:p w14:paraId="26AE40E1">
            <w:pPr>
              <w:pStyle w:val="55"/>
              <w:bidi w:val="0"/>
            </w:pPr>
            <w:r>
              <w:t>敏感目标信息</w:t>
            </w:r>
          </w:p>
        </w:tc>
        <w:tc>
          <w:tcPr>
            <w:tcW w:w="6450" w:type="dxa"/>
            <w:gridSpan w:val="6"/>
            <w:tcBorders>
              <w:tl2br w:val="nil"/>
              <w:tr2bl w:val="nil"/>
            </w:tcBorders>
            <w:noWrap w:val="0"/>
            <w:vAlign w:val="center"/>
          </w:tcPr>
          <w:p w14:paraId="6E3219CF">
            <w:pPr>
              <w:pStyle w:val="55"/>
              <w:bidi w:val="0"/>
            </w:pPr>
            <w:r>
              <w:t>敏感目标（</w:t>
            </w:r>
            <w:r>
              <w:rPr>
                <w:rFonts w:hint="eastAsia"/>
                <w:lang w:val="en-US" w:eastAsia="zh-CN"/>
              </w:rPr>
              <w:t>/</w:t>
            </w:r>
            <w:r>
              <w:t>）、方位（</w:t>
            </w:r>
            <w:r>
              <w:rPr>
                <w:rFonts w:hint="eastAsia"/>
                <w:lang w:val="en-US" w:eastAsia="zh-CN"/>
              </w:rPr>
              <w:t>/</w:t>
            </w:r>
            <w:r>
              <w:t>）、距离（</w:t>
            </w:r>
            <w:r>
              <w:rPr>
                <w:rFonts w:hint="eastAsia"/>
                <w:lang w:val="en-US" w:eastAsia="zh-CN"/>
              </w:rPr>
              <w:t>/</w:t>
            </w:r>
            <w:r>
              <w:t>）</w:t>
            </w:r>
          </w:p>
        </w:tc>
      </w:tr>
      <w:tr w14:paraId="403672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84" w:type="dxa"/>
            <w:vMerge w:val="continue"/>
            <w:tcBorders>
              <w:tl2br w:val="nil"/>
              <w:tr2bl w:val="nil"/>
            </w:tcBorders>
            <w:noWrap w:val="0"/>
            <w:vAlign w:val="center"/>
          </w:tcPr>
          <w:p w14:paraId="1DB38302">
            <w:pPr>
              <w:pStyle w:val="55"/>
              <w:bidi w:val="0"/>
            </w:pPr>
          </w:p>
        </w:tc>
        <w:tc>
          <w:tcPr>
            <w:tcW w:w="1785" w:type="dxa"/>
            <w:tcBorders>
              <w:tl2br w:val="nil"/>
              <w:tr2bl w:val="nil"/>
            </w:tcBorders>
            <w:noWrap w:val="0"/>
            <w:vAlign w:val="center"/>
          </w:tcPr>
          <w:p w14:paraId="4B919D1E">
            <w:pPr>
              <w:pStyle w:val="55"/>
              <w:bidi w:val="0"/>
            </w:pPr>
            <w:r>
              <w:t>影响途径</w:t>
            </w:r>
          </w:p>
        </w:tc>
        <w:tc>
          <w:tcPr>
            <w:tcW w:w="6450" w:type="dxa"/>
            <w:gridSpan w:val="6"/>
            <w:tcBorders>
              <w:tl2br w:val="nil"/>
              <w:tr2bl w:val="nil"/>
            </w:tcBorders>
            <w:noWrap w:val="0"/>
            <w:vAlign w:val="center"/>
          </w:tcPr>
          <w:p w14:paraId="37C3F28A">
            <w:pPr>
              <w:pStyle w:val="55"/>
              <w:bidi w:val="0"/>
            </w:pPr>
            <w:r>
              <w:t>大气沉降</w:t>
            </w:r>
            <w:r>
              <w:rPr/>
              <w:sym w:font="Wingdings 2" w:char="0052"/>
            </w:r>
            <w:r>
              <w:t>；地面漫流</w:t>
            </w:r>
            <w:r>
              <w:rPr/>
              <w:sym w:font="Wingdings 2" w:char="00A3"/>
            </w:r>
            <w:r>
              <w:t>；垂直入渗</w:t>
            </w:r>
            <w:r>
              <w:rPr/>
              <w:sym w:font="Wingdings 2" w:char="0052"/>
            </w:r>
            <w:r>
              <w:t>；地下水位</w:t>
            </w:r>
            <w:r>
              <w:rPr/>
              <w:sym w:font="Wingdings 2" w:char="00A3"/>
            </w:r>
            <w:r>
              <w:t>；其他</w:t>
            </w:r>
            <w:r>
              <w:rPr/>
              <w:sym w:font="Wingdings 2" w:char="00A3"/>
            </w:r>
          </w:p>
        </w:tc>
      </w:tr>
      <w:tr w14:paraId="7BA0F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84" w:type="dxa"/>
            <w:vMerge w:val="continue"/>
            <w:tcBorders>
              <w:tl2br w:val="nil"/>
              <w:tr2bl w:val="nil"/>
            </w:tcBorders>
            <w:noWrap w:val="0"/>
            <w:vAlign w:val="center"/>
          </w:tcPr>
          <w:p w14:paraId="643B7545">
            <w:pPr>
              <w:pStyle w:val="55"/>
              <w:bidi w:val="0"/>
            </w:pPr>
          </w:p>
        </w:tc>
        <w:tc>
          <w:tcPr>
            <w:tcW w:w="1785" w:type="dxa"/>
            <w:tcBorders>
              <w:tl2br w:val="nil"/>
              <w:tr2bl w:val="nil"/>
            </w:tcBorders>
            <w:noWrap w:val="0"/>
            <w:vAlign w:val="center"/>
          </w:tcPr>
          <w:p w14:paraId="099C31EF">
            <w:pPr>
              <w:pStyle w:val="55"/>
              <w:bidi w:val="0"/>
            </w:pPr>
            <w:r>
              <w:t>全部污染物</w:t>
            </w:r>
          </w:p>
        </w:tc>
        <w:tc>
          <w:tcPr>
            <w:tcW w:w="6450" w:type="dxa"/>
            <w:gridSpan w:val="6"/>
            <w:tcBorders>
              <w:tl2br w:val="nil"/>
              <w:tr2bl w:val="nil"/>
            </w:tcBorders>
            <w:noWrap w:val="0"/>
            <w:vAlign w:val="center"/>
          </w:tcPr>
          <w:p w14:paraId="2D488098">
            <w:pPr>
              <w:pStyle w:val="55"/>
              <w:bidi w:val="0"/>
            </w:pPr>
            <w:r>
              <w:rPr>
                <w:rFonts w:hint="eastAsia"/>
              </w:rPr>
              <w:t>45项</w:t>
            </w:r>
          </w:p>
        </w:tc>
      </w:tr>
      <w:bookmarkEnd w:id="84"/>
      <w:tr w14:paraId="20C63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84" w:type="dxa"/>
            <w:vMerge w:val="continue"/>
            <w:tcBorders>
              <w:tl2br w:val="nil"/>
              <w:tr2bl w:val="nil"/>
            </w:tcBorders>
            <w:noWrap w:val="0"/>
            <w:vAlign w:val="center"/>
          </w:tcPr>
          <w:p w14:paraId="02E52CF7">
            <w:pPr>
              <w:pStyle w:val="55"/>
              <w:bidi w:val="0"/>
            </w:pPr>
          </w:p>
        </w:tc>
        <w:tc>
          <w:tcPr>
            <w:tcW w:w="1785" w:type="dxa"/>
            <w:tcBorders>
              <w:tl2br w:val="nil"/>
              <w:tr2bl w:val="nil"/>
            </w:tcBorders>
            <w:noWrap w:val="0"/>
            <w:vAlign w:val="center"/>
          </w:tcPr>
          <w:p w14:paraId="7F72602A">
            <w:pPr>
              <w:pStyle w:val="55"/>
              <w:bidi w:val="0"/>
            </w:pPr>
            <w:r>
              <w:t>特征因子</w:t>
            </w:r>
          </w:p>
        </w:tc>
        <w:tc>
          <w:tcPr>
            <w:tcW w:w="6450" w:type="dxa"/>
            <w:gridSpan w:val="6"/>
            <w:tcBorders>
              <w:tl2br w:val="nil"/>
              <w:tr2bl w:val="nil"/>
            </w:tcBorders>
            <w:noWrap w:val="0"/>
            <w:vAlign w:val="center"/>
          </w:tcPr>
          <w:p w14:paraId="6F889FBB">
            <w:pPr>
              <w:pStyle w:val="55"/>
              <w:bidi w:val="0"/>
              <w:rPr>
                <w:rFonts w:hint="default"/>
                <w:lang w:val="en-US" w:eastAsia="zh-CN"/>
              </w:rPr>
            </w:pPr>
            <w:r>
              <w:rPr>
                <w:rFonts w:hint="eastAsia"/>
                <w:lang w:val="en-US" w:eastAsia="zh-CN"/>
              </w:rPr>
              <w:t>COD、氨氮、SS、颗粒物</w:t>
            </w:r>
          </w:p>
        </w:tc>
      </w:tr>
      <w:tr w14:paraId="554272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84" w:type="dxa"/>
            <w:vMerge w:val="continue"/>
            <w:tcBorders>
              <w:tl2br w:val="nil"/>
              <w:tr2bl w:val="nil"/>
            </w:tcBorders>
            <w:noWrap w:val="0"/>
            <w:vAlign w:val="center"/>
          </w:tcPr>
          <w:p w14:paraId="7AA88C45">
            <w:pPr>
              <w:pStyle w:val="55"/>
              <w:bidi w:val="0"/>
            </w:pPr>
          </w:p>
        </w:tc>
        <w:tc>
          <w:tcPr>
            <w:tcW w:w="1785" w:type="dxa"/>
            <w:tcBorders>
              <w:tl2br w:val="nil"/>
              <w:tr2bl w:val="nil"/>
            </w:tcBorders>
            <w:noWrap w:val="0"/>
            <w:vAlign w:val="center"/>
          </w:tcPr>
          <w:p w14:paraId="5D9AF241">
            <w:pPr>
              <w:pStyle w:val="55"/>
              <w:bidi w:val="0"/>
            </w:pPr>
            <w:r>
              <w:t>所属土壤环境影响评价项目类别</w:t>
            </w:r>
          </w:p>
        </w:tc>
        <w:tc>
          <w:tcPr>
            <w:tcW w:w="6450" w:type="dxa"/>
            <w:gridSpan w:val="6"/>
            <w:tcBorders>
              <w:tl2br w:val="nil"/>
              <w:tr2bl w:val="nil"/>
            </w:tcBorders>
            <w:noWrap w:val="0"/>
            <w:vAlign w:val="center"/>
          </w:tcPr>
          <w:p w14:paraId="3E1B22BA">
            <w:pPr>
              <w:pStyle w:val="55"/>
              <w:bidi w:val="0"/>
            </w:pPr>
            <w:r>
              <w:t>I类</w:t>
            </w:r>
            <w:r>
              <w:rPr/>
              <w:sym w:font="Wingdings 2" w:char="00A3"/>
            </w:r>
            <w:r>
              <w:t>；II类</w:t>
            </w:r>
            <w:r>
              <w:rPr/>
              <w:sym w:font="Wingdings 2" w:char="00A3"/>
            </w:r>
            <w:r>
              <w:t>；III类</w:t>
            </w:r>
            <w:r>
              <w:rPr/>
              <w:sym w:font="Wingdings 2" w:char="0052"/>
            </w:r>
            <w:r>
              <w:t>；IV类</w:t>
            </w:r>
            <w:r>
              <w:rPr/>
              <w:sym w:font="Wingdings 2" w:char="00A3"/>
            </w:r>
          </w:p>
        </w:tc>
      </w:tr>
      <w:tr w14:paraId="107470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84" w:type="dxa"/>
            <w:vMerge w:val="continue"/>
            <w:tcBorders>
              <w:tl2br w:val="nil"/>
              <w:tr2bl w:val="nil"/>
            </w:tcBorders>
            <w:noWrap w:val="0"/>
            <w:vAlign w:val="center"/>
          </w:tcPr>
          <w:p w14:paraId="617C54EB">
            <w:pPr>
              <w:pStyle w:val="55"/>
              <w:bidi w:val="0"/>
            </w:pPr>
          </w:p>
        </w:tc>
        <w:tc>
          <w:tcPr>
            <w:tcW w:w="1785" w:type="dxa"/>
            <w:tcBorders>
              <w:tl2br w:val="nil"/>
              <w:tr2bl w:val="nil"/>
            </w:tcBorders>
            <w:noWrap w:val="0"/>
            <w:vAlign w:val="center"/>
          </w:tcPr>
          <w:p w14:paraId="6E65A016">
            <w:pPr>
              <w:pStyle w:val="55"/>
              <w:bidi w:val="0"/>
            </w:pPr>
            <w:r>
              <w:t>敏感程度</w:t>
            </w:r>
          </w:p>
        </w:tc>
        <w:tc>
          <w:tcPr>
            <w:tcW w:w="6450" w:type="dxa"/>
            <w:gridSpan w:val="6"/>
            <w:tcBorders>
              <w:tl2br w:val="nil"/>
              <w:tr2bl w:val="nil"/>
            </w:tcBorders>
            <w:noWrap w:val="0"/>
            <w:vAlign w:val="center"/>
          </w:tcPr>
          <w:p w14:paraId="46785394">
            <w:pPr>
              <w:pStyle w:val="55"/>
              <w:bidi w:val="0"/>
            </w:pPr>
            <w:r>
              <w:t>敏感</w:t>
            </w:r>
            <w:r>
              <w:rPr/>
              <w:sym w:font="Wingdings 2" w:char="0052"/>
            </w:r>
            <w:r>
              <w:t>；较感敏</w:t>
            </w:r>
            <w:r>
              <w:rPr/>
              <w:sym w:font="Wingdings 2" w:char="00A3"/>
            </w:r>
            <w:r>
              <w:t>；不敏感</w:t>
            </w:r>
            <w:r>
              <w:rPr/>
              <w:sym w:font="Wingdings 2" w:char="00A3"/>
            </w:r>
          </w:p>
        </w:tc>
      </w:tr>
      <w:tr w14:paraId="13EB2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469" w:type="dxa"/>
            <w:gridSpan w:val="2"/>
            <w:tcBorders>
              <w:tl2br w:val="nil"/>
              <w:tr2bl w:val="nil"/>
            </w:tcBorders>
            <w:noWrap w:val="0"/>
            <w:vAlign w:val="center"/>
          </w:tcPr>
          <w:p w14:paraId="7F192E09">
            <w:pPr>
              <w:pStyle w:val="55"/>
              <w:bidi w:val="0"/>
            </w:pPr>
            <w:r>
              <w:t>评价工作等级</w:t>
            </w:r>
          </w:p>
        </w:tc>
        <w:tc>
          <w:tcPr>
            <w:tcW w:w="6450" w:type="dxa"/>
            <w:gridSpan w:val="6"/>
            <w:tcBorders>
              <w:tl2br w:val="nil"/>
              <w:tr2bl w:val="nil"/>
            </w:tcBorders>
            <w:noWrap w:val="0"/>
            <w:vAlign w:val="center"/>
          </w:tcPr>
          <w:p w14:paraId="54491C6B">
            <w:pPr>
              <w:pStyle w:val="55"/>
              <w:bidi w:val="0"/>
            </w:pPr>
            <w:r>
              <w:t>一级</w:t>
            </w:r>
            <w:r>
              <w:rPr/>
              <w:sym w:font="Wingdings 2" w:char="00A3"/>
            </w:r>
            <w:r>
              <w:t>；二级</w:t>
            </w:r>
            <w:r>
              <w:rPr/>
              <w:sym w:font="Wingdings 2" w:char="00A3"/>
            </w:r>
            <w:r>
              <w:t>；三级</w:t>
            </w:r>
            <w:r>
              <w:rPr/>
              <w:sym w:font="Wingdings 2" w:char="0052"/>
            </w:r>
          </w:p>
        </w:tc>
      </w:tr>
      <w:tr w14:paraId="557D14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84" w:type="dxa"/>
            <w:vMerge w:val="restart"/>
            <w:tcBorders>
              <w:tl2br w:val="nil"/>
              <w:tr2bl w:val="nil"/>
            </w:tcBorders>
            <w:noWrap w:val="0"/>
            <w:vAlign w:val="center"/>
          </w:tcPr>
          <w:p w14:paraId="2D34D45D">
            <w:pPr>
              <w:pStyle w:val="55"/>
              <w:bidi w:val="0"/>
            </w:pPr>
            <w:r>
              <w:t>现状调查内容</w:t>
            </w:r>
          </w:p>
        </w:tc>
        <w:tc>
          <w:tcPr>
            <w:tcW w:w="1785" w:type="dxa"/>
            <w:tcBorders>
              <w:tl2br w:val="nil"/>
              <w:tr2bl w:val="nil"/>
            </w:tcBorders>
            <w:noWrap w:val="0"/>
            <w:vAlign w:val="center"/>
          </w:tcPr>
          <w:p w14:paraId="68B1650C">
            <w:pPr>
              <w:pStyle w:val="55"/>
              <w:bidi w:val="0"/>
            </w:pPr>
            <w:r>
              <w:t>资料收集</w:t>
            </w:r>
          </w:p>
        </w:tc>
        <w:tc>
          <w:tcPr>
            <w:tcW w:w="6450" w:type="dxa"/>
            <w:gridSpan w:val="6"/>
            <w:tcBorders>
              <w:tl2br w:val="nil"/>
              <w:tr2bl w:val="nil"/>
            </w:tcBorders>
            <w:noWrap w:val="0"/>
            <w:vAlign w:val="center"/>
          </w:tcPr>
          <w:p w14:paraId="6F1D8F67">
            <w:pPr>
              <w:pStyle w:val="55"/>
              <w:bidi w:val="0"/>
            </w:pPr>
            <w:r>
              <w:t>a）</w:t>
            </w:r>
            <w:r>
              <w:rPr/>
              <w:sym w:font="Wingdings 2" w:char="0052"/>
            </w:r>
            <w:r>
              <w:t>；b）</w:t>
            </w:r>
            <w:r>
              <w:rPr/>
              <w:sym w:font="Wingdings 2" w:char="0052"/>
            </w:r>
            <w:r>
              <w:t>；c）</w:t>
            </w:r>
            <w:r>
              <w:rPr/>
              <w:sym w:font="Wingdings 2" w:char="00A3"/>
            </w:r>
            <w:r>
              <w:t>；d）</w:t>
            </w:r>
            <w:r>
              <w:rPr/>
              <w:sym w:font="Wingdings 2" w:char="0052"/>
            </w:r>
          </w:p>
        </w:tc>
      </w:tr>
      <w:tr w14:paraId="65C1A3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84" w:type="dxa"/>
            <w:vMerge w:val="continue"/>
            <w:tcBorders>
              <w:tl2br w:val="nil"/>
              <w:tr2bl w:val="nil"/>
            </w:tcBorders>
            <w:noWrap w:val="0"/>
            <w:vAlign w:val="center"/>
          </w:tcPr>
          <w:p w14:paraId="5F6D1B97">
            <w:pPr>
              <w:pStyle w:val="55"/>
              <w:bidi w:val="0"/>
            </w:pPr>
          </w:p>
        </w:tc>
        <w:tc>
          <w:tcPr>
            <w:tcW w:w="1785" w:type="dxa"/>
            <w:tcBorders>
              <w:tl2br w:val="nil"/>
              <w:tr2bl w:val="nil"/>
            </w:tcBorders>
            <w:noWrap w:val="0"/>
            <w:vAlign w:val="center"/>
          </w:tcPr>
          <w:p w14:paraId="78C60A18">
            <w:pPr>
              <w:pStyle w:val="55"/>
              <w:bidi w:val="0"/>
            </w:pPr>
            <w:r>
              <w:t>理化特性</w:t>
            </w:r>
          </w:p>
        </w:tc>
        <w:tc>
          <w:tcPr>
            <w:tcW w:w="6450" w:type="dxa"/>
            <w:gridSpan w:val="6"/>
            <w:tcBorders>
              <w:tl2br w:val="nil"/>
              <w:tr2bl w:val="nil"/>
            </w:tcBorders>
            <w:noWrap w:val="0"/>
            <w:vAlign w:val="center"/>
          </w:tcPr>
          <w:p w14:paraId="12A30F04">
            <w:pPr>
              <w:pStyle w:val="55"/>
              <w:bidi w:val="0"/>
              <w:rPr>
                <w:rFonts w:hint="eastAsia"/>
                <w:lang w:eastAsia="zh-CN"/>
              </w:rPr>
            </w:pPr>
            <w:r>
              <w:rPr>
                <w:rFonts w:hint="eastAsia"/>
                <w:lang w:val="en-US" w:eastAsia="zh-CN"/>
              </w:rPr>
              <w:t>/</w:t>
            </w:r>
          </w:p>
        </w:tc>
      </w:tr>
      <w:tr w14:paraId="319DBD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84" w:type="dxa"/>
            <w:vMerge w:val="continue"/>
            <w:tcBorders>
              <w:tl2br w:val="nil"/>
              <w:tr2bl w:val="nil"/>
            </w:tcBorders>
            <w:noWrap w:val="0"/>
            <w:vAlign w:val="center"/>
          </w:tcPr>
          <w:p w14:paraId="095EE1CA">
            <w:pPr>
              <w:pStyle w:val="55"/>
              <w:bidi w:val="0"/>
            </w:pPr>
          </w:p>
        </w:tc>
        <w:tc>
          <w:tcPr>
            <w:tcW w:w="1785" w:type="dxa"/>
            <w:vMerge w:val="restart"/>
            <w:tcBorders>
              <w:tl2br w:val="nil"/>
              <w:tr2bl w:val="nil"/>
            </w:tcBorders>
            <w:noWrap w:val="0"/>
            <w:vAlign w:val="center"/>
          </w:tcPr>
          <w:p w14:paraId="3C8EA5AB">
            <w:pPr>
              <w:pStyle w:val="55"/>
              <w:bidi w:val="0"/>
            </w:pPr>
            <w:r>
              <w:t>现状监测点位</w:t>
            </w:r>
          </w:p>
        </w:tc>
        <w:tc>
          <w:tcPr>
            <w:tcW w:w="1684" w:type="dxa"/>
            <w:tcBorders>
              <w:tl2br w:val="nil"/>
              <w:tr2bl w:val="nil"/>
            </w:tcBorders>
            <w:noWrap w:val="0"/>
            <w:vAlign w:val="center"/>
          </w:tcPr>
          <w:p w14:paraId="0A0B271B">
            <w:pPr>
              <w:pStyle w:val="55"/>
              <w:bidi w:val="0"/>
            </w:pPr>
          </w:p>
        </w:tc>
        <w:tc>
          <w:tcPr>
            <w:tcW w:w="1451" w:type="dxa"/>
            <w:gridSpan w:val="2"/>
            <w:tcBorders>
              <w:tl2br w:val="nil"/>
              <w:tr2bl w:val="nil"/>
            </w:tcBorders>
            <w:noWrap w:val="0"/>
            <w:vAlign w:val="center"/>
          </w:tcPr>
          <w:p w14:paraId="09CE0B64">
            <w:pPr>
              <w:pStyle w:val="55"/>
              <w:bidi w:val="0"/>
            </w:pPr>
            <w:r>
              <w:t>占地范围内</w:t>
            </w:r>
          </w:p>
        </w:tc>
        <w:tc>
          <w:tcPr>
            <w:tcW w:w="1682" w:type="dxa"/>
            <w:gridSpan w:val="2"/>
            <w:tcBorders>
              <w:tl2br w:val="nil"/>
              <w:tr2bl w:val="nil"/>
            </w:tcBorders>
            <w:noWrap w:val="0"/>
            <w:vAlign w:val="center"/>
          </w:tcPr>
          <w:p w14:paraId="600D3CD7">
            <w:pPr>
              <w:pStyle w:val="55"/>
              <w:bidi w:val="0"/>
            </w:pPr>
            <w:r>
              <w:t>占地范围外</w:t>
            </w:r>
          </w:p>
        </w:tc>
        <w:tc>
          <w:tcPr>
            <w:tcW w:w="1633" w:type="dxa"/>
            <w:tcBorders>
              <w:tl2br w:val="nil"/>
              <w:tr2bl w:val="nil"/>
            </w:tcBorders>
            <w:noWrap w:val="0"/>
            <w:vAlign w:val="center"/>
          </w:tcPr>
          <w:p w14:paraId="1B887C6E">
            <w:pPr>
              <w:pStyle w:val="55"/>
              <w:bidi w:val="0"/>
            </w:pPr>
            <w:r>
              <w:t>深度</w:t>
            </w:r>
          </w:p>
        </w:tc>
      </w:tr>
      <w:tr w14:paraId="1F6AFD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84" w:type="dxa"/>
            <w:vMerge w:val="continue"/>
            <w:tcBorders>
              <w:tl2br w:val="nil"/>
              <w:tr2bl w:val="nil"/>
            </w:tcBorders>
            <w:noWrap w:val="0"/>
            <w:vAlign w:val="center"/>
          </w:tcPr>
          <w:p w14:paraId="2AA56A3B">
            <w:pPr>
              <w:pStyle w:val="55"/>
              <w:bidi w:val="0"/>
            </w:pPr>
          </w:p>
        </w:tc>
        <w:tc>
          <w:tcPr>
            <w:tcW w:w="1785" w:type="dxa"/>
            <w:vMerge w:val="continue"/>
            <w:tcBorders>
              <w:tl2br w:val="nil"/>
              <w:tr2bl w:val="nil"/>
            </w:tcBorders>
            <w:noWrap w:val="0"/>
            <w:vAlign w:val="center"/>
          </w:tcPr>
          <w:p w14:paraId="5994E663">
            <w:pPr>
              <w:pStyle w:val="55"/>
              <w:bidi w:val="0"/>
            </w:pPr>
          </w:p>
        </w:tc>
        <w:tc>
          <w:tcPr>
            <w:tcW w:w="1684" w:type="dxa"/>
            <w:tcBorders>
              <w:tl2br w:val="nil"/>
              <w:tr2bl w:val="nil"/>
            </w:tcBorders>
            <w:noWrap w:val="0"/>
            <w:vAlign w:val="center"/>
          </w:tcPr>
          <w:p w14:paraId="54AED6BB">
            <w:pPr>
              <w:pStyle w:val="55"/>
              <w:bidi w:val="0"/>
            </w:pPr>
            <w:r>
              <w:t>表层样点位</w:t>
            </w:r>
          </w:p>
        </w:tc>
        <w:tc>
          <w:tcPr>
            <w:tcW w:w="1451" w:type="dxa"/>
            <w:gridSpan w:val="2"/>
            <w:tcBorders>
              <w:tl2br w:val="nil"/>
              <w:tr2bl w:val="nil"/>
            </w:tcBorders>
            <w:noWrap w:val="0"/>
            <w:vAlign w:val="center"/>
          </w:tcPr>
          <w:p w14:paraId="51791429">
            <w:pPr>
              <w:pStyle w:val="55"/>
              <w:bidi w:val="0"/>
            </w:pPr>
            <w:r>
              <w:rPr>
                <w:rFonts w:hint="eastAsia"/>
                <w:lang w:val="en-US" w:eastAsia="zh-CN"/>
              </w:rPr>
              <w:t>3</w:t>
            </w:r>
            <w:r>
              <w:t>个</w:t>
            </w:r>
          </w:p>
        </w:tc>
        <w:tc>
          <w:tcPr>
            <w:tcW w:w="1682" w:type="dxa"/>
            <w:gridSpan w:val="2"/>
            <w:tcBorders>
              <w:tl2br w:val="nil"/>
              <w:tr2bl w:val="nil"/>
            </w:tcBorders>
            <w:noWrap w:val="0"/>
            <w:vAlign w:val="center"/>
          </w:tcPr>
          <w:p w14:paraId="462868C7">
            <w:pPr>
              <w:pStyle w:val="55"/>
              <w:bidi w:val="0"/>
            </w:pPr>
            <w:r>
              <w:rPr>
                <w:rFonts w:hint="eastAsia"/>
                <w:lang w:val="en-US" w:eastAsia="zh-CN"/>
              </w:rPr>
              <w:t>0</w:t>
            </w:r>
            <w:r>
              <w:t>个</w:t>
            </w:r>
          </w:p>
        </w:tc>
        <w:tc>
          <w:tcPr>
            <w:tcW w:w="1633" w:type="dxa"/>
            <w:tcBorders>
              <w:tl2br w:val="nil"/>
              <w:tr2bl w:val="nil"/>
            </w:tcBorders>
            <w:noWrap w:val="0"/>
            <w:vAlign w:val="center"/>
          </w:tcPr>
          <w:p w14:paraId="4957AD6F">
            <w:pPr>
              <w:pStyle w:val="55"/>
              <w:bidi w:val="0"/>
            </w:pPr>
            <w:r>
              <w:t>0～0.2m</w:t>
            </w:r>
          </w:p>
        </w:tc>
      </w:tr>
      <w:tr w14:paraId="3A912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84" w:type="dxa"/>
            <w:vMerge w:val="continue"/>
            <w:tcBorders>
              <w:tl2br w:val="nil"/>
              <w:tr2bl w:val="nil"/>
            </w:tcBorders>
            <w:noWrap w:val="0"/>
            <w:vAlign w:val="center"/>
          </w:tcPr>
          <w:p w14:paraId="0E790BF6">
            <w:pPr>
              <w:pStyle w:val="55"/>
              <w:bidi w:val="0"/>
            </w:pPr>
          </w:p>
        </w:tc>
        <w:tc>
          <w:tcPr>
            <w:tcW w:w="1785" w:type="dxa"/>
            <w:vMerge w:val="continue"/>
            <w:tcBorders>
              <w:tl2br w:val="nil"/>
              <w:tr2bl w:val="nil"/>
            </w:tcBorders>
            <w:noWrap w:val="0"/>
            <w:vAlign w:val="center"/>
          </w:tcPr>
          <w:p w14:paraId="084226B8">
            <w:pPr>
              <w:pStyle w:val="55"/>
              <w:bidi w:val="0"/>
            </w:pPr>
          </w:p>
        </w:tc>
        <w:tc>
          <w:tcPr>
            <w:tcW w:w="1684" w:type="dxa"/>
            <w:tcBorders>
              <w:tl2br w:val="nil"/>
              <w:tr2bl w:val="nil"/>
            </w:tcBorders>
            <w:noWrap w:val="0"/>
            <w:vAlign w:val="center"/>
          </w:tcPr>
          <w:p w14:paraId="12F610F2">
            <w:pPr>
              <w:pStyle w:val="55"/>
              <w:bidi w:val="0"/>
            </w:pPr>
            <w:r>
              <w:t>柱状样点位</w:t>
            </w:r>
          </w:p>
        </w:tc>
        <w:tc>
          <w:tcPr>
            <w:tcW w:w="1451" w:type="dxa"/>
            <w:gridSpan w:val="2"/>
            <w:tcBorders>
              <w:tl2br w:val="nil"/>
              <w:tr2bl w:val="nil"/>
            </w:tcBorders>
            <w:noWrap w:val="0"/>
            <w:vAlign w:val="center"/>
          </w:tcPr>
          <w:p w14:paraId="06CCB9A7">
            <w:pPr>
              <w:pStyle w:val="55"/>
              <w:bidi w:val="0"/>
            </w:pPr>
            <w:r>
              <w:rPr>
                <w:rFonts w:hint="eastAsia"/>
                <w:lang w:val="en-US" w:eastAsia="zh-CN"/>
              </w:rPr>
              <w:t>0</w:t>
            </w:r>
            <w:r>
              <w:t>个</w:t>
            </w:r>
          </w:p>
        </w:tc>
        <w:tc>
          <w:tcPr>
            <w:tcW w:w="1682" w:type="dxa"/>
            <w:gridSpan w:val="2"/>
            <w:tcBorders>
              <w:tl2br w:val="nil"/>
              <w:tr2bl w:val="nil"/>
            </w:tcBorders>
            <w:noWrap w:val="0"/>
            <w:vAlign w:val="center"/>
          </w:tcPr>
          <w:p w14:paraId="02D08248">
            <w:pPr>
              <w:pStyle w:val="55"/>
              <w:bidi w:val="0"/>
            </w:pPr>
            <w:r>
              <w:t>0个</w:t>
            </w:r>
          </w:p>
        </w:tc>
        <w:tc>
          <w:tcPr>
            <w:tcW w:w="1633" w:type="dxa"/>
            <w:tcBorders>
              <w:tl2br w:val="nil"/>
              <w:tr2bl w:val="nil"/>
            </w:tcBorders>
            <w:noWrap w:val="0"/>
            <w:vAlign w:val="center"/>
          </w:tcPr>
          <w:p w14:paraId="73ABAFD1">
            <w:pPr>
              <w:pStyle w:val="55"/>
              <w:bidi w:val="0"/>
            </w:pPr>
            <w:r>
              <w:t>0～3m</w:t>
            </w:r>
          </w:p>
        </w:tc>
      </w:tr>
      <w:tr w14:paraId="5E102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84" w:type="dxa"/>
            <w:vMerge w:val="continue"/>
            <w:tcBorders>
              <w:tl2br w:val="nil"/>
              <w:tr2bl w:val="nil"/>
            </w:tcBorders>
            <w:noWrap w:val="0"/>
            <w:vAlign w:val="center"/>
          </w:tcPr>
          <w:p w14:paraId="00622DEC">
            <w:pPr>
              <w:pStyle w:val="55"/>
              <w:bidi w:val="0"/>
            </w:pPr>
          </w:p>
        </w:tc>
        <w:tc>
          <w:tcPr>
            <w:tcW w:w="1785" w:type="dxa"/>
            <w:tcBorders>
              <w:tl2br w:val="nil"/>
              <w:tr2bl w:val="nil"/>
            </w:tcBorders>
            <w:noWrap w:val="0"/>
            <w:vAlign w:val="center"/>
          </w:tcPr>
          <w:p w14:paraId="70850B19">
            <w:pPr>
              <w:pStyle w:val="55"/>
              <w:bidi w:val="0"/>
            </w:pPr>
            <w:r>
              <w:t>现状监测因子</w:t>
            </w:r>
          </w:p>
        </w:tc>
        <w:tc>
          <w:tcPr>
            <w:tcW w:w="6450" w:type="dxa"/>
            <w:gridSpan w:val="6"/>
            <w:tcBorders>
              <w:tl2br w:val="nil"/>
              <w:tr2bl w:val="nil"/>
            </w:tcBorders>
            <w:noWrap w:val="0"/>
            <w:vAlign w:val="center"/>
          </w:tcPr>
          <w:p w14:paraId="6CCDF812">
            <w:pPr>
              <w:pStyle w:val="55"/>
              <w:bidi w:val="0"/>
            </w:pPr>
            <w:r>
              <w:rPr>
                <w:rFonts w:hint="eastAsia"/>
              </w:rPr>
              <w:t>《土壤环境质量建设用地土壤污染风险管控标准（试行）》（GB36600-2018）表1</w:t>
            </w:r>
            <w:r>
              <w:rPr>
                <w:rFonts w:hint="eastAsia"/>
                <w:lang w:val="en-US" w:eastAsia="zh-CN"/>
              </w:rPr>
              <w:t>中</w:t>
            </w:r>
            <w:r>
              <w:rPr>
                <w:rFonts w:hint="eastAsia"/>
              </w:rPr>
              <w:t>45项基本因子</w:t>
            </w:r>
          </w:p>
        </w:tc>
      </w:tr>
      <w:tr w14:paraId="79D402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84" w:type="dxa"/>
            <w:vMerge w:val="restart"/>
            <w:tcBorders>
              <w:tl2br w:val="nil"/>
              <w:tr2bl w:val="nil"/>
            </w:tcBorders>
            <w:noWrap w:val="0"/>
            <w:vAlign w:val="center"/>
          </w:tcPr>
          <w:p w14:paraId="6073C7F1">
            <w:pPr>
              <w:pStyle w:val="55"/>
              <w:bidi w:val="0"/>
            </w:pPr>
            <w:r>
              <w:t>现状评价</w:t>
            </w:r>
          </w:p>
        </w:tc>
        <w:tc>
          <w:tcPr>
            <w:tcW w:w="1785" w:type="dxa"/>
            <w:tcBorders>
              <w:tl2br w:val="nil"/>
              <w:tr2bl w:val="nil"/>
            </w:tcBorders>
            <w:noWrap w:val="0"/>
            <w:vAlign w:val="center"/>
          </w:tcPr>
          <w:p w14:paraId="16D995F5">
            <w:pPr>
              <w:pStyle w:val="55"/>
              <w:bidi w:val="0"/>
            </w:pPr>
            <w:r>
              <w:t>评价因子</w:t>
            </w:r>
          </w:p>
        </w:tc>
        <w:tc>
          <w:tcPr>
            <w:tcW w:w="6450" w:type="dxa"/>
            <w:gridSpan w:val="6"/>
            <w:tcBorders>
              <w:tl2br w:val="nil"/>
              <w:tr2bl w:val="nil"/>
            </w:tcBorders>
            <w:noWrap w:val="0"/>
            <w:vAlign w:val="center"/>
          </w:tcPr>
          <w:p w14:paraId="7D62A775">
            <w:pPr>
              <w:pStyle w:val="55"/>
              <w:bidi w:val="0"/>
            </w:pPr>
            <w:r>
              <w:rPr>
                <w:rFonts w:hint="eastAsia"/>
              </w:rPr>
              <w:t>《土壤环境质量建设用地土壤污染风险管控标准（试行）》（GB36600-2018）表1</w:t>
            </w:r>
            <w:r>
              <w:rPr>
                <w:rFonts w:hint="eastAsia"/>
                <w:lang w:val="en-US" w:eastAsia="zh-CN"/>
              </w:rPr>
              <w:t>中</w:t>
            </w:r>
            <w:r>
              <w:rPr>
                <w:rFonts w:hint="eastAsia"/>
              </w:rPr>
              <w:t>45项基本因子</w:t>
            </w:r>
          </w:p>
        </w:tc>
      </w:tr>
      <w:tr w14:paraId="696DF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84" w:type="dxa"/>
            <w:vMerge w:val="continue"/>
            <w:tcBorders>
              <w:tl2br w:val="nil"/>
              <w:tr2bl w:val="nil"/>
            </w:tcBorders>
            <w:noWrap w:val="0"/>
            <w:vAlign w:val="center"/>
          </w:tcPr>
          <w:p w14:paraId="2860C533">
            <w:pPr>
              <w:pStyle w:val="55"/>
              <w:bidi w:val="0"/>
            </w:pPr>
          </w:p>
        </w:tc>
        <w:tc>
          <w:tcPr>
            <w:tcW w:w="1785" w:type="dxa"/>
            <w:tcBorders>
              <w:tl2br w:val="nil"/>
              <w:tr2bl w:val="nil"/>
            </w:tcBorders>
            <w:noWrap w:val="0"/>
            <w:vAlign w:val="center"/>
          </w:tcPr>
          <w:p w14:paraId="1C63E8A5">
            <w:pPr>
              <w:pStyle w:val="55"/>
              <w:bidi w:val="0"/>
            </w:pPr>
            <w:r>
              <w:t>评价标准</w:t>
            </w:r>
          </w:p>
        </w:tc>
        <w:tc>
          <w:tcPr>
            <w:tcW w:w="6450" w:type="dxa"/>
            <w:gridSpan w:val="6"/>
            <w:tcBorders>
              <w:tl2br w:val="nil"/>
              <w:tr2bl w:val="nil"/>
            </w:tcBorders>
            <w:noWrap w:val="0"/>
            <w:vAlign w:val="center"/>
          </w:tcPr>
          <w:p w14:paraId="1EEB184D">
            <w:pPr>
              <w:pStyle w:val="55"/>
              <w:bidi w:val="0"/>
            </w:pPr>
            <w:r>
              <w:t>GB15618</w:t>
            </w:r>
            <w:r>
              <w:rPr/>
              <w:sym w:font="Wingdings 2" w:char="00A3"/>
            </w:r>
            <w:r>
              <w:t>；GB36600</w:t>
            </w:r>
            <w:r>
              <w:rPr/>
              <w:sym w:font="Wingdings 2" w:char="0052"/>
            </w:r>
            <w:r>
              <w:t>；表D.1</w:t>
            </w:r>
            <w:r>
              <w:rPr/>
              <w:sym w:font="Wingdings 2" w:char="00A3"/>
            </w:r>
            <w:r>
              <w:t>；表D.2</w:t>
            </w:r>
            <w:r>
              <w:rPr/>
              <w:sym w:font="Wingdings 2" w:char="00A3"/>
            </w:r>
            <w:r>
              <w:t>；其他（）</w:t>
            </w:r>
          </w:p>
        </w:tc>
      </w:tr>
      <w:tr w14:paraId="42A28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84" w:type="dxa"/>
            <w:vMerge w:val="continue"/>
            <w:tcBorders>
              <w:tl2br w:val="nil"/>
              <w:tr2bl w:val="nil"/>
            </w:tcBorders>
            <w:noWrap w:val="0"/>
            <w:vAlign w:val="center"/>
          </w:tcPr>
          <w:p w14:paraId="037F8A13">
            <w:pPr>
              <w:pStyle w:val="55"/>
              <w:bidi w:val="0"/>
            </w:pPr>
          </w:p>
        </w:tc>
        <w:tc>
          <w:tcPr>
            <w:tcW w:w="1785" w:type="dxa"/>
            <w:tcBorders>
              <w:tl2br w:val="nil"/>
              <w:tr2bl w:val="nil"/>
            </w:tcBorders>
            <w:noWrap w:val="0"/>
            <w:vAlign w:val="center"/>
          </w:tcPr>
          <w:p w14:paraId="75771383">
            <w:pPr>
              <w:pStyle w:val="55"/>
              <w:bidi w:val="0"/>
            </w:pPr>
            <w:r>
              <w:t>现状评价结论</w:t>
            </w:r>
          </w:p>
        </w:tc>
        <w:tc>
          <w:tcPr>
            <w:tcW w:w="6450" w:type="dxa"/>
            <w:gridSpan w:val="6"/>
            <w:tcBorders>
              <w:tl2br w:val="nil"/>
              <w:tr2bl w:val="nil"/>
            </w:tcBorders>
            <w:noWrap w:val="0"/>
            <w:vAlign w:val="center"/>
          </w:tcPr>
          <w:p w14:paraId="59BC16B5">
            <w:pPr>
              <w:pStyle w:val="55"/>
              <w:bidi w:val="0"/>
            </w:pPr>
            <w:r>
              <w:t>监测点各项土壤指标监测值均</w:t>
            </w:r>
            <w:r>
              <w:rPr>
                <w:rFonts w:hint="eastAsia"/>
                <w:lang w:val="en-US" w:eastAsia="zh-CN"/>
              </w:rPr>
              <w:t>满足</w:t>
            </w:r>
            <w:r>
              <w:t>《土壤环境质量建设用地土壤污染风险管控标准（试行）》（GB36600-2018）中第二类用地筛选值</w:t>
            </w:r>
            <w:r>
              <w:rPr>
                <w:rFonts w:hint="eastAsia"/>
                <w:lang w:eastAsia="zh-CN"/>
              </w:rPr>
              <w:t>，</w:t>
            </w:r>
            <w:r>
              <w:rPr>
                <w:rFonts w:hint="eastAsia"/>
                <w:lang w:val="en-US" w:eastAsia="zh-CN"/>
              </w:rPr>
              <w:t>区域土壤质量较好</w:t>
            </w:r>
            <w:r>
              <w:t>。</w:t>
            </w:r>
          </w:p>
        </w:tc>
      </w:tr>
      <w:tr w14:paraId="47632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84" w:type="dxa"/>
            <w:vMerge w:val="restart"/>
            <w:tcBorders>
              <w:tl2br w:val="nil"/>
              <w:tr2bl w:val="nil"/>
            </w:tcBorders>
            <w:noWrap w:val="0"/>
            <w:vAlign w:val="center"/>
          </w:tcPr>
          <w:p w14:paraId="68288759">
            <w:pPr>
              <w:pStyle w:val="55"/>
              <w:bidi w:val="0"/>
            </w:pPr>
            <w:r>
              <w:t>影响预测</w:t>
            </w:r>
          </w:p>
        </w:tc>
        <w:tc>
          <w:tcPr>
            <w:tcW w:w="1785" w:type="dxa"/>
            <w:tcBorders>
              <w:tl2br w:val="nil"/>
              <w:tr2bl w:val="nil"/>
            </w:tcBorders>
            <w:noWrap w:val="0"/>
            <w:vAlign w:val="center"/>
          </w:tcPr>
          <w:p w14:paraId="5F8B7BB3">
            <w:pPr>
              <w:pStyle w:val="55"/>
              <w:bidi w:val="0"/>
            </w:pPr>
            <w:r>
              <w:t>预测因子</w:t>
            </w:r>
          </w:p>
        </w:tc>
        <w:tc>
          <w:tcPr>
            <w:tcW w:w="6450" w:type="dxa"/>
            <w:gridSpan w:val="6"/>
            <w:tcBorders>
              <w:tl2br w:val="nil"/>
              <w:tr2bl w:val="nil"/>
            </w:tcBorders>
            <w:noWrap w:val="0"/>
            <w:vAlign w:val="center"/>
          </w:tcPr>
          <w:p w14:paraId="54F4B2A2">
            <w:pPr>
              <w:pStyle w:val="55"/>
              <w:bidi w:val="0"/>
            </w:pPr>
            <w:r>
              <w:rPr>
                <w:rFonts w:hint="eastAsia"/>
                <w:lang w:val="en-US" w:eastAsia="zh-CN"/>
              </w:rPr>
              <w:t>/</w:t>
            </w:r>
          </w:p>
        </w:tc>
      </w:tr>
      <w:tr w14:paraId="5DF33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84" w:type="dxa"/>
            <w:vMerge w:val="continue"/>
            <w:tcBorders>
              <w:tl2br w:val="nil"/>
              <w:tr2bl w:val="nil"/>
            </w:tcBorders>
            <w:noWrap w:val="0"/>
            <w:vAlign w:val="center"/>
          </w:tcPr>
          <w:p w14:paraId="32942016">
            <w:pPr>
              <w:pStyle w:val="55"/>
              <w:bidi w:val="0"/>
            </w:pPr>
          </w:p>
        </w:tc>
        <w:tc>
          <w:tcPr>
            <w:tcW w:w="1785" w:type="dxa"/>
            <w:tcBorders>
              <w:tl2br w:val="nil"/>
              <w:tr2bl w:val="nil"/>
            </w:tcBorders>
            <w:noWrap w:val="0"/>
            <w:vAlign w:val="center"/>
          </w:tcPr>
          <w:p w14:paraId="0C53528E">
            <w:pPr>
              <w:pStyle w:val="55"/>
              <w:bidi w:val="0"/>
            </w:pPr>
            <w:r>
              <w:t>预测方法</w:t>
            </w:r>
          </w:p>
        </w:tc>
        <w:tc>
          <w:tcPr>
            <w:tcW w:w="6450" w:type="dxa"/>
            <w:gridSpan w:val="6"/>
            <w:tcBorders>
              <w:tl2br w:val="nil"/>
              <w:tr2bl w:val="nil"/>
            </w:tcBorders>
            <w:noWrap w:val="0"/>
            <w:vAlign w:val="center"/>
          </w:tcPr>
          <w:p w14:paraId="086B3E0D">
            <w:pPr>
              <w:pStyle w:val="55"/>
              <w:bidi w:val="0"/>
            </w:pPr>
            <w:r>
              <w:t>附录E</w:t>
            </w:r>
            <w:r>
              <w:rPr/>
              <w:sym w:font="Wingdings 2" w:char="00A3"/>
            </w:r>
            <w:r>
              <w:t>；附录F</w:t>
            </w:r>
            <w:r>
              <w:rPr/>
              <w:sym w:font="Wingdings 2" w:char="00A3"/>
            </w:r>
            <w:r>
              <w:t>；其他（）</w:t>
            </w:r>
          </w:p>
        </w:tc>
      </w:tr>
      <w:tr w14:paraId="357F2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84" w:type="dxa"/>
            <w:vMerge w:val="continue"/>
            <w:tcBorders>
              <w:tl2br w:val="nil"/>
              <w:tr2bl w:val="nil"/>
            </w:tcBorders>
            <w:noWrap w:val="0"/>
            <w:vAlign w:val="center"/>
          </w:tcPr>
          <w:p w14:paraId="6E0F0592">
            <w:pPr>
              <w:pStyle w:val="55"/>
              <w:bidi w:val="0"/>
            </w:pPr>
          </w:p>
        </w:tc>
        <w:tc>
          <w:tcPr>
            <w:tcW w:w="1785" w:type="dxa"/>
            <w:tcBorders>
              <w:tl2br w:val="nil"/>
              <w:tr2bl w:val="nil"/>
            </w:tcBorders>
            <w:noWrap w:val="0"/>
            <w:vAlign w:val="center"/>
          </w:tcPr>
          <w:p w14:paraId="2D457CE3">
            <w:pPr>
              <w:pStyle w:val="55"/>
              <w:bidi w:val="0"/>
            </w:pPr>
            <w:r>
              <w:t>预测分析内容</w:t>
            </w:r>
          </w:p>
        </w:tc>
        <w:tc>
          <w:tcPr>
            <w:tcW w:w="6450" w:type="dxa"/>
            <w:gridSpan w:val="6"/>
            <w:tcBorders>
              <w:tl2br w:val="nil"/>
              <w:tr2bl w:val="nil"/>
            </w:tcBorders>
            <w:noWrap w:val="0"/>
            <w:vAlign w:val="center"/>
          </w:tcPr>
          <w:p w14:paraId="1D8DE2C9">
            <w:pPr>
              <w:pStyle w:val="55"/>
              <w:bidi w:val="0"/>
              <w:rPr>
                <w:rFonts w:hint="eastAsia"/>
              </w:rPr>
            </w:pPr>
            <w:r>
              <w:rPr>
                <w:rFonts w:hint="eastAsia"/>
              </w:rPr>
              <w:t>影响范围（占地范围内及占地</w:t>
            </w:r>
            <w:r>
              <w:rPr>
                <w:rFonts w:hint="eastAsia"/>
                <w:lang w:val="en-US" w:eastAsia="zh-CN"/>
              </w:rPr>
              <w:t>范围</w:t>
            </w:r>
            <w:r>
              <w:rPr>
                <w:rFonts w:hint="eastAsia"/>
              </w:rPr>
              <w:t>外0.</w:t>
            </w:r>
            <w:r>
              <w:rPr>
                <w:rFonts w:hint="eastAsia"/>
                <w:lang w:val="en-US" w:eastAsia="zh-CN"/>
              </w:rPr>
              <w:t>05</w:t>
            </w:r>
            <w:r>
              <w:rPr>
                <w:rFonts w:hint="eastAsia"/>
              </w:rPr>
              <w:t>km）</w:t>
            </w:r>
          </w:p>
          <w:p w14:paraId="17B50554">
            <w:pPr>
              <w:pStyle w:val="55"/>
              <w:bidi w:val="0"/>
            </w:pPr>
            <w:r>
              <w:rPr>
                <w:rFonts w:hint="eastAsia"/>
              </w:rPr>
              <w:t>影响程度（非正常及风险事故状态下污染物下渗深度）</w:t>
            </w:r>
          </w:p>
        </w:tc>
      </w:tr>
      <w:tr w14:paraId="08AC6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84" w:type="dxa"/>
            <w:vMerge w:val="continue"/>
            <w:tcBorders>
              <w:tl2br w:val="nil"/>
              <w:tr2bl w:val="nil"/>
            </w:tcBorders>
            <w:noWrap w:val="0"/>
            <w:vAlign w:val="center"/>
          </w:tcPr>
          <w:p w14:paraId="01DED3D8">
            <w:pPr>
              <w:pStyle w:val="55"/>
              <w:bidi w:val="0"/>
            </w:pPr>
          </w:p>
        </w:tc>
        <w:tc>
          <w:tcPr>
            <w:tcW w:w="1785" w:type="dxa"/>
            <w:tcBorders>
              <w:tl2br w:val="nil"/>
              <w:tr2bl w:val="nil"/>
            </w:tcBorders>
            <w:noWrap w:val="0"/>
            <w:vAlign w:val="center"/>
          </w:tcPr>
          <w:p w14:paraId="37E7D2AE">
            <w:pPr>
              <w:pStyle w:val="55"/>
              <w:bidi w:val="0"/>
            </w:pPr>
            <w:r>
              <w:t>预测结论</w:t>
            </w:r>
          </w:p>
        </w:tc>
        <w:tc>
          <w:tcPr>
            <w:tcW w:w="6450" w:type="dxa"/>
            <w:gridSpan w:val="6"/>
            <w:tcBorders>
              <w:tl2br w:val="nil"/>
              <w:tr2bl w:val="nil"/>
            </w:tcBorders>
            <w:noWrap w:val="0"/>
            <w:vAlign w:val="center"/>
          </w:tcPr>
          <w:p w14:paraId="6D29983F">
            <w:pPr>
              <w:pStyle w:val="55"/>
              <w:bidi w:val="0"/>
            </w:pPr>
            <w:r>
              <w:t>达标结论：a）</w:t>
            </w:r>
            <w:r>
              <w:rPr/>
              <w:sym w:font="Wingdings 2" w:char="00A3"/>
            </w:r>
            <w:r>
              <w:t>；b）</w:t>
            </w:r>
            <w:r>
              <w:rPr/>
              <w:sym w:font="Wingdings 2" w:char="00A3"/>
            </w:r>
            <w:r>
              <w:t>；c）</w:t>
            </w:r>
            <w:r>
              <w:rPr/>
              <w:sym w:font="Wingdings 2" w:char="00A3"/>
            </w:r>
          </w:p>
          <w:p w14:paraId="3287AA24">
            <w:pPr>
              <w:pStyle w:val="55"/>
              <w:bidi w:val="0"/>
            </w:pPr>
            <w:r>
              <w:t>不达标结论：a）</w:t>
            </w:r>
            <w:r>
              <w:rPr/>
              <w:sym w:font="Wingdings 2" w:char="00A3"/>
            </w:r>
            <w:r>
              <w:t>；b）</w:t>
            </w:r>
            <w:r>
              <w:rPr/>
              <w:sym w:font="Wingdings 2" w:char="00A3"/>
            </w:r>
          </w:p>
        </w:tc>
      </w:tr>
      <w:tr w14:paraId="4AFB6D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84" w:type="dxa"/>
            <w:vMerge w:val="restart"/>
            <w:tcBorders>
              <w:tl2br w:val="nil"/>
              <w:tr2bl w:val="nil"/>
            </w:tcBorders>
            <w:noWrap w:val="0"/>
            <w:vAlign w:val="center"/>
          </w:tcPr>
          <w:p w14:paraId="79B3E6AA">
            <w:pPr>
              <w:pStyle w:val="55"/>
              <w:bidi w:val="0"/>
            </w:pPr>
            <w:r>
              <w:t>防治措施</w:t>
            </w:r>
          </w:p>
        </w:tc>
        <w:tc>
          <w:tcPr>
            <w:tcW w:w="1785" w:type="dxa"/>
            <w:tcBorders>
              <w:tl2br w:val="nil"/>
              <w:tr2bl w:val="nil"/>
            </w:tcBorders>
            <w:noWrap w:val="0"/>
            <w:vAlign w:val="center"/>
          </w:tcPr>
          <w:p w14:paraId="487A6333">
            <w:pPr>
              <w:pStyle w:val="55"/>
              <w:bidi w:val="0"/>
            </w:pPr>
            <w:r>
              <w:t>防控措施</w:t>
            </w:r>
          </w:p>
        </w:tc>
        <w:tc>
          <w:tcPr>
            <w:tcW w:w="6450" w:type="dxa"/>
            <w:gridSpan w:val="6"/>
            <w:tcBorders>
              <w:tl2br w:val="nil"/>
              <w:tr2bl w:val="nil"/>
            </w:tcBorders>
            <w:noWrap w:val="0"/>
            <w:vAlign w:val="center"/>
          </w:tcPr>
          <w:p w14:paraId="3A45B641">
            <w:pPr>
              <w:pStyle w:val="55"/>
              <w:bidi w:val="0"/>
            </w:pPr>
            <w:r>
              <w:t>土壤环境质量现状保障</w:t>
            </w:r>
            <w:r>
              <w:rPr/>
              <w:sym w:font="Wingdings 2" w:char="0052"/>
            </w:r>
            <w:r>
              <w:t>；源头控制</w:t>
            </w:r>
            <w:r>
              <w:rPr/>
              <w:sym w:font="Wingdings 2" w:char="0052"/>
            </w:r>
            <w:r>
              <w:t>；过程防控</w:t>
            </w:r>
            <w:r>
              <w:rPr/>
              <w:sym w:font="Wingdings 2" w:char="0052"/>
            </w:r>
            <w:r>
              <w:t>；其他（）</w:t>
            </w:r>
          </w:p>
        </w:tc>
      </w:tr>
      <w:tr w14:paraId="5DCA8B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84" w:type="dxa"/>
            <w:vMerge w:val="continue"/>
            <w:tcBorders>
              <w:tl2br w:val="nil"/>
              <w:tr2bl w:val="nil"/>
            </w:tcBorders>
            <w:noWrap w:val="0"/>
            <w:vAlign w:val="center"/>
          </w:tcPr>
          <w:p w14:paraId="439DB758">
            <w:pPr>
              <w:pStyle w:val="55"/>
              <w:bidi w:val="0"/>
            </w:pPr>
          </w:p>
        </w:tc>
        <w:tc>
          <w:tcPr>
            <w:tcW w:w="1785" w:type="dxa"/>
            <w:vMerge w:val="restart"/>
            <w:tcBorders>
              <w:tl2br w:val="nil"/>
              <w:tr2bl w:val="nil"/>
            </w:tcBorders>
            <w:noWrap w:val="0"/>
            <w:vAlign w:val="center"/>
          </w:tcPr>
          <w:p w14:paraId="0FA0ACB9">
            <w:pPr>
              <w:pStyle w:val="55"/>
              <w:bidi w:val="0"/>
            </w:pPr>
            <w:r>
              <w:t>跟踪监测</w:t>
            </w:r>
          </w:p>
        </w:tc>
        <w:tc>
          <w:tcPr>
            <w:tcW w:w="1970" w:type="dxa"/>
            <w:gridSpan w:val="2"/>
            <w:tcBorders>
              <w:tl2br w:val="nil"/>
              <w:tr2bl w:val="nil"/>
            </w:tcBorders>
            <w:noWrap w:val="0"/>
            <w:vAlign w:val="center"/>
          </w:tcPr>
          <w:p w14:paraId="0774F962">
            <w:pPr>
              <w:pStyle w:val="55"/>
              <w:bidi w:val="0"/>
            </w:pPr>
            <w:r>
              <w:t>监测点位</w:t>
            </w:r>
          </w:p>
        </w:tc>
        <w:tc>
          <w:tcPr>
            <w:tcW w:w="2718" w:type="dxa"/>
            <w:gridSpan w:val="2"/>
            <w:tcBorders>
              <w:tl2br w:val="nil"/>
              <w:tr2bl w:val="nil"/>
            </w:tcBorders>
            <w:noWrap w:val="0"/>
            <w:vAlign w:val="center"/>
          </w:tcPr>
          <w:p w14:paraId="329F2F59">
            <w:pPr>
              <w:pStyle w:val="55"/>
              <w:bidi w:val="0"/>
            </w:pPr>
            <w:r>
              <w:t>监测指标</w:t>
            </w:r>
          </w:p>
        </w:tc>
        <w:tc>
          <w:tcPr>
            <w:tcW w:w="1762" w:type="dxa"/>
            <w:gridSpan w:val="2"/>
            <w:tcBorders>
              <w:tl2br w:val="nil"/>
              <w:tr2bl w:val="nil"/>
            </w:tcBorders>
            <w:noWrap w:val="0"/>
            <w:vAlign w:val="center"/>
          </w:tcPr>
          <w:p w14:paraId="2BB7D2DB">
            <w:pPr>
              <w:pStyle w:val="55"/>
              <w:bidi w:val="0"/>
            </w:pPr>
            <w:r>
              <w:t>监测频次</w:t>
            </w:r>
          </w:p>
        </w:tc>
      </w:tr>
      <w:tr w14:paraId="3B4906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84" w:type="dxa"/>
            <w:vMerge w:val="continue"/>
            <w:tcBorders>
              <w:tl2br w:val="nil"/>
              <w:tr2bl w:val="nil"/>
            </w:tcBorders>
            <w:noWrap w:val="0"/>
            <w:vAlign w:val="center"/>
          </w:tcPr>
          <w:p w14:paraId="6CD99856">
            <w:pPr>
              <w:pStyle w:val="55"/>
              <w:bidi w:val="0"/>
            </w:pPr>
          </w:p>
        </w:tc>
        <w:tc>
          <w:tcPr>
            <w:tcW w:w="1785" w:type="dxa"/>
            <w:vMerge w:val="continue"/>
            <w:tcBorders>
              <w:tl2br w:val="nil"/>
              <w:tr2bl w:val="nil"/>
            </w:tcBorders>
            <w:noWrap w:val="0"/>
            <w:vAlign w:val="center"/>
          </w:tcPr>
          <w:p w14:paraId="63B4A5C5">
            <w:pPr>
              <w:pStyle w:val="55"/>
              <w:bidi w:val="0"/>
            </w:pPr>
          </w:p>
        </w:tc>
        <w:tc>
          <w:tcPr>
            <w:tcW w:w="1970" w:type="dxa"/>
            <w:gridSpan w:val="2"/>
            <w:tcBorders>
              <w:tl2br w:val="nil"/>
              <w:tr2bl w:val="nil"/>
            </w:tcBorders>
            <w:noWrap w:val="0"/>
            <w:vAlign w:val="center"/>
          </w:tcPr>
          <w:p w14:paraId="4B151218">
            <w:pPr>
              <w:pStyle w:val="55"/>
              <w:bidi w:val="0"/>
              <w:rPr>
                <w:rFonts w:hint="eastAsia"/>
                <w:lang w:val="en-US" w:eastAsia="zh-CN"/>
              </w:rPr>
            </w:pPr>
            <w:r>
              <w:rPr>
                <w:rFonts w:hint="eastAsia"/>
                <w:lang w:val="en-US" w:eastAsia="zh-CN"/>
              </w:rPr>
              <w:t>/</w:t>
            </w:r>
          </w:p>
        </w:tc>
        <w:tc>
          <w:tcPr>
            <w:tcW w:w="2718" w:type="dxa"/>
            <w:gridSpan w:val="2"/>
            <w:tcBorders>
              <w:tl2br w:val="nil"/>
              <w:tr2bl w:val="nil"/>
            </w:tcBorders>
            <w:noWrap w:val="0"/>
            <w:vAlign w:val="center"/>
          </w:tcPr>
          <w:p w14:paraId="2D47BB16">
            <w:pPr>
              <w:pStyle w:val="55"/>
              <w:bidi w:val="0"/>
              <w:rPr>
                <w:rFonts w:hint="eastAsia"/>
                <w:lang w:val="en-US" w:eastAsia="zh-CN"/>
              </w:rPr>
            </w:pPr>
            <w:r>
              <w:rPr>
                <w:rFonts w:hint="eastAsia"/>
                <w:lang w:val="en-US" w:eastAsia="zh-CN"/>
              </w:rPr>
              <w:t>/</w:t>
            </w:r>
          </w:p>
        </w:tc>
        <w:tc>
          <w:tcPr>
            <w:tcW w:w="1762" w:type="dxa"/>
            <w:gridSpan w:val="2"/>
            <w:tcBorders>
              <w:tl2br w:val="nil"/>
              <w:tr2bl w:val="nil"/>
            </w:tcBorders>
            <w:noWrap w:val="0"/>
            <w:vAlign w:val="center"/>
          </w:tcPr>
          <w:p w14:paraId="0FB41299">
            <w:pPr>
              <w:pStyle w:val="55"/>
              <w:bidi w:val="0"/>
              <w:rPr>
                <w:rFonts w:hint="eastAsia"/>
                <w:lang w:val="en-US" w:eastAsia="zh-CN"/>
              </w:rPr>
            </w:pPr>
            <w:r>
              <w:rPr>
                <w:rFonts w:hint="eastAsia"/>
                <w:lang w:val="en-US" w:eastAsia="zh-CN"/>
              </w:rPr>
              <w:t>/</w:t>
            </w:r>
          </w:p>
        </w:tc>
      </w:tr>
      <w:tr w14:paraId="7AE694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84" w:type="dxa"/>
            <w:vMerge w:val="continue"/>
            <w:tcBorders>
              <w:tl2br w:val="nil"/>
              <w:tr2bl w:val="nil"/>
            </w:tcBorders>
            <w:noWrap w:val="0"/>
            <w:vAlign w:val="center"/>
          </w:tcPr>
          <w:p w14:paraId="3E2444F2">
            <w:pPr>
              <w:pStyle w:val="55"/>
              <w:bidi w:val="0"/>
            </w:pPr>
          </w:p>
        </w:tc>
        <w:tc>
          <w:tcPr>
            <w:tcW w:w="1785" w:type="dxa"/>
            <w:tcBorders>
              <w:tl2br w:val="nil"/>
              <w:tr2bl w:val="nil"/>
            </w:tcBorders>
            <w:noWrap w:val="0"/>
            <w:vAlign w:val="center"/>
          </w:tcPr>
          <w:p w14:paraId="49B74D64">
            <w:pPr>
              <w:pStyle w:val="55"/>
              <w:bidi w:val="0"/>
            </w:pPr>
            <w:r>
              <w:t>信息公开指标</w:t>
            </w:r>
          </w:p>
        </w:tc>
        <w:tc>
          <w:tcPr>
            <w:tcW w:w="6450" w:type="dxa"/>
            <w:gridSpan w:val="6"/>
            <w:tcBorders>
              <w:tl2br w:val="nil"/>
              <w:tr2bl w:val="nil"/>
            </w:tcBorders>
            <w:noWrap w:val="0"/>
            <w:vAlign w:val="center"/>
          </w:tcPr>
          <w:p w14:paraId="0906D146">
            <w:pPr>
              <w:pStyle w:val="55"/>
              <w:bidi w:val="0"/>
            </w:pPr>
            <w:r>
              <w:t>《土壤环境质量建设用地土壤污染风险管控标准（试行）》（GB36600-2018）45项基本因子</w:t>
            </w:r>
          </w:p>
        </w:tc>
      </w:tr>
      <w:tr w14:paraId="709D64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469" w:type="dxa"/>
            <w:gridSpan w:val="2"/>
            <w:tcBorders>
              <w:tl2br w:val="nil"/>
              <w:tr2bl w:val="nil"/>
            </w:tcBorders>
            <w:noWrap w:val="0"/>
            <w:vAlign w:val="center"/>
          </w:tcPr>
          <w:p w14:paraId="5A4EFDE4">
            <w:pPr>
              <w:pStyle w:val="55"/>
              <w:bidi w:val="0"/>
            </w:pPr>
            <w:r>
              <w:t>评价结论</w:t>
            </w:r>
          </w:p>
        </w:tc>
        <w:tc>
          <w:tcPr>
            <w:tcW w:w="6450" w:type="dxa"/>
            <w:gridSpan w:val="6"/>
            <w:tcBorders>
              <w:tl2br w:val="nil"/>
              <w:tr2bl w:val="nil"/>
            </w:tcBorders>
            <w:noWrap w:val="0"/>
            <w:vAlign w:val="center"/>
          </w:tcPr>
          <w:p w14:paraId="4CBD101A">
            <w:pPr>
              <w:pStyle w:val="55"/>
              <w:bidi w:val="0"/>
            </w:pPr>
            <w:r>
              <w:rPr>
                <w:rFonts w:hint="eastAsia"/>
              </w:rPr>
              <w:t>项目区域土壤环境质量现状较好，</w:t>
            </w:r>
            <w:r>
              <w:t>建设单位落实好</w:t>
            </w:r>
            <w:r>
              <w:rPr>
                <w:rFonts w:hint="eastAsia"/>
                <w:lang w:val="en-US" w:eastAsia="zh-CN"/>
              </w:rPr>
              <w:t>项目区</w:t>
            </w:r>
            <w:r>
              <w:t>的</w:t>
            </w:r>
            <w:r>
              <w:rPr>
                <w:rFonts w:hint="eastAsia"/>
              </w:rPr>
              <w:t>防渗</w:t>
            </w:r>
            <w:r>
              <w:t>措施后，对土壤的影响范围有限</w:t>
            </w:r>
            <w:r>
              <w:rPr>
                <w:rFonts w:hint="eastAsia"/>
              </w:rPr>
              <w:t>，土壤环境影响可接受</w:t>
            </w:r>
          </w:p>
        </w:tc>
      </w:tr>
      <w:tr w14:paraId="5CC151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8919" w:type="dxa"/>
            <w:gridSpan w:val="8"/>
            <w:tcBorders>
              <w:tl2br w:val="nil"/>
              <w:tr2bl w:val="nil"/>
            </w:tcBorders>
            <w:noWrap w:val="0"/>
            <w:vAlign w:val="center"/>
          </w:tcPr>
          <w:p w14:paraId="435D7168">
            <w:pPr>
              <w:pStyle w:val="55"/>
              <w:bidi w:val="0"/>
            </w:pPr>
            <w:r>
              <w:t>注：“</w:t>
            </w:r>
            <w:r>
              <w:rPr/>
              <w:sym w:font="Wingdings 2" w:char="00A3"/>
            </w:r>
            <w:r>
              <w:t>”为打勾项，填“√”；“（）”为内容填写项</w:t>
            </w:r>
          </w:p>
        </w:tc>
      </w:tr>
    </w:tbl>
    <w:p w14:paraId="5F7C9343">
      <w:pPr>
        <w:pStyle w:val="90"/>
        <w:bidi w:val="0"/>
        <w:ind w:left="0" w:leftChars="0" w:firstLine="0" w:firstLineChars="0"/>
      </w:pPr>
      <w:bookmarkStart w:id="62" w:name="_Toc8979"/>
      <w:r>
        <w:rPr>
          <w:rFonts w:hint="eastAsia"/>
        </w:rPr>
        <w:t>环境风险分析</w:t>
      </w:r>
      <w:bookmarkEnd w:id="62"/>
    </w:p>
    <w:p w14:paraId="00F92F7E">
      <w:pPr>
        <w:pStyle w:val="47"/>
        <w:ind w:firstLine="482"/>
      </w:pPr>
      <w:r>
        <w:rPr>
          <w:rFonts w:hint="eastAsia"/>
        </w:rPr>
        <w:t>根据《建设项目环境风险评价技术导则》（HJ 169-2018）的要求，本次环境风险评价的目的在于识别物料生产、贮存、转运过程中的风险因素及可能诱发的环境问题，并针对潜在的环境风险，提出相应的预防措施，以使建设项目的事故率、损失和环境影响达到可接受水平。</w:t>
      </w:r>
    </w:p>
    <w:p w14:paraId="0BC405BF">
      <w:pPr>
        <w:pStyle w:val="92"/>
        <w:bidi w:val="0"/>
        <w:ind w:left="0" w:leftChars="0" w:firstLine="0" w:firstLineChars="0"/>
      </w:pPr>
      <w:r>
        <w:rPr>
          <w:rFonts w:hint="eastAsia"/>
        </w:rPr>
        <w:t>风险</w:t>
      </w:r>
      <w:r>
        <w:t>调查</w:t>
      </w:r>
    </w:p>
    <w:p w14:paraId="7A12E577">
      <w:pPr>
        <w:pStyle w:val="47"/>
        <w:ind w:firstLine="482"/>
        <w:rPr>
          <w:rFonts w:hint="eastAsia"/>
        </w:rPr>
      </w:pPr>
      <w:r>
        <w:rPr>
          <w:rFonts w:hint="eastAsia"/>
        </w:rPr>
        <w:t>根据工程分析，对照《建设项目环境风险评价技术导则》（HJ169-2018）附录B，筛选项目的风险物质，项目涉及的原料无毒，不属于剧毒、有毒物质，项目风险物质主要为在生产过程中产生的危险废物。</w:t>
      </w:r>
    </w:p>
    <w:p w14:paraId="3BC69D7A">
      <w:pPr>
        <w:pStyle w:val="94"/>
        <w:bidi w:val="0"/>
        <w:ind w:left="0" w:leftChars="0" w:firstLine="0" w:firstLineChars="0"/>
      </w:pPr>
      <w:r>
        <w:rPr>
          <w:rFonts w:hint="eastAsia"/>
        </w:rPr>
        <w:t>危险物质储存及分布情况</w:t>
      </w:r>
    </w:p>
    <w:tbl>
      <w:tblPr>
        <w:tblStyle w:val="3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901"/>
        <w:gridCol w:w="2595"/>
        <w:gridCol w:w="2740"/>
        <w:gridCol w:w="2948"/>
      </w:tblGrid>
      <w:tr w14:paraId="7B075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397" w:hRule="atLeast"/>
          <w:tblHeader/>
          <w:jc w:val="center"/>
        </w:trPr>
        <w:tc>
          <w:tcPr>
            <w:tcW w:w="491" w:type="pct"/>
            <w:vAlign w:val="center"/>
          </w:tcPr>
          <w:p w14:paraId="00A4375C">
            <w:pPr>
              <w:pStyle w:val="55"/>
              <w:bidi w:val="0"/>
            </w:pPr>
            <w:r>
              <w:rPr>
                <w:rFonts w:hint="eastAsia"/>
              </w:rPr>
              <w:t>序号</w:t>
            </w:r>
          </w:p>
        </w:tc>
        <w:tc>
          <w:tcPr>
            <w:tcW w:w="1412" w:type="pct"/>
            <w:vAlign w:val="center"/>
          </w:tcPr>
          <w:p w14:paraId="3808DFE4">
            <w:pPr>
              <w:pStyle w:val="55"/>
              <w:bidi w:val="0"/>
            </w:pPr>
            <w:r>
              <w:rPr>
                <w:rFonts w:hint="eastAsia"/>
              </w:rPr>
              <w:t>危险物质名称</w:t>
            </w:r>
          </w:p>
        </w:tc>
        <w:tc>
          <w:tcPr>
            <w:tcW w:w="1491" w:type="pct"/>
            <w:vAlign w:val="center"/>
          </w:tcPr>
          <w:p w14:paraId="5D3A6D6B">
            <w:pPr>
              <w:pStyle w:val="55"/>
              <w:bidi w:val="0"/>
            </w:pPr>
            <w:r>
              <w:rPr>
                <w:rFonts w:hint="eastAsia"/>
              </w:rPr>
              <w:t>最大</w:t>
            </w:r>
            <w:r>
              <w:t>暂存量/(t</w:t>
            </w:r>
            <w:r>
              <w:rPr>
                <w:rFonts w:hint="eastAsia"/>
              </w:rPr>
              <w:t>/a</w:t>
            </w:r>
            <w:r>
              <w:t>)</w:t>
            </w:r>
          </w:p>
        </w:tc>
        <w:tc>
          <w:tcPr>
            <w:tcW w:w="1604" w:type="pct"/>
            <w:vAlign w:val="center"/>
          </w:tcPr>
          <w:p w14:paraId="081C594F">
            <w:pPr>
              <w:pStyle w:val="55"/>
              <w:bidi w:val="0"/>
            </w:pPr>
            <w:r>
              <w:rPr>
                <w:rFonts w:hint="eastAsia"/>
              </w:rPr>
              <w:t>暂存位置</w:t>
            </w:r>
          </w:p>
        </w:tc>
      </w:tr>
      <w:tr w14:paraId="4AD3C703">
        <w:tblPrEx>
          <w:tblCellMar>
            <w:top w:w="0" w:type="dxa"/>
            <w:left w:w="57" w:type="dxa"/>
            <w:bottom w:w="0" w:type="dxa"/>
            <w:right w:w="57" w:type="dxa"/>
          </w:tblCellMar>
        </w:tblPrEx>
        <w:trPr>
          <w:cantSplit/>
          <w:trHeight w:val="397" w:hRule="atLeast"/>
          <w:jc w:val="center"/>
        </w:trPr>
        <w:tc>
          <w:tcPr>
            <w:tcW w:w="491" w:type="pct"/>
            <w:vAlign w:val="center"/>
          </w:tcPr>
          <w:p w14:paraId="0A344DFF">
            <w:pPr>
              <w:pStyle w:val="55"/>
              <w:bidi w:val="0"/>
            </w:pPr>
            <w:r>
              <w:rPr>
                <w:rFonts w:hint="eastAsia"/>
              </w:rPr>
              <w:t>1</w:t>
            </w:r>
          </w:p>
        </w:tc>
        <w:tc>
          <w:tcPr>
            <w:tcW w:w="1412" w:type="pct"/>
            <w:vAlign w:val="center"/>
          </w:tcPr>
          <w:p w14:paraId="48A47F73">
            <w:pPr>
              <w:pStyle w:val="55"/>
              <w:bidi w:val="0"/>
            </w:pPr>
            <w:r>
              <w:rPr>
                <w:rFonts w:hint="default"/>
              </w:rPr>
              <w:t>废活性炭</w:t>
            </w:r>
          </w:p>
        </w:tc>
        <w:tc>
          <w:tcPr>
            <w:tcW w:w="1491" w:type="pct"/>
            <w:vAlign w:val="center"/>
          </w:tcPr>
          <w:p w14:paraId="344E4FB9">
            <w:pPr>
              <w:pStyle w:val="55"/>
              <w:bidi w:val="0"/>
            </w:pPr>
            <w:r>
              <w:rPr>
                <w:rFonts w:hint="eastAsia"/>
                <w:lang w:val="en-US" w:eastAsia="zh-CN"/>
              </w:rPr>
              <w:t>8</w:t>
            </w:r>
            <w:r>
              <w:rPr>
                <w:rFonts w:hint="default"/>
              </w:rPr>
              <w:t>t/</w:t>
            </w:r>
            <w:r>
              <w:rPr>
                <w:rFonts w:hint="eastAsia"/>
              </w:rPr>
              <w:t>a</w:t>
            </w:r>
          </w:p>
        </w:tc>
        <w:tc>
          <w:tcPr>
            <w:tcW w:w="1604" w:type="pct"/>
            <w:vMerge w:val="restart"/>
            <w:vAlign w:val="center"/>
          </w:tcPr>
          <w:p w14:paraId="51D303C6">
            <w:pPr>
              <w:pStyle w:val="55"/>
              <w:bidi w:val="0"/>
              <w:rPr>
                <w:rFonts w:hint="default"/>
                <w:lang w:val="en-US" w:eastAsia="zh-CN"/>
              </w:rPr>
            </w:pPr>
            <w:r>
              <w:rPr>
                <w:rFonts w:hint="eastAsia"/>
                <w:lang w:val="en-US" w:eastAsia="zh-CN"/>
              </w:rPr>
              <w:t>危险废物暂存间</w:t>
            </w:r>
          </w:p>
        </w:tc>
      </w:tr>
      <w:tr w14:paraId="22A90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397" w:hRule="atLeast"/>
          <w:jc w:val="center"/>
        </w:trPr>
        <w:tc>
          <w:tcPr>
            <w:tcW w:w="491" w:type="pct"/>
            <w:vAlign w:val="center"/>
          </w:tcPr>
          <w:p w14:paraId="5FE03F89">
            <w:pPr>
              <w:pStyle w:val="55"/>
              <w:bidi w:val="0"/>
            </w:pPr>
            <w:r>
              <w:rPr>
                <w:rFonts w:hint="eastAsia"/>
              </w:rPr>
              <w:t>2</w:t>
            </w:r>
          </w:p>
        </w:tc>
        <w:tc>
          <w:tcPr>
            <w:tcW w:w="1412" w:type="pct"/>
            <w:vAlign w:val="center"/>
          </w:tcPr>
          <w:p w14:paraId="2ED73EA5">
            <w:pPr>
              <w:pStyle w:val="55"/>
              <w:bidi w:val="0"/>
            </w:pPr>
            <w:r>
              <w:rPr>
                <w:rFonts w:hint="eastAsia"/>
                <w:lang w:val="en-US" w:eastAsia="zh-CN"/>
              </w:rPr>
              <w:t>废过滤棉</w:t>
            </w:r>
          </w:p>
        </w:tc>
        <w:tc>
          <w:tcPr>
            <w:tcW w:w="1491" w:type="pct"/>
            <w:vAlign w:val="center"/>
          </w:tcPr>
          <w:p w14:paraId="66A8E8BD">
            <w:pPr>
              <w:pStyle w:val="55"/>
              <w:bidi w:val="0"/>
            </w:pPr>
            <w:r>
              <w:rPr>
                <w:rFonts w:hint="eastAsia"/>
                <w:lang w:val="en-US" w:eastAsia="zh-CN"/>
              </w:rPr>
              <w:t>2t/a</w:t>
            </w:r>
          </w:p>
        </w:tc>
        <w:tc>
          <w:tcPr>
            <w:tcW w:w="1604" w:type="pct"/>
            <w:vMerge w:val="continue"/>
            <w:vAlign w:val="center"/>
          </w:tcPr>
          <w:p w14:paraId="2B4836E4">
            <w:pPr>
              <w:pStyle w:val="55"/>
              <w:bidi w:val="0"/>
            </w:pPr>
          </w:p>
        </w:tc>
      </w:tr>
      <w:tr w14:paraId="7FEA52F3">
        <w:tblPrEx>
          <w:tblCellMar>
            <w:top w:w="0" w:type="dxa"/>
            <w:left w:w="57" w:type="dxa"/>
            <w:bottom w:w="0" w:type="dxa"/>
            <w:right w:w="57" w:type="dxa"/>
          </w:tblCellMar>
        </w:tblPrEx>
        <w:trPr>
          <w:cantSplit/>
          <w:trHeight w:val="397" w:hRule="atLeast"/>
          <w:jc w:val="center"/>
        </w:trPr>
        <w:tc>
          <w:tcPr>
            <w:tcW w:w="491" w:type="pct"/>
            <w:vAlign w:val="center"/>
          </w:tcPr>
          <w:p w14:paraId="14C9A0B9">
            <w:pPr>
              <w:pStyle w:val="55"/>
              <w:bidi w:val="0"/>
            </w:pPr>
            <w:r>
              <w:rPr>
                <w:rFonts w:hint="eastAsia"/>
              </w:rPr>
              <w:t>3</w:t>
            </w:r>
          </w:p>
        </w:tc>
        <w:tc>
          <w:tcPr>
            <w:tcW w:w="1412" w:type="pct"/>
            <w:vAlign w:val="center"/>
          </w:tcPr>
          <w:p w14:paraId="6639A6D1">
            <w:pPr>
              <w:pStyle w:val="55"/>
              <w:bidi w:val="0"/>
            </w:pPr>
            <w:r>
              <w:rPr>
                <w:rFonts w:hint="default"/>
              </w:rPr>
              <w:t>废</w:t>
            </w:r>
            <w:r>
              <w:rPr>
                <w:rFonts w:hint="eastAsia"/>
                <w:lang w:val="en-US" w:eastAsia="zh-CN"/>
              </w:rPr>
              <w:t>润滑油</w:t>
            </w:r>
          </w:p>
        </w:tc>
        <w:tc>
          <w:tcPr>
            <w:tcW w:w="1491" w:type="pct"/>
            <w:vAlign w:val="center"/>
          </w:tcPr>
          <w:p w14:paraId="55161FB1">
            <w:pPr>
              <w:pStyle w:val="55"/>
              <w:bidi w:val="0"/>
            </w:pPr>
            <w:r>
              <w:rPr>
                <w:rFonts w:hint="default"/>
              </w:rPr>
              <w:t>0.</w:t>
            </w:r>
            <w:r>
              <w:rPr>
                <w:rFonts w:hint="eastAsia"/>
                <w:lang w:val="en-US" w:eastAsia="zh-CN"/>
              </w:rPr>
              <w:t>8</w:t>
            </w:r>
            <w:r>
              <w:rPr>
                <w:rFonts w:hint="default"/>
              </w:rPr>
              <w:t>t/a</w:t>
            </w:r>
          </w:p>
        </w:tc>
        <w:tc>
          <w:tcPr>
            <w:tcW w:w="1604" w:type="pct"/>
            <w:vMerge w:val="continue"/>
            <w:vAlign w:val="center"/>
          </w:tcPr>
          <w:p w14:paraId="32AC883D">
            <w:pPr>
              <w:pStyle w:val="55"/>
              <w:bidi w:val="0"/>
            </w:pPr>
          </w:p>
        </w:tc>
      </w:tr>
      <w:tr w14:paraId="1E8C4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397" w:hRule="atLeast"/>
          <w:jc w:val="center"/>
        </w:trPr>
        <w:tc>
          <w:tcPr>
            <w:tcW w:w="491" w:type="pct"/>
            <w:vAlign w:val="center"/>
          </w:tcPr>
          <w:p w14:paraId="0C6DFE17">
            <w:pPr>
              <w:pStyle w:val="55"/>
              <w:bidi w:val="0"/>
            </w:pPr>
            <w:r>
              <w:rPr>
                <w:rFonts w:hint="eastAsia"/>
              </w:rPr>
              <w:t>4</w:t>
            </w:r>
          </w:p>
        </w:tc>
        <w:tc>
          <w:tcPr>
            <w:tcW w:w="1412" w:type="pct"/>
            <w:vAlign w:val="center"/>
          </w:tcPr>
          <w:p w14:paraId="6A0DEA6B">
            <w:pPr>
              <w:pStyle w:val="55"/>
              <w:bidi w:val="0"/>
            </w:pPr>
            <w:r>
              <w:rPr>
                <w:rFonts w:hint="default"/>
              </w:rPr>
              <w:t>废</w:t>
            </w:r>
            <w:r>
              <w:rPr>
                <w:rFonts w:hint="eastAsia" w:ascii="Times New Roman" w:hAnsi="Times New Roman" w:eastAsia="楷体" w:cs="Times New Roman"/>
                <w:color w:val="000000" w:themeColor="text1"/>
                <w:sz w:val="24"/>
                <w:szCs w:val="24"/>
                <w:highlight w:val="none"/>
                <w:lang w:val="en-US" w:eastAsia="zh-CN"/>
                <w14:textFill>
                  <w14:solidFill>
                    <w14:schemeClr w14:val="tx1"/>
                  </w14:solidFill>
                </w14:textFill>
              </w:rPr>
              <w:t>润滑油</w:t>
            </w:r>
            <w:r>
              <w:rPr>
                <w:rFonts w:hint="eastAsia"/>
                <w:lang w:val="en-US" w:eastAsia="zh-CN"/>
              </w:rPr>
              <w:t>桶</w:t>
            </w:r>
          </w:p>
        </w:tc>
        <w:tc>
          <w:tcPr>
            <w:tcW w:w="1491" w:type="pct"/>
            <w:vAlign w:val="center"/>
          </w:tcPr>
          <w:p w14:paraId="5DEFA71B">
            <w:pPr>
              <w:pStyle w:val="55"/>
              <w:bidi w:val="0"/>
            </w:pPr>
            <w:r>
              <w:rPr>
                <w:rFonts w:hint="default"/>
              </w:rPr>
              <w:t>0.</w:t>
            </w:r>
            <w:r>
              <w:rPr>
                <w:rFonts w:hint="eastAsia"/>
                <w:lang w:val="en-US" w:eastAsia="zh-CN"/>
              </w:rPr>
              <w:t>5</w:t>
            </w:r>
            <w:r>
              <w:rPr>
                <w:rFonts w:hint="default"/>
              </w:rPr>
              <w:t>t/a</w:t>
            </w:r>
          </w:p>
        </w:tc>
        <w:tc>
          <w:tcPr>
            <w:tcW w:w="1604" w:type="pct"/>
            <w:vMerge w:val="continue"/>
            <w:vAlign w:val="center"/>
          </w:tcPr>
          <w:p w14:paraId="6A3220A0">
            <w:pPr>
              <w:pStyle w:val="55"/>
              <w:bidi w:val="0"/>
            </w:pPr>
          </w:p>
        </w:tc>
      </w:tr>
    </w:tbl>
    <w:p w14:paraId="201E17F1">
      <w:pPr>
        <w:pStyle w:val="92"/>
        <w:bidi w:val="0"/>
        <w:ind w:left="0" w:leftChars="0" w:firstLine="0" w:firstLineChars="0"/>
      </w:pPr>
      <w:r>
        <w:rPr>
          <w:rFonts w:hint="eastAsia"/>
        </w:rPr>
        <w:t>环境风险潜势初判</w:t>
      </w:r>
    </w:p>
    <w:p w14:paraId="2DCB2EEE">
      <w:pPr>
        <w:pStyle w:val="47"/>
        <w:bidi w:val="0"/>
      </w:pPr>
      <w:r>
        <w:rPr>
          <w:rFonts w:hint="eastAsia"/>
          <w:lang w:eastAsia="zh-CN"/>
        </w:rPr>
        <w:t>（</w:t>
      </w:r>
      <w:r>
        <w:rPr>
          <w:rFonts w:hint="eastAsia"/>
          <w:lang w:val="en-US" w:eastAsia="zh-CN"/>
        </w:rPr>
        <w:t>1</w:t>
      </w:r>
      <w:r>
        <w:rPr>
          <w:rFonts w:hint="eastAsia"/>
          <w:lang w:eastAsia="zh-CN"/>
        </w:rPr>
        <w:t>）</w:t>
      </w:r>
      <w:r>
        <w:rPr>
          <w:rFonts w:hint="eastAsia"/>
        </w:rPr>
        <w:t>危险物质数量与临界量比值（Q）</w:t>
      </w:r>
    </w:p>
    <w:p w14:paraId="6FA53DBB">
      <w:pPr>
        <w:pStyle w:val="47"/>
        <w:bidi w:val="0"/>
      </w:pPr>
      <w:r>
        <w:t>根据《建设项目环境风险评价技术导则》（HJ169-2018）和《危险化学品重大危险源辨识》（GB18218-2018），危险化学品重大危险源是指“长期地或临时地生产、加工、搬运、使用或储存危险化学品，且危险化学品的数量等于或超过临界量的单元”。计算所涉及的每种危险物质在厂界内的最大存在总量与其在附录B中对应临界量的比值Q。在不同厂区的同一种物质，按其在厂界内的最大存在总量计算。对于长输管线项目，按照两个截断阀室之间管段危险物质最大存在总量计算。单元内存在的危险化学品的数量根据处理危险化学品的多少，区分为以下两种情况：</w:t>
      </w:r>
    </w:p>
    <w:p w14:paraId="5633703E">
      <w:pPr>
        <w:pStyle w:val="47"/>
        <w:bidi w:val="0"/>
      </w:pPr>
      <w:r>
        <w:rPr>
          <w:rFonts w:hint="eastAsia"/>
          <w:lang w:val="en-US" w:eastAsia="zh-CN"/>
        </w:rPr>
        <w:t>a.</w:t>
      </w:r>
      <w:r>
        <w:t>当只涉及一种危险物质时，计算该物质的总量与其临界量比值，即为Q；</w:t>
      </w:r>
    </w:p>
    <w:p w14:paraId="0636127D">
      <w:pPr>
        <w:pStyle w:val="47"/>
        <w:bidi w:val="0"/>
      </w:pPr>
      <w:r>
        <w:rPr>
          <w:rFonts w:hint="eastAsia"/>
          <w:lang w:val="en-US" w:eastAsia="zh-CN"/>
        </w:rPr>
        <w:t>b.</w:t>
      </w:r>
      <w:r>
        <w:t>当存在多种危险物质时，则按下式计算物质总量与其临界量比值（Q）：</w:t>
      </w:r>
    </w:p>
    <w:p w14:paraId="7149FC7B">
      <w:pPr>
        <w:pStyle w:val="47"/>
        <w:bidi w:val="0"/>
      </w:pPr>
      <m:oMathPara>
        <m:oMath>
          <m:r>
            <m:rPr>
              <m:sty m:val="p"/>
            </m:rPr>
            <w:rPr>
              <w:rFonts w:hint="default" w:ascii="Cambria Math" w:hAnsi="Cambria Math"/>
            </w:rPr>
            <m:t>Q=</m:t>
          </m:r>
          <m:f>
            <m:fPr>
              <m:ctrlPr>
                <w:rPr>
                  <w:rFonts w:hint="default" w:ascii="Cambria Math" w:hAnsi="Cambria Math"/>
                </w:rPr>
              </m:ctrlPr>
            </m:fPr>
            <m:num>
              <m:sSub>
                <m:sSubPr>
                  <m:ctrlPr>
                    <w:rPr>
                      <w:rFonts w:hint="default" w:ascii="Cambria Math" w:hAnsi="Cambria Math"/>
                    </w:rPr>
                  </m:ctrlPr>
                </m:sSubPr>
                <m:e>
                  <m:r>
                    <m:rPr>
                      <m:sty m:val="p"/>
                    </m:rPr>
                    <w:rPr>
                      <w:rFonts w:hint="default" w:ascii="Cambria Math" w:hAnsi="Cambria Math"/>
                    </w:rPr>
                    <m:t>q</m:t>
                  </m:r>
                  <m:ctrlPr>
                    <w:rPr>
                      <w:rFonts w:hint="default" w:ascii="Cambria Math" w:hAnsi="Cambria Math"/>
                    </w:rPr>
                  </m:ctrlPr>
                </m:e>
                <m:sub>
                  <m:r>
                    <m:rPr>
                      <m:sty m:val="p"/>
                    </m:rPr>
                    <w:rPr>
                      <w:rFonts w:hint="default" w:ascii="Cambria Math" w:hAnsi="Cambria Math"/>
                    </w:rPr>
                    <m:t>1</m:t>
                  </m:r>
                  <m:ctrlPr>
                    <w:rPr>
                      <w:rFonts w:hint="default" w:ascii="Cambria Math" w:hAnsi="Cambria Math"/>
                    </w:rPr>
                  </m:ctrlPr>
                </m:sub>
              </m:sSub>
              <m:ctrlPr>
                <w:rPr>
                  <w:rFonts w:hint="default" w:ascii="Cambria Math" w:hAnsi="Cambria Math"/>
                </w:rPr>
              </m:ctrlPr>
            </m:num>
            <m:den>
              <m:sSub>
                <m:sSubPr>
                  <m:ctrlPr>
                    <w:rPr>
                      <w:rFonts w:hint="default" w:ascii="Cambria Math" w:hAnsi="Cambria Math"/>
                    </w:rPr>
                  </m:ctrlPr>
                </m:sSubPr>
                <m:e>
                  <m:r>
                    <m:rPr>
                      <m:sty m:val="p"/>
                    </m:rPr>
                    <w:rPr>
                      <w:rFonts w:hint="default" w:ascii="Cambria Math" w:hAnsi="Cambria Math"/>
                    </w:rPr>
                    <m:t>Q</m:t>
                  </m:r>
                  <m:ctrlPr>
                    <w:rPr>
                      <w:rFonts w:hint="default" w:ascii="Cambria Math" w:hAnsi="Cambria Math"/>
                    </w:rPr>
                  </m:ctrlPr>
                </m:e>
                <m:sub>
                  <m:r>
                    <m:rPr>
                      <m:sty m:val="p"/>
                    </m:rPr>
                    <w:rPr>
                      <w:rFonts w:hint="default" w:ascii="Cambria Math" w:hAnsi="Cambria Math"/>
                    </w:rPr>
                    <m:t>1</m:t>
                  </m:r>
                  <m:ctrlPr>
                    <w:rPr>
                      <w:rFonts w:hint="default" w:ascii="Cambria Math" w:hAnsi="Cambria Math"/>
                    </w:rPr>
                  </m:ctrlPr>
                </m:sub>
              </m:sSub>
              <m:ctrlPr>
                <w:rPr>
                  <w:rFonts w:hint="default" w:ascii="Cambria Math" w:hAnsi="Cambria Math"/>
                </w:rPr>
              </m:ctrlPr>
            </m:den>
          </m:f>
          <m:r>
            <m:rPr>
              <m:sty m:val="p"/>
            </m:rPr>
            <w:rPr>
              <w:rFonts w:hint="default" w:ascii="Cambria Math" w:hAnsi="Cambria Math"/>
            </w:rPr>
            <m:t>+</m:t>
          </m:r>
          <m:f>
            <m:fPr>
              <m:ctrlPr>
                <w:rPr>
                  <w:rFonts w:hint="default" w:ascii="Cambria Math" w:hAnsi="Cambria Math"/>
                </w:rPr>
              </m:ctrlPr>
            </m:fPr>
            <m:num>
              <m:sSub>
                <m:sSubPr>
                  <m:ctrlPr>
                    <w:rPr>
                      <w:rFonts w:hint="default" w:ascii="Cambria Math" w:hAnsi="Cambria Math"/>
                    </w:rPr>
                  </m:ctrlPr>
                </m:sSubPr>
                <m:e>
                  <m:r>
                    <m:rPr>
                      <m:sty m:val="p"/>
                    </m:rPr>
                    <w:rPr>
                      <w:rFonts w:hint="default" w:ascii="Cambria Math" w:hAnsi="Cambria Math"/>
                    </w:rPr>
                    <m:t>q</m:t>
                  </m:r>
                  <m:ctrlPr>
                    <w:rPr>
                      <w:rFonts w:hint="default" w:ascii="Cambria Math" w:hAnsi="Cambria Math"/>
                    </w:rPr>
                  </m:ctrlPr>
                </m:e>
                <m:sub>
                  <m:r>
                    <m:rPr>
                      <m:sty m:val="p"/>
                    </m:rPr>
                    <w:rPr>
                      <w:rFonts w:hint="default" w:ascii="Cambria Math" w:hAnsi="Cambria Math"/>
                    </w:rPr>
                    <m:t>2</m:t>
                  </m:r>
                  <m:ctrlPr>
                    <w:rPr>
                      <w:rFonts w:hint="default" w:ascii="Cambria Math" w:hAnsi="Cambria Math"/>
                    </w:rPr>
                  </m:ctrlPr>
                </m:sub>
              </m:sSub>
              <m:ctrlPr>
                <w:rPr>
                  <w:rFonts w:hint="default" w:ascii="Cambria Math" w:hAnsi="Cambria Math"/>
                </w:rPr>
              </m:ctrlPr>
            </m:num>
            <m:den>
              <m:sSub>
                <m:sSubPr>
                  <m:ctrlPr>
                    <w:rPr>
                      <w:rFonts w:hint="default" w:ascii="Cambria Math" w:hAnsi="Cambria Math"/>
                    </w:rPr>
                  </m:ctrlPr>
                </m:sSubPr>
                <m:e>
                  <m:r>
                    <m:rPr>
                      <m:sty m:val="p"/>
                    </m:rPr>
                    <w:rPr>
                      <w:rFonts w:hint="default" w:ascii="Cambria Math" w:hAnsi="Cambria Math"/>
                    </w:rPr>
                    <m:t>Q</m:t>
                  </m:r>
                  <m:ctrlPr>
                    <w:rPr>
                      <w:rFonts w:hint="default" w:ascii="Cambria Math" w:hAnsi="Cambria Math"/>
                    </w:rPr>
                  </m:ctrlPr>
                </m:e>
                <m:sub>
                  <m:r>
                    <m:rPr>
                      <m:sty m:val="p"/>
                    </m:rPr>
                    <w:rPr>
                      <w:rFonts w:hint="default" w:ascii="Cambria Math" w:hAnsi="Cambria Math"/>
                    </w:rPr>
                    <m:t>2</m:t>
                  </m:r>
                  <m:ctrlPr>
                    <w:rPr>
                      <w:rFonts w:hint="default" w:ascii="Cambria Math" w:hAnsi="Cambria Math"/>
                    </w:rPr>
                  </m:ctrlPr>
                </m:sub>
              </m:sSub>
              <m:ctrlPr>
                <w:rPr>
                  <w:rFonts w:hint="default" w:ascii="Cambria Math" w:hAnsi="Cambria Math"/>
                </w:rPr>
              </m:ctrlPr>
            </m:den>
          </m:f>
          <m:r>
            <m:rPr>
              <m:sty m:val="p"/>
            </m:rPr>
            <w:rPr>
              <w:rFonts w:hint="default" w:ascii="Cambria Math" w:hAnsi="Cambria Math"/>
            </w:rPr>
            <m:t>+⋯+</m:t>
          </m:r>
          <m:f>
            <m:fPr>
              <m:ctrlPr>
                <w:rPr>
                  <w:rFonts w:hint="default" w:ascii="Cambria Math" w:hAnsi="Cambria Math"/>
                </w:rPr>
              </m:ctrlPr>
            </m:fPr>
            <m:num>
              <m:sSub>
                <m:sSubPr>
                  <m:ctrlPr>
                    <w:rPr>
                      <w:rFonts w:hint="default" w:ascii="Cambria Math" w:hAnsi="Cambria Math"/>
                    </w:rPr>
                  </m:ctrlPr>
                </m:sSubPr>
                <m:e>
                  <m:r>
                    <m:rPr>
                      <m:sty m:val="p"/>
                    </m:rPr>
                    <w:rPr>
                      <w:rFonts w:hint="default" w:ascii="Cambria Math" w:hAnsi="Cambria Math"/>
                    </w:rPr>
                    <m:t>q</m:t>
                  </m:r>
                  <m:ctrlPr>
                    <w:rPr>
                      <w:rFonts w:hint="default" w:ascii="Cambria Math" w:hAnsi="Cambria Math"/>
                    </w:rPr>
                  </m:ctrlPr>
                </m:e>
                <m:sub>
                  <m:r>
                    <m:rPr>
                      <m:sty m:val="p"/>
                    </m:rPr>
                    <w:rPr>
                      <w:rFonts w:hint="default" w:ascii="Cambria Math" w:hAnsi="Cambria Math"/>
                    </w:rPr>
                    <m:t>n</m:t>
                  </m:r>
                  <m:ctrlPr>
                    <w:rPr>
                      <w:rFonts w:hint="default" w:ascii="Cambria Math" w:hAnsi="Cambria Math"/>
                    </w:rPr>
                  </m:ctrlPr>
                </m:sub>
              </m:sSub>
              <m:ctrlPr>
                <w:rPr>
                  <w:rFonts w:hint="default" w:ascii="Cambria Math" w:hAnsi="Cambria Math"/>
                </w:rPr>
              </m:ctrlPr>
            </m:num>
            <m:den>
              <m:sSub>
                <m:sSubPr>
                  <m:ctrlPr>
                    <w:rPr>
                      <w:rFonts w:hint="default" w:ascii="Cambria Math" w:hAnsi="Cambria Math"/>
                    </w:rPr>
                  </m:ctrlPr>
                </m:sSubPr>
                <m:e>
                  <m:r>
                    <m:rPr>
                      <m:sty m:val="p"/>
                    </m:rPr>
                    <w:rPr>
                      <w:rFonts w:hint="default" w:ascii="Cambria Math" w:hAnsi="Cambria Math"/>
                    </w:rPr>
                    <m:t>Q</m:t>
                  </m:r>
                  <m:ctrlPr>
                    <w:rPr>
                      <w:rFonts w:hint="default" w:ascii="Cambria Math" w:hAnsi="Cambria Math"/>
                    </w:rPr>
                  </m:ctrlPr>
                </m:e>
                <m:sub>
                  <m:r>
                    <m:rPr>
                      <m:sty m:val="p"/>
                    </m:rPr>
                    <w:rPr>
                      <w:rFonts w:hint="default" w:ascii="Cambria Math" w:hAnsi="Cambria Math"/>
                    </w:rPr>
                    <m:t>n</m:t>
                  </m:r>
                  <m:ctrlPr>
                    <w:rPr>
                      <w:rFonts w:hint="default" w:ascii="Cambria Math" w:hAnsi="Cambria Math"/>
                    </w:rPr>
                  </m:ctrlPr>
                </m:sub>
              </m:sSub>
              <m:ctrlPr>
                <w:rPr>
                  <w:rFonts w:hint="default" w:ascii="Cambria Math" w:hAnsi="Cambria Math"/>
                </w:rPr>
              </m:ctrlPr>
            </m:den>
          </m:f>
        </m:oMath>
      </m:oMathPara>
    </w:p>
    <w:p w14:paraId="37E2225D">
      <w:pPr>
        <w:pStyle w:val="47"/>
        <w:bidi w:val="0"/>
      </w:pPr>
      <w:r>
        <w:t>式中：q</w:t>
      </w:r>
      <w:r>
        <w:rPr>
          <w:vertAlign w:val="subscript"/>
        </w:rPr>
        <w:t>1</w:t>
      </w:r>
      <w:r>
        <w:t>，q</w:t>
      </w:r>
      <w:r>
        <w:rPr>
          <w:vertAlign w:val="subscript"/>
        </w:rPr>
        <w:t>2</w:t>
      </w:r>
      <w:r>
        <w:t>，...，q</w:t>
      </w:r>
      <w:r>
        <w:rPr>
          <w:vertAlign w:val="subscript"/>
        </w:rPr>
        <w:t>n</w:t>
      </w:r>
      <w:r>
        <w:t>——每种危险物质的最大总存在量，t；</w:t>
      </w:r>
    </w:p>
    <w:p w14:paraId="07A01876">
      <w:pPr>
        <w:pStyle w:val="47"/>
        <w:bidi w:val="0"/>
      </w:pPr>
      <w:r>
        <w:t xml:space="preserve">      Q</w:t>
      </w:r>
      <w:r>
        <w:rPr>
          <w:vertAlign w:val="subscript"/>
        </w:rPr>
        <w:t>1</w:t>
      </w:r>
      <w:r>
        <w:t>，Q</w:t>
      </w:r>
      <w:r>
        <w:rPr>
          <w:vertAlign w:val="subscript"/>
        </w:rPr>
        <w:t>2</w:t>
      </w:r>
      <w:r>
        <w:t>，...，Q</w:t>
      </w:r>
      <w:r>
        <w:rPr>
          <w:vertAlign w:val="subscript"/>
        </w:rPr>
        <w:t>n</w:t>
      </w:r>
      <w:r>
        <w:t>——每种危险物质的临界量，t；</w:t>
      </w:r>
    </w:p>
    <w:p w14:paraId="5EDEFC52">
      <w:pPr>
        <w:pStyle w:val="47"/>
        <w:bidi w:val="0"/>
      </w:pPr>
      <w:r>
        <w:t xml:space="preserve">     当Q＜1时，该项目环境风险潜势为</w:t>
      </w:r>
      <w:r>
        <w:rPr>
          <w:rFonts w:hint="eastAsia"/>
        </w:rPr>
        <w:t>Ⅰ</w:t>
      </w:r>
      <w:r>
        <w:t>；</w:t>
      </w:r>
    </w:p>
    <w:p w14:paraId="52C1F509">
      <w:pPr>
        <w:pStyle w:val="47"/>
        <w:bidi w:val="0"/>
      </w:pPr>
      <w:r>
        <w:t xml:space="preserve">     当Q≥1时，将Q 值划分为：（1）1≤Q＜10；（2）10≤Q＜100；（3）Q≥100。</w:t>
      </w:r>
    </w:p>
    <w:p w14:paraId="1F24E7E7">
      <w:pPr>
        <w:pStyle w:val="47"/>
        <w:bidi w:val="0"/>
        <w:rPr>
          <w:rFonts w:hint="eastAsia"/>
          <w:lang w:val="en-US" w:eastAsia="zh-CN"/>
        </w:rPr>
      </w:pPr>
      <w:r>
        <w:rPr>
          <w:rFonts w:hint="eastAsia"/>
          <w:lang w:val="en-US"/>
        </w:rPr>
        <w:t>项目涉及的危险物质存在量与临界量比值见</w:t>
      </w:r>
      <w:r>
        <w:rPr>
          <w:rFonts w:hint="eastAsia"/>
          <w:lang w:val="en-US" w:eastAsia="zh-CN"/>
        </w:rPr>
        <w:t>下</w:t>
      </w:r>
      <w:r>
        <w:rPr>
          <w:rFonts w:hint="eastAsia"/>
          <w:lang w:val="en-US"/>
        </w:rPr>
        <w:t>表</w:t>
      </w:r>
      <w:r>
        <w:rPr>
          <w:rFonts w:hint="eastAsia"/>
          <w:lang w:val="en-US" w:eastAsia="zh-CN"/>
        </w:rPr>
        <w:t>。</w:t>
      </w:r>
    </w:p>
    <w:p w14:paraId="3010244E">
      <w:pPr>
        <w:pStyle w:val="94"/>
        <w:bidi w:val="0"/>
        <w:ind w:left="0" w:leftChars="0" w:firstLine="0" w:firstLineChars="0"/>
        <w:rPr>
          <w:rFonts w:hint="default"/>
        </w:rPr>
      </w:pPr>
      <w:r>
        <w:rPr>
          <w:rFonts w:hint="default"/>
        </w:rPr>
        <w:t>本项目危险物质存在量与临界量比值一览表</w:t>
      </w:r>
    </w:p>
    <w:tbl>
      <w:tblPr>
        <w:tblStyle w:val="32"/>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871"/>
        <w:gridCol w:w="1918"/>
        <w:gridCol w:w="1727"/>
        <w:gridCol w:w="1716"/>
        <w:gridCol w:w="1859"/>
      </w:tblGrid>
      <w:tr w14:paraId="57BC0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029" w:type="pct"/>
            <w:tcBorders>
              <w:tl2br w:val="nil"/>
              <w:tr2bl w:val="nil"/>
            </w:tcBorders>
            <w:noWrap w:val="0"/>
            <w:vAlign w:val="center"/>
          </w:tcPr>
          <w:p w14:paraId="500BFBCF">
            <w:pPr>
              <w:pStyle w:val="55"/>
              <w:bidi w:val="0"/>
              <w:rPr>
                <w:rFonts w:hint="default"/>
              </w:rPr>
            </w:pPr>
            <w:r>
              <w:rPr>
                <w:rFonts w:hint="default"/>
              </w:rPr>
              <w:t>物质名称</w:t>
            </w:r>
          </w:p>
        </w:tc>
        <w:tc>
          <w:tcPr>
            <w:tcW w:w="1055" w:type="pct"/>
            <w:tcBorders>
              <w:tl2br w:val="nil"/>
              <w:tr2bl w:val="nil"/>
            </w:tcBorders>
            <w:noWrap w:val="0"/>
            <w:vAlign w:val="center"/>
          </w:tcPr>
          <w:p w14:paraId="14E8F7F5">
            <w:pPr>
              <w:pStyle w:val="55"/>
              <w:bidi w:val="0"/>
              <w:rPr>
                <w:rFonts w:hint="default"/>
              </w:rPr>
            </w:pPr>
            <w:r>
              <w:rPr>
                <w:rFonts w:hint="default"/>
              </w:rPr>
              <w:t xml:space="preserve">临界量（Qi） </w:t>
            </w:r>
          </w:p>
        </w:tc>
        <w:tc>
          <w:tcPr>
            <w:tcW w:w="950" w:type="pct"/>
            <w:tcBorders>
              <w:tl2br w:val="nil"/>
              <w:tr2bl w:val="nil"/>
            </w:tcBorders>
            <w:noWrap w:val="0"/>
            <w:vAlign w:val="center"/>
          </w:tcPr>
          <w:p w14:paraId="03DBDA27">
            <w:pPr>
              <w:pStyle w:val="55"/>
              <w:bidi w:val="0"/>
              <w:rPr>
                <w:rFonts w:hint="default"/>
              </w:rPr>
            </w:pPr>
            <w:r>
              <w:rPr>
                <w:rFonts w:hint="default"/>
              </w:rPr>
              <w:t>存在量（qi）</w:t>
            </w:r>
          </w:p>
        </w:tc>
        <w:tc>
          <w:tcPr>
            <w:tcW w:w="944" w:type="pct"/>
            <w:tcBorders>
              <w:tl2br w:val="nil"/>
              <w:tr2bl w:val="nil"/>
            </w:tcBorders>
            <w:noWrap w:val="0"/>
            <w:vAlign w:val="center"/>
          </w:tcPr>
          <w:p w14:paraId="66905243">
            <w:pPr>
              <w:pStyle w:val="55"/>
              <w:bidi w:val="0"/>
              <w:rPr>
                <w:rFonts w:hint="default"/>
              </w:rPr>
            </w:pPr>
            <w:r>
              <w:rPr>
                <w:rFonts w:hint="default"/>
              </w:rPr>
              <w:t>qi/Qi</w:t>
            </w:r>
          </w:p>
        </w:tc>
        <w:tc>
          <w:tcPr>
            <w:tcW w:w="1020" w:type="pct"/>
            <w:tcBorders>
              <w:tl2br w:val="nil"/>
              <w:tr2bl w:val="nil"/>
            </w:tcBorders>
            <w:noWrap w:val="0"/>
            <w:vAlign w:val="center"/>
          </w:tcPr>
          <w:p w14:paraId="49D15154">
            <w:pPr>
              <w:pStyle w:val="55"/>
              <w:bidi w:val="0"/>
              <w:rPr>
                <w:rFonts w:hint="default"/>
              </w:rPr>
            </w:pPr>
            <w:r>
              <w:rPr>
                <w:rFonts w:hint="default"/>
              </w:rPr>
              <w:t>是否构成重</w:t>
            </w:r>
          </w:p>
          <w:p w14:paraId="5E3D5583">
            <w:pPr>
              <w:pStyle w:val="55"/>
              <w:bidi w:val="0"/>
              <w:rPr>
                <w:rFonts w:hint="default"/>
              </w:rPr>
            </w:pPr>
            <w:r>
              <w:rPr>
                <w:rFonts w:hint="default"/>
              </w:rPr>
              <w:t>大危险源</w:t>
            </w:r>
          </w:p>
        </w:tc>
      </w:tr>
      <w:tr w14:paraId="74EF2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029" w:type="pct"/>
            <w:tcBorders>
              <w:tl2br w:val="nil"/>
              <w:tr2bl w:val="nil"/>
            </w:tcBorders>
            <w:noWrap w:val="0"/>
            <w:vAlign w:val="center"/>
          </w:tcPr>
          <w:p w14:paraId="165716AE">
            <w:pPr>
              <w:pStyle w:val="55"/>
              <w:bidi w:val="0"/>
              <w:rPr>
                <w:rFonts w:hint="eastAsia" w:eastAsia="楷体"/>
                <w:lang w:val="en-US" w:eastAsia="zh-CN"/>
              </w:rPr>
            </w:pPr>
            <w:r>
              <w:rPr>
                <w:rFonts w:hint="default"/>
              </w:rPr>
              <w:t>废活性炭</w:t>
            </w:r>
            <w:r>
              <w:rPr>
                <w:rFonts w:hint="eastAsia"/>
                <w:lang w:val="en-US" w:eastAsia="zh-CN"/>
              </w:rPr>
              <w:t>*</w:t>
            </w:r>
          </w:p>
        </w:tc>
        <w:tc>
          <w:tcPr>
            <w:tcW w:w="1055" w:type="pct"/>
            <w:tcBorders>
              <w:tl2br w:val="nil"/>
              <w:tr2bl w:val="nil"/>
            </w:tcBorders>
            <w:noWrap w:val="0"/>
            <w:vAlign w:val="center"/>
          </w:tcPr>
          <w:p w14:paraId="0AAB0FFC">
            <w:pPr>
              <w:pStyle w:val="55"/>
              <w:bidi w:val="0"/>
              <w:rPr>
                <w:rFonts w:hint="default" w:eastAsia="楷体"/>
                <w:lang w:val="en-US" w:eastAsia="zh-CN"/>
              </w:rPr>
            </w:pPr>
            <w:r>
              <w:rPr>
                <w:rFonts w:hint="eastAsia"/>
                <w:lang w:val="en-US" w:eastAsia="zh-CN"/>
              </w:rPr>
              <w:t>50</w:t>
            </w:r>
          </w:p>
        </w:tc>
        <w:tc>
          <w:tcPr>
            <w:tcW w:w="950" w:type="pct"/>
            <w:tcBorders>
              <w:tl2br w:val="nil"/>
              <w:tr2bl w:val="nil"/>
            </w:tcBorders>
            <w:noWrap w:val="0"/>
            <w:vAlign w:val="center"/>
          </w:tcPr>
          <w:p w14:paraId="315FBF70">
            <w:pPr>
              <w:pStyle w:val="55"/>
              <w:bidi w:val="0"/>
              <w:rPr>
                <w:rFonts w:hint="default"/>
              </w:rPr>
            </w:pPr>
            <w:r>
              <w:rPr>
                <w:rFonts w:hint="eastAsia"/>
                <w:lang w:val="en-US" w:eastAsia="zh-CN"/>
              </w:rPr>
              <w:t>8</w:t>
            </w:r>
            <w:r>
              <w:rPr>
                <w:rFonts w:hint="default"/>
              </w:rPr>
              <w:t>t/</w:t>
            </w:r>
            <w:r>
              <w:rPr>
                <w:rFonts w:hint="eastAsia"/>
              </w:rPr>
              <w:t>a</w:t>
            </w:r>
          </w:p>
        </w:tc>
        <w:tc>
          <w:tcPr>
            <w:tcW w:w="944" w:type="pct"/>
            <w:tcBorders>
              <w:tl2br w:val="nil"/>
              <w:tr2bl w:val="nil"/>
            </w:tcBorders>
            <w:noWrap w:val="0"/>
            <w:vAlign w:val="center"/>
          </w:tcPr>
          <w:p w14:paraId="36301C8F">
            <w:pPr>
              <w:pStyle w:val="55"/>
              <w:bidi w:val="0"/>
              <w:rPr>
                <w:rFonts w:hint="default" w:eastAsia="楷体"/>
                <w:lang w:val="en-US" w:eastAsia="zh-CN"/>
              </w:rPr>
            </w:pPr>
            <w:r>
              <w:rPr>
                <w:rFonts w:hint="eastAsia"/>
                <w:lang w:val="en-US" w:eastAsia="zh-CN"/>
              </w:rPr>
              <w:t>0.16</w:t>
            </w:r>
          </w:p>
        </w:tc>
        <w:tc>
          <w:tcPr>
            <w:tcW w:w="1020" w:type="pct"/>
            <w:vMerge w:val="restart"/>
            <w:tcBorders>
              <w:tl2br w:val="nil"/>
              <w:tr2bl w:val="nil"/>
            </w:tcBorders>
            <w:noWrap w:val="0"/>
            <w:vAlign w:val="center"/>
          </w:tcPr>
          <w:p w14:paraId="5EB7B8CA">
            <w:pPr>
              <w:pStyle w:val="55"/>
              <w:bidi w:val="0"/>
              <w:rPr>
                <w:rFonts w:hint="default"/>
              </w:rPr>
            </w:pPr>
            <w:r>
              <w:rPr>
                <w:rFonts w:hint="default"/>
              </w:rPr>
              <w:t>否</w:t>
            </w:r>
          </w:p>
        </w:tc>
      </w:tr>
      <w:tr w14:paraId="68D02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029" w:type="pct"/>
            <w:tcBorders>
              <w:tl2br w:val="nil"/>
              <w:tr2bl w:val="nil"/>
            </w:tcBorders>
            <w:noWrap w:val="0"/>
            <w:vAlign w:val="center"/>
          </w:tcPr>
          <w:p w14:paraId="25B93C35">
            <w:pPr>
              <w:pStyle w:val="55"/>
              <w:bidi w:val="0"/>
              <w:rPr>
                <w:rFonts w:hint="default"/>
              </w:rPr>
            </w:pPr>
            <w:r>
              <w:rPr>
                <w:rFonts w:hint="eastAsia"/>
                <w:lang w:val="en-US" w:eastAsia="zh-CN"/>
              </w:rPr>
              <w:t>废过滤棉*</w:t>
            </w:r>
          </w:p>
        </w:tc>
        <w:tc>
          <w:tcPr>
            <w:tcW w:w="1055" w:type="pct"/>
            <w:tcBorders>
              <w:tl2br w:val="nil"/>
              <w:tr2bl w:val="nil"/>
            </w:tcBorders>
            <w:noWrap w:val="0"/>
            <w:vAlign w:val="center"/>
          </w:tcPr>
          <w:p w14:paraId="212D48CC">
            <w:pPr>
              <w:pStyle w:val="55"/>
              <w:bidi w:val="0"/>
              <w:rPr>
                <w:rFonts w:hint="default" w:eastAsia="楷体"/>
                <w:lang w:val="en-US" w:eastAsia="zh-CN"/>
              </w:rPr>
            </w:pPr>
            <w:r>
              <w:rPr>
                <w:rFonts w:hint="eastAsia"/>
                <w:lang w:val="en-US" w:eastAsia="zh-CN"/>
              </w:rPr>
              <w:t>50</w:t>
            </w:r>
          </w:p>
        </w:tc>
        <w:tc>
          <w:tcPr>
            <w:tcW w:w="950" w:type="pct"/>
            <w:tcBorders>
              <w:tl2br w:val="nil"/>
              <w:tr2bl w:val="nil"/>
            </w:tcBorders>
            <w:noWrap w:val="0"/>
            <w:vAlign w:val="center"/>
          </w:tcPr>
          <w:p w14:paraId="5639CCE4">
            <w:pPr>
              <w:pStyle w:val="55"/>
              <w:bidi w:val="0"/>
              <w:rPr>
                <w:rFonts w:hint="default"/>
                <w:lang w:val="en-US" w:eastAsia="zh-CN"/>
              </w:rPr>
            </w:pPr>
            <w:r>
              <w:rPr>
                <w:rFonts w:hint="eastAsia"/>
                <w:lang w:val="en-US" w:eastAsia="zh-CN"/>
              </w:rPr>
              <w:t>2t/a</w:t>
            </w:r>
          </w:p>
        </w:tc>
        <w:tc>
          <w:tcPr>
            <w:tcW w:w="944" w:type="pct"/>
            <w:tcBorders>
              <w:tl2br w:val="nil"/>
              <w:tr2bl w:val="nil"/>
            </w:tcBorders>
            <w:noWrap w:val="0"/>
            <w:vAlign w:val="center"/>
          </w:tcPr>
          <w:p w14:paraId="7C8A720D">
            <w:pPr>
              <w:pStyle w:val="55"/>
              <w:bidi w:val="0"/>
              <w:rPr>
                <w:rFonts w:hint="default" w:eastAsia="楷体"/>
                <w:lang w:val="en-US" w:eastAsia="zh-CN"/>
              </w:rPr>
            </w:pPr>
            <w:r>
              <w:rPr>
                <w:rFonts w:hint="eastAsia"/>
                <w:lang w:val="en-US" w:eastAsia="zh-CN"/>
              </w:rPr>
              <w:t>0.04</w:t>
            </w:r>
          </w:p>
        </w:tc>
        <w:tc>
          <w:tcPr>
            <w:tcW w:w="1020" w:type="pct"/>
            <w:vMerge w:val="continue"/>
            <w:tcBorders>
              <w:tl2br w:val="nil"/>
              <w:tr2bl w:val="nil"/>
            </w:tcBorders>
            <w:noWrap w:val="0"/>
            <w:vAlign w:val="center"/>
          </w:tcPr>
          <w:p w14:paraId="2D2A1297">
            <w:pPr>
              <w:pStyle w:val="55"/>
              <w:bidi w:val="0"/>
              <w:rPr>
                <w:rFonts w:hint="default"/>
              </w:rPr>
            </w:pPr>
          </w:p>
        </w:tc>
      </w:tr>
      <w:tr w14:paraId="7D158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029" w:type="pct"/>
            <w:tcBorders>
              <w:tl2br w:val="nil"/>
              <w:tr2bl w:val="nil"/>
            </w:tcBorders>
            <w:noWrap w:val="0"/>
            <w:vAlign w:val="center"/>
          </w:tcPr>
          <w:p w14:paraId="2482622E">
            <w:pPr>
              <w:pStyle w:val="55"/>
              <w:bidi w:val="0"/>
              <w:rPr>
                <w:rFonts w:hint="default"/>
              </w:rPr>
            </w:pPr>
            <w:r>
              <w:rPr>
                <w:rFonts w:hint="default"/>
              </w:rPr>
              <w:t>废</w:t>
            </w:r>
            <w:r>
              <w:rPr>
                <w:rFonts w:hint="eastAsia"/>
                <w:lang w:val="en-US" w:eastAsia="zh-CN"/>
              </w:rPr>
              <w:t>润滑油</w:t>
            </w:r>
          </w:p>
        </w:tc>
        <w:tc>
          <w:tcPr>
            <w:tcW w:w="1055" w:type="pct"/>
            <w:tcBorders>
              <w:tl2br w:val="nil"/>
              <w:tr2bl w:val="nil"/>
            </w:tcBorders>
            <w:noWrap w:val="0"/>
            <w:vAlign w:val="center"/>
          </w:tcPr>
          <w:p w14:paraId="462F0D8E">
            <w:pPr>
              <w:pStyle w:val="55"/>
              <w:bidi w:val="0"/>
              <w:rPr>
                <w:rFonts w:hint="default"/>
              </w:rPr>
            </w:pPr>
            <w:r>
              <w:rPr>
                <w:rFonts w:hint="default"/>
              </w:rPr>
              <w:t>2500t</w:t>
            </w:r>
          </w:p>
        </w:tc>
        <w:tc>
          <w:tcPr>
            <w:tcW w:w="950" w:type="pct"/>
            <w:tcBorders>
              <w:tl2br w:val="nil"/>
              <w:tr2bl w:val="nil"/>
            </w:tcBorders>
            <w:noWrap w:val="0"/>
            <w:vAlign w:val="center"/>
          </w:tcPr>
          <w:p w14:paraId="7E57DFEB">
            <w:pPr>
              <w:pStyle w:val="55"/>
              <w:bidi w:val="0"/>
              <w:rPr>
                <w:rFonts w:hint="default"/>
                <w:lang w:val="en-US" w:eastAsia="zh-CN"/>
              </w:rPr>
            </w:pPr>
            <w:r>
              <w:rPr>
                <w:rFonts w:hint="default"/>
              </w:rPr>
              <w:t>0.</w:t>
            </w:r>
            <w:r>
              <w:rPr>
                <w:rFonts w:hint="eastAsia"/>
                <w:lang w:val="en-US" w:eastAsia="zh-CN"/>
              </w:rPr>
              <w:t>8</w:t>
            </w:r>
            <w:r>
              <w:rPr>
                <w:rFonts w:hint="default"/>
              </w:rPr>
              <w:t>t/a</w:t>
            </w:r>
          </w:p>
        </w:tc>
        <w:tc>
          <w:tcPr>
            <w:tcW w:w="944" w:type="pct"/>
            <w:tcBorders>
              <w:tl2br w:val="nil"/>
              <w:tr2bl w:val="nil"/>
            </w:tcBorders>
            <w:noWrap w:val="0"/>
            <w:vAlign w:val="center"/>
          </w:tcPr>
          <w:p w14:paraId="0A678A75">
            <w:pPr>
              <w:pStyle w:val="55"/>
              <w:bidi w:val="0"/>
              <w:rPr>
                <w:rFonts w:hint="default"/>
                <w:lang w:val="en-US" w:eastAsia="zh-CN"/>
              </w:rPr>
            </w:pPr>
            <w:r>
              <w:rPr>
                <w:rFonts w:hint="eastAsia"/>
                <w:lang w:val="en-US" w:eastAsia="zh-CN"/>
              </w:rPr>
              <w:t>0.00032</w:t>
            </w:r>
          </w:p>
        </w:tc>
        <w:tc>
          <w:tcPr>
            <w:tcW w:w="1020" w:type="pct"/>
            <w:vMerge w:val="continue"/>
            <w:tcBorders>
              <w:tl2br w:val="nil"/>
              <w:tr2bl w:val="nil"/>
            </w:tcBorders>
            <w:noWrap w:val="0"/>
            <w:vAlign w:val="center"/>
          </w:tcPr>
          <w:p w14:paraId="7555E0AC">
            <w:pPr>
              <w:pStyle w:val="55"/>
              <w:bidi w:val="0"/>
              <w:rPr>
                <w:rFonts w:hint="default"/>
              </w:rPr>
            </w:pPr>
          </w:p>
        </w:tc>
      </w:tr>
      <w:tr w14:paraId="3D6CD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029" w:type="pct"/>
            <w:tcBorders>
              <w:tl2br w:val="nil"/>
              <w:tr2bl w:val="nil"/>
            </w:tcBorders>
            <w:noWrap w:val="0"/>
            <w:vAlign w:val="center"/>
          </w:tcPr>
          <w:p w14:paraId="09B0C70E">
            <w:pPr>
              <w:pStyle w:val="55"/>
              <w:bidi w:val="0"/>
              <w:rPr>
                <w:rFonts w:hint="default"/>
              </w:rPr>
            </w:pPr>
            <w:r>
              <w:rPr>
                <w:rFonts w:hint="default"/>
              </w:rPr>
              <w:t>废</w:t>
            </w:r>
            <w:r>
              <w:rPr>
                <w:rFonts w:hint="eastAsia" w:ascii="Times New Roman" w:hAnsi="Times New Roman" w:eastAsia="楷体" w:cs="Times New Roman"/>
                <w:color w:val="000000" w:themeColor="text1"/>
                <w:sz w:val="24"/>
                <w:szCs w:val="24"/>
                <w:highlight w:val="none"/>
                <w:lang w:val="en-US" w:eastAsia="zh-CN"/>
                <w14:textFill>
                  <w14:solidFill>
                    <w14:schemeClr w14:val="tx1"/>
                  </w14:solidFill>
                </w14:textFill>
              </w:rPr>
              <w:t>润滑油</w:t>
            </w:r>
            <w:r>
              <w:rPr>
                <w:rFonts w:hint="eastAsia"/>
                <w:lang w:val="en-US" w:eastAsia="zh-CN"/>
              </w:rPr>
              <w:t>桶*</w:t>
            </w:r>
          </w:p>
        </w:tc>
        <w:tc>
          <w:tcPr>
            <w:tcW w:w="1055" w:type="pct"/>
            <w:tcBorders>
              <w:tl2br w:val="nil"/>
              <w:tr2bl w:val="nil"/>
            </w:tcBorders>
            <w:noWrap w:val="0"/>
            <w:vAlign w:val="center"/>
          </w:tcPr>
          <w:p w14:paraId="0BE9D2FF">
            <w:pPr>
              <w:pStyle w:val="55"/>
              <w:bidi w:val="0"/>
              <w:rPr>
                <w:rFonts w:hint="default" w:eastAsia="楷体"/>
                <w:lang w:val="en-US" w:eastAsia="zh-CN"/>
              </w:rPr>
            </w:pPr>
            <w:r>
              <w:rPr>
                <w:rFonts w:hint="eastAsia"/>
                <w:lang w:val="en-US" w:eastAsia="zh-CN"/>
              </w:rPr>
              <w:t>50</w:t>
            </w:r>
          </w:p>
        </w:tc>
        <w:tc>
          <w:tcPr>
            <w:tcW w:w="950" w:type="pct"/>
            <w:tcBorders>
              <w:tl2br w:val="nil"/>
              <w:tr2bl w:val="nil"/>
            </w:tcBorders>
            <w:noWrap w:val="0"/>
            <w:vAlign w:val="center"/>
          </w:tcPr>
          <w:p w14:paraId="47AD97C8">
            <w:pPr>
              <w:pStyle w:val="55"/>
              <w:bidi w:val="0"/>
              <w:rPr>
                <w:rFonts w:hint="default"/>
                <w:lang w:val="en-US" w:eastAsia="zh-CN"/>
              </w:rPr>
            </w:pPr>
            <w:r>
              <w:rPr>
                <w:rFonts w:hint="default"/>
              </w:rPr>
              <w:t>0.</w:t>
            </w:r>
            <w:r>
              <w:rPr>
                <w:rFonts w:hint="eastAsia"/>
                <w:lang w:val="en-US" w:eastAsia="zh-CN"/>
              </w:rPr>
              <w:t>5</w:t>
            </w:r>
            <w:r>
              <w:rPr>
                <w:rFonts w:hint="default"/>
              </w:rPr>
              <w:t>t/a</w:t>
            </w:r>
          </w:p>
        </w:tc>
        <w:tc>
          <w:tcPr>
            <w:tcW w:w="944" w:type="pct"/>
            <w:tcBorders>
              <w:tl2br w:val="nil"/>
              <w:tr2bl w:val="nil"/>
            </w:tcBorders>
            <w:noWrap w:val="0"/>
            <w:vAlign w:val="center"/>
          </w:tcPr>
          <w:p w14:paraId="2DCEA18B">
            <w:pPr>
              <w:pStyle w:val="55"/>
              <w:bidi w:val="0"/>
              <w:rPr>
                <w:rFonts w:hint="default" w:eastAsia="楷体"/>
                <w:lang w:val="en-US" w:eastAsia="zh-CN"/>
              </w:rPr>
            </w:pPr>
            <w:r>
              <w:rPr>
                <w:rFonts w:hint="eastAsia"/>
                <w:lang w:val="en-US" w:eastAsia="zh-CN"/>
              </w:rPr>
              <w:t>0.01</w:t>
            </w:r>
          </w:p>
        </w:tc>
        <w:tc>
          <w:tcPr>
            <w:tcW w:w="1020" w:type="pct"/>
            <w:vMerge w:val="continue"/>
            <w:tcBorders>
              <w:tl2br w:val="nil"/>
              <w:tr2bl w:val="nil"/>
            </w:tcBorders>
            <w:noWrap w:val="0"/>
            <w:vAlign w:val="center"/>
          </w:tcPr>
          <w:p w14:paraId="3ED5B8CE">
            <w:pPr>
              <w:pStyle w:val="55"/>
              <w:bidi w:val="0"/>
              <w:rPr>
                <w:rFonts w:hint="default"/>
              </w:rPr>
            </w:pPr>
          </w:p>
        </w:tc>
      </w:tr>
      <w:tr w14:paraId="5D2B8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029" w:type="pct"/>
            <w:tcBorders>
              <w:tl2br w:val="nil"/>
              <w:tr2bl w:val="nil"/>
            </w:tcBorders>
            <w:noWrap w:val="0"/>
            <w:vAlign w:val="center"/>
          </w:tcPr>
          <w:p w14:paraId="0EFDD249">
            <w:pPr>
              <w:pStyle w:val="55"/>
              <w:bidi w:val="0"/>
              <w:rPr>
                <w:rFonts w:hint="default"/>
              </w:rPr>
            </w:pPr>
            <w:r>
              <w:rPr>
                <w:rFonts w:hint="default"/>
              </w:rPr>
              <w:t>∑（qi/Qi）</w:t>
            </w:r>
          </w:p>
        </w:tc>
        <w:tc>
          <w:tcPr>
            <w:tcW w:w="1055" w:type="pct"/>
            <w:tcBorders>
              <w:tl2br w:val="nil"/>
              <w:tr2bl w:val="nil"/>
            </w:tcBorders>
            <w:noWrap w:val="0"/>
            <w:vAlign w:val="center"/>
          </w:tcPr>
          <w:p w14:paraId="5889697F">
            <w:pPr>
              <w:pStyle w:val="55"/>
              <w:bidi w:val="0"/>
              <w:rPr>
                <w:rFonts w:hint="default"/>
              </w:rPr>
            </w:pPr>
            <w:r>
              <w:rPr>
                <w:rFonts w:hint="default"/>
              </w:rPr>
              <w:t>/</w:t>
            </w:r>
          </w:p>
        </w:tc>
        <w:tc>
          <w:tcPr>
            <w:tcW w:w="950" w:type="pct"/>
            <w:tcBorders>
              <w:tl2br w:val="nil"/>
              <w:tr2bl w:val="nil"/>
            </w:tcBorders>
            <w:noWrap w:val="0"/>
            <w:vAlign w:val="center"/>
          </w:tcPr>
          <w:p w14:paraId="51EEB35D">
            <w:pPr>
              <w:pStyle w:val="55"/>
              <w:bidi w:val="0"/>
              <w:rPr>
                <w:rFonts w:hint="default"/>
              </w:rPr>
            </w:pPr>
            <w:r>
              <w:rPr>
                <w:rFonts w:hint="default"/>
              </w:rPr>
              <w:t>/</w:t>
            </w:r>
          </w:p>
        </w:tc>
        <w:tc>
          <w:tcPr>
            <w:tcW w:w="944" w:type="pct"/>
            <w:tcBorders>
              <w:tl2br w:val="nil"/>
              <w:tr2bl w:val="nil"/>
            </w:tcBorders>
            <w:noWrap w:val="0"/>
            <w:vAlign w:val="center"/>
          </w:tcPr>
          <w:p w14:paraId="4D7850DE">
            <w:pPr>
              <w:pStyle w:val="55"/>
              <w:bidi w:val="0"/>
              <w:rPr>
                <w:rFonts w:hint="default"/>
                <w:lang w:val="en-US"/>
              </w:rPr>
            </w:pPr>
            <w:r>
              <w:rPr>
                <w:rFonts w:hint="eastAsia"/>
                <w:lang w:val="en-US" w:eastAsia="zh-CN"/>
              </w:rPr>
              <w:t>0.21032</w:t>
            </w:r>
          </w:p>
        </w:tc>
        <w:tc>
          <w:tcPr>
            <w:tcW w:w="0" w:type="auto"/>
            <w:vMerge w:val="continue"/>
            <w:tcBorders>
              <w:tl2br w:val="nil"/>
              <w:tr2bl w:val="nil"/>
            </w:tcBorders>
            <w:noWrap w:val="0"/>
            <w:vAlign w:val="center"/>
          </w:tcPr>
          <w:p w14:paraId="6FD8BA89">
            <w:pPr>
              <w:pStyle w:val="55"/>
              <w:bidi w:val="0"/>
              <w:rPr>
                <w:rFonts w:hint="default"/>
              </w:rPr>
            </w:pPr>
          </w:p>
        </w:tc>
      </w:tr>
      <w:tr w14:paraId="2856E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5000" w:type="pct"/>
            <w:gridSpan w:val="5"/>
            <w:tcBorders>
              <w:tl2br w:val="nil"/>
              <w:tr2bl w:val="nil"/>
            </w:tcBorders>
            <w:noWrap w:val="0"/>
            <w:vAlign w:val="center"/>
          </w:tcPr>
          <w:p w14:paraId="594A6BB3">
            <w:pPr>
              <w:pStyle w:val="55"/>
              <w:bidi w:val="0"/>
              <w:jc w:val="both"/>
              <w:rPr>
                <w:rFonts w:hint="default" w:eastAsia="楷体"/>
                <w:lang w:val="en-US" w:eastAsia="zh-CN"/>
              </w:rPr>
            </w:pPr>
            <w:r>
              <w:rPr>
                <w:rFonts w:hint="eastAsia"/>
                <w:lang w:val="en-US" w:eastAsia="zh-CN"/>
              </w:rPr>
              <w:t>*参考</w:t>
            </w:r>
            <w:r>
              <w:rPr>
                <w:rFonts w:hint="eastAsia" w:ascii="楷体" w:hAnsi="楷体" w:eastAsia="楷体" w:cs="楷体"/>
                <w:lang w:val="en-US" w:eastAsia="zh-CN"/>
              </w:rPr>
              <w:t>《</w:t>
            </w:r>
            <w:r>
              <w:rPr>
                <w:rFonts w:hint="eastAsia"/>
                <w:lang w:val="en-US" w:eastAsia="zh-CN"/>
              </w:rPr>
              <w:t>企业突发环境事件风险分级办法</w:t>
            </w:r>
            <w:r>
              <w:rPr>
                <w:rFonts w:hint="eastAsia" w:ascii="楷体" w:hAnsi="楷体" w:eastAsia="楷体" w:cs="楷体"/>
                <w:lang w:val="en-US" w:eastAsia="zh-CN"/>
              </w:rPr>
              <w:t>》</w:t>
            </w:r>
            <w:r>
              <w:rPr>
                <w:rFonts w:hint="eastAsia"/>
                <w:lang w:val="en-US" w:eastAsia="zh-CN"/>
              </w:rPr>
              <w:t>附录A中第八部分其他类物质及污染物-健康危险急性毒性物质（类别2、类别3）。</w:t>
            </w:r>
          </w:p>
        </w:tc>
      </w:tr>
    </w:tbl>
    <w:p w14:paraId="464D758E">
      <w:pPr>
        <w:pStyle w:val="47"/>
        <w:ind w:firstLine="482"/>
        <w:rPr>
          <w:rFonts w:hint="default" w:ascii="Times New Roman" w:hAnsi="Times New Roman" w:eastAsia="楷体" w:cs="Times New Roman"/>
        </w:rPr>
      </w:pPr>
      <w:r>
        <w:rPr>
          <w:rFonts w:hint="default" w:ascii="Times New Roman" w:hAnsi="Times New Roman" w:eastAsia="楷体" w:cs="Times New Roman"/>
        </w:rPr>
        <w:t>经计算项目的Q＜1，本项目风险潜势为Ⅰ。</w:t>
      </w:r>
    </w:p>
    <w:p w14:paraId="0F9C6BEF">
      <w:pPr>
        <w:pStyle w:val="47"/>
        <w:ind w:firstLine="482"/>
        <w:rPr>
          <w:rFonts w:hint="eastAsia"/>
        </w:rPr>
      </w:pPr>
      <w:r>
        <w:rPr>
          <w:rFonts w:hint="eastAsia"/>
          <w:lang w:eastAsia="zh-CN"/>
        </w:rPr>
        <w:t>（</w:t>
      </w:r>
      <w:r>
        <w:rPr>
          <w:rFonts w:hint="eastAsia"/>
          <w:lang w:val="en-US" w:eastAsia="zh-CN"/>
        </w:rPr>
        <w:t>2</w:t>
      </w:r>
      <w:r>
        <w:rPr>
          <w:rFonts w:hint="eastAsia"/>
          <w:lang w:eastAsia="zh-CN"/>
        </w:rPr>
        <w:t>）环境风险评价等级</w:t>
      </w:r>
    </w:p>
    <w:p w14:paraId="0634FD71">
      <w:pPr>
        <w:pStyle w:val="47"/>
        <w:ind w:firstLine="482"/>
        <w:rPr>
          <w:rFonts w:hint="eastAsia"/>
        </w:rPr>
      </w:pPr>
      <w:r>
        <w:rPr>
          <w:rFonts w:hint="eastAsia"/>
        </w:rPr>
        <w:t>根据《建设项目环境风险评价技术导则》（HJ169-2018），项目环境风险评价工作等级为简单分析，评价深度以定性说明为主，划分依据见</w:t>
      </w:r>
      <w:r>
        <w:rPr>
          <w:rFonts w:hint="eastAsia"/>
          <w:lang w:val="en-US" w:eastAsia="zh-CN"/>
        </w:rPr>
        <w:t>下</w:t>
      </w:r>
      <w:r>
        <w:rPr>
          <w:rFonts w:hint="eastAsia"/>
        </w:rPr>
        <w:t>表。</w:t>
      </w:r>
    </w:p>
    <w:p w14:paraId="445F2E9F">
      <w:pPr>
        <w:pStyle w:val="94"/>
        <w:bidi w:val="0"/>
        <w:ind w:left="0" w:leftChars="0" w:firstLine="0" w:firstLineChars="0"/>
        <w:rPr>
          <w:rFonts w:hint="default"/>
        </w:rPr>
      </w:pPr>
      <w:r>
        <w:rPr>
          <w:rFonts w:hint="default"/>
        </w:rPr>
        <w:t>环境风险评价工作级别确定</w:t>
      </w:r>
    </w:p>
    <w:tbl>
      <w:tblPr>
        <w:tblStyle w:val="3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464"/>
        <w:gridCol w:w="1705"/>
        <w:gridCol w:w="1765"/>
        <w:gridCol w:w="2433"/>
        <w:gridCol w:w="1713"/>
      </w:tblGrid>
      <w:tr w14:paraId="0612C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6" w:hRule="atLeast"/>
          <w:jc w:val="center"/>
        </w:trPr>
        <w:tc>
          <w:tcPr>
            <w:tcW w:w="806" w:type="pct"/>
            <w:noWrap w:val="0"/>
            <w:vAlign w:val="center"/>
          </w:tcPr>
          <w:p w14:paraId="7438B6E8">
            <w:pPr>
              <w:pStyle w:val="55"/>
              <w:bidi w:val="0"/>
              <w:rPr>
                <w:rFonts w:hint="default"/>
              </w:rPr>
            </w:pPr>
            <w:r>
              <w:rPr>
                <w:rFonts w:hint="default"/>
              </w:rPr>
              <w:t>环境风险潜势</w:t>
            </w:r>
          </w:p>
        </w:tc>
        <w:tc>
          <w:tcPr>
            <w:tcW w:w="939" w:type="pct"/>
            <w:noWrap w:val="0"/>
            <w:vAlign w:val="center"/>
          </w:tcPr>
          <w:p w14:paraId="292DD694">
            <w:pPr>
              <w:pStyle w:val="55"/>
              <w:bidi w:val="0"/>
              <w:rPr>
                <w:rFonts w:hint="default"/>
              </w:rPr>
            </w:pPr>
            <w:r>
              <w:rPr>
                <w:rFonts w:hint="default"/>
              </w:rPr>
              <w:fldChar w:fldCharType="begin"/>
            </w:r>
            <w:r>
              <w:rPr>
                <w:rFonts w:hint="default"/>
              </w:rPr>
              <w:instrText xml:space="preserve"> = 4 \* ROMAN </w:instrText>
            </w:r>
            <w:r>
              <w:rPr>
                <w:rFonts w:hint="default"/>
              </w:rPr>
              <w:fldChar w:fldCharType="separate"/>
            </w:r>
            <w:r>
              <w:rPr>
                <w:rFonts w:hint="default"/>
              </w:rPr>
              <w:t>IV</w:t>
            </w:r>
            <w:r>
              <w:rPr>
                <w:rFonts w:hint="default"/>
              </w:rPr>
              <w:fldChar w:fldCharType="end"/>
            </w:r>
            <w:r>
              <w:rPr>
                <w:rFonts w:hint="default"/>
              </w:rPr>
              <w:t>、</w:t>
            </w:r>
            <w:r>
              <w:rPr>
                <w:rFonts w:hint="default"/>
              </w:rPr>
              <w:fldChar w:fldCharType="begin"/>
            </w:r>
            <w:r>
              <w:rPr>
                <w:rFonts w:hint="default"/>
              </w:rPr>
              <w:instrText xml:space="preserve"> = 4 \* ROMAN </w:instrText>
            </w:r>
            <w:r>
              <w:rPr>
                <w:rFonts w:hint="default"/>
              </w:rPr>
              <w:fldChar w:fldCharType="separate"/>
            </w:r>
            <w:r>
              <w:rPr>
                <w:rFonts w:hint="default"/>
              </w:rPr>
              <w:t>IV</w:t>
            </w:r>
            <w:r>
              <w:rPr>
                <w:rFonts w:hint="default"/>
              </w:rPr>
              <w:fldChar w:fldCharType="end"/>
            </w:r>
            <w:r>
              <w:rPr>
                <w:rFonts w:hint="default"/>
              </w:rPr>
              <w:t>+</w:t>
            </w:r>
          </w:p>
        </w:tc>
        <w:tc>
          <w:tcPr>
            <w:tcW w:w="972" w:type="pct"/>
            <w:noWrap w:val="0"/>
            <w:vAlign w:val="center"/>
          </w:tcPr>
          <w:p w14:paraId="1AE59808">
            <w:pPr>
              <w:pStyle w:val="55"/>
              <w:bidi w:val="0"/>
              <w:rPr>
                <w:rFonts w:hint="default"/>
              </w:rPr>
            </w:pPr>
            <w:r>
              <w:rPr>
                <w:rFonts w:hint="default"/>
              </w:rPr>
              <w:fldChar w:fldCharType="begin"/>
            </w:r>
            <w:r>
              <w:rPr>
                <w:rFonts w:hint="default"/>
              </w:rPr>
              <w:instrText xml:space="preserve"> = 3 \* ROMAN </w:instrText>
            </w:r>
            <w:r>
              <w:rPr>
                <w:rFonts w:hint="default"/>
              </w:rPr>
              <w:fldChar w:fldCharType="separate"/>
            </w:r>
            <w:r>
              <w:rPr>
                <w:rFonts w:hint="default"/>
                <w:lang w:eastAsia="zh-CN"/>
              </w:rPr>
              <w:t>Ⅲ</w:t>
            </w:r>
            <w:r>
              <w:rPr>
                <w:rFonts w:hint="default"/>
              </w:rPr>
              <w:fldChar w:fldCharType="end"/>
            </w:r>
          </w:p>
        </w:tc>
        <w:tc>
          <w:tcPr>
            <w:tcW w:w="1340" w:type="pct"/>
            <w:noWrap w:val="0"/>
            <w:vAlign w:val="center"/>
          </w:tcPr>
          <w:p w14:paraId="1C0C3067">
            <w:pPr>
              <w:pStyle w:val="55"/>
              <w:bidi w:val="0"/>
              <w:rPr>
                <w:rFonts w:hint="default"/>
              </w:rPr>
            </w:pPr>
            <w:r>
              <w:rPr>
                <w:rFonts w:hint="default"/>
              </w:rPr>
              <w:fldChar w:fldCharType="begin"/>
            </w:r>
            <w:r>
              <w:rPr>
                <w:rFonts w:hint="default"/>
              </w:rPr>
              <w:instrText xml:space="preserve"> = 2 \* ROMAN </w:instrText>
            </w:r>
            <w:r>
              <w:rPr>
                <w:rFonts w:hint="default"/>
              </w:rPr>
              <w:fldChar w:fldCharType="separate"/>
            </w:r>
            <w:r>
              <w:rPr>
                <w:rFonts w:hint="default"/>
              </w:rPr>
              <w:t>II</w:t>
            </w:r>
            <w:r>
              <w:rPr>
                <w:rFonts w:hint="default"/>
              </w:rPr>
              <w:fldChar w:fldCharType="end"/>
            </w:r>
          </w:p>
        </w:tc>
        <w:tc>
          <w:tcPr>
            <w:tcW w:w="940" w:type="pct"/>
            <w:noWrap w:val="0"/>
            <w:vAlign w:val="center"/>
          </w:tcPr>
          <w:p w14:paraId="1F05D7D0">
            <w:pPr>
              <w:pStyle w:val="55"/>
              <w:bidi w:val="0"/>
              <w:rPr>
                <w:rFonts w:hint="default"/>
              </w:rPr>
            </w:pPr>
            <w:r>
              <w:rPr>
                <w:rFonts w:hint="default"/>
              </w:rPr>
              <w:fldChar w:fldCharType="begin"/>
            </w:r>
            <w:r>
              <w:rPr>
                <w:rFonts w:hint="default"/>
              </w:rPr>
              <w:instrText xml:space="preserve"> = 1 \* ROMAN </w:instrText>
            </w:r>
            <w:r>
              <w:rPr>
                <w:rFonts w:hint="default"/>
              </w:rPr>
              <w:fldChar w:fldCharType="separate"/>
            </w:r>
            <w:r>
              <w:rPr>
                <w:rFonts w:hint="default"/>
              </w:rPr>
              <w:t>I</w:t>
            </w:r>
            <w:r>
              <w:rPr>
                <w:rFonts w:hint="default"/>
              </w:rPr>
              <w:fldChar w:fldCharType="end"/>
            </w:r>
          </w:p>
        </w:tc>
      </w:tr>
      <w:tr w14:paraId="62528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6" w:hRule="atLeast"/>
          <w:jc w:val="center"/>
        </w:trPr>
        <w:tc>
          <w:tcPr>
            <w:tcW w:w="806" w:type="pct"/>
            <w:noWrap w:val="0"/>
            <w:vAlign w:val="center"/>
          </w:tcPr>
          <w:p w14:paraId="01AA0A92">
            <w:pPr>
              <w:pStyle w:val="55"/>
              <w:bidi w:val="0"/>
              <w:rPr>
                <w:rFonts w:hint="default"/>
              </w:rPr>
            </w:pPr>
            <w:r>
              <w:rPr>
                <w:rFonts w:hint="default"/>
              </w:rPr>
              <w:t>评价工作等级</w:t>
            </w:r>
          </w:p>
        </w:tc>
        <w:tc>
          <w:tcPr>
            <w:tcW w:w="939" w:type="pct"/>
            <w:noWrap w:val="0"/>
            <w:vAlign w:val="center"/>
          </w:tcPr>
          <w:p w14:paraId="717E76C9">
            <w:pPr>
              <w:pStyle w:val="55"/>
              <w:bidi w:val="0"/>
              <w:rPr>
                <w:rFonts w:hint="default"/>
              </w:rPr>
            </w:pPr>
            <w:r>
              <w:rPr>
                <w:rFonts w:hint="default"/>
              </w:rPr>
              <w:t>一</w:t>
            </w:r>
          </w:p>
        </w:tc>
        <w:tc>
          <w:tcPr>
            <w:tcW w:w="972" w:type="pct"/>
            <w:noWrap w:val="0"/>
            <w:vAlign w:val="center"/>
          </w:tcPr>
          <w:p w14:paraId="29ACDEFA">
            <w:pPr>
              <w:pStyle w:val="55"/>
              <w:bidi w:val="0"/>
              <w:rPr>
                <w:rFonts w:hint="default"/>
              </w:rPr>
            </w:pPr>
            <w:r>
              <w:rPr>
                <w:rFonts w:hint="default"/>
              </w:rPr>
              <w:t>二</w:t>
            </w:r>
          </w:p>
        </w:tc>
        <w:tc>
          <w:tcPr>
            <w:tcW w:w="1340" w:type="pct"/>
            <w:noWrap w:val="0"/>
            <w:vAlign w:val="center"/>
          </w:tcPr>
          <w:p w14:paraId="29AE6706">
            <w:pPr>
              <w:pStyle w:val="55"/>
              <w:bidi w:val="0"/>
              <w:rPr>
                <w:rFonts w:hint="default"/>
              </w:rPr>
            </w:pPr>
            <w:r>
              <w:rPr>
                <w:rFonts w:hint="default"/>
              </w:rPr>
              <w:t>三</w:t>
            </w:r>
          </w:p>
        </w:tc>
        <w:tc>
          <w:tcPr>
            <w:tcW w:w="940" w:type="pct"/>
            <w:noWrap w:val="0"/>
            <w:vAlign w:val="center"/>
          </w:tcPr>
          <w:p w14:paraId="377459F7">
            <w:pPr>
              <w:pStyle w:val="55"/>
              <w:bidi w:val="0"/>
              <w:rPr>
                <w:rFonts w:hint="default"/>
              </w:rPr>
            </w:pPr>
            <w:r>
              <w:rPr>
                <w:rFonts w:hint="default"/>
              </w:rPr>
              <w:t>简单分析</w:t>
            </w:r>
            <w:r>
              <w:rPr>
                <w:rFonts w:hint="default"/>
                <w:vertAlign w:val="superscript"/>
              </w:rPr>
              <w:t>a</w:t>
            </w:r>
          </w:p>
        </w:tc>
      </w:tr>
      <w:tr w14:paraId="6A8C4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6" w:hRule="atLeast"/>
          <w:jc w:val="center"/>
        </w:trPr>
        <w:tc>
          <w:tcPr>
            <w:tcW w:w="806" w:type="pct"/>
            <w:noWrap w:val="0"/>
            <w:vAlign w:val="center"/>
          </w:tcPr>
          <w:p w14:paraId="5009EAB0">
            <w:pPr>
              <w:pStyle w:val="55"/>
              <w:bidi w:val="0"/>
              <w:rPr>
                <w:rFonts w:hint="default"/>
              </w:rPr>
            </w:pPr>
            <w:r>
              <w:rPr>
                <w:rFonts w:hint="default"/>
              </w:rPr>
              <w:t>本项目</w:t>
            </w:r>
          </w:p>
        </w:tc>
        <w:tc>
          <w:tcPr>
            <w:tcW w:w="4193" w:type="pct"/>
            <w:gridSpan w:val="4"/>
            <w:noWrap w:val="0"/>
            <w:vAlign w:val="center"/>
          </w:tcPr>
          <w:p w14:paraId="7C6629A5">
            <w:pPr>
              <w:pStyle w:val="55"/>
              <w:bidi w:val="0"/>
              <w:rPr>
                <w:rFonts w:hint="default"/>
              </w:rPr>
            </w:pPr>
            <w:r>
              <w:rPr>
                <w:rFonts w:hint="default"/>
              </w:rPr>
              <w:t>项目的环境风险潜势为</w:t>
            </w:r>
            <w:r>
              <w:rPr>
                <w:rFonts w:hint="default"/>
              </w:rPr>
              <w:fldChar w:fldCharType="begin"/>
            </w:r>
            <w:r>
              <w:rPr>
                <w:rFonts w:hint="default"/>
              </w:rPr>
              <w:instrText xml:space="preserve"> = 1 \* ROMAN </w:instrText>
            </w:r>
            <w:r>
              <w:rPr>
                <w:rFonts w:hint="default"/>
              </w:rPr>
              <w:fldChar w:fldCharType="separate"/>
            </w:r>
            <w:r>
              <w:rPr>
                <w:rFonts w:hint="default"/>
              </w:rPr>
              <w:t>I</w:t>
            </w:r>
            <w:r>
              <w:rPr>
                <w:rFonts w:hint="default"/>
              </w:rPr>
              <w:fldChar w:fldCharType="end"/>
            </w:r>
            <w:r>
              <w:rPr>
                <w:rFonts w:hint="default"/>
              </w:rPr>
              <w:t>，评级工作等级为简单分析。</w:t>
            </w:r>
          </w:p>
        </w:tc>
      </w:tr>
      <w:tr w14:paraId="59A4D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6" w:hRule="atLeast"/>
          <w:jc w:val="center"/>
        </w:trPr>
        <w:tc>
          <w:tcPr>
            <w:tcW w:w="5000" w:type="pct"/>
            <w:gridSpan w:val="5"/>
            <w:noWrap w:val="0"/>
            <w:vAlign w:val="center"/>
          </w:tcPr>
          <w:p w14:paraId="78750A5E">
            <w:pPr>
              <w:pStyle w:val="55"/>
              <w:bidi w:val="0"/>
              <w:jc w:val="both"/>
              <w:rPr>
                <w:rFonts w:hint="default"/>
              </w:rPr>
            </w:pPr>
            <w:r>
              <w:rPr>
                <w:rFonts w:hint="default"/>
              </w:rPr>
              <w:t>a是相对于详细评价工作内容而言，在描述危险物质、环境影响途径、环境危害后果、风险防范措施等方面给出定性的说明。见附录A。</w:t>
            </w:r>
          </w:p>
        </w:tc>
      </w:tr>
    </w:tbl>
    <w:p w14:paraId="6E8F6F6B">
      <w:pPr>
        <w:pStyle w:val="92"/>
        <w:bidi w:val="0"/>
        <w:ind w:left="0" w:leftChars="0" w:firstLine="0" w:firstLineChars="0"/>
      </w:pPr>
      <w:r>
        <w:rPr>
          <w:rFonts w:hint="eastAsia"/>
        </w:rPr>
        <w:t>环境</w:t>
      </w:r>
      <w:r>
        <w:t>风险</w:t>
      </w:r>
      <w:r>
        <w:rPr>
          <w:rFonts w:hint="eastAsia"/>
        </w:rPr>
        <w:t>识别</w:t>
      </w:r>
    </w:p>
    <w:p w14:paraId="2F7DFF32">
      <w:pPr>
        <w:pStyle w:val="47"/>
        <w:ind w:firstLine="482"/>
        <w:rPr>
          <w:rFonts w:hint="eastAsia"/>
        </w:rPr>
      </w:pPr>
      <w:r>
        <w:rPr>
          <w:rFonts w:hint="eastAsia"/>
        </w:rPr>
        <w:t>根据《建设项目环境风险评价技术导则》（HJ169-2018）内容，环境风险识别包括三个方面的内容：</w:t>
      </w:r>
    </w:p>
    <w:p w14:paraId="41231B27">
      <w:pPr>
        <w:pStyle w:val="47"/>
        <w:ind w:firstLine="482"/>
        <w:rPr>
          <w:rFonts w:hint="eastAsia"/>
        </w:rPr>
      </w:pPr>
      <w:r>
        <w:rPr>
          <w:rFonts w:hint="eastAsia"/>
        </w:rPr>
        <w:t>①物质危险性识别，包括主要原辅材料、燃料、中间产品、副产品、最终产品、污染物、火灾和爆炸伴生/次生物等。</w:t>
      </w:r>
    </w:p>
    <w:p w14:paraId="37059479">
      <w:pPr>
        <w:pStyle w:val="47"/>
        <w:ind w:firstLine="482"/>
        <w:rPr>
          <w:rFonts w:hint="eastAsia"/>
        </w:rPr>
      </w:pPr>
      <w:r>
        <w:rPr>
          <w:rFonts w:hint="eastAsia"/>
        </w:rPr>
        <w:t>②生产系统危险性识别，包括主要生产装置、储运设施、公用工程和辅助生产设施，以及环境保护设施等。</w:t>
      </w:r>
    </w:p>
    <w:p w14:paraId="1A8DEA9B">
      <w:pPr>
        <w:pStyle w:val="47"/>
        <w:ind w:firstLine="482"/>
        <w:rPr>
          <w:rFonts w:hint="eastAsia"/>
        </w:rPr>
      </w:pPr>
      <w:r>
        <w:rPr>
          <w:rFonts w:hint="eastAsia"/>
        </w:rPr>
        <w:t>③危险物质向环境转移的途径识别，包括分析危险物质特性及可能的环境风险类型，识别危险物质影响环境的途径，分析可能影响的环境敏感目标。项目风险识别包括物质危险性识别和生产系统危险性识别。</w:t>
      </w:r>
    </w:p>
    <w:p w14:paraId="1FCA6F30">
      <w:pPr>
        <w:pStyle w:val="47"/>
        <w:ind w:firstLine="482"/>
        <w:rPr>
          <w:rFonts w:hint="eastAsia"/>
        </w:rPr>
      </w:pPr>
      <w:r>
        <w:rPr>
          <w:rFonts w:hint="eastAsia"/>
          <w:lang w:eastAsia="zh-CN"/>
        </w:rPr>
        <w:t>（</w:t>
      </w:r>
      <w:r>
        <w:rPr>
          <w:rFonts w:hint="eastAsia"/>
          <w:lang w:val="en-US" w:eastAsia="zh-CN"/>
        </w:rPr>
        <w:t>1</w:t>
      </w:r>
      <w:r>
        <w:rPr>
          <w:rFonts w:hint="eastAsia"/>
          <w:lang w:eastAsia="zh-CN"/>
        </w:rPr>
        <w:t>）物质危险识别</w:t>
      </w:r>
    </w:p>
    <w:p w14:paraId="7218D815">
      <w:pPr>
        <w:pStyle w:val="47"/>
        <w:ind w:firstLine="482"/>
        <w:rPr>
          <w:rFonts w:hint="eastAsia"/>
        </w:rPr>
      </w:pPr>
      <w:r>
        <w:rPr>
          <w:rFonts w:hint="eastAsia"/>
        </w:rPr>
        <w:t>项目原辅材料主要为废旧塑料等，产品为</w:t>
      </w:r>
      <w:r>
        <w:rPr>
          <w:rFonts w:hint="eastAsia"/>
          <w:lang w:val="en-US" w:eastAsia="zh-CN"/>
        </w:rPr>
        <w:t>电缆颗粒</w:t>
      </w:r>
      <w:r>
        <w:rPr>
          <w:rFonts w:hint="eastAsia"/>
        </w:rPr>
        <w:t>，为塑料制品，原辅材料主要成分是聚</w:t>
      </w:r>
      <w:r>
        <w:rPr>
          <w:rFonts w:hint="eastAsia"/>
          <w:lang w:val="en-US" w:eastAsia="zh-CN"/>
        </w:rPr>
        <w:t>氯</w:t>
      </w:r>
      <w:r>
        <w:rPr>
          <w:rFonts w:hint="eastAsia"/>
        </w:rPr>
        <w:t>乙烯成分，均为高分子材料，属于可燃固体。根据《建设项目环境风险评价技术导则》（HJ/T169-2018）附录A、《危险化学品重大危险源辨识》（GB18218-2018）和《危险化学品目录（2005版）》的有关规定，项目在生产过程中使用的主要原材料为聚乙烯，未被列入《危险化学品重大危险源辨识》（GB18218-2018）监控目录，属非重大危险源。废润滑油等在储存过程发生泄漏污染地下水及土壤等环境。</w:t>
      </w:r>
    </w:p>
    <w:p w14:paraId="3B82E19D">
      <w:pPr>
        <w:pStyle w:val="47"/>
        <w:ind w:firstLine="482"/>
        <w:rPr>
          <w:rFonts w:hint="eastAsia"/>
        </w:rPr>
      </w:pPr>
      <w:r>
        <w:rPr>
          <w:rFonts w:hint="eastAsia"/>
          <w:lang w:eastAsia="zh-CN"/>
        </w:rPr>
        <w:t>（</w:t>
      </w:r>
      <w:r>
        <w:rPr>
          <w:rFonts w:hint="eastAsia"/>
          <w:lang w:val="en-US" w:eastAsia="zh-CN"/>
        </w:rPr>
        <w:t>2</w:t>
      </w:r>
      <w:r>
        <w:rPr>
          <w:rFonts w:hint="eastAsia"/>
          <w:lang w:eastAsia="zh-CN"/>
        </w:rPr>
        <w:t>）</w:t>
      </w:r>
      <w:r>
        <w:rPr>
          <w:rFonts w:hint="eastAsia"/>
        </w:rPr>
        <w:t>生产系统危险性</w:t>
      </w:r>
    </w:p>
    <w:p w14:paraId="6F2E4E42">
      <w:pPr>
        <w:pStyle w:val="47"/>
        <w:ind w:firstLine="482"/>
        <w:rPr>
          <w:rFonts w:hint="eastAsia" w:eastAsia="楷体"/>
          <w:lang w:val="en-US" w:eastAsia="zh-CN"/>
        </w:rPr>
      </w:pPr>
      <w:r>
        <w:rPr>
          <w:rFonts w:hint="eastAsia"/>
        </w:rPr>
        <w:t>项目原辅材料为废旧PVC塑料</w:t>
      </w:r>
      <w:r>
        <w:rPr>
          <w:rFonts w:hint="eastAsia"/>
          <w:lang w:eastAsia="zh-CN"/>
        </w:rPr>
        <w:t>、</w:t>
      </w:r>
      <w:r>
        <w:rPr>
          <w:rFonts w:hint="eastAsia"/>
        </w:rPr>
        <w:t>PVC颗粒</w:t>
      </w:r>
      <w:r>
        <w:rPr>
          <w:rFonts w:hint="eastAsia"/>
          <w:lang w:eastAsia="zh-CN"/>
        </w:rPr>
        <w:t>、</w:t>
      </w:r>
      <w:r>
        <w:rPr>
          <w:rFonts w:hint="eastAsia"/>
        </w:rPr>
        <w:t>增塑剂</w:t>
      </w:r>
      <w:r>
        <w:rPr>
          <w:rFonts w:hint="eastAsia"/>
          <w:lang w:eastAsia="zh-CN"/>
        </w:rPr>
        <w:t>、</w:t>
      </w:r>
      <w:r>
        <w:rPr>
          <w:rFonts w:hint="eastAsia"/>
        </w:rPr>
        <w:t>石蜡</w:t>
      </w:r>
      <w:r>
        <w:rPr>
          <w:rFonts w:hint="eastAsia"/>
          <w:lang w:eastAsia="zh-CN"/>
        </w:rPr>
        <w:t>、</w:t>
      </w:r>
      <w:r>
        <w:rPr>
          <w:rFonts w:hint="eastAsia"/>
        </w:rPr>
        <w:t>色母</w:t>
      </w:r>
      <w:r>
        <w:rPr>
          <w:rFonts w:hint="eastAsia"/>
          <w:lang w:val="en-US" w:eastAsia="zh-CN"/>
        </w:rPr>
        <w:t>等，</w:t>
      </w:r>
    </w:p>
    <w:p w14:paraId="37FD043C">
      <w:pPr>
        <w:pStyle w:val="47"/>
        <w:ind w:left="0" w:leftChars="0" w:firstLine="0" w:firstLineChars="0"/>
        <w:rPr>
          <w:rFonts w:hint="eastAsia"/>
        </w:rPr>
      </w:pPr>
      <w:r>
        <w:rPr>
          <w:rFonts w:hint="eastAsia"/>
        </w:rPr>
        <w:t>产品为</w:t>
      </w:r>
      <w:r>
        <w:rPr>
          <w:rFonts w:hint="eastAsia"/>
          <w:lang w:val="en-US" w:eastAsia="zh-CN"/>
        </w:rPr>
        <w:t>电缆颗粒</w:t>
      </w:r>
      <w:r>
        <w:rPr>
          <w:rFonts w:hint="eastAsia"/>
        </w:rPr>
        <w:t>，原辅材料主要成分是聚</w:t>
      </w:r>
      <w:r>
        <w:rPr>
          <w:rFonts w:hint="eastAsia"/>
          <w:lang w:val="en-US" w:eastAsia="zh-CN"/>
        </w:rPr>
        <w:t>氯</w:t>
      </w:r>
      <w:r>
        <w:rPr>
          <w:rFonts w:hint="eastAsia"/>
        </w:rPr>
        <w:t>乙烯成分，为高分子材料。本项目储存的原料和产品量较大，均为易燃的固体。如果储存过程中管理不善，遇明火有可能引发火灾。项目收购原料燃烧产生的高温、烟气会对人体及周边环境造成伤害。</w:t>
      </w:r>
    </w:p>
    <w:p w14:paraId="295EB846">
      <w:pPr>
        <w:pStyle w:val="47"/>
        <w:ind w:firstLine="482"/>
        <w:rPr>
          <w:rFonts w:hint="eastAsia" w:eastAsia="楷体"/>
          <w:lang w:eastAsia="zh-CN"/>
        </w:rPr>
      </w:pPr>
      <w:r>
        <w:rPr>
          <w:rFonts w:hint="eastAsia"/>
          <w:lang w:eastAsia="zh-CN"/>
        </w:rPr>
        <w:t>（</w:t>
      </w:r>
      <w:r>
        <w:rPr>
          <w:rFonts w:hint="eastAsia"/>
          <w:lang w:val="en-US" w:eastAsia="zh-CN"/>
        </w:rPr>
        <w:t>3</w:t>
      </w:r>
      <w:r>
        <w:rPr>
          <w:rFonts w:hint="eastAsia"/>
          <w:lang w:eastAsia="zh-CN"/>
        </w:rPr>
        <w:t>）危险物质风险识别</w:t>
      </w:r>
    </w:p>
    <w:p w14:paraId="4388E679">
      <w:pPr>
        <w:pStyle w:val="47"/>
        <w:ind w:firstLine="482"/>
        <w:rPr>
          <w:rFonts w:hint="eastAsia"/>
        </w:rPr>
      </w:pPr>
      <w:r>
        <w:rPr>
          <w:rFonts w:hint="eastAsia"/>
        </w:rPr>
        <w:t>项目涉及危险物质主要为废润滑油，储存于危险废物贮存库，在日常储存过程，若发生泄露等事故会造成污染土壤甚至地下水环境风险。</w:t>
      </w:r>
    </w:p>
    <w:p w14:paraId="3425211A">
      <w:pPr>
        <w:pStyle w:val="92"/>
        <w:bidi w:val="0"/>
        <w:ind w:left="0" w:leftChars="0" w:firstLine="0" w:firstLineChars="0"/>
      </w:pPr>
      <w:r>
        <w:rPr>
          <w:rFonts w:hint="eastAsia"/>
        </w:rPr>
        <w:t>环境</w:t>
      </w:r>
      <w:r>
        <w:t>风险</w:t>
      </w:r>
      <w:r>
        <w:rPr>
          <w:rFonts w:hint="eastAsia"/>
        </w:rPr>
        <w:t>识别</w:t>
      </w:r>
      <w:r>
        <w:rPr>
          <w:rFonts w:hint="eastAsia"/>
          <w:lang w:val="en-US" w:eastAsia="zh-CN"/>
        </w:rPr>
        <w:t>小结</w:t>
      </w:r>
    </w:p>
    <w:p w14:paraId="3BBF0DF2">
      <w:pPr>
        <w:pStyle w:val="47"/>
        <w:bidi w:val="0"/>
      </w:pPr>
      <w:r>
        <w:rPr>
          <w:rFonts w:hint="eastAsia"/>
        </w:rPr>
        <w:t>潜在风险事故类型及因素见</w:t>
      </w:r>
      <w:r>
        <w:rPr>
          <w:rFonts w:hint="eastAsia"/>
          <w:lang w:val="en-US" w:eastAsia="zh-CN"/>
        </w:rPr>
        <w:t>下</w:t>
      </w:r>
      <w:r>
        <w:rPr>
          <w:rFonts w:hint="eastAsia"/>
        </w:rPr>
        <w:t>表</w:t>
      </w:r>
      <w:r>
        <w:t>。</w:t>
      </w:r>
    </w:p>
    <w:p w14:paraId="51A02F4D">
      <w:pPr>
        <w:pStyle w:val="94"/>
        <w:bidi w:val="0"/>
        <w:ind w:left="0" w:leftChars="0" w:firstLine="0" w:firstLineChars="0"/>
        <w:rPr>
          <w:rFonts w:hint="eastAsia"/>
          <w:lang w:val="zh-CN" w:eastAsia="zh-CN"/>
        </w:rPr>
      </w:pPr>
      <w:r>
        <w:rPr>
          <w:rFonts w:hint="eastAsia"/>
          <w:lang w:val="zh-CN" w:eastAsia="zh-CN"/>
        </w:rPr>
        <w:t>潜在风险事故类型及因素</w:t>
      </w:r>
    </w:p>
    <w:tbl>
      <w:tblPr>
        <w:tblStyle w:val="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2"/>
        <w:gridCol w:w="1398"/>
        <w:gridCol w:w="3494"/>
        <w:gridCol w:w="2714"/>
      </w:tblGrid>
      <w:tr w14:paraId="18548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682" w:type="dxa"/>
            <w:tcBorders>
              <w:tl2br w:val="nil"/>
              <w:tr2bl w:val="nil"/>
            </w:tcBorders>
            <w:noWrap w:val="0"/>
            <w:vAlign w:val="center"/>
          </w:tcPr>
          <w:p w14:paraId="0697D990">
            <w:pPr>
              <w:pStyle w:val="55"/>
              <w:bidi w:val="0"/>
              <w:rPr>
                <w:rFonts w:hint="eastAsia"/>
              </w:rPr>
            </w:pPr>
            <w:r>
              <w:rPr>
                <w:rFonts w:hint="eastAsia"/>
              </w:rPr>
              <w:t>设施</w:t>
            </w:r>
          </w:p>
        </w:tc>
        <w:tc>
          <w:tcPr>
            <w:tcW w:w="1398" w:type="dxa"/>
            <w:tcBorders>
              <w:tl2br w:val="nil"/>
              <w:tr2bl w:val="nil"/>
            </w:tcBorders>
            <w:noWrap w:val="0"/>
            <w:vAlign w:val="center"/>
          </w:tcPr>
          <w:p w14:paraId="28031B2D">
            <w:pPr>
              <w:pStyle w:val="55"/>
              <w:bidi w:val="0"/>
              <w:rPr>
                <w:rFonts w:hint="eastAsia"/>
              </w:rPr>
            </w:pPr>
            <w:r>
              <w:rPr>
                <w:rFonts w:hint="eastAsia"/>
              </w:rPr>
              <w:t>事故类型</w:t>
            </w:r>
          </w:p>
        </w:tc>
        <w:tc>
          <w:tcPr>
            <w:tcW w:w="3494" w:type="dxa"/>
            <w:tcBorders>
              <w:tl2br w:val="nil"/>
              <w:tr2bl w:val="nil"/>
            </w:tcBorders>
            <w:noWrap w:val="0"/>
            <w:vAlign w:val="center"/>
          </w:tcPr>
          <w:p w14:paraId="00B3E636">
            <w:pPr>
              <w:pStyle w:val="55"/>
              <w:bidi w:val="0"/>
              <w:rPr>
                <w:rFonts w:hint="eastAsia"/>
              </w:rPr>
            </w:pPr>
            <w:r>
              <w:rPr>
                <w:rFonts w:hint="eastAsia"/>
              </w:rPr>
              <w:t>事故原因</w:t>
            </w:r>
          </w:p>
        </w:tc>
        <w:tc>
          <w:tcPr>
            <w:tcW w:w="2714" w:type="dxa"/>
            <w:tcBorders>
              <w:tl2br w:val="nil"/>
              <w:tr2bl w:val="nil"/>
            </w:tcBorders>
            <w:noWrap w:val="0"/>
            <w:vAlign w:val="center"/>
          </w:tcPr>
          <w:p w14:paraId="24EE9355">
            <w:pPr>
              <w:pStyle w:val="55"/>
              <w:bidi w:val="0"/>
              <w:rPr>
                <w:rFonts w:hint="eastAsia"/>
              </w:rPr>
            </w:pPr>
            <w:r>
              <w:rPr>
                <w:rFonts w:hint="eastAsia"/>
              </w:rPr>
              <w:t>事故后果</w:t>
            </w:r>
          </w:p>
        </w:tc>
      </w:tr>
      <w:tr w14:paraId="52C3E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682" w:type="dxa"/>
            <w:tcBorders>
              <w:tl2br w:val="nil"/>
              <w:tr2bl w:val="nil"/>
            </w:tcBorders>
            <w:noWrap w:val="0"/>
            <w:vAlign w:val="center"/>
          </w:tcPr>
          <w:p w14:paraId="4734FD24">
            <w:pPr>
              <w:pStyle w:val="55"/>
              <w:bidi w:val="0"/>
              <w:rPr>
                <w:rFonts w:hint="eastAsia"/>
                <w:lang w:eastAsia="zh-CN"/>
              </w:rPr>
            </w:pPr>
            <w:r>
              <w:rPr>
                <w:rFonts w:hint="eastAsia"/>
                <w:lang w:eastAsia="zh-CN"/>
              </w:rPr>
              <w:t>存储区</w:t>
            </w:r>
          </w:p>
        </w:tc>
        <w:tc>
          <w:tcPr>
            <w:tcW w:w="1398" w:type="dxa"/>
            <w:vMerge w:val="restart"/>
            <w:tcBorders>
              <w:tl2br w:val="nil"/>
              <w:tr2bl w:val="nil"/>
            </w:tcBorders>
            <w:noWrap w:val="0"/>
            <w:vAlign w:val="center"/>
          </w:tcPr>
          <w:p w14:paraId="5063A5FC">
            <w:pPr>
              <w:pStyle w:val="55"/>
              <w:bidi w:val="0"/>
              <w:rPr>
                <w:rFonts w:hint="eastAsia"/>
                <w:lang w:eastAsia="zh-CN"/>
              </w:rPr>
            </w:pPr>
            <w:r>
              <w:rPr>
                <w:rFonts w:hint="eastAsia"/>
                <w:lang w:eastAsia="zh-CN"/>
              </w:rPr>
              <w:t>火灾</w:t>
            </w:r>
          </w:p>
        </w:tc>
        <w:tc>
          <w:tcPr>
            <w:tcW w:w="3494" w:type="dxa"/>
            <w:vMerge w:val="restart"/>
            <w:tcBorders>
              <w:tl2br w:val="nil"/>
              <w:tr2bl w:val="nil"/>
            </w:tcBorders>
            <w:noWrap w:val="0"/>
            <w:vAlign w:val="center"/>
          </w:tcPr>
          <w:p w14:paraId="18FE9CF2">
            <w:pPr>
              <w:pStyle w:val="55"/>
              <w:bidi w:val="0"/>
              <w:rPr>
                <w:rFonts w:hint="eastAsia"/>
              </w:rPr>
            </w:pPr>
            <w:r>
              <w:rPr>
                <w:rFonts w:hint="eastAsia"/>
              </w:rPr>
              <w:t>在贮</w:t>
            </w:r>
            <w:r>
              <w:rPr>
                <w:rFonts w:hint="eastAsia"/>
                <w:lang w:eastAsia="zh-CN"/>
              </w:rPr>
              <w:t>存</w:t>
            </w:r>
            <w:r>
              <w:rPr>
                <w:rFonts w:hint="eastAsia"/>
              </w:rPr>
              <w:t>和使用过程中操作不当引起火灾事故</w:t>
            </w:r>
          </w:p>
        </w:tc>
        <w:tc>
          <w:tcPr>
            <w:tcW w:w="2714" w:type="dxa"/>
            <w:tcBorders>
              <w:tl2br w:val="nil"/>
              <w:tr2bl w:val="nil"/>
            </w:tcBorders>
            <w:noWrap w:val="0"/>
            <w:vAlign w:val="center"/>
          </w:tcPr>
          <w:p w14:paraId="7E7A336A">
            <w:pPr>
              <w:pStyle w:val="55"/>
              <w:bidi w:val="0"/>
              <w:rPr>
                <w:rFonts w:hint="eastAsia"/>
                <w:lang w:eastAsia="zh-CN"/>
              </w:rPr>
            </w:pPr>
            <w:r>
              <w:rPr>
                <w:rFonts w:hint="eastAsia"/>
                <w:lang w:eastAsia="zh-CN"/>
              </w:rPr>
              <w:t>环境空气、人员健康</w:t>
            </w:r>
          </w:p>
        </w:tc>
      </w:tr>
      <w:tr w14:paraId="3D862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682" w:type="dxa"/>
            <w:tcBorders>
              <w:tl2br w:val="nil"/>
              <w:tr2bl w:val="nil"/>
            </w:tcBorders>
            <w:noWrap w:val="0"/>
            <w:vAlign w:val="center"/>
          </w:tcPr>
          <w:p w14:paraId="11BC1EB9">
            <w:pPr>
              <w:pStyle w:val="55"/>
              <w:bidi w:val="0"/>
              <w:rPr>
                <w:rFonts w:hint="eastAsia"/>
                <w:lang w:eastAsia="zh-CN"/>
              </w:rPr>
            </w:pPr>
            <w:r>
              <w:rPr>
                <w:rFonts w:hint="eastAsia"/>
                <w:lang w:eastAsia="zh-CN"/>
              </w:rPr>
              <w:t>生产单元</w:t>
            </w:r>
          </w:p>
        </w:tc>
        <w:tc>
          <w:tcPr>
            <w:tcW w:w="1398" w:type="dxa"/>
            <w:vMerge w:val="continue"/>
            <w:tcBorders>
              <w:tl2br w:val="nil"/>
              <w:tr2bl w:val="nil"/>
            </w:tcBorders>
            <w:noWrap w:val="0"/>
            <w:vAlign w:val="center"/>
          </w:tcPr>
          <w:p w14:paraId="48462206">
            <w:pPr>
              <w:pStyle w:val="55"/>
              <w:bidi w:val="0"/>
              <w:rPr>
                <w:rFonts w:hint="eastAsia"/>
                <w:lang w:eastAsia="zh-CN"/>
              </w:rPr>
            </w:pPr>
          </w:p>
        </w:tc>
        <w:tc>
          <w:tcPr>
            <w:tcW w:w="3494" w:type="dxa"/>
            <w:vMerge w:val="continue"/>
            <w:tcBorders>
              <w:tl2br w:val="nil"/>
              <w:tr2bl w:val="nil"/>
            </w:tcBorders>
            <w:noWrap w:val="0"/>
            <w:vAlign w:val="center"/>
          </w:tcPr>
          <w:p w14:paraId="545C19E9">
            <w:pPr>
              <w:pStyle w:val="55"/>
              <w:bidi w:val="0"/>
              <w:rPr>
                <w:rFonts w:hint="eastAsia"/>
              </w:rPr>
            </w:pPr>
          </w:p>
        </w:tc>
        <w:tc>
          <w:tcPr>
            <w:tcW w:w="2714" w:type="dxa"/>
            <w:tcBorders>
              <w:tl2br w:val="nil"/>
              <w:tr2bl w:val="nil"/>
            </w:tcBorders>
            <w:noWrap w:val="0"/>
            <w:vAlign w:val="center"/>
          </w:tcPr>
          <w:p w14:paraId="1C0A38AD">
            <w:pPr>
              <w:pStyle w:val="55"/>
              <w:bidi w:val="0"/>
              <w:rPr>
                <w:rFonts w:hint="eastAsia"/>
              </w:rPr>
            </w:pPr>
            <w:r>
              <w:rPr>
                <w:rFonts w:hint="eastAsia"/>
              </w:rPr>
              <w:t>环境空气、人员健康</w:t>
            </w:r>
          </w:p>
        </w:tc>
      </w:tr>
      <w:tr w14:paraId="59B56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682" w:type="dxa"/>
            <w:tcBorders>
              <w:tl2br w:val="nil"/>
              <w:tr2bl w:val="nil"/>
            </w:tcBorders>
            <w:noWrap w:val="0"/>
            <w:vAlign w:val="center"/>
          </w:tcPr>
          <w:p w14:paraId="79BDE982">
            <w:pPr>
              <w:pStyle w:val="55"/>
              <w:bidi w:val="0"/>
              <w:rPr>
                <w:rFonts w:hint="eastAsia"/>
                <w:lang w:eastAsia="zh-CN"/>
              </w:rPr>
            </w:pPr>
            <w:r>
              <w:rPr>
                <w:rFonts w:hint="eastAsia"/>
                <w:lang w:eastAsia="zh-CN"/>
              </w:rPr>
              <w:t>废气</w:t>
            </w:r>
          </w:p>
        </w:tc>
        <w:tc>
          <w:tcPr>
            <w:tcW w:w="1398" w:type="dxa"/>
            <w:tcBorders>
              <w:tl2br w:val="nil"/>
              <w:tr2bl w:val="nil"/>
            </w:tcBorders>
            <w:noWrap w:val="0"/>
            <w:vAlign w:val="center"/>
          </w:tcPr>
          <w:p w14:paraId="1003E907">
            <w:pPr>
              <w:pStyle w:val="55"/>
              <w:bidi w:val="0"/>
              <w:rPr>
                <w:rFonts w:hint="eastAsia"/>
                <w:lang w:eastAsia="zh-CN"/>
              </w:rPr>
            </w:pPr>
            <w:r>
              <w:rPr>
                <w:rFonts w:hint="eastAsia"/>
                <w:lang w:eastAsia="zh-CN"/>
              </w:rPr>
              <w:t>事故排放</w:t>
            </w:r>
          </w:p>
        </w:tc>
        <w:tc>
          <w:tcPr>
            <w:tcW w:w="3494" w:type="dxa"/>
            <w:tcBorders>
              <w:tl2br w:val="nil"/>
              <w:tr2bl w:val="nil"/>
            </w:tcBorders>
            <w:noWrap w:val="0"/>
            <w:vAlign w:val="center"/>
          </w:tcPr>
          <w:p w14:paraId="1885ACC3">
            <w:pPr>
              <w:pStyle w:val="55"/>
              <w:bidi w:val="0"/>
              <w:rPr>
                <w:rFonts w:hint="eastAsia"/>
              </w:rPr>
            </w:pPr>
            <w:r>
              <w:rPr>
                <w:rFonts w:hint="eastAsia"/>
              </w:rPr>
              <w:t>处理设施异常</w:t>
            </w:r>
          </w:p>
        </w:tc>
        <w:tc>
          <w:tcPr>
            <w:tcW w:w="2714" w:type="dxa"/>
            <w:tcBorders>
              <w:tl2br w:val="nil"/>
              <w:tr2bl w:val="nil"/>
            </w:tcBorders>
            <w:noWrap w:val="0"/>
            <w:vAlign w:val="center"/>
          </w:tcPr>
          <w:p w14:paraId="14516C85">
            <w:pPr>
              <w:pStyle w:val="55"/>
              <w:bidi w:val="0"/>
              <w:rPr>
                <w:rFonts w:hint="eastAsia"/>
              </w:rPr>
            </w:pPr>
            <w:r>
              <w:rPr>
                <w:rFonts w:hint="eastAsia"/>
              </w:rPr>
              <w:t>环境空气</w:t>
            </w:r>
            <w:r>
              <w:rPr>
                <w:rFonts w:hint="eastAsia"/>
                <w:lang w:eastAsia="zh-CN"/>
              </w:rPr>
              <w:t>、</w:t>
            </w:r>
            <w:r>
              <w:rPr>
                <w:rFonts w:hint="eastAsia"/>
              </w:rPr>
              <w:t>人员健康</w:t>
            </w:r>
          </w:p>
        </w:tc>
      </w:tr>
      <w:tr w14:paraId="7B37D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682" w:type="dxa"/>
            <w:tcBorders>
              <w:tl2br w:val="nil"/>
              <w:tr2bl w:val="nil"/>
            </w:tcBorders>
            <w:noWrap w:val="0"/>
            <w:vAlign w:val="center"/>
          </w:tcPr>
          <w:p w14:paraId="109AD048">
            <w:pPr>
              <w:pStyle w:val="55"/>
              <w:bidi w:val="0"/>
              <w:rPr>
                <w:rFonts w:hint="default"/>
                <w:lang w:val="en-US" w:eastAsia="zh-CN"/>
              </w:rPr>
            </w:pPr>
            <w:r>
              <w:rPr>
                <w:rFonts w:hint="eastAsia"/>
                <w:lang w:val="en-US" w:eastAsia="zh-CN"/>
              </w:rPr>
              <w:t>危废贮存区</w:t>
            </w:r>
          </w:p>
        </w:tc>
        <w:tc>
          <w:tcPr>
            <w:tcW w:w="1398" w:type="dxa"/>
            <w:tcBorders>
              <w:tl2br w:val="nil"/>
              <w:tr2bl w:val="nil"/>
            </w:tcBorders>
            <w:noWrap w:val="0"/>
            <w:vAlign w:val="center"/>
          </w:tcPr>
          <w:p w14:paraId="1379C50F">
            <w:pPr>
              <w:pStyle w:val="55"/>
              <w:bidi w:val="0"/>
              <w:rPr>
                <w:rFonts w:hint="default"/>
                <w:lang w:val="en-US" w:eastAsia="zh-CN"/>
              </w:rPr>
            </w:pPr>
            <w:r>
              <w:rPr>
                <w:rFonts w:hint="eastAsia"/>
                <w:lang w:val="en-US" w:eastAsia="zh-CN"/>
              </w:rPr>
              <w:t>泄露</w:t>
            </w:r>
          </w:p>
        </w:tc>
        <w:tc>
          <w:tcPr>
            <w:tcW w:w="3494" w:type="dxa"/>
            <w:tcBorders>
              <w:tl2br w:val="nil"/>
              <w:tr2bl w:val="nil"/>
            </w:tcBorders>
            <w:noWrap w:val="0"/>
            <w:vAlign w:val="center"/>
          </w:tcPr>
          <w:p w14:paraId="367564B6">
            <w:pPr>
              <w:pStyle w:val="55"/>
              <w:bidi w:val="0"/>
              <w:rPr>
                <w:rFonts w:hint="eastAsia"/>
              </w:rPr>
            </w:pPr>
            <w:r>
              <w:rPr>
                <w:rFonts w:hint="eastAsia"/>
                <w:lang w:val="en-US" w:eastAsia="zh-CN"/>
              </w:rPr>
              <w:t>贮存不当</w:t>
            </w:r>
            <w:r>
              <w:rPr>
                <w:rFonts w:hint="eastAsia"/>
                <w:lang w:val="en-US"/>
              </w:rPr>
              <w:t>发生泄露等事故</w:t>
            </w:r>
          </w:p>
        </w:tc>
        <w:tc>
          <w:tcPr>
            <w:tcW w:w="2714" w:type="dxa"/>
            <w:tcBorders>
              <w:tl2br w:val="nil"/>
              <w:tr2bl w:val="nil"/>
            </w:tcBorders>
            <w:noWrap w:val="0"/>
            <w:vAlign w:val="center"/>
          </w:tcPr>
          <w:p w14:paraId="24CDDA4B">
            <w:pPr>
              <w:pStyle w:val="55"/>
              <w:bidi w:val="0"/>
              <w:rPr>
                <w:rFonts w:hint="eastAsia"/>
              </w:rPr>
            </w:pPr>
            <w:r>
              <w:rPr>
                <w:rFonts w:hint="eastAsia"/>
                <w:lang w:val="en-US"/>
              </w:rPr>
              <w:t>污染土壤</w:t>
            </w:r>
            <w:r>
              <w:rPr>
                <w:rFonts w:hint="eastAsia"/>
                <w:lang w:val="en-US" w:eastAsia="zh-CN"/>
              </w:rPr>
              <w:t>、</w:t>
            </w:r>
            <w:r>
              <w:rPr>
                <w:rFonts w:hint="eastAsia"/>
                <w:lang w:val="en-US"/>
              </w:rPr>
              <w:t>地下水环境</w:t>
            </w:r>
          </w:p>
        </w:tc>
      </w:tr>
    </w:tbl>
    <w:p w14:paraId="513E651F">
      <w:pPr>
        <w:pStyle w:val="92"/>
        <w:bidi w:val="0"/>
        <w:ind w:left="0" w:leftChars="0" w:firstLine="0" w:firstLineChars="0"/>
      </w:pPr>
      <w:r>
        <w:rPr>
          <w:rFonts w:hint="eastAsia"/>
          <w:lang w:val="en-US" w:eastAsia="zh-CN"/>
        </w:rPr>
        <w:t>环境风险分析</w:t>
      </w:r>
    </w:p>
    <w:p w14:paraId="12C772D8">
      <w:pPr>
        <w:pStyle w:val="47"/>
        <w:rPr>
          <w:rFonts w:hint="eastAsia"/>
        </w:rPr>
      </w:pPr>
      <w:r>
        <w:rPr>
          <w:rFonts w:hint="eastAsia"/>
        </w:rPr>
        <w:t>（1）火灾事故后果分析</w:t>
      </w:r>
    </w:p>
    <w:p w14:paraId="64E0E464">
      <w:pPr>
        <w:pStyle w:val="47"/>
        <w:rPr>
          <w:rFonts w:hint="eastAsia"/>
        </w:rPr>
      </w:pPr>
      <w:r>
        <w:rPr>
          <w:rFonts w:hint="eastAsia"/>
        </w:rPr>
        <w:t>项目生产过程中使用的废旧</w:t>
      </w:r>
      <w:r>
        <w:rPr>
          <w:rFonts w:hint="eastAsia"/>
          <w:lang w:val="en-US" w:eastAsia="zh-CN"/>
        </w:rPr>
        <w:t>PVC塑料等</w:t>
      </w:r>
      <w:r>
        <w:rPr>
          <w:rFonts w:hint="eastAsia"/>
        </w:rPr>
        <w:t>，当遇见明火或高温时易发生火灾事故。火灾会带来生产设施的重大破坏和人员伤亡，火灾时火势逐渐蔓延扩大，随着时间的延续，损失数量迅速增长，损失大约与时间的平方成正比，如火灾时间延长一倍，损失可能增加4倍。同时，在火灾过程中，废旧</w:t>
      </w:r>
      <w:r>
        <w:rPr>
          <w:rFonts w:hint="eastAsia"/>
          <w:lang w:val="en-US" w:eastAsia="zh-CN"/>
        </w:rPr>
        <w:t>PVC塑料、PVC颗粒</w:t>
      </w:r>
      <w:r>
        <w:rPr>
          <w:rFonts w:hint="eastAsia"/>
        </w:rPr>
        <w:t>的燃烧会产生有毒有害的气体，造成次生污染，从而对周围环境空气造成污染以及人员健康造成伤害。</w:t>
      </w:r>
    </w:p>
    <w:p w14:paraId="3C97DD72">
      <w:pPr>
        <w:pStyle w:val="47"/>
        <w:rPr>
          <w:rFonts w:hint="eastAsia"/>
        </w:rPr>
      </w:pPr>
      <w:r>
        <w:rPr>
          <w:rFonts w:hint="eastAsia"/>
        </w:rPr>
        <w:t>（2）泄漏</w:t>
      </w:r>
      <w:r>
        <w:rPr>
          <w:rFonts w:hint="eastAsia"/>
          <w:lang w:eastAsia="zh-CN"/>
        </w:rPr>
        <w:t>事故</w:t>
      </w:r>
      <w:r>
        <w:rPr>
          <w:rFonts w:hint="eastAsia"/>
        </w:rPr>
        <w:t>影响分析</w:t>
      </w:r>
    </w:p>
    <w:p w14:paraId="1B2B99FD">
      <w:pPr>
        <w:pStyle w:val="47"/>
        <w:ind w:firstLine="482"/>
        <w:rPr>
          <w:rFonts w:hint="eastAsia"/>
        </w:rPr>
      </w:pPr>
      <w:r>
        <w:rPr>
          <w:rFonts w:hint="eastAsia"/>
        </w:rPr>
        <w:t>项目运营产生的废润滑油储存于危险废物</w:t>
      </w:r>
      <w:r>
        <w:rPr>
          <w:rFonts w:hint="eastAsia"/>
          <w:lang w:val="en-US" w:eastAsia="zh-CN"/>
        </w:rPr>
        <w:t>暂存间</w:t>
      </w:r>
      <w:r>
        <w:rPr>
          <w:rFonts w:hint="eastAsia"/>
        </w:rPr>
        <w:t>，若发生泄漏将造成区域土壤、地下水环境污染，但环评要求危险废物</w:t>
      </w:r>
      <w:r>
        <w:rPr>
          <w:rFonts w:hint="eastAsia"/>
          <w:lang w:eastAsia="zh-CN"/>
        </w:rPr>
        <w:t>暂存间</w:t>
      </w:r>
      <w:r>
        <w:rPr>
          <w:rFonts w:hint="eastAsia"/>
        </w:rPr>
        <w:t>严格按照《危险废物贮存污染控制标准》（GB18957-2023）中有关规定建设，对危险废物</w:t>
      </w:r>
      <w:r>
        <w:rPr>
          <w:rFonts w:hint="eastAsia"/>
          <w:lang w:eastAsia="zh-CN"/>
        </w:rPr>
        <w:t>暂存间</w:t>
      </w:r>
      <w:r>
        <w:rPr>
          <w:rFonts w:hint="eastAsia"/>
        </w:rPr>
        <w:t>进行重点防渗处置，防渗性能达到渗透系数小于1×10</w:t>
      </w:r>
      <w:r>
        <w:rPr>
          <w:rFonts w:hint="eastAsia"/>
          <w:vertAlign w:val="superscript"/>
        </w:rPr>
        <w:t>-7</w:t>
      </w:r>
      <w:r>
        <w:rPr>
          <w:rFonts w:hint="eastAsia"/>
        </w:rPr>
        <w:t>cm/s，危危险废物</w:t>
      </w:r>
      <w:r>
        <w:rPr>
          <w:rFonts w:hint="eastAsia"/>
          <w:lang w:eastAsia="zh-CN"/>
        </w:rPr>
        <w:t>暂存间</w:t>
      </w:r>
      <w:r>
        <w:rPr>
          <w:rFonts w:hint="eastAsia"/>
        </w:rPr>
        <w:t>在按照环评要求采取防渗措施后，在对废润滑油储存加以严格管理，定期清理，减少厂区危废间储存量后发生泄漏的可能性极小。</w:t>
      </w:r>
    </w:p>
    <w:p w14:paraId="6CD298DA">
      <w:pPr>
        <w:pStyle w:val="47"/>
        <w:ind w:firstLine="482"/>
        <w:rPr>
          <w:rFonts w:hint="eastAsia"/>
        </w:rPr>
      </w:pPr>
      <w:r>
        <w:rPr>
          <w:rFonts w:hint="eastAsia"/>
        </w:rPr>
        <w:t>另外废润滑油属于油类物质，属于可燃物质，如遇明火等容易发生火灾，对项目区造成严重损失，项目在日常运营中加强危险废物</w:t>
      </w:r>
      <w:r>
        <w:rPr>
          <w:rFonts w:hint="eastAsia"/>
          <w:lang w:eastAsia="zh-CN"/>
        </w:rPr>
        <w:t>暂存间</w:t>
      </w:r>
      <w:r>
        <w:rPr>
          <w:rFonts w:hint="eastAsia"/>
        </w:rPr>
        <w:t>管理，规范操作等措施后，发生火灾的可能性极小。</w:t>
      </w:r>
    </w:p>
    <w:p w14:paraId="76D69159">
      <w:pPr>
        <w:pStyle w:val="47"/>
        <w:ind w:firstLine="482"/>
        <w:rPr>
          <w:rFonts w:hint="default" w:ascii="Times New Roman" w:hAnsi="Times New Roman" w:cs="Times New Roman"/>
          <w:lang w:val="en-US" w:eastAsia="zh-CN"/>
        </w:rPr>
      </w:pPr>
      <w:r>
        <w:rPr>
          <w:rFonts w:hint="eastAsia" w:ascii="Times New Roman" w:hAnsi="Times New Roman" w:cs="Times New Roman"/>
          <w:lang w:val="en-US" w:eastAsia="zh-CN"/>
        </w:rPr>
        <w:t>（3）废气处理设施风险</w:t>
      </w:r>
    </w:p>
    <w:p w14:paraId="45786FAE">
      <w:pPr>
        <w:pStyle w:val="47"/>
        <w:ind w:left="0" w:leftChars="0" w:firstLine="560" w:firstLineChars="200"/>
        <w:rPr>
          <w:rFonts w:hint="eastAsia" w:ascii="Times New Roman" w:hAnsi="Times New Roman" w:cs="Times New Roman"/>
          <w:lang w:val="en-US" w:eastAsia="zh-CN"/>
        </w:rPr>
      </w:pPr>
      <w:r>
        <w:rPr>
          <w:rFonts w:hint="default" w:ascii="Times New Roman" w:hAnsi="Times New Roman" w:cs="Times New Roman"/>
          <w:lang w:val="en-US"/>
        </w:rPr>
        <w:t>项目废气处理设施主要为有机废气处理设施、布袋除尘器，若发生设施断电、风机故障、处理设施失效等均可能导致大气污染物事故排放，对环境空气可能会造成较大危害，使一定范围内大气环境质量超标</w:t>
      </w:r>
      <w:r>
        <w:rPr>
          <w:rFonts w:hint="eastAsia" w:ascii="Times New Roman" w:hAnsi="Times New Roman" w:cs="Times New Roman"/>
          <w:lang w:val="en-US" w:eastAsia="zh-CN"/>
        </w:rPr>
        <w:t>。</w:t>
      </w:r>
    </w:p>
    <w:p w14:paraId="0DDE3D0F">
      <w:pPr>
        <w:pStyle w:val="92"/>
        <w:bidi w:val="0"/>
        <w:ind w:left="0" w:leftChars="0" w:firstLine="0" w:firstLineChars="0"/>
      </w:pPr>
      <w:r>
        <w:rPr>
          <w:rFonts w:hint="eastAsia"/>
          <w:lang w:val="en-US" w:eastAsia="zh-CN"/>
        </w:rPr>
        <w:t>风险防范措施</w:t>
      </w:r>
    </w:p>
    <w:p w14:paraId="3A357C5D">
      <w:pPr>
        <w:pStyle w:val="47"/>
        <w:ind w:firstLine="482"/>
        <w:rPr>
          <w:rFonts w:hint="eastAsia"/>
        </w:rPr>
      </w:pPr>
      <w:r>
        <w:rPr>
          <w:rFonts w:hint="eastAsia"/>
        </w:rPr>
        <w:t>（1）原料运输防范措施</w:t>
      </w:r>
    </w:p>
    <w:p w14:paraId="5A25508B">
      <w:pPr>
        <w:pStyle w:val="47"/>
        <w:ind w:firstLine="482"/>
        <w:rPr>
          <w:rFonts w:hint="eastAsia"/>
        </w:rPr>
      </w:pPr>
      <w:r>
        <w:rPr>
          <w:rFonts w:hint="eastAsia"/>
        </w:rPr>
        <w:t>①运输过程严格执行《工业企业内运输安全规程》（GB4378-84）、《机动车运行安全技术条件》（GB7258-2004）；</w:t>
      </w:r>
    </w:p>
    <w:p w14:paraId="48E7C688">
      <w:pPr>
        <w:pStyle w:val="47"/>
        <w:ind w:firstLine="482"/>
        <w:rPr>
          <w:rFonts w:hint="eastAsia"/>
        </w:rPr>
      </w:pPr>
      <w:r>
        <w:rPr>
          <w:rFonts w:hint="eastAsia"/>
        </w:rPr>
        <w:t>②运输车辆尽量避开恶劣天气，以减少因事故造成对运输线路沿途的影响；</w:t>
      </w:r>
    </w:p>
    <w:p w14:paraId="75E756EA">
      <w:pPr>
        <w:pStyle w:val="47"/>
        <w:ind w:firstLine="482"/>
        <w:rPr>
          <w:rFonts w:hint="eastAsia"/>
        </w:rPr>
      </w:pPr>
      <w:r>
        <w:rPr>
          <w:rFonts w:hint="eastAsia"/>
        </w:rPr>
        <w:t>③严格运输管理，加强车辆保养；</w:t>
      </w:r>
    </w:p>
    <w:p w14:paraId="13FB057A">
      <w:pPr>
        <w:pStyle w:val="47"/>
        <w:ind w:firstLine="482"/>
        <w:rPr>
          <w:rFonts w:hint="eastAsia"/>
        </w:rPr>
      </w:pPr>
      <w:r>
        <w:rPr>
          <w:rFonts w:hint="eastAsia"/>
        </w:rPr>
        <w:t>④根据《废塑料污染控制技术规范》（HJ 364-2022），废塑料运输前进行包装，或用封闭的交通工具运输，不得裸露运输废塑料；废塑料的包装应在通过环保审批的回收中转场所内进行；废塑料包装物应防水、耐压、遮蔽性好，可多次重复使用；在装卸、运输过程中应确保包装完好，无废塑料遗洒；包装物表面必须有回收标志和废塑料种类标志，标志应清晰、易于识别、不易擦掉，并应标明废塑料的来源、原用途和去向等信息。废塑料回收和种类标志执行GB/T16288；不得超高、超宽、超载运输废塑料，宜采用密闭集装箱或带有压缩装置的包装箱。</w:t>
      </w:r>
    </w:p>
    <w:p w14:paraId="57EDA4D6">
      <w:pPr>
        <w:pStyle w:val="47"/>
        <w:ind w:firstLine="482"/>
        <w:rPr>
          <w:rFonts w:hint="eastAsia"/>
        </w:rPr>
      </w:pPr>
      <w:r>
        <w:rPr>
          <w:rFonts w:hint="eastAsia"/>
        </w:rPr>
        <w:t>（2）原料贮存防范措施</w:t>
      </w:r>
    </w:p>
    <w:p w14:paraId="5AFED78E">
      <w:pPr>
        <w:pStyle w:val="47"/>
        <w:ind w:firstLine="482"/>
        <w:rPr>
          <w:rFonts w:hint="eastAsia"/>
        </w:rPr>
      </w:pPr>
      <w:r>
        <w:rPr>
          <w:rFonts w:hint="eastAsia"/>
        </w:rPr>
        <w:t>①塑料原料贮放设置明显标志，贮存场所采用防雨、防晒、防渗、防尘、防扬散和防火措施。</w:t>
      </w:r>
    </w:p>
    <w:p w14:paraId="5F22FD28">
      <w:pPr>
        <w:pStyle w:val="47"/>
        <w:ind w:firstLine="482"/>
        <w:rPr>
          <w:rFonts w:hint="eastAsia"/>
        </w:rPr>
      </w:pPr>
      <w:r>
        <w:rPr>
          <w:rFonts w:hint="eastAsia"/>
        </w:rPr>
        <w:t>②塑料按计划采购、分期分批入库，严格控制贮存量；</w:t>
      </w:r>
    </w:p>
    <w:p w14:paraId="401AA314">
      <w:pPr>
        <w:pStyle w:val="47"/>
        <w:ind w:firstLine="482"/>
        <w:rPr>
          <w:rFonts w:hint="eastAsia"/>
        </w:rPr>
      </w:pPr>
      <w:r>
        <w:rPr>
          <w:rFonts w:hint="eastAsia"/>
        </w:rPr>
        <w:t>③严禁在生产车间和库房使用明火；</w:t>
      </w:r>
    </w:p>
    <w:p w14:paraId="33276D3F">
      <w:pPr>
        <w:pStyle w:val="47"/>
        <w:ind w:firstLine="482"/>
        <w:rPr>
          <w:rFonts w:hint="eastAsia"/>
        </w:rPr>
      </w:pPr>
      <w:r>
        <w:rPr>
          <w:rFonts w:hint="eastAsia"/>
        </w:rPr>
        <w:t>④实行安全检查制度，各类安全设施、消防器材，进行各种日常、定期的、专业的防火安全检查，并将发现的问题定人、限期落实整改。</w:t>
      </w:r>
    </w:p>
    <w:p w14:paraId="70F6FEE7">
      <w:pPr>
        <w:pStyle w:val="47"/>
        <w:ind w:firstLine="482"/>
        <w:rPr>
          <w:rFonts w:hint="eastAsia"/>
        </w:rPr>
      </w:pPr>
      <w:r>
        <w:rPr>
          <w:rFonts w:hint="eastAsia"/>
          <w:lang w:eastAsia="zh-CN"/>
        </w:rPr>
        <w:t>（</w:t>
      </w:r>
      <w:r>
        <w:rPr>
          <w:rFonts w:hint="eastAsia"/>
          <w:lang w:val="en-US" w:eastAsia="zh-CN"/>
        </w:rPr>
        <w:t>3</w:t>
      </w:r>
      <w:r>
        <w:rPr>
          <w:rFonts w:hint="eastAsia"/>
          <w:lang w:eastAsia="zh-CN"/>
        </w:rPr>
        <w:t>）</w:t>
      </w:r>
      <w:r>
        <w:rPr>
          <w:rFonts w:hint="eastAsia"/>
        </w:rPr>
        <w:t>废气事故排放环境风险防范措施</w:t>
      </w:r>
    </w:p>
    <w:p w14:paraId="03A99440">
      <w:pPr>
        <w:pStyle w:val="47"/>
        <w:ind w:firstLine="482"/>
        <w:rPr>
          <w:rFonts w:hint="eastAsia"/>
        </w:rPr>
      </w:pPr>
      <w:r>
        <w:rPr>
          <w:rFonts w:hint="eastAsia"/>
        </w:rPr>
        <w:t>项目在生产管理出现事故或烟气治理设备出现故障时，会有浓度较高的粉尘、挥发性有机物排放。为控制和减少废气的事故排放，建议采取如下防范设施：</w:t>
      </w:r>
    </w:p>
    <w:p w14:paraId="1F282046">
      <w:pPr>
        <w:pStyle w:val="47"/>
        <w:ind w:firstLine="482"/>
        <w:rPr>
          <w:rFonts w:hint="eastAsia"/>
        </w:rPr>
      </w:pPr>
      <w:r>
        <w:rPr>
          <w:rFonts w:hint="eastAsia"/>
        </w:rPr>
        <w:t>①平时加强废气处理设施的维护保养，及时发现处理设备的隐患，并及时进行维修，确保废气处理系统正常运行。</w:t>
      </w:r>
    </w:p>
    <w:p w14:paraId="4D816900">
      <w:pPr>
        <w:pStyle w:val="47"/>
        <w:ind w:firstLine="482"/>
        <w:rPr>
          <w:rFonts w:hint="eastAsia"/>
        </w:rPr>
      </w:pPr>
      <w:r>
        <w:rPr>
          <w:rFonts w:hint="eastAsia"/>
        </w:rPr>
        <w:t>②每年定期对设备、管道进行检修，检修时，检修人员需在残留气体经风机排尽吸收后，再进行检修，同时需佩戴个人防护用具。</w:t>
      </w:r>
    </w:p>
    <w:p w14:paraId="52B87EBF">
      <w:pPr>
        <w:pStyle w:val="47"/>
        <w:ind w:firstLine="482"/>
        <w:rPr>
          <w:rFonts w:hint="eastAsia"/>
        </w:rPr>
      </w:pPr>
      <w:r>
        <w:rPr>
          <w:rFonts w:hint="eastAsia"/>
        </w:rPr>
        <w:t>③建立健全的环保机构，配置必要的监测仪器，对管理人员和技术人员进行岗位培训，对废气处理实行全过程跟踪控制。</w:t>
      </w:r>
    </w:p>
    <w:p w14:paraId="0889ED36">
      <w:pPr>
        <w:pStyle w:val="47"/>
        <w:ind w:firstLine="482"/>
        <w:rPr>
          <w:rFonts w:hint="eastAsia"/>
        </w:rPr>
      </w:pPr>
      <w:r>
        <w:rPr>
          <w:rFonts w:hint="eastAsia"/>
        </w:rPr>
        <w:t>④项目应设有备用电源和备用处理设备，以备停电或设备出现故障时保障废气全部抽入处理系统进行处理以达标排放。</w:t>
      </w:r>
    </w:p>
    <w:p w14:paraId="1A318445">
      <w:pPr>
        <w:pStyle w:val="47"/>
        <w:ind w:firstLine="482"/>
        <w:rPr>
          <w:rFonts w:hint="eastAsia"/>
        </w:rPr>
      </w:pPr>
      <w:r>
        <w:rPr>
          <w:rFonts w:hint="eastAsia"/>
        </w:rPr>
        <w:t>（4）生产及储存风险防范措施</w:t>
      </w:r>
    </w:p>
    <w:p w14:paraId="76EE08A5">
      <w:pPr>
        <w:pStyle w:val="47"/>
        <w:ind w:firstLine="482"/>
        <w:rPr>
          <w:rFonts w:hint="eastAsia"/>
        </w:rPr>
      </w:pPr>
      <w:r>
        <w:rPr>
          <w:rFonts w:hint="eastAsia"/>
        </w:rPr>
        <w:t>①生产场地属禁火区，应远离明火，不得存放易燃易爆物品，设置明显警示牌并配备灭火器材；</w:t>
      </w:r>
    </w:p>
    <w:p w14:paraId="7BB439B6">
      <w:pPr>
        <w:pStyle w:val="47"/>
        <w:ind w:firstLine="482"/>
        <w:rPr>
          <w:rFonts w:hint="eastAsia"/>
        </w:rPr>
      </w:pPr>
      <w:r>
        <w:rPr>
          <w:rFonts w:hint="eastAsia"/>
        </w:rPr>
        <w:t>②厂区设防火通道，禁止在通道内堆放物品；</w:t>
      </w:r>
    </w:p>
    <w:p w14:paraId="6738E7F0">
      <w:pPr>
        <w:pStyle w:val="47"/>
        <w:ind w:firstLine="482"/>
        <w:rPr>
          <w:rFonts w:hint="eastAsia"/>
        </w:rPr>
      </w:pPr>
      <w:r>
        <w:rPr>
          <w:rFonts w:hint="eastAsia"/>
        </w:rPr>
        <w:t>③消防器材定员管理，定期检查，过期更换；</w:t>
      </w:r>
    </w:p>
    <w:p w14:paraId="1C451F67">
      <w:pPr>
        <w:pStyle w:val="47"/>
        <w:ind w:firstLine="482"/>
        <w:rPr>
          <w:rFonts w:hint="eastAsia"/>
        </w:rPr>
      </w:pPr>
      <w:r>
        <w:rPr>
          <w:rFonts w:hint="eastAsia"/>
        </w:rPr>
        <w:t>④厂区电器采用防爆型设备，工作场所禁止吸烟；</w:t>
      </w:r>
    </w:p>
    <w:p w14:paraId="2924C5F5">
      <w:pPr>
        <w:pStyle w:val="47"/>
        <w:ind w:firstLine="482"/>
        <w:rPr>
          <w:rFonts w:hint="eastAsia"/>
        </w:rPr>
      </w:pPr>
      <w:r>
        <w:rPr>
          <w:rFonts w:hint="eastAsia"/>
        </w:rPr>
        <w:t>⑤危废暂存间建设严格按照《危险废物贮存污染控制标准》（GB18957-2023）中有关规定建设，并配备相应的消防器材，设置警示标志；</w:t>
      </w:r>
    </w:p>
    <w:p w14:paraId="67BDF9F5">
      <w:pPr>
        <w:pStyle w:val="47"/>
        <w:ind w:firstLine="482"/>
        <w:rPr>
          <w:rFonts w:hint="eastAsia"/>
        </w:rPr>
      </w:pPr>
      <w:r>
        <w:rPr>
          <w:rFonts w:hint="eastAsia"/>
        </w:rPr>
        <w:t>⑥加强危险废物暂存间管理，定期及时清运，减少贮存量，贮存期间分类存放，建立严格的巡检制度；</w:t>
      </w:r>
    </w:p>
    <w:p w14:paraId="05710A68">
      <w:pPr>
        <w:pStyle w:val="47"/>
        <w:ind w:firstLine="482"/>
        <w:rPr>
          <w:rFonts w:hint="eastAsia"/>
        </w:rPr>
      </w:pPr>
      <w:r>
        <w:rPr>
          <w:rFonts w:hint="eastAsia"/>
        </w:rPr>
        <w:t>⑦清洗废水沉淀池兼做事故水池，在发生风险事故时，将产生的事故废水暂存于废水池中。</w:t>
      </w:r>
    </w:p>
    <w:p w14:paraId="1C36B848">
      <w:pPr>
        <w:pStyle w:val="47"/>
        <w:ind w:firstLine="482"/>
        <w:rPr>
          <w:rFonts w:hint="eastAsia"/>
        </w:rPr>
      </w:pPr>
      <w:r>
        <w:rPr>
          <w:rFonts w:hint="eastAsia"/>
        </w:rPr>
        <w:t>（5）火灾处理措施</w:t>
      </w:r>
    </w:p>
    <w:p w14:paraId="19C62B03">
      <w:pPr>
        <w:pStyle w:val="47"/>
        <w:ind w:firstLine="482"/>
        <w:rPr>
          <w:rFonts w:hint="eastAsia"/>
        </w:rPr>
      </w:pPr>
      <w:r>
        <w:rPr>
          <w:rFonts w:hint="eastAsia" w:ascii="楷体" w:hAnsi="楷体" w:eastAsia="楷体" w:cs="楷体"/>
        </w:rPr>
        <w:t>①</w:t>
      </w:r>
      <w:r>
        <w:rPr>
          <w:rFonts w:hint="eastAsia"/>
        </w:rPr>
        <w:t>消除和控制明火源：在厂房各处配备灭火器、消防栓等消防物资，以便及时扑灭初期火灾。</w:t>
      </w:r>
    </w:p>
    <w:p w14:paraId="695AF402">
      <w:pPr>
        <w:pStyle w:val="47"/>
        <w:ind w:left="0" w:leftChars="0" w:firstLine="560" w:firstLineChars="200"/>
        <w:rPr>
          <w:rFonts w:hint="eastAsia"/>
        </w:rPr>
      </w:pPr>
      <w:r>
        <w:rPr>
          <w:rFonts w:hint="eastAsia" w:ascii="楷体" w:hAnsi="楷体" w:eastAsia="楷体" w:cs="楷体"/>
        </w:rPr>
        <w:t>②</w:t>
      </w:r>
      <w:r>
        <w:rPr>
          <w:rFonts w:hint="eastAsia"/>
        </w:rPr>
        <w:t>防止电气火花：采取有效措施防止电气线路和电气设施在开关断开、接触不良、短路、漏电时产生火花，防止静电放电火花；采取防雷接地措施，防止雷电放电火花。</w:t>
      </w:r>
    </w:p>
    <w:p w14:paraId="0A45F4B2">
      <w:pPr>
        <w:pStyle w:val="47"/>
        <w:ind w:firstLine="482"/>
        <w:rPr>
          <w:rFonts w:hint="eastAsia"/>
        </w:rPr>
      </w:pPr>
      <w:r>
        <w:rPr>
          <w:rFonts w:hint="eastAsia" w:ascii="楷体" w:hAnsi="楷体" w:eastAsia="楷体" w:cs="楷体"/>
        </w:rPr>
        <w:t>③</w:t>
      </w:r>
      <w:r>
        <w:rPr>
          <w:rFonts w:hint="eastAsia"/>
        </w:rPr>
        <w:t>定期对原料使用过程中的相关人员，如联络员、仓管员、直接使用人员进行过程监查，定期对上述人员进行相关知识教育和岗位职责培训。</w:t>
      </w:r>
    </w:p>
    <w:p w14:paraId="46468272">
      <w:pPr>
        <w:pStyle w:val="47"/>
        <w:ind w:firstLine="482"/>
        <w:rPr>
          <w:rFonts w:hint="eastAsia"/>
        </w:rPr>
      </w:pPr>
      <w:r>
        <w:rPr>
          <w:rFonts w:hint="eastAsia" w:ascii="楷体" w:hAnsi="楷体" w:eastAsia="楷体" w:cs="楷体"/>
        </w:rPr>
        <w:t>④</w:t>
      </w:r>
      <w:r>
        <w:rPr>
          <w:rFonts w:hint="eastAsia"/>
        </w:rPr>
        <w:t>严格控制原料品质，做到从源头防控风险事故，严禁收购医疗废物及危险废物类废塑料。</w:t>
      </w:r>
    </w:p>
    <w:p w14:paraId="745B8686">
      <w:pPr>
        <w:pStyle w:val="92"/>
        <w:bidi w:val="0"/>
        <w:ind w:left="0" w:leftChars="0" w:firstLine="0" w:firstLineChars="0"/>
      </w:pPr>
      <w:r>
        <w:rPr>
          <w:rFonts w:hint="eastAsia"/>
          <w:lang w:val="en-US" w:eastAsia="zh-CN"/>
        </w:rPr>
        <w:t>应急预案</w:t>
      </w:r>
    </w:p>
    <w:p w14:paraId="584018C3">
      <w:pPr>
        <w:pStyle w:val="47"/>
        <w:bidi w:val="0"/>
        <w:rPr>
          <w:rFonts w:hint="default"/>
        </w:rPr>
      </w:pPr>
      <w:r>
        <w:rPr>
          <w:rFonts w:hint="default"/>
        </w:rPr>
        <w:t>事故应急救援预案是企业根据实际情况预计可能发生的事故，为增加对事故的处理能力所预先制定的应急对策。根据本项目的实际情况，本次评价根据初步的重大危险事故分析，给出建议的应急预案。项目运行前必须有经专家论证认可的环境风险应急处置预案。应急预案应在生产过程安全管理中具体化和进一步完善。</w:t>
      </w:r>
    </w:p>
    <w:p w14:paraId="7100AE3E">
      <w:pPr>
        <w:pStyle w:val="47"/>
        <w:bidi w:val="0"/>
        <w:rPr>
          <w:rFonts w:hint="default"/>
        </w:rPr>
      </w:pPr>
      <w:r>
        <w:rPr>
          <w:rFonts w:hint="default"/>
        </w:rPr>
        <w:t>（1）根据</w:t>
      </w:r>
      <w:r>
        <w:rPr>
          <w:rFonts w:hint="default"/>
          <w:lang w:eastAsia="zh-CN"/>
        </w:rPr>
        <w:t>项目</w:t>
      </w:r>
      <w:r>
        <w:rPr>
          <w:rFonts w:hint="default"/>
        </w:rPr>
        <w:t>的特点，企业应共同成立应急救援中心，以及生产、安全环保、设备、保卫、卫生等部门领导组成的</w:t>
      </w:r>
      <w:r>
        <w:rPr>
          <w:rFonts w:hint="default"/>
          <w:lang w:eastAsia="zh-CN"/>
        </w:rPr>
        <w:t>“</w:t>
      </w:r>
      <w:r>
        <w:rPr>
          <w:rFonts w:hint="default"/>
        </w:rPr>
        <w:t>指挥领导小组</w:t>
      </w:r>
      <w:r>
        <w:rPr>
          <w:rFonts w:hint="default"/>
          <w:lang w:eastAsia="zh-CN"/>
        </w:rPr>
        <w:t>”</w:t>
      </w:r>
      <w:r>
        <w:rPr>
          <w:rFonts w:hint="default"/>
        </w:rPr>
        <w:t>，下设应急救援办公室，管理部门应明确责任分工。</w:t>
      </w:r>
    </w:p>
    <w:p w14:paraId="3183A690">
      <w:pPr>
        <w:pStyle w:val="47"/>
        <w:bidi w:val="0"/>
        <w:rPr>
          <w:rFonts w:hint="default"/>
        </w:rPr>
      </w:pPr>
      <w:r>
        <w:rPr>
          <w:rFonts w:hint="default"/>
        </w:rPr>
        <w:t>负责人应负责重大事故应急预案的制定和修订；组建应急救援专业队伍，并组织实施平时的演练；检查督促事故预防措施和应急救援的准备工作。</w:t>
      </w:r>
    </w:p>
    <w:p w14:paraId="6430EBFA">
      <w:pPr>
        <w:pStyle w:val="47"/>
        <w:bidi w:val="0"/>
        <w:rPr>
          <w:rFonts w:hint="default"/>
        </w:rPr>
      </w:pPr>
      <w:r>
        <w:rPr>
          <w:rFonts w:hint="default"/>
        </w:rPr>
        <w:t>指挥领导小组负责事故时的救援命令的发布、解除；组织应急救援专业队伍实施救援行动；向上级汇报和向社会救援组织通报事故情况，必要时发出救援请求；对事故应及时总结。</w:t>
      </w:r>
    </w:p>
    <w:p w14:paraId="65837209">
      <w:pPr>
        <w:pStyle w:val="47"/>
        <w:bidi w:val="0"/>
        <w:rPr>
          <w:rFonts w:hint="default"/>
        </w:rPr>
      </w:pPr>
      <w:r>
        <w:rPr>
          <w:rFonts w:hint="default"/>
        </w:rPr>
        <w:t>安全环保部门的主要职责为协助指挥领导小组</w:t>
      </w:r>
      <w:r>
        <w:rPr>
          <w:rFonts w:hint="default"/>
          <w:lang w:eastAsia="zh-CN"/>
        </w:rPr>
        <w:t>做好</w:t>
      </w:r>
      <w:r>
        <w:rPr>
          <w:rFonts w:hint="default"/>
        </w:rPr>
        <w:t>事故报警、情况通报、监测及事故处置工作。</w:t>
      </w:r>
    </w:p>
    <w:p w14:paraId="1A1047FA">
      <w:pPr>
        <w:pStyle w:val="47"/>
        <w:bidi w:val="0"/>
        <w:rPr>
          <w:rFonts w:hint="default"/>
        </w:rPr>
      </w:pPr>
      <w:r>
        <w:rPr>
          <w:rFonts w:hint="default"/>
        </w:rPr>
        <w:t>保卫部门负责警戒、治安保卫、人员疏散、道路管制等工作。设备、生产部门负责事故时的开停车调度、事故现场的联络等工作。</w:t>
      </w:r>
    </w:p>
    <w:p w14:paraId="0CE5E0D9">
      <w:pPr>
        <w:pStyle w:val="47"/>
        <w:bidi w:val="0"/>
        <w:rPr>
          <w:rFonts w:hint="default"/>
        </w:rPr>
      </w:pPr>
      <w:r>
        <w:rPr>
          <w:rFonts w:hint="default"/>
        </w:rPr>
        <w:t>（2）救援队伍的组成及分工</w:t>
      </w:r>
    </w:p>
    <w:p w14:paraId="01122490">
      <w:pPr>
        <w:pStyle w:val="47"/>
        <w:bidi w:val="0"/>
        <w:rPr>
          <w:rFonts w:hint="default"/>
        </w:rPr>
      </w:pPr>
      <w:r>
        <w:rPr>
          <w:rFonts w:hint="default"/>
        </w:rPr>
        <w:t>建议企业根据实际情况组织救援队伍。救援队伍应包括通信联络、治安保卫、消防、抢修、医疗</w:t>
      </w:r>
      <w:r>
        <w:rPr>
          <w:rFonts w:hint="default"/>
          <w:lang w:eastAsia="zh-CN"/>
        </w:rPr>
        <w:t>等</w:t>
      </w:r>
      <w:r>
        <w:rPr>
          <w:rFonts w:hint="default"/>
        </w:rPr>
        <w:t>相关人员。</w:t>
      </w:r>
    </w:p>
    <w:p w14:paraId="3AA0E22A">
      <w:pPr>
        <w:pStyle w:val="47"/>
        <w:bidi w:val="0"/>
        <w:rPr>
          <w:rFonts w:hint="default"/>
        </w:rPr>
      </w:pPr>
      <w:r>
        <w:rPr>
          <w:rFonts w:hint="default"/>
        </w:rPr>
        <w:t>（3）现场事故处置</w:t>
      </w:r>
    </w:p>
    <w:p w14:paraId="5628438F">
      <w:pPr>
        <w:pStyle w:val="47"/>
        <w:bidi w:val="0"/>
        <w:rPr>
          <w:rFonts w:hint="default"/>
        </w:rPr>
      </w:pPr>
      <w:r>
        <w:rPr>
          <w:rFonts w:hint="default"/>
        </w:rPr>
        <w:t>在发生事故时应根据拟定疏散方案及时疏散事故区人员，禁止无关人员进入事故区。应急人员处理事故时应戴自给式呼吸器，穿消防防护服。</w:t>
      </w:r>
    </w:p>
    <w:p w14:paraId="43C62886">
      <w:pPr>
        <w:pStyle w:val="47"/>
        <w:bidi w:val="0"/>
        <w:rPr>
          <w:rFonts w:hint="default"/>
        </w:rPr>
      </w:pPr>
      <w:r>
        <w:rPr>
          <w:rFonts w:hint="default"/>
        </w:rPr>
        <w:t>（4）社会救援</w:t>
      </w:r>
    </w:p>
    <w:p w14:paraId="5E3E1465">
      <w:pPr>
        <w:pStyle w:val="47"/>
        <w:bidi w:val="0"/>
        <w:rPr>
          <w:rFonts w:hint="default"/>
        </w:rPr>
      </w:pPr>
      <w:r>
        <w:rPr>
          <w:rFonts w:hint="default"/>
        </w:rPr>
        <w:t>根据事故预测，发生事故后，如果不采取措施，将对环境将造成危害，并且可能发生火灾事故。在制定事故应急救援预案时，应包括社会救援组织的机构、联系方式、报警系统等信息，以保证应急救援指挥能随时与社会救援力量保持联络，请求支援。</w:t>
      </w:r>
    </w:p>
    <w:p w14:paraId="436C26E1">
      <w:pPr>
        <w:pStyle w:val="47"/>
        <w:bidi w:val="0"/>
        <w:rPr>
          <w:rFonts w:hint="default"/>
        </w:rPr>
      </w:pPr>
      <w:r>
        <w:rPr>
          <w:rFonts w:hint="default"/>
        </w:rPr>
        <w:t>（5）应急状态的终止和善后计划措施</w:t>
      </w:r>
    </w:p>
    <w:p w14:paraId="567F72DF">
      <w:pPr>
        <w:pStyle w:val="47"/>
        <w:bidi w:val="0"/>
        <w:rPr>
          <w:rFonts w:hint="default"/>
        </w:rPr>
      </w:pPr>
      <w:r>
        <w:rPr>
          <w:rFonts w:hint="default"/>
        </w:rPr>
        <w:t>应急状态终止由公司应急指挥中心根据现场情况和专家意见决策并发布。</w:t>
      </w:r>
    </w:p>
    <w:p w14:paraId="604A9E51">
      <w:pPr>
        <w:pStyle w:val="47"/>
        <w:bidi w:val="0"/>
        <w:rPr>
          <w:rFonts w:hint="default"/>
        </w:rPr>
      </w:pPr>
      <w:r>
        <w:rPr>
          <w:rFonts w:hint="default"/>
        </w:rPr>
        <w:t>事故现场及受影响区域，根据实际情况采取有效善后措施，包括确认事故状态彻底解除、清理现场、清除污染、恢复生产等现场工作；对处理事故人员的污染检查、医学处理和受伤人员的及时治疗；对事故现场做进一步的安全检查，尤其是由于事故或抢救过程中留下的隐患，是否可能进一步引起新的事故；估算事故损失；分析事故原因和制定防止事故再发生的防范措施，总结教训，写出事故报告，报有关主管部门。</w:t>
      </w:r>
    </w:p>
    <w:p w14:paraId="38AC6F3F">
      <w:pPr>
        <w:pStyle w:val="47"/>
        <w:bidi w:val="0"/>
        <w:rPr>
          <w:rFonts w:hint="default"/>
        </w:rPr>
      </w:pPr>
      <w:r>
        <w:rPr>
          <w:rFonts w:hint="default"/>
        </w:rPr>
        <w:t>（6）事故风险应急预案的编写内容要求</w:t>
      </w:r>
    </w:p>
    <w:p w14:paraId="3ABCA751">
      <w:pPr>
        <w:pStyle w:val="47"/>
        <w:bidi w:val="0"/>
        <w:rPr>
          <w:rFonts w:hint="default"/>
        </w:rPr>
      </w:pPr>
      <w:r>
        <w:rPr>
          <w:rFonts w:hint="default"/>
        </w:rPr>
        <w:t>应急预案主要编写要求内容见</w:t>
      </w:r>
      <w:r>
        <w:rPr>
          <w:rFonts w:hint="eastAsia"/>
          <w:lang w:val="en-US" w:eastAsia="zh-CN"/>
        </w:rPr>
        <w:t>下</w:t>
      </w:r>
      <w:r>
        <w:rPr>
          <w:rFonts w:hint="default"/>
        </w:rPr>
        <w:t>表。</w:t>
      </w:r>
    </w:p>
    <w:p w14:paraId="44A093A9">
      <w:pPr>
        <w:pStyle w:val="94"/>
        <w:bidi w:val="0"/>
        <w:ind w:left="0" w:leftChars="0" w:firstLine="0" w:firstLineChars="0"/>
        <w:rPr>
          <w:rFonts w:hint="default"/>
        </w:rPr>
      </w:pPr>
      <w:r>
        <w:rPr>
          <w:rFonts w:hint="default"/>
        </w:rPr>
        <w:t>事故风险应急预案编写内容要求</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
        <w:gridCol w:w="2447"/>
        <w:gridCol w:w="5949"/>
      </w:tblGrid>
      <w:tr w14:paraId="6AF6D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890" w:type="dxa"/>
            <w:noWrap w:val="0"/>
            <w:vAlign w:val="center"/>
          </w:tcPr>
          <w:p w14:paraId="7BF85F54">
            <w:pPr>
              <w:pStyle w:val="55"/>
              <w:bidi w:val="0"/>
              <w:rPr>
                <w:rFonts w:hint="default"/>
              </w:rPr>
            </w:pPr>
            <w:r>
              <w:rPr>
                <w:rFonts w:hint="default"/>
              </w:rPr>
              <w:t>序号</w:t>
            </w:r>
          </w:p>
        </w:tc>
        <w:tc>
          <w:tcPr>
            <w:tcW w:w="2447" w:type="dxa"/>
            <w:noWrap w:val="0"/>
            <w:vAlign w:val="center"/>
          </w:tcPr>
          <w:p w14:paraId="5F9663C1">
            <w:pPr>
              <w:pStyle w:val="55"/>
              <w:bidi w:val="0"/>
              <w:rPr>
                <w:rFonts w:hint="default"/>
              </w:rPr>
            </w:pPr>
            <w:r>
              <w:rPr>
                <w:rFonts w:hint="default"/>
              </w:rPr>
              <w:t>项目</w:t>
            </w:r>
          </w:p>
        </w:tc>
        <w:tc>
          <w:tcPr>
            <w:tcW w:w="5949" w:type="dxa"/>
            <w:noWrap w:val="0"/>
            <w:vAlign w:val="center"/>
          </w:tcPr>
          <w:p w14:paraId="4848B0CA">
            <w:pPr>
              <w:pStyle w:val="55"/>
              <w:bidi w:val="0"/>
              <w:rPr>
                <w:rFonts w:hint="default"/>
              </w:rPr>
            </w:pPr>
            <w:r>
              <w:rPr>
                <w:rFonts w:hint="default"/>
              </w:rPr>
              <w:t>内容及要求</w:t>
            </w:r>
          </w:p>
        </w:tc>
      </w:tr>
      <w:tr w14:paraId="7CC70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90" w:type="dxa"/>
            <w:noWrap w:val="0"/>
            <w:vAlign w:val="center"/>
          </w:tcPr>
          <w:p w14:paraId="297A942A">
            <w:pPr>
              <w:pStyle w:val="55"/>
              <w:bidi w:val="0"/>
              <w:rPr>
                <w:rFonts w:hint="default"/>
              </w:rPr>
            </w:pPr>
            <w:r>
              <w:rPr>
                <w:rFonts w:hint="default"/>
              </w:rPr>
              <w:t>1</w:t>
            </w:r>
          </w:p>
        </w:tc>
        <w:tc>
          <w:tcPr>
            <w:tcW w:w="2447" w:type="dxa"/>
            <w:noWrap w:val="0"/>
            <w:vAlign w:val="center"/>
          </w:tcPr>
          <w:p w14:paraId="24FA281B">
            <w:pPr>
              <w:pStyle w:val="55"/>
              <w:bidi w:val="0"/>
              <w:rPr>
                <w:rFonts w:hint="default"/>
              </w:rPr>
            </w:pPr>
            <w:r>
              <w:rPr>
                <w:rFonts w:hint="default"/>
              </w:rPr>
              <w:t>应急计划区</w:t>
            </w:r>
          </w:p>
        </w:tc>
        <w:tc>
          <w:tcPr>
            <w:tcW w:w="5949" w:type="dxa"/>
            <w:noWrap w:val="0"/>
            <w:vAlign w:val="center"/>
          </w:tcPr>
          <w:p w14:paraId="3CA8B7A0">
            <w:pPr>
              <w:pStyle w:val="55"/>
              <w:bidi w:val="0"/>
              <w:rPr>
                <w:rFonts w:hint="default"/>
              </w:rPr>
            </w:pPr>
            <w:r>
              <w:rPr>
                <w:rFonts w:hint="default"/>
              </w:rPr>
              <w:t>危险目标：环境保护目标</w:t>
            </w:r>
          </w:p>
        </w:tc>
      </w:tr>
      <w:tr w14:paraId="23319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90" w:type="dxa"/>
            <w:noWrap w:val="0"/>
            <w:vAlign w:val="center"/>
          </w:tcPr>
          <w:p w14:paraId="613E20B5">
            <w:pPr>
              <w:pStyle w:val="55"/>
              <w:bidi w:val="0"/>
              <w:rPr>
                <w:rFonts w:hint="default"/>
              </w:rPr>
            </w:pPr>
            <w:r>
              <w:rPr>
                <w:rFonts w:hint="default"/>
              </w:rPr>
              <w:t>2</w:t>
            </w:r>
          </w:p>
        </w:tc>
        <w:tc>
          <w:tcPr>
            <w:tcW w:w="2447" w:type="dxa"/>
            <w:noWrap w:val="0"/>
            <w:vAlign w:val="center"/>
          </w:tcPr>
          <w:p w14:paraId="53FC5DD9">
            <w:pPr>
              <w:pStyle w:val="55"/>
              <w:bidi w:val="0"/>
              <w:rPr>
                <w:rFonts w:hint="default"/>
              </w:rPr>
            </w:pPr>
            <w:r>
              <w:rPr>
                <w:rFonts w:hint="default"/>
              </w:rPr>
              <w:t>应急组织机构、人员</w:t>
            </w:r>
          </w:p>
        </w:tc>
        <w:tc>
          <w:tcPr>
            <w:tcW w:w="5949" w:type="dxa"/>
            <w:noWrap w:val="0"/>
            <w:vAlign w:val="center"/>
          </w:tcPr>
          <w:p w14:paraId="5B037B71">
            <w:pPr>
              <w:pStyle w:val="55"/>
              <w:bidi w:val="0"/>
              <w:rPr>
                <w:rFonts w:hint="default"/>
              </w:rPr>
            </w:pPr>
            <w:r>
              <w:rPr>
                <w:rFonts w:hint="default"/>
              </w:rPr>
              <w:t>工厂、地区应急组织机构、人员</w:t>
            </w:r>
          </w:p>
        </w:tc>
      </w:tr>
      <w:tr w14:paraId="41DB6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90" w:type="dxa"/>
            <w:noWrap w:val="0"/>
            <w:vAlign w:val="center"/>
          </w:tcPr>
          <w:p w14:paraId="70130450">
            <w:pPr>
              <w:pStyle w:val="55"/>
              <w:bidi w:val="0"/>
              <w:rPr>
                <w:rFonts w:hint="default"/>
              </w:rPr>
            </w:pPr>
            <w:r>
              <w:rPr>
                <w:rFonts w:hint="default"/>
              </w:rPr>
              <w:t>3</w:t>
            </w:r>
          </w:p>
        </w:tc>
        <w:tc>
          <w:tcPr>
            <w:tcW w:w="2447" w:type="dxa"/>
            <w:noWrap w:val="0"/>
            <w:vAlign w:val="center"/>
          </w:tcPr>
          <w:p w14:paraId="02E86022">
            <w:pPr>
              <w:pStyle w:val="55"/>
              <w:bidi w:val="0"/>
              <w:rPr>
                <w:rFonts w:hint="default"/>
              </w:rPr>
            </w:pPr>
            <w:r>
              <w:rPr>
                <w:rFonts w:hint="default"/>
              </w:rPr>
              <w:t>预案分级响应条件</w:t>
            </w:r>
          </w:p>
        </w:tc>
        <w:tc>
          <w:tcPr>
            <w:tcW w:w="5949" w:type="dxa"/>
            <w:noWrap w:val="0"/>
            <w:vAlign w:val="center"/>
          </w:tcPr>
          <w:p w14:paraId="711DF5C6">
            <w:pPr>
              <w:pStyle w:val="55"/>
              <w:bidi w:val="0"/>
              <w:rPr>
                <w:rFonts w:hint="default"/>
              </w:rPr>
            </w:pPr>
            <w:r>
              <w:rPr>
                <w:rFonts w:hint="default"/>
              </w:rPr>
              <w:t>规定预案的级别及分级响应程序</w:t>
            </w:r>
          </w:p>
        </w:tc>
      </w:tr>
      <w:tr w14:paraId="73037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90" w:type="dxa"/>
            <w:noWrap w:val="0"/>
            <w:vAlign w:val="center"/>
          </w:tcPr>
          <w:p w14:paraId="12C36800">
            <w:pPr>
              <w:pStyle w:val="55"/>
              <w:bidi w:val="0"/>
              <w:rPr>
                <w:rFonts w:hint="default"/>
              </w:rPr>
            </w:pPr>
            <w:r>
              <w:rPr>
                <w:rFonts w:hint="default"/>
              </w:rPr>
              <w:t>4</w:t>
            </w:r>
          </w:p>
        </w:tc>
        <w:tc>
          <w:tcPr>
            <w:tcW w:w="2447" w:type="dxa"/>
            <w:noWrap w:val="0"/>
            <w:vAlign w:val="center"/>
          </w:tcPr>
          <w:p w14:paraId="54F86B14">
            <w:pPr>
              <w:pStyle w:val="55"/>
              <w:bidi w:val="0"/>
              <w:rPr>
                <w:rFonts w:hint="default"/>
              </w:rPr>
            </w:pPr>
            <w:r>
              <w:rPr>
                <w:rFonts w:hint="default"/>
              </w:rPr>
              <w:t>应急救援保障</w:t>
            </w:r>
          </w:p>
        </w:tc>
        <w:tc>
          <w:tcPr>
            <w:tcW w:w="5949" w:type="dxa"/>
            <w:noWrap w:val="0"/>
            <w:vAlign w:val="center"/>
          </w:tcPr>
          <w:p w14:paraId="1F7B045F">
            <w:pPr>
              <w:pStyle w:val="55"/>
              <w:bidi w:val="0"/>
              <w:rPr>
                <w:rFonts w:hint="default"/>
              </w:rPr>
            </w:pPr>
            <w:r>
              <w:rPr>
                <w:rFonts w:hint="default"/>
              </w:rPr>
              <w:t>应急设施，设备与器材等</w:t>
            </w:r>
          </w:p>
        </w:tc>
      </w:tr>
      <w:tr w14:paraId="09AD8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90" w:type="dxa"/>
            <w:noWrap w:val="0"/>
            <w:vAlign w:val="center"/>
          </w:tcPr>
          <w:p w14:paraId="00165716">
            <w:pPr>
              <w:pStyle w:val="55"/>
              <w:bidi w:val="0"/>
              <w:rPr>
                <w:rFonts w:hint="default"/>
              </w:rPr>
            </w:pPr>
            <w:r>
              <w:rPr>
                <w:rFonts w:hint="default"/>
              </w:rPr>
              <w:t>5</w:t>
            </w:r>
          </w:p>
        </w:tc>
        <w:tc>
          <w:tcPr>
            <w:tcW w:w="2447" w:type="dxa"/>
            <w:noWrap w:val="0"/>
            <w:vAlign w:val="center"/>
          </w:tcPr>
          <w:p w14:paraId="0E35DA8B">
            <w:pPr>
              <w:pStyle w:val="55"/>
              <w:bidi w:val="0"/>
              <w:rPr>
                <w:rFonts w:hint="default"/>
              </w:rPr>
            </w:pPr>
            <w:r>
              <w:rPr>
                <w:rFonts w:hint="default"/>
              </w:rPr>
              <w:t>报警、通讯方式</w:t>
            </w:r>
          </w:p>
        </w:tc>
        <w:tc>
          <w:tcPr>
            <w:tcW w:w="5949" w:type="dxa"/>
            <w:noWrap w:val="0"/>
            <w:vAlign w:val="center"/>
          </w:tcPr>
          <w:p w14:paraId="35328C19">
            <w:pPr>
              <w:pStyle w:val="55"/>
              <w:bidi w:val="0"/>
              <w:rPr>
                <w:rFonts w:hint="default"/>
              </w:rPr>
            </w:pPr>
            <w:r>
              <w:rPr>
                <w:rFonts w:hint="default"/>
              </w:rPr>
              <w:t>规定应急状态下的</w:t>
            </w:r>
            <w:r>
              <w:rPr>
                <w:rFonts w:hint="default"/>
                <w:lang w:eastAsia="zh-CN"/>
              </w:rPr>
              <w:t>报警通信</w:t>
            </w:r>
            <w:r>
              <w:rPr>
                <w:rFonts w:hint="default"/>
              </w:rPr>
              <w:t>方式、通知方式和交通保障</w:t>
            </w:r>
          </w:p>
        </w:tc>
      </w:tr>
      <w:tr w14:paraId="4DA90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90" w:type="dxa"/>
            <w:noWrap w:val="0"/>
            <w:vAlign w:val="center"/>
          </w:tcPr>
          <w:p w14:paraId="5A5B8C5D">
            <w:pPr>
              <w:pStyle w:val="55"/>
              <w:bidi w:val="0"/>
              <w:rPr>
                <w:rFonts w:hint="default"/>
              </w:rPr>
            </w:pPr>
            <w:r>
              <w:rPr>
                <w:rFonts w:hint="default"/>
              </w:rPr>
              <w:t>6</w:t>
            </w:r>
          </w:p>
        </w:tc>
        <w:tc>
          <w:tcPr>
            <w:tcW w:w="2447" w:type="dxa"/>
            <w:noWrap w:val="0"/>
            <w:vAlign w:val="center"/>
          </w:tcPr>
          <w:p w14:paraId="52008C09">
            <w:pPr>
              <w:pStyle w:val="55"/>
              <w:bidi w:val="0"/>
              <w:rPr>
                <w:rFonts w:hint="default"/>
              </w:rPr>
            </w:pPr>
            <w:r>
              <w:rPr>
                <w:rFonts w:hint="default"/>
              </w:rPr>
              <w:t>应急环境监测、抢险、救援及控制措施</w:t>
            </w:r>
          </w:p>
        </w:tc>
        <w:tc>
          <w:tcPr>
            <w:tcW w:w="5949" w:type="dxa"/>
            <w:noWrap w:val="0"/>
            <w:vAlign w:val="center"/>
          </w:tcPr>
          <w:p w14:paraId="118F1FF5">
            <w:pPr>
              <w:pStyle w:val="55"/>
              <w:bidi w:val="0"/>
              <w:rPr>
                <w:rFonts w:hint="default"/>
              </w:rPr>
            </w:pPr>
            <w:r>
              <w:rPr>
                <w:rFonts w:hint="default"/>
              </w:rPr>
              <w:t>由专业队伍负责对事故现场进行侦察监测，对事故性质、参数与后果进行评估，为指挥部门提供决策依据</w:t>
            </w:r>
          </w:p>
        </w:tc>
      </w:tr>
      <w:tr w14:paraId="18A42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90" w:type="dxa"/>
            <w:noWrap w:val="0"/>
            <w:vAlign w:val="center"/>
          </w:tcPr>
          <w:p w14:paraId="168589F1">
            <w:pPr>
              <w:pStyle w:val="55"/>
              <w:bidi w:val="0"/>
              <w:rPr>
                <w:rFonts w:hint="default"/>
              </w:rPr>
            </w:pPr>
            <w:r>
              <w:rPr>
                <w:rFonts w:hint="default"/>
              </w:rPr>
              <w:t>7</w:t>
            </w:r>
          </w:p>
        </w:tc>
        <w:tc>
          <w:tcPr>
            <w:tcW w:w="2447" w:type="dxa"/>
            <w:noWrap w:val="0"/>
            <w:vAlign w:val="center"/>
          </w:tcPr>
          <w:p w14:paraId="75EC4646">
            <w:pPr>
              <w:pStyle w:val="55"/>
              <w:bidi w:val="0"/>
              <w:rPr>
                <w:rFonts w:hint="default"/>
              </w:rPr>
            </w:pPr>
            <w:r>
              <w:rPr>
                <w:rFonts w:hint="default"/>
              </w:rPr>
              <w:t>应急检测、防护措施、清除泄漏措施和器材</w:t>
            </w:r>
          </w:p>
        </w:tc>
        <w:tc>
          <w:tcPr>
            <w:tcW w:w="5949" w:type="dxa"/>
            <w:noWrap w:val="0"/>
            <w:vAlign w:val="center"/>
          </w:tcPr>
          <w:p w14:paraId="3B6E822B">
            <w:pPr>
              <w:pStyle w:val="55"/>
              <w:bidi w:val="0"/>
              <w:rPr>
                <w:rFonts w:hint="default"/>
              </w:rPr>
            </w:pPr>
            <w:r>
              <w:rPr>
                <w:rFonts w:hint="default"/>
              </w:rPr>
              <w:t>事故现场、邻近区域、控制防火区域，控制和清除污染措施及相应设备</w:t>
            </w:r>
          </w:p>
        </w:tc>
      </w:tr>
      <w:tr w14:paraId="5C852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90" w:type="dxa"/>
            <w:noWrap w:val="0"/>
            <w:vAlign w:val="center"/>
          </w:tcPr>
          <w:p w14:paraId="5DA90A87">
            <w:pPr>
              <w:pStyle w:val="55"/>
              <w:bidi w:val="0"/>
              <w:rPr>
                <w:rFonts w:hint="default"/>
              </w:rPr>
            </w:pPr>
            <w:r>
              <w:rPr>
                <w:rFonts w:hint="default"/>
              </w:rPr>
              <w:t>8</w:t>
            </w:r>
          </w:p>
        </w:tc>
        <w:tc>
          <w:tcPr>
            <w:tcW w:w="2447" w:type="dxa"/>
            <w:noWrap w:val="0"/>
            <w:vAlign w:val="center"/>
          </w:tcPr>
          <w:p w14:paraId="52CE6B52">
            <w:pPr>
              <w:pStyle w:val="55"/>
              <w:bidi w:val="0"/>
              <w:rPr>
                <w:rFonts w:hint="default"/>
              </w:rPr>
            </w:pPr>
            <w:r>
              <w:rPr>
                <w:rFonts w:hint="default"/>
              </w:rPr>
              <w:t>人员紧急撤离、疏散，应急剂量控制、撤离组织计划</w:t>
            </w:r>
          </w:p>
        </w:tc>
        <w:tc>
          <w:tcPr>
            <w:tcW w:w="5949" w:type="dxa"/>
            <w:noWrap w:val="0"/>
            <w:vAlign w:val="center"/>
          </w:tcPr>
          <w:p w14:paraId="0BA39EB6">
            <w:pPr>
              <w:pStyle w:val="55"/>
              <w:bidi w:val="0"/>
              <w:rPr>
                <w:rFonts w:hint="default"/>
              </w:rPr>
            </w:pPr>
            <w:r>
              <w:rPr>
                <w:rFonts w:hint="default"/>
              </w:rPr>
              <w:t>事故现场、邻近区、受事故影响的区域人员及公众撤离组织计划及救护，医疗救护与公众健康</w:t>
            </w:r>
          </w:p>
        </w:tc>
      </w:tr>
      <w:tr w14:paraId="62C2F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90" w:type="dxa"/>
            <w:noWrap w:val="0"/>
            <w:vAlign w:val="center"/>
          </w:tcPr>
          <w:p w14:paraId="412A55A5">
            <w:pPr>
              <w:pStyle w:val="55"/>
              <w:bidi w:val="0"/>
              <w:rPr>
                <w:rFonts w:hint="default"/>
              </w:rPr>
            </w:pPr>
            <w:r>
              <w:rPr>
                <w:rFonts w:hint="default"/>
              </w:rPr>
              <w:t>9</w:t>
            </w:r>
          </w:p>
        </w:tc>
        <w:tc>
          <w:tcPr>
            <w:tcW w:w="2447" w:type="dxa"/>
            <w:noWrap w:val="0"/>
            <w:vAlign w:val="center"/>
          </w:tcPr>
          <w:p w14:paraId="008C3EA4">
            <w:pPr>
              <w:pStyle w:val="55"/>
              <w:bidi w:val="0"/>
              <w:rPr>
                <w:rFonts w:hint="default"/>
              </w:rPr>
            </w:pPr>
            <w:r>
              <w:rPr>
                <w:rFonts w:hint="default"/>
              </w:rPr>
              <w:t>事故应急救援关闭程序与恢复措施</w:t>
            </w:r>
          </w:p>
        </w:tc>
        <w:tc>
          <w:tcPr>
            <w:tcW w:w="5949" w:type="dxa"/>
            <w:noWrap w:val="0"/>
            <w:vAlign w:val="center"/>
          </w:tcPr>
          <w:p w14:paraId="646E4D30">
            <w:pPr>
              <w:pStyle w:val="55"/>
              <w:bidi w:val="0"/>
              <w:rPr>
                <w:rFonts w:hint="default"/>
              </w:rPr>
            </w:pPr>
            <w:r>
              <w:rPr>
                <w:rFonts w:hint="default"/>
              </w:rPr>
              <w:t>规定应急状态终止程序；事故现场善后处理，恢复措施；邻近区域解除事故警戒及善后恢复措施</w:t>
            </w:r>
          </w:p>
        </w:tc>
      </w:tr>
      <w:tr w14:paraId="0352D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90" w:type="dxa"/>
            <w:noWrap w:val="0"/>
            <w:vAlign w:val="center"/>
          </w:tcPr>
          <w:p w14:paraId="0E80D44C">
            <w:pPr>
              <w:pStyle w:val="55"/>
              <w:bidi w:val="0"/>
              <w:rPr>
                <w:rFonts w:hint="default"/>
              </w:rPr>
            </w:pPr>
            <w:r>
              <w:rPr>
                <w:rFonts w:hint="default"/>
              </w:rPr>
              <w:t>10</w:t>
            </w:r>
          </w:p>
        </w:tc>
        <w:tc>
          <w:tcPr>
            <w:tcW w:w="2447" w:type="dxa"/>
            <w:noWrap w:val="0"/>
            <w:vAlign w:val="center"/>
          </w:tcPr>
          <w:p w14:paraId="51F2687B">
            <w:pPr>
              <w:pStyle w:val="55"/>
              <w:bidi w:val="0"/>
              <w:rPr>
                <w:rFonts w:hint="default"/>
              </w:rPr>
            </w:pPr>
            <w:r>
              <w:rPr>
                <w:rFonts w:hint="default"/>
              </w:rPr>
              <w:t>应急培训计划</w:t>
            </w:r>
          </w:p>
        </w:tc>
        <w:tc>
          <w:tcPr>
            <w:tcW w:w="5949" w:type="dxa"/>
            <w:noWrap w:val="0"/>
            <w:vAlign w:val="center"/>
          </w:tcPr>
          <w:p w14:paraId="4585C2EF">
            <w:pPr>
              <w:pStyle w:val="55"/>
              <w:bidi w:val="0"/>
              <w:rPr>
                <w:rFonts w:hint="default"/>
              </w:rPr>
            </w:pPr>
            <w:r>
              <w:rPr>
                <w:rFonts w:hint="default"/>
              </w:rPr>
              <w:t>应急计划制定后，平时安排人员培训与演练</w:t>
            </w:r>
          </w:p>
        </w:tc>
      </w:tr>
      <w:tr w14:paraId="7D547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90" w:type="dxa"/>
            <w:noWrap w:val="0"/>
            <w:vAlign w:val="center"/>
          </w:tcPr>
          <w:p w14:paraId="5544A819">
            <w:pPr>
              <w:pStyle w:val="55"/>
              <w:bidi w:val="0"/>
              <w:rPr>
                <w:rFonts w:hint="default"/>
              </w:rPr>
            </w:pPr>
            <w:r>
              <w:rPr>
                <w:rFonts w:hint="default"/>
              </w:rPr>
              <w:t>11</w:t>
            </w:r>
          </w:p>
        </w:tc>
        <w:tc>
          <w:tcPr>
            <w:tcW w:w="2447" w:type="dxa"/>
            <w:noWrap w:val="0"/>
            <w:vAlign w:val="center"/>
          </w:tcPr>
          <w:p w14:paraId="6A702218">
            <w:pPr>
              <w:pStyle w:val="55"/>
              <w:bidi w:val="0"/>
              <w:rPr>
                <w:rFonts w:hint="default"/>
              </w:rPr>
            </w:pPr>
            <w:r>
              <w:rPr>
                <w:rFonts w:hint="default"/>
              </w:rPr>
              <w:t>公众教育和信息</w:t>
            </w:r>
          </w:p>
        </w:tc>
        <w:tc>
          <w:tcPr>
            <w:tcW w:w="5949" w:type="dxa"/>
            <w:noWrap w:val="0"/>
            <w:vAlign w:val="center"/>
          </w:tcPr>
          <w:p w14:paraId="13BD91E9">
            <w:pPr>
              <w:pStyle w:val="55"/>
              <w:bidi w:val="0"/>
              <w:rPr>
                <w:rFonts w:hint="default"/>
              </w:rPr>
            </w:pPr>
            <w:r>
              <w:rPr>
                <w:rFonts w:hint="default"/>
              </w:rPr>
              <w:t>对工厂邻近地区开展公众教育、培训和发布有关信息</w:t>
            </w:r>
          </w:p>
        </w:tc>
      </w:tr>
    </w:tbl>
    <w:p w14:paraId="750F80FC">
      <w:pPr>
        <w:pStyle w:val="92"/>
        <w:bidi w:val="0"/>
        <w:ind w:left="0" w:leftChars="0" w:firstLine="0" w:firstLineChars="0"/>
      </w:pPr>
      <w:r>
        <w:rPr>
          <w:rFonts w:hint="eastAsia"/>
          <w:lang w:val="en-US" w:eastAsia="zh-CN"/>
        </w:rPr>
        <w:t>环境</w:t>
      </w:r>
      <w:r>
        <w:rPr>
          <w:rFonts w:hint="eastAsia"/>
        </w:rPr>
        <w:t>风险评价结论</w:t>
      </w:r>
    </w:p>
    <w:p w14:paraId="1DC39668">
      <w:pPr>
        <w:pStyle w:val="47"/>
        <w:rPr>
          <w:rFonts w:hint="eastAsia"/>
        </w:rPr>
      </w:pPr>
      <w:r>
        <w:rPr>
          <w:rFonts w:hint="eastAsia"/>
        </w:rPr>
        <w:t>根据环境风险影响评价，项目</w:t>
      </w:r>
      <w:r>
        <w:rPr>
          <w:rFonts w:hint="eastAsia"/>
          <w:lang w:val="en-US" w:eastAsia="zh-CN"/>
        </w:rPr>
        <w:t>风险物质主要为危险废物</w:t>
      </w:r>
      <w:r>
        <w:rPr>
          <w:rFonts w:hint="eastAsia"/>
        </w:rPr>
        <w:t>，不构成重大危险源，环境风险单元主要为储存区、生产车间和危险废物</w:t>
      </w:r>
      <w:r>
        <w:rPr>
          <w:rFonts w:hint="eastAsia"/>
          <w:lang w:eastAsia="zh-CN"/>
        </w:rPr>
        <w:t>暂存间</w:t>
      </w:r>
      <w:r>
        <w:rPr>
          <w:rFonts w:hint="eastAsia"/>
        </w:rPr>
        <w:t>，环境风险类型为火灾、废气事故排放、废润滑油泄漏，在采取相应的风险防范措施，并加强安全管理后，本项目的环境风险在可接受的范围内。</w:t>
      </w:r>
    </w:p>
    <w:p w14:paraId="028DFA61">
      <w:pPr>
        <w:pStyle w:val="47"/>
        <w:bidi w:val="0"/>
        <w:rPr>
          <w:rFonts w:hint="default"/>
        </w:rPr>
      </w:pPr>
      <w:r>
        <w:rPr>
          <w:rFonts w:hint="default"/>
        </w:rPr>
        <w:t>建设项目环境风险简单分析内容见</w:t>
      </w:r>
      <w:r>
        <w:rPr>
          <w:rFonts w:hint="eastAsia"/>
          <w:lang w:val="en-US" w:eastAsia="zh-CN"/>
        </w:rPr>
        <w:t>下</w:t>
      </w:r>
      <w:r>
        <w:rPr>
          <w:rFonts w:hint="default"/>
        </w:rPr>
        <w:t>表。</w:t>
      </w:r>
    </w:p>
    <w:p w14:paraId="73E6C0CA">
      <w:pPr>
        <w:pStyle w:val="94"/>
        <w:bidi w:val="0"/>
        <w:ind w:left="0" w:leftChars="0" w:firstLine="0" w:firstLineChars="0"/>
        <w:rPr>
          <w:rFonts w:hint="default"/>
        </w:rPr>
      </w:pPr>
      <w:r>
        <w:rPr>
          <w:rFonts w:hint="default"/>
        </w:rPr>
        <w:t>建设项目环境风险简单分析内容表</w:t>
      </w:r>
    </w:p>
    <w:tbl>
      <w:tblPr>
        <w:tblStyle w:val="32"/>
        <w:tblW w:w="501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69"/>
        <w:gridCol w:w="1304"/>
        <w:gridCol w:w="2048"/>
        <w:gridCol w:w="1007"/>
        <w:gridCol w:w="3073"/>
      </w:tblGrid>
      <w:tr w14:paraId="0F5D42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667" w:type="dxa"/>
            <w:tcBorders>
              <w:tl2br w:val="nil"/>
              <w:tr2bl w:val="nil"/>
            </w:tcBorders>
            <w:noWrap w:val="0"/>
            <w:vAlign w:val="center"/>
          </w:tcPr>
          <w:p w14:paraId="41C30213">
            <w:pPr>
              <w:pStyle w:val="55"/>
              <w:bidi w:val="0"/>
              <w:rPr>
                <w:rFonts w:hint="default"/>
              </w:rPr>
            </w:pPr>
            <w:r>
              <w:rPr>
                <w:rFonts w:hint="default"/>
              </w:rPr>
              <w:t>建设项目名称</w:t>
            </w:r>
          </w:p>
        </w:tc>
        <w:tc>
          <w:tcPr>
            <w:tcW w:w="7425" w:type="dxa"/>
            <w:gridSpan w:val="4"/>
            <w:tcBorders>
              <w:tl2br w:val="nil"/>
              <w:tr2bl w:val="nil"/>
            </w:tcBorders>
            <w:noWrap w:val="0"/>
            <w:vAlign w:val="center"/>
          </w:tcPr>
          <w:p w14:paraId="595409E4">
            <w:pPr>
              <w:pStyle w:val="55"/>
              <w:bidi w:val="0"/>
              <w:rPr>
                <w:rFonts w:hint="default"/>
                <w:lang w:eastAsia="zh-CN"/>
              </w:rPr>
            </w:pPr>
            <w:r>
              <w:rPr>
                <w:rFonts w:hint="eastAsia"/>
                <w:lang w:val="en-US" w:eastAsia="zh-CN"/>
              </w:rPr>
              <w:t>顺平县金光塑料制品有限公司年产25000吨PVC塑料制品建设项目</w:t>
            </w:r>
          </w:p>
        </w:tc>
      </w:tr>
      <w:tr w14:paraId="56C2EA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667" w:type="dxa"/>
            <w:tcBorders>
              <w:tl2br w:val="nil"/>
              <w:tr2bl w:val="nil"/>
            </w:tcBorders>
            <w:noWrap w:val="0"/>
            <w:vAlign w:val="center"/>
          </w:tcPr>
          <w:p w14:paraId="11ADB1BE">
            <w:pPr>
              <w:pStyle w:val="55"/>
              <w:bidi w:val="0"/>
              <w:rPr>
                <w:rFonts w:hint="default"/>
              </w:rPr>
            </w:pPr>
            <w:r>
              <w:rPr>
                <w:rFonts w:hint="default"/>
              </w:rPr>
              <w:t>建设地点</w:t>
            </w:r>
          </w:p>
        </w:tc>
        <w:tc>
          <w:tcPr>
            <w:tcW w:w="1303" w:type="dxa"/>
            <w:tcBorders>
              <w:tl2br w:val="nil"/>
              <w:tr2bl w:val="nil"/>
            </w:tcBorders>
            <w:noWrap w:val="0"/>
            <w:vAlign w:val="center"/>
          </w:tcPr>
          <w:p w14:paraId="1AD2C23C">
            <w:pPr>
              <w:pStyle w:val="55"/>
              <w:bidi w:val="0"/>
              <w:rPr>
                <w:rFonts w:hint="eastAsia" w:eastAsia="楷体"/>
                <w:lang w:eastAsia="zh-CN"/>
              </w:rPr>
            </w:pPr>
            <w:r>
              <w:rPr>
                <w:rFonts w:hint="eastAsia"/>
                <w:lang w:val="en-US" w:eastAsia="zh-CN"/>
              </w:rPr>
              <w:t>河北省</w:t>
            </w:r>
          </w:p>
        </w:tc>
        <w:tc>
          <w:tcPr>
            <w:tcW w:w="2046" w:type="dxa"/>
            <w:tcBorders>
              <w:tl2br w:val="nil"/>
              <w:tr2bl w:val="nil"/>
            </w:tcBorders>
            <w:noWrap w:val="0"/>
            <w:vAlign w:val="center"/>
          </w:tcPr>
          <w:p w14:paraId="52FA5801">
            <w:pPr>
              <w:pStyle w:val="55"/>
              <w:bidi w:val="0"/>
              <w:rPr>
                <w:rFonts w:hint="default"/>
              </w:rPr>
            </w:pPr>
            <w:r>
              <w:rPr>
                <w:rFonts w:hint="eastAsia"/>
                <w:lang w:val="en-US" w:eastAsia="zh-CN"/>
              </w:rPr>
              <w:t>保定市</w:t>
            </w:r>
          </w:p>
        </w:tc>
        <w:tc>
          <w:tcPr>
            <w:tcW w:w="1006" w:type="dxa"/>
            <w:tcBorders>
              <w:tl2br w:val="nil"/>
              <w:tr2bl w:val="nil"/>
            </w:tcBorders>
            <w:noWrap w:val="0"/>
            <w:vAlign w:val="center"/>
          </w:tcPr>
          <w:p w14:paraId="2D4B815B">
            <w:pPr>
              <w:pStyle w:val="55"/>
              <w:bidi w:val="0"/>
              <w:rPr>
                <w:rFonts w:hint="eastAsia" w:eastAsia="楷体"/>
                <w:lang w:eastAsia="zh-CN"/>
              </w:rPr>
            </w:pPr>
            <w:r>
              <w:rPr>
                <w:rFonts w:hint="eastAsia"/>
                <w:lang w:val="en-US" w:eastAsia="zh-CN"/>
              </w:rPr>
              <w:t>顺平县</w:t>
            </w:r>
          </w:p>
        </w:tc>
        <w:tc>
          <w:tcPr>
            <w:tcW w:w="3070" w:type="dxa"/>
            <w:tcBorders>
              <w:tl2br w:val="nil"/>
              <w:tr2bl w:val="nil"/>
            </w:tcBorders>
            <w:noWrap w:val="0"/>
            <w:vAlign w:val="center"/>
          </w:tcPr>
          <w:p w14:paraId="6E9DBBAD">
            <w:pPr>
              <w:pStyle w:val="55"/>
              <w:bidi w:val="0"/>
              <w:rPr>
                <w:rFonts w:hint="default"/>
              </w:rPr>
            </w:pPr>
            <w:r>
              <w:rPr>
                <w:rFonts w:hint="default"/>
              </w:rPr>
              <w:t>塑料产业循环经济园区北园</w:t>
            </w:r>
          </w:p>
        </w:tc>
      </w:tr>
      <w:tr w14:paraId="0C2D9F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667" w:type="dxa"/>
            <w:tcBorders>
              <w:tl2br w:val="nil"/>
              <w:tr2bl w:val="nil"/>
            </w:tcBorders>
            <w:noWrap w:val="0"/>
            <w:vAlign w:val="center"/>
          </w:tcPr>
          <w:p w14:paraId="346C6D64">
            <w:pPr>
              <w:pStyle w:val="55"/>
              <w:bidi w:val="0"/>
              <w:rPr>
                <w:rFonts w:hint="default"/>
              </w:rPr>
            </w:pPr>
            <w:r>
              <w:rPr>
                <w:rFonts w:hint="default"/>
              </w:rPr>
              <w:t>地理坐标</w:t>
            </w:r>
          </w:p>
        </w:tc>
        <w:tc>
          <w:tcPr>
            <w:tcW w:w="1303" w:type="dxa"/>
            <w:tcBorders>
              <w:tl2br w:val="nil"/>
              <w:tr2bl w:val="nil"/>
            </w:tcBorders>
            <w:noWrap w:val="0"/>
            <w:vAlign w:val="center"/>
          </w:tcPr>
          <w:p w14:paraId="125A4352">
            <w:pPr>
              <w:pStyle w:val="55"/>
              <w:bidi w:val="0"/>
              <w:rPr>
                <w:rFonts w:hint="default"/>
              </w:rPr>
            </w:pPr>
            <w:r>
              <w:rPr>
                <w:rFonts w:hint="default"/>
              </w:rPr>
              <w:t>经度</w:t>
            </w:r>
          </w:p>
        </w:tc>
        <w:tc>
          <w:tcPr>
            <w:tcW w:w="2046" w:type="dxa"/>
            <w:tcBorders>
              <w:tl2br w:val="nil"/>
              <w:tr2bl w:val="nil"/>
            </w:tcBorders>
            <w:noWrap w:val="0"/>
            <w:vAlign w:val="center"/>
          </w:tcPr>
          <w:p w14:paraId="05C2CB41">
            <w:pPr>
              <w:pStyle w:val="55"/>
              <w:bidi w:val="0"/>
              <w:rPr>
                <w:rFonts w:hint="default"/>
              </w:rPr>
            </w:pPr>
            <w:r>
              <w:rPr>
                <w:rFonts w:hint="eastAsia"/>
              </w:rPr>
              <w:t>115</w:t>
            </w:r>
            <w:r>
              <w:rPr>
                <w:rFonts w:hint="eastAsia" w:ascii="宋体" w:hAnsi="宋体" w:eastAsia="宋体" w:cs="宋体"/>
              </w:rPr>
              <w:t>°</w:t>
            </w:r>
            <w:r>
              <w:rPr>
                <w:rFonts w:hint="eastAsia"/>
              </w:rPr>
              <w:t>11</w:t>
            </w:r>
            <w:r>
              <w:rPr>
                <w:rFonts w:hint="default" w:ascii="Calibri" w:hAnsi="Calibri" w:cs="Calibri"/>
              </w:rPr>
              <w:t>'</w:t>
            </w:r>
            <w:r>
              <w:rPr>
                <w:rFonts w:hint="eastAsia"/>
              </w:rPr>
              <w:t>11.361</w:t>
            </w:r>
            <w:r>
              <w:rPr>
                <w:rFonts w:hint="default" w:ascii="Calibri" w:hAnsi="Calibri" w:cs="Calibri"/>
              </w:rPr>
              <w:t>"</w:t>
            </w:r>
          </w:p>
        </w:tc>
        <w:tc>
          <w:tcPr>
            <w:tcW w:w="1006" w:type="dxa"/>
            <w:tcBorders>
              <w:tl2br w:val="nil"/>
              <w:tr2bl w:val="nil"/>
            </w:tcBorders>
            <w:noWrap w:val="0"/>
            <w:vAlign w:val="center"/>
          </w:tcPr>
          <w:p w14:paraId="5310566D">
            <w:pPr>
              <w:pStyle w:val="55"/>
              <w:bidi w:val="0"/>
              <w:rPr>
                <w:rFonts w:hint="default"/>
              </w:rPr>
            </w:pPr>
            <w:r>
              <w:rPr>
                <w:rFonts w:hint="default"/>
              </w:rPr>
              <w:t>纬度</w:t>
            </w:r>
          </w:p>
        </w:tc>
        <w:tc>
          <w:tcPr>
            <w:tcW w:w="3070" w:type="dxa"/>
            <w:tcBorders>
              <w:tl2br w:val="nil"/>
              <w:tr2bl w:val="nil"/>
            </w:tcBorders>
            <w:noWrap w:val="0"/>
            <w:vAlign w:val="center"/>
          </w:tcPr>
          <w:p w14:paraId="603CBDF0">
            <w:pPr>
              <w:pStyle w:val="55"/>
              <w:bidi w:val="0"/>
              <w:rPr>
                <w:rFonts w:hint="default"/>
                <w:lang w:eastAsia="zh-CN"/>
              </w:rPr>
            </w:pPr>
            <w:r>
              <w:rPr>
                <w:rFonts w:hint="eastAsia"/>
              </w:rPr>
              <w:t>38°47</w:t>
            </w:r>
            <w:r>
              <w:rPr>
                <w:rFonts w:hint="default" w:ascii="Calibri" w:hAnsi="Calibri" w:cs="Calibri"/>
              </w:rPr>
              <w:t>'</w:t>
            </w:r>
            <w:r>
              <w:rPr>
                <w:rFonts w:hint="eastAsia"/>
              </w:rPr>
              <w:t>39.758</w:t>
            </w:r>
            <w:r>
              <w:rPr>
                <w:rFonts w:hint="default" w:ascii="Calibri" w:hAnsi="Calibri" w:cs="Calibri"/>
              </w:rPr>
              <w:t>"</w:t>
            </w:r>
          </w:p>
        </w:tc>
      </w:tr>
      <w:tr w14:paraId="13726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667" w:type="dxa"/>
            <w:tcBorders>
              <w:tl2br w:val="nil"/>
              <w:tr2bl w:val="nil"/>
            </w:tcBorders>
            <w:noWrap w:val="0"/>
            <w:vAlign w:val="center"/>
          </w:tcPr>
          <w:p w14:paraId="417BDE6C">
            <w:pPr>
              <w:pStyle w:val="55"/>
              <w:bidi w:val="0"/>
              <w:rPr>
                <w:rFonts w:hint="default"/>
              </w:rPr>
            </w:pPr>
            <w:r>
              <w:rPr>
                <w:rFonts w:hint="default"/>
              </w:rPr>
              <w:t>主要危险物质</w:t>
            </w:r>
          </w:p>
          <w:p w14:paraId="1FBFE8F8">
            <w:pPr>
              <w:pStyle w:val="55"/>
              <w:bidi w:val="0"/>
              <w:rPr>
                <w:rFonts w:hint="default"/>
              </w:rPr>
            </w:pPr>
            <w:r>
              <w:rPr>
                <w:rFonts w:hint="default"/>
              </w:rPr>
              <w:t>及分布</w:t>
            </w:r>
          </w:p>
        </w:tc>
        <w:tc>
          <w:tcPr>
            <w:tcW w:w="7425" w:type="dxa"/>
            <w:gridSpan w:val="4"/>
            <w:tcBorders>
              <w:tl2br w:val="nil"/>
              <w:tr2bl w:val="nil"/>
            </w:tcBorders>
            <w:noWrap w:val="0"/>
            <w:vAlign w:val="center"/>
          </w:tcPr>
          <w:p w14:paraId="0F4987D2">
            <w:pPr>
              <w:pStyle w:val="55"/>
              <w:bidi w:val="0"/>
              <w:jc w:val="both"/>
              <w:rPr>
                <w:rFonts w:hint="default"/>
                <w:lang w:eastAsia="zh-CN"/>
              </w:rPr>
            </w:pPr>
            <w:r>
              <w:rPr>
                <w:rFonts w:hint="default"/>
                <w:lang w:eastAsia="zh-CN"/>
              </w:rPr>
              <w:t>项目涉及风险物质主要为</w:t>
            </w:r>
            <w:r>
              <w:rPr>
                <w:rFonts w:hint="eastAsia"/>
                <w:lang w:val="en-US" w:eastAsia="zh-CN"/>
              </w:rPr>
              <w:t>危险废物</w:t>
            </w:r>
            <w:r>
              <w:rPr>
                <w:rFonts w:hint="default"/>
                <w:lang w:eastAsia="zh-CN"/>
              </w:rPr>
              <w:t>，主要原辅材料属于易燃物质，回收的废旧</w:t>
            </w:r>
            <w:r>
              <w:rPr>
                <w:rFonts w:hint="eastAsia"/>
                <w:lang w:val="en-US" w:eastAsia="zh-CN"/>
              </w:rPr>
              <w:t>塑料</w:t>
            </w:r>
            <w:r>
              <w:rPr>
                <w:rFonts w:hint="default"/>
                <w:lang w:eastAsia="zh-CN"/>
              </w:rPr>
              <w:t>设置篷布遮盖、产品堆放于</w:t>
            </w:r>
            <w:r>
              <w:rPr>
                <w:rFonts w:hint="default"/>
                <w:lang w:val="en-US" w:eastAsia="zh-CN"/>
              </w:rPr>
              <w:t>成品库</w:t>
            </w:r>
            <w:r>
              <w:rPr>
                <w:rFonts w:hint="default"/>
                <w:lang w:eastAsia="zh-CN"/>
              </w:rPr>
              <w:t>区、废润滑油储存在</w:t>
            </w:r>
            <w:r>
              <w:rPr>
                <w:rFonts w:hint="eastAsia"/>
                <w:lang w:val="en-US" w:eastAsia="zh-CN"/>
              </w:rPr>
              <w:t>危险废物暂存间</w:t>
            </w:r>
            <w:r>
              <w:rPr>
                <w:rFonts w:hint="default"/>
                <w:lang w:val="en-US" w:eastAsia="zh-CN"/>
              </w:rPr>
              <w:t>内。</w:t>
            </w:r>
          </w:p>
        </w:tc>
      </w:tr>
      <w:tr w14:paraId="5E05E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667" w:type="dxa"/>
            <w:tcBorders>
              <w:tl2br w:val="nil"/>
              <w:tr2bl w:val="nil"/>
            </w:tcBorders>
            <w:noWrap w:val="0"/>
            <w:vAlign w:val="center"/>
          </w:tcPr>
          <w:p w14:paraId="411889C1">
            <w:pPr>
              <w:pStyle w:val="55"/>
              <w:bidi w:val="0"/>
              <w:rPr>
                <w:rFonts w:hint="default"/>
              </w:rPr>
            </w:pPr>
            <w:r>
              <w:rPr>
                <w:rFonts w:hint="default"/>
              </w:rPr>
              <w:t>环境影响途径</w:t>
            </w:r>
          </w:p>
          <w:p w14:paraId="15530BA1">
            <w:pPr>
              <w:pStyle w:val="55"/>
              <w:bidi w:val="0"/>
              <w:rPr>
                <w:rFonts w:hint="default"/>
              </w:rPr>
            </w:pPr>
            <w:r>
              <w:rPr>
                <w:rFonts w:hint="default"/>
              </w:rPr>
              <w:t>及危害后果</w:t>
            </w:r>
          </w:p>
        </w:tc>
        <w:tc>
          <w:tcPr>
            <w:tcW w:w="7425" w:type="dxa"/>
            <w:gridSpan w:val="4"/>
            <w:tcBorders>
              <w:tl2br w:val="nil"/>
              <w:tr2bl w:val="nil"/>
            </w:tcBorders>
            <w:noWrap w:val="0"/>
            <w:vAlign w:val="center"/>
          </w:tcPr>
          <w:p w14:paraId="71D3B9EB">
            <w:pPr>
              <w:pStyle w:val="55"/>
              <w:bidi w:val="0"/>
              <w:jc w:val="both"/>
              <w:rPr>
                <w:rFonts w:hint="default"/>
              </w:rPr>
            </w:pPr>
            <w:r>
              <w:rPr>
                <w:rFonts w:hint="eastAsia"/>
                <w:lang w:val="en-US" w:eastAsia="zh-CN"/>
              </w:rPr>
              <w:t>废塑料、成品等贮运和使用过程中操作不当引起火灾事故，发生火灾</w:t>
            </w:r>
            <w:r>
              <w:rPr>
                <w:rFonts w:hint="default"/>
              </w:rPr>
              <w:t>对环境的污染影响主要来自原辅材料及成品燃烧释放的大量的有害气体。因此，火灾发生时将不可避免的对厂区人员安全与生产设施产生不利影响。废机油泄漏污染地下水环境和土壤环境。</w:t>
            </w:r>
          </w:p>
        </w:tc>
      </w:tr>
      <w:tr w14:paraId="3F8CF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667" w:type="dxa"/>
            <w:tcBorders>
              <w:tl2br w:val="nil"/>
              <w:tr2bl w:val="nil"/>
            </w:tcBorders>
            <w:noWrap w:val="0"/>
            <w:vAlign w:val="center"/>
          </w:tcPr>
          <w:p w14:paraId="7FF84218">
            <w:pPr>
              <w:pStyle w:val="55"/>
              <w:bidi w:val="0"/>
              <w:rPr>
                <w:rFonts w:hint="default"/>
              </w:rPr>
            </w:pPr>
            <w:r>
              <w:rPr>
                <w:rFonts w:hint="default"/>
              </w:rPr>
              <w:t>风险防范措施要求</w:t>
            </w:r>
          </w:p>
        </w:tc>
        <w:tc>
          <w:tcPr>
            <w:tcW w:w="7425" w:type="dxa"/>
            <w:gridSpan w:val="4"/>
            <w:tcBorders>
              <w:tl2br w:val="nil"/>
              <w:tr2bl w:val="nil"/>
            </w:tcBorders>
            <w:noWrap w:val="0"/>
            <w:vAlign w:val="center"/>
          </w:tcPr>
          <w:p w14:paraId="5E20F6AC">
            <w:pPr>
              <w:pStyle w:val="55"/>
              <w:bidi w:val="0"/>
              <w:jc w:val="both"/>
              <w:rPr>
                <w:rFonts w:hint="eastAsia"/>
                <w:lang w:eastAsia="zh-CN"/>
              </w:rPr>
            </w:pPr>
            <w:r>
              <w:rPr>
                <w:rFonts w:hint="eastAsia"/>
                <w:lang w:val="en-US" w:eastAsia="zh-CN"/>
              </w:rPr>
              <w:t>①</w:t>
            </w:r>
            <w:r>
              <w:rPr>
                <w:rFonts w:hint="default"/>
              </w:rPr>
              <w:t>制定突发事件环境应急预案并定期演练</w:t>
            </w:r>
            <w:r>
              <w:rPr>
                <w:rFonts w:hint="eastAsia"/>
                <w:lang w:eastAsia="zh-CN"/>
              </w:rPr>
              <w:t>；</w:t>
            </w:r>
          </w:p>
          <w:p w14:paraId="09AEE471">
            <w:pPr>
              <w:pStyle w:val="55"/>
              <w:bidi w:val="0"/>
              <w:jc w:val="both"/>
              <w:rPr>
                <w:rFonts w:hint="eastAsia"/>
                <w:lang w:eastAsia="zh-CN"/>
              </w:rPr>
            </w:pPr>
            <w:r>
              <w:rPr>
                <w:rFonts w:hint="eastAsia"/>
                <w:lang w:val="en-US" w:eastAsia="zh-CN"/>
              </w:rPr>
              <w:t>②</w:t>
            </w:r>
            <w:r>
              <w:rPr>
                <w:rFonts w:hint="default"/>
              </w:rPr>
              <w:t>从原料及成品运输、储存、生产过程均采取相应的风险防范措施，企业须对生产设备及环保设备定期检修，保证各设备的正常运行</w:t>
            </w:r>
            <w:r>
              <w:rPr>
                <w:rFonts w:hint="eastAsia"/>
                <w:lang w:eastAsia="zh-CN"/>
              </w:rPr>
              <w:t>；</w:t>
            </w:r>
          </w:p>
          <w:p w14:paraId="224FA4E8">
            <w:pPr>
              <w:pStyle w:val="55"/>
              <w:bidi w:val="0"/>
              <w:jc w:val="both"/>
              <w:rPr>
                <w:rFonts w:hint="default"/>
              </w:rPr>
            </w:pPr>
            <w:r>
              <w:rPr>
                <w:rFonts w:hint="eastAsia"/>
                <w:lang w:val="en-US" w:eastAsia="zh-CN"/>
              </w:rPr>
              <w:t>③</w:t>
            </w:r>
            <w:r>
              <w:rPr>
                <w:rFonts w:hint="default"/>
              </w:rPr>
              <w:t>采取分区防渗进行风险防范。</w:t>
            </w:r>
          </w:p>
          <w:p w14:paraId="55933325">
            <w:pPr>
              <w:pStyle w:val="55"/>
              <w:bidi w:val="0"/>
              <w:jc w:val="both"/>
              <w:rPr>
                <w:rFonts w:hint="default"/>
              </w:rPr>
            </w:pPr>
            <w:r>
              <w:rPr>
                <w:rFonts w:hint="eastAsia"/>
                <w:lang w:val="en-US" w:eastAsia="zh-CN"/>
              </w:rPr>
              <w:t>④</w:t>
            </w:r>
            <w:r>
              <w:rPr>
                <w:rFonts w:hint="eastAsia"/>
                <w:lang w:eastAsia="zh-CN"/>
              </w:rPr>
              <w:t>危险废物贮存库</w:t>
            </w:r>
            <w:r>
              <w:rPr>
                <w:rFonts w:hint="default"/>
              </w:rPr>
              <w:t>严格按照《危险废物贮存污染控制标准》(GB18597-2023)中的规定建设。</w:t>
            </w:r>
          </w:p>
          <w:p w14:paraId="0DEB3A28">
            <w:pPr>
              <w:pStyle w:val="55"/>
              <w:bidi w:val="0"/>
              <w:jc w:val="both"/>
              <w:rPr>
                <w:rFonts w:hint="default"/>
              </w:rPr>
            </w:pPr>
            <w:r>
              <w:rPr>
                <w:rFonts w:hint="default"/>
              </w:rPr>
              <w:t>详见</w:t>
            </w:r>
            <w:r>
              <w:rPr>
                <w:rFonts w:hint="eastAsia"/>
                <w:lang w:val="en-US" w:eastAsia="zh-CN"/>
              </w:rPr>
              <w:t>本章节</w:t>
            </w:r>
            <w:r>
              <w:rPr>
                <w:rFonts w:hint="default"/>
              </w:rPr>
              <w:t>风险防范措施。</w:t>
            </w:r>
          </w:p>
        </w:tc>
      </w:tr>
      <w:tr w14:paraId="0A98CD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9092" w:type="dxa"/>
            <w:gridSpan w:val="5"/>
            <w:tcBorders>
              <w:tl2br w:val="nil"/>
              <w:tr2bl w:val="nil"/>
            </w:tcBorders>
            <w:noWrap w:val="0"/>
            <w:vAlign w:val="center"/>
          </w:tcPr>
          <w:p w14:paraId="27B7F5EA">
            <w:pPr>
              <w:pStyle w:val="55"/>
              <w:bidi w:val="0"/>
              <w:jc w:val="both"/>
              <w:rPr>
                <w:rFonts w:hint="default"/>
              </w:rPr>
            </w:pPr>
            <w:r>
              <w:rPr>
                <w:rFonts w:hint="default"/>
              </w:rPr>
              <w:t>填表说明（列出项目相关信息及评价说明）：根据《建设项目环境风险评价技术导则》（HJ169-2018），项目环境风险潜势为I，只开展简单分析。</w:t>
            </w:r>
          </w:p>
        </w:tc>
      </w:tr>
    </w:tbl>
    <w:p w14:paraId="09636348">
      <w:pPr>
        <w:pStyle w:val="47"/>
        <w:rPr>
          <w:rFonts w:hint="eastAsia"/>
        </w:rPr>
      </w:pPr>
    </w:p>
    <w:p w14:paraId="5243CE93">
      <w:pPr>
        <w:pStyle w:val="47"/>
        <w:ind w:left="0" w:leftChars="0" w:firstLine="0" w:firstLineChars="0"/>
        <w:sectPr>
          <w:pgSz w:w="11906" w:h="16838"/>
          <w:pgMar w:top="1417" w:right="1417" w:bottom="1417" w:left="1417" w:header="964" w:footer="964" w:gutter="0"/>
          <w:pgBorders>
            <w:top w:val="none" w:sz="0" w:space="0"/>
            <w:left w:val="none" w:sz="0" w:space="0"/>
            <w:bottom w:val="none" w:sz="0" w:space="0"/>
            <w:right w:val="none" w:sz="0" w:space="0"/>
          </w:pgBorders>
          <w:pgNumType w:fmt="decimal"/>
          <w:cols w:space="425" w:num="1"/>
          <w:docGrid w:type="linesAndChars" w:linePitch="326" w:charSpace="190"/>
        </w:sectPr>
      </w:pPr>
    </w:p>
    <w:p w14:paraId="5C7B90BE">
      <w:pPr>
        <w:pStyle w:val="88"/>
        <w:bidi w:val="0"/>
        <w:ind w:left="0" w:leftChars="0" w:hanging="102" w:firstLineChars="0"/>
      </w:pPr>
      <w:bookmarkStart w:id="63" w:name="_Toc9037"/>
      <w:r>
        <w:rPr>
          <w:rFonts w:hint="eastAsia"/>
        </w:rPr>
        <w:t>环境保护</w:t>
      </w:r>
      <w:r>
        <w:t>措施及其可行性论证</w:t>
      </w:r>
      <w:bookmarkEnd w:id="63"/>
    </w:p>
    <w:p w14:paraId="68DB8CBA">
      <w:pPr>
        <w:pStyle w:val="90"/>
        <w:bidi w:val="0"/>
        <w:ind w:left="0" w:leftChars="0" w:firstLine="0" w:firstLineChars="0"/>
      </w:pPr>
      <w:bookmarkStart w:id="64" w:name="_Toc19378"/>
      <w:r>
        <w:rPr>
          <w:rFonts w:hint="eastAsia"/>
        </w:rPr>
        <w:t>施工期环境保护措施</w:t>
      </w:r>
      <w:bookmarkEnd w:id="64"/>
    </w:p>
    <w:p w14:paraId="1A72893F">
      <w:pPr>
        <w:pStyle w:val="92"/>
        <w:bidi w:val="0"/>
        <w:ind w:left="0" w:leftChars="0" w:firstLine="0" w:firstLineChars="0"/>
      </w:pPr>
      <w:r>
        <w:rPr>
          <w:rFonts w:hint="eastAsia"/>
        </w:rPr>
        <w:t>废气污染防治措施</w:t>
      </w:r>
    </w:p>
    <w:p w14:paraId="172FD3E9">
      <w:pPr>
        <w:pStyle w:val="47"/>
        <w:bidi w:val="0"/>
        <w:rPr>
          <w:rFonts w:hint="eastAsia"/>
        </w:rPr>
      </w:pPr>
      <w:r>
        <w:rPr>
          <w:rFonts w:hint="eastAsia"/>
        </w:rPr>
        <w:t>施工期间对环境空气影响最大的是施工扬尘，来源于各种无组织排放源。其中场地清理、建筑材料运输等工序产生量较大，原材料堆存、建筑结构施工、设备安装等产生量较小或不产生扬尘。由于污染源为扬尘点低的间歇性污染源且施工场地四周建有施工围墙，因此只会在近距离内形成局部污染。</w:t>
      </w:r>
    </w:p>
    <w:p w14:paraId="1B4D95D3">
      <w:pPr>
        <w:pStyle w:val="47"/>
        <w:bidi w:val="0"/>
        <w:rPr>
          <w:rFonts w:hint="eastAsia"/>
        </w:rPr>
      </w:pPr>
      <w:r>
        <w:rPr>
          <w:rFonts w:hint="eastAsia"/>
        </w:rPr>
        <w:t>因此，首先应合理安排施工时间，避免在风季破土开工。施工临时道路应铺设砂砾或黏土面层，经常洒水，减少扬尘对环境的污染。为控制扬尘对大气环境造成的污染，可以在施工期采取以下控制措施：</w:t>
      </w:r>
    </w:p>
    <w:p w14:paraId="77E197C0">
      <w:pPr>
        <w:pStyle w:val="47"/>
        <w:bidi w:val="0"/>
        <w:rPr>
          <w:rFonts w:hint="eastAsia"/>
        </w:rPr>
      </w:pPr>
      <w:r>
        <w:rPr>
          <w:rFonts w:hint="eastAsia"/>
        </w:rPr>
        <w:t>（1）项目施工过程中使用的建筑材料，施工单位必须加强施工区域的管理，可在施工区域设置围栏。当风速2.5m/s，有围栏可使施工扬尘影响距离缩短40%，相对无围栏时有明显改善。</w:t>
      </w:r>
    </w:p>
    <w:p w14:paraId="778D9E8F">
      <w:pPr>
        <w:pStyle w:val="47"/>
        <w:bidi w:val="0"/>
        <w:rPr>
          <w:rFonts w:hint="eastAsia"/>
        </w:rPr>
      </w:pPr>
      <w:r>
        <w:rPr>
          <w:rFonts w:hint="eastAsia"/>
        </w:rPr>
        <w:t>（2）建筑材料堆场应定点定位，并采取防尘抑尘措施，如在大风天气，对路面和散料堆场采用水喷淋防尘，或用篷布遮盖料堆，停止施工。干旱多风季节可增加洒水次数，以保持下垫面和空气湿润，减少起尘量。</w:t>
      </w:r>
    </w:p>
    <w:p w14:paraId="75FD87F0">
      <w:pPr>
        <w:pStyle w:val="47"/>
        <w:bidi w:val="0"/>
        <w:rPr>
          <w:rFonts w:hint="eastAsia"/>
        </w:rPr>
      </w:pPr>
      <w:r>
        <w:rPr>
          <w:rFonts w:hint="eastAsia"/>
        </w:rPr>
        <w:t>（3）加强运输管理，如运输车辆应加盖篷布，不能超载过量；坚持文明装卸，运输车辆卸完货后应清洗车厢；</w:t>
      </w:r>
    </w:p>
    <w:p w14:paraId="70D16D85">
      <w:pPr>
        <w:pStyle w:val="47"/>
        <w:bidi w:val="0"/>
        <w:rPr>
          <w:rFonts w:hint="eastAsia"/>
        </w:rPr>
      </w:pPr>
      <w:r>
        <w:rPr>
          <w:rFonts w:hint="eastAsia"/>
        </w:rPr>
        <w:t>（4）对可能产生扬尘的建筑材料加盖篷布或避免露天堆放；</w:t>
      </w:r>
    </w:p>
    <w:p w14:paraId="13B14917">
      <w:pPr>
        <w:pStyle w:val="47"/>
        <w:bidi w:val="0"/>
      </w:pPr>
      <w:r>
        <w:rPr>
          <w:rFonts w:hint="eastAsia"/>
        </w:rPr>
        <w:t>（5）加强对施工人员的环保教育，增强施工人员的环保意识，坚持文明施工、科学施工，减少施工期的大气污染。</w:t>
      </w:r>
    </w:p>
    <w:p w14:paraId="28D7AE75">
      <w:pPr>
        <w:pStyle w:val="92"/>
        <w:bidi w:val="0"/>
        <w:ind w:left="0" w:leftChars="0" w:firstLine="0" w:firstLineChars="0"/>
      </w:pPr>
      <w:r>
        <w:rPr>
          <w:rFonts w:hint="eastAsia"/>
        </w:rPr>
        <w:t>废水污染防治措施</w:t>
      </w:r>
    </w:p>
    <w:p w14:paraId="4CEFC99B">
      <w:pPr>
        <w:pStyle w:val="47"/>
        <w:ind w:firstLine="482"/>
      </w:pPr>
      <w:r>
        <w:rPr>
          <w:rFonts w:hint="eastAsia"/>
        </w:rPr>
        <w:t>施工期废水主要包括车辆清洗水和施工人员生活污水。车辆清洗水经</w:t>
      </w:r>
      <w:r>
        <w:rPr>
          <w:rFonts w:hint="eastAsia"/>
          <w:lang w:val="en-US" w:eastAsia="zh-CN"/>
        </w:rPr>
        <w:t>沉淀后回用</w:t>
      </w:r>
      <w:r>
        <w:rPr>
          <w:rFonts w:hint="eastAsia"/>
        </w:rPr>
        <w:t>。施工人员生活污水泼洒厂区抑尘。</w:t>
      </w:r>
    </w:p>
    <w:p w14:paraId="5B1CE273">
      <w:pPr>
        <w:pStyle w:val="47"/>
        <w:ind w:firstLine="482"/>
      </w:pPr>
      <w:r>
        <w:rPr>
          <w:rFonts w:hint="eastAsia"/>
        </w:rPr>
        <w:t>施工期建设单位应采取如下污水防治措施：</w:t>
      </w:r>
    </w:p>
    <w:p w14:paraId="04EB82BF">
      <w:pPr>
        <w:pStyle w:val="47"/>
        <w:ind w:firstLine="482"/>
      </w:pPr>
      <w:r>
        <w:rPr>
          <w:rFonts w:hint="eastAsia"/>
        </w:rPr>
        <w:t>（1）建设单位必须在施工前提向当地主管部门出申报。工程施工期间，对地面水的排档进行组织设计，严禁乱排、乱流污染道路、环境。</w:t>
      </w:r>
    </w:p>
    <w:p w14:paraId="4AA14155">
      <w:pPr>
        <w:pStyle w:val="47"/>
        <w:ind w:firstLine="482"/>
      </w:pPr>
      <w:r>
        <w:rPr>
          <w:rFonts w:hint="eastAsia"/>
        </w:rPr>
        <w:t>（</w:t>
      </w:r>
      <w:r>
        <w:rPr>
          <w:rFonts w:hint="eastAsia"/>
          <w:lang w:val="en-US" w:eastAsia="zh-CN"/>
        </w:rPr>
        <w:t>2</w:t>
      </w:r>
      <w:r>
        <w:rPr>
          <w:rFonts w:hint="eastAsia"/>
        </w:rPr>
        <w:t>）含有淤泥的施工废水必须经沉淀处理，并回用于车轮、车帮的冲洗，所排放的废水设置临时沉淀池沉淀后回用。</w:t>
      </w:r>
    </w:p>
    <w:p w14:paraId="56BE1506">
      <w:pPr>
        <w:pStyle w:val="47"/>
        <w:ind w:firstLine="482"/>
      </w:pPr>
      <w:r>
        <w:rPr>
          <w:rFonts w:hint="eastAsia"/>
        </w:rPr>
        <w:t>（</w:t>
      </w:r>
      <w:r>
        <w:rPr>
          <w:rFonts w:hint="eastAsia"/>
          <w:lang w:val="en-US" w:eastAsia="zh-CN"/>
        </w:rPr>
        <w:t>3</w:t>
      </w:r>
      <w:r>
        <w:rPr>
          <w:rFonts w:hint="eastAsia"/>
        </w:rPr>
        <w:t>）在施工过程中，应合理安排施工计划、施工程序，协调好各个施工步骤。雨季中尽量减少地面坡度，减少开挖面，并争取土料随挖、随运，减少推土裸土的暴露时间，以避免受降雨的直接冲刷。暴雨期还应采取应急措施，尽量用覆盖物覆盖新开挖的陡坡，防止冲刷和崩塌。</w:t>
      </w:r>
    </w:p>
    <w:p w14:paraId="71A6BB6E">
      <w:pPr>
        <w:pStyle w:val="92"/>
        <w:bidi w:val="0"/>
        <w:ind w:left="0" w:leftChars="0" w:firstLine="0" w:firstLineChars="0"/>
      </w:pPr>
      <w:r>
        <w:rPr>
          <w:rFonts w:hint="eastAsia"/>
        </w:rPr>
        <w:t>噪声污染防治措施</w:t>
      </w:r>
    </w:p>
    <w:p w14:paraId="13A071AF">
      <w:pPr>
        <w:pStyle w:val="47"/>
        <w:bidi w:val="0"/>
      </w:pPr>
      <w:r>
        <w:t>（1）建议采用先进的施工工艺和低噪声设备，合理安排施工时间，尽量避免大量高噪声施工设备同时施工，安排高噪声施工作业在白天完成。夜间（22:00～06:00）禁止进行对周边环境产生噪声污染的施工作业。</w:t>
      </w:r>
    </w:p>
    <w:p w14:paraId="44393C9E">
      <w:pPr>
        <w:pStyle w:val="47"/>
        <w:bidi w:val="0"/>
      </w:pPr>
      <w:r>
        <w:t>（</w:t>
      </w:r>
      <w:r>
        <w:rPr>
          <w:rFonts w:hint="eastAsia"/>
        </w:rPr>
        <w:t>2</w:t>
      </w:r>
      <w:r>
        <w:t>）施工车辆噪声的防治应选择运载车辆的运行线路和时间，应尽量避开噪声敏感区域和噪声敏感时段。</w:t>
      </w:r>
    </w:p>
    <w:p w14:paraId="32D50F3D">
      <w:pPr>
        <w:pStyle w:val="47"/>
        <w:bidi w:val="0"/>
      </w:pPr>
      <w:r>
        <w:t>（</w:t>
      </w:r>
      <w:r>
        <w:rPr>
          <w:rFonts w:hint="eastAsia"/>
        </w:rPr>
        <w:t>3</w:t>
      </w:r>
      <w:r>
        <w:t>）制定科学的施工计划，合理安排。</w:t>
      </w:r>
    </w:p>
    <w:p w14:paraId="7261B8B3">
      <w:pPr>
        <w:pStyle w:val="47"/>
        <w:bidi w:val="0"/>
      </w:pPr>
      <w:r>
        <w:t>（</w:t>
      </w:r>
      <w:r>
        <w:rPr>
          <w:rFonts w:hint="eastAsia"/>
        </w:rPr>
        <w:t>4</w:t>
      </w:r>
      <w:r>
        <w:t>）加强施工设备的维护保养，发生故障应及时维修，保持润滑、紧固各部件，减少运行振动噪声；施工机械设备应安放稳固，并与地面保持良好接触，有条件的应使用减振机座。加强施工管理、文明施工，杜绝施工机械在运行过程中因维护不当而产生的其他噪声。</w:t>
      </w:r>
    </w:p>
    <w:p w14:paraId="46E9BBDE">
      <w:pPr>
        <w:pStyle w:val="47"/>
        <w:bidi w:val="0"/>
      </w:pPr>
      <w:r>
        <w:t>（</w:t>
      </w:r>
      <w:r>
        <w:rPr>
          <w:rFonts w:hint="eastAsia"/>
        </w:rPr>
        <w:t>5</w:t>
      </w:r>
      <w:r>
        <w:t>）为保护施工人员的健康，施工单位要合理安排工作人员，轮流操作高强度噪声的施工机械，减少接触高噪声施工机械的时间，或穿插安排操作高噪声和低噪声施工机械的工作。加强对施工人员的个人防护，对高噪声机械设备附近工作的施工人员，可采取配备耳塞、耳机、防声头盔等防噪用具。</w:t>
      </w:r>
    </w:p>
    <w:p w14:paraId="3F2E41D8">
      <w:pPr>
        <w:pStyle w:val="92"/>
        <w:bidi w:val="0"/>
        <w:ind w:left="0" w:leftChars="0" w:firstLine="0" w:firstLineChars="0"/>
      </w:pPr>
      <w:r>
        <w:rPr>
          <w:rFonts w:hint="eastAsia"/>
        </w:rPr>
        <w:t>固废污染防治措施</w:t>
      </w:r>
    </w:p>
    <w:p w14:paraId="5F230949">
      <w:pPr>
        <w:pStyle w:val="47"/>
        <w:numPr>
          <w:ilvl w:val="0"/>
          <w:numId w:val="13"/>
        </w:numPr>
        <w:ind w:firstLine="482"/>
        <w:rPr>
          <w:rFonts w:hint="eastAsia"/>
        </w:rPr>
      </w:pPr>
      <w:r>
        <w:rPr>
          <w:rFonts w:hint="eastAsia"/>
        </w:rPr>
        <w:t>施工现场的建筑垃圾和生活垃圾，必须设置密闭式垃圾站集中存放，及时清运。</w:t>
      </w:r>
    </w:p>
    <w:p w14:paraId="69C68F1D">
      <w:pPr>
        <w:pStyle w:val="47"/>
        <w:ind w:firstLine="482"/>
      </w:pPr>
      <w:r>
        <w:rPr>
          <w:rFonts w:hint="eastAsia"/>
        </w:rPr>
        <w:t>（</w:t>
      </w:r>
      <w:r>
        <w:rPr>
          <w:rFonts w:hint="eastAsia"/>
          <w:lang w:val="en-US" w:eastAsia="zh-CN"/>
        </w:rPr>
        <w:t>2</w:t>
      </w:r>
      <w:r>
        <w:rPr>
          <w:rFonts w:hint="eastAsia"/>
        </w:rPr>
        <w:t>）施工期间的工程废弃物应及时清运，要求按规定路线运输，运输车辆必须按有关要求配装密闭装置。</w:t>
      </w:r>
    </w:p>
    <w:p w14:paraId="37140CB2">
      <w:pPr>
        <w:pStyle w:val="47"/>
        <w:ind w:firstLine="482"/>
      </w:pPr>
      <w:r>
        <w:rPr>
          <w:rFonts w:hint="eastAsia"/>
        </w:rPr>
        <w:t>（</w:t>
      </w:r>
      <w:r>
        <w:rPr>
          <w:rFonts w:hint="eastAsia"/>
          <w:lang w:val="en-US" w:eastAsia="zh-CN"/>
        </w:rPr>
        <w:t>3</w:t>
      </w:r>
      <w:r>
        <w:rPr>
          <w:rFonts w:hint="eastAsia"/>
        </w:rPr>
        <w:t>）工程承包单位应对施工人员加强教育和管理，做到不随意乱丢废物，要设立环保卫生监督监察人员，避免污染环境，影响市容。</w:t>
      </w:r>
    </w:p>
    <w:p w14:paraId="086EC83D">
      <w:pPr>
        <w:pStyle w:val="47"/>
        <w:ind w:firstLine="482"/>
        <w:rPr>
          <w:rFonts w:hint="eastAsia"/>
        </w:rPr>
      </w:pPr>
      <w:r>
        <w:rPr>
          <w:rFonts w:hint="eastAsia"/>
        </w:rPr>
        <w:t>（2）在工程竣工以后，施工单位应拆除各种临时施工设施，并负责将工地的剩余建筑垃圾、工程渣土处理干净，做到“工完、料尽、场地清”，建设单位应负责督促施工单位的固体废物处置清理工作。</w:t>
      </w:r>
    </w:p>
    <w:p w14:paraId="554B9C87">
      <w:pPr>
        <w:pStyle w:val="47"/>
        <w:ind w:firstLine="482"/>
      </w:pPr>
      <w:r>
        <w:rPr>
          <w:rFonts w:hint="eastAsia"/>
        </w:rPr>
        <w:t>综上所述，项目建设单位应严格按照相关要求，自觉加强对施工现场的监督管理，并采取有效的防护措施，减轻对周边环境带来明显不利影响，施工结束后对周边环境的影响也随之消除。</w:t>
      </w:r>
    </w:p>
    <w:p w14:paraId="1116E24F">
      <w:pPr>
        <w:pStyle w:val="90"/>
        <w:bidi w:val="0"/>
        <w:ind w:left="0" w:leftChars="0" w:firstLine="0" w:firstLineChars="0"/>
      </w:pPr>
      <w:bookmarkStart w:id="65" w:name="_Toc20731"/>
      <w:r>
        <w:rPr>
          <w:rFonts w:hint="eastAsia"/>
        </w:rPr>
        <w:t>营运期环境保护措施</w:t>
      </w:r>
      <w:bookmarkEnd w:id="65"/>
    </w:p>
    <w:p w14:paraId="0847130C">
      <w:pPr>
        <w:pStyle w:val="92"/>
        <w:bidi w:val="0"/>
        <w:ind w:left="0" w:leftChars="0" w:firstLine="0" w:firstLineChars="0"/>
      </w:pPr>
      <w:r>
        <w:rPr>
          <w:rFonts w:hint="eastAsia"/>
        </w:rPr>
        <w:t>废气环境保护措施</w:t>
      </w:r>
    </w:p>
    <w:p w14:paraId="3EE06857">
      <w:pPr>
        <w:pStyle w:val="47"/>
        <w:ind w:firstLine="482"/>
        <w:rPr>
          <w:rFonts w:hint="eastAsia"/>
        </w:rPr>
      </w:pPr>
      <w:r>
        <w:rPr>
          <w:rFonts w:hint="eastAsia"/>
          <w:lang w:val="en-US" w:eastAsia="zh-CN"/>
        </w:rPr>
        <w:t>（1）有组织</w:t>
      </w:r>
      <w:r>
        <w:rPr>
          <w:rFonts w:hint="eastAsia"/>
        </w:rPr>
        <w:t>废气治理措施</w:t>
      </w:r>
    </w:p>
    <w:p w14:paraId="1CF15424">
      <w:pPr>
        <w:pStyle w:val="47"/>
        <w:ind w:firstLine="482"/>
      </w:pPr>
      <w:r>
        <w:rPr>
          <w:rFonts w:hint="eastAsia"/>
        </w:rPr>
        <w:t>根据工程分析，项目运营期产生的废气主要为颗粒物</w:t>
      </w:r>
      <w:r>
        <w:rPr>
          <w:rFonts w:hint="eastAsia"/>
          <w:lang w:eastAsia="zh-CN"/>
        </w:rPr>
        <w:t>、</w:t>
      </w:r>
      <w:r>
        <w:rPr>
          <w:rFonts w:hint="eastAsia"/>
        </w:rPr>
        <w:t>非甲烷总烃</w:t>
      </w:r>
      <w:r>
        <w:rPr>
          <w:rFonts w:hint="eastAsia"/>
          <w:lang w:eastAsia="zh-CN"/>
        </w:rPr>
        <w:t>、</w:t>
      </w:r>
      <w:r>
        <w:rPr>
          <w:rFonts w:hint="eastAsia"/>
        </w:rPr>
        <w:t>氯化氢</w:t>
      </w:r>
      <w:r>
        <w:rPr>
          <w:rFonts w:hint="eastAsia"/>
          <w:lang w:eastAsia="zh-CN"/>
        </w:rPr>
        <w:t>、</w:t>
      </w:r>
      <w:r>
        <w:rPr>
          <w:rFonts w:hint="eastAsia"/>
        </w:rPr>
        <w:t>臭气浓度。根据《排污许可证申请与核发技术规范 橡胶和塑料制品工业》（HJ1122-2020）中表A.2塑料制品工业排污单位废气污染防治可行技术相关内容规定，有机废气净化的方法有直接燃烧法、催化燃烧法、活性炭吸附法、吸收法、冷凝法、UV光解净化法等。项目采用布袋除尘器+两级活性炭吸附装置</w:t>
      </w:r>
      <w:r>
        <w:rPr>
          <w:rFonts w:hint="eastAsia"/>
          <w:lang w:val="en-US" w:eastAsia="zh-CN"/>
        </w:rPr>
        <w:t>处理废气</w:t>
      </w:r>
      <w:r>
        <w:rPr>
          <w:rFonts w:hint="eastAsia"/>
        </w:rPr>
        <w:t>。</w:t>
      </w:r>
    </w:p>
    <w:p w14:paraId="408CE61F">
      <w:pPr>
        <w:pStyle w:val="47"/>
        <w:ind w:firstLine="482"/>
        <w:rPr>
          <w:rFonts w:hint="eastAsia"/>
        </w:rPr>
      </w:pPr>
      <w:r>
        <w:rPr>
          <w:rFonts w:hint="eastAsia"/>
        </w:rPr>
        <w:t>根据《保定市生态环境局关于进一加强挥发性有机物治理有关工作的通知》（〔2024〕-11）中“鼓励更换为颗粒活性炭吸附等组合工艺(原低温等离子，光氧化/催化+活性炭吸附工艺更改为两级颗粒活性炭吸附)”。本项目有机废气采取两级颗粒活性炭吸附装置治理，满足政策要求。</w:t>
      </w:r>
    </w:p>
    <w:p w14:paraId="55584588">
      <w:pPr>
        <w:pStyle w:val="47"/>
        <w:ind w:firstLine="482"/>
      </w:pPr>
      <w:r>
        <w:rPr>
          <w:rFonts w:hint="eastAsia"/>
        </w:rPr>
        <w:t>根据《河北省涉VOCs工业企业常用治理技术指南》中的技术参数，二级活性炭装置需满足“颗粒活性炭填充量与每小时处理废气量体积之比宜≮1:7000，每1万Nm</w:t>
      </w:r>
      <w:r>
        <w:rPr>
          <w:rFonts w:hint="eastAsia"/>
          <w:vertAlign w:val="superscript"/>
        </w:rPr>
        <w:t>3</w:t>
      </w:r>
      <w:r>
        <w:rPr>
          <w:rFonts w:hint="eastAsia"/>
        </w:rPr>
        <w:t>/h废气处理颗粒活性炭吸附截面积宜≮4.6m2”要求。</w:t>
      </w:r>
    </w:p>
    <w:p w14:paraId="089F5D19">
      <w:pPr>
        <w:pStyle w:val="47"/>
        <w:ind w:firstLine="482"/>
        <w:rPr>
          <w:rFonts w:hint="eastAsia" w:eastAsia="楷体"/>
          <w:lang w:val="en-US" w:eastAsia="zh-CN"/>
        </w:rPr>
      </w:pPr>
      <w:r>
        <w:rPr>
          <w:rFonts w:hint="eastAsia"/>
        </w:rPr>
        <w:t>布袋除尘器+两级活性炭吸附装置</w:t>
      </w:r>
      <w:r>
        <w:rPr>
          <w:rFonts w:hint="eastAsia"/>
          <w:lang w:val="en-US" w:eastAsia="zh-CN"/>
        </w:rPr>
        <w:t>工艺原理：</w:t>
      </w:r>
    </w:p>
    <w:p w14:paraId="4F63BABB">
      <w:pPr>
        <w:pStyle w:val="47"/>
        <w:ind w:firstLine="482"/>
      </w:pPr>
      <w:r>
        <w:rPr>
          <w:rFonts w:hint="eastAsia"/>
          <w:b/>
          <w:bCs/>
          <w:lang w:val="en-US" w:eastAsia="zh-CN"/>
        </w:rPr>
        <w:t>布袋除尘器：</w:t>
      </w:r>
      <w:r>
        <w:rPr>
          <w:rFonts w:hint="eastAsia"/>
        </w:rPr>
        <w:t>通过滤袋的过滤作用来分离废气中的粉尘。含尘气流从布袋除尘器的下部进入，通过大孔隙的滤袋，粉尘被捕集在滤袋表面，形成一层粉尘初层。这层粉尘初层会挡住后续的粉尘，使清洁的空气通过滤袋排出。当滤袋上的粉尘积累到一定程度时，通过机械振动或脉冲喷吹等方式清除滤袋上的粉尘，使其重新高效工作‌</w:t>
      </w:r>
      <w:r>
        <w:rPr>
          <w:rFonts w:hint="eastAsia"/>
          <w:lang w:eastAsia="zh-CN"/>
        </w:rPr>
        <w:t>。</w:t>
      </w:r>
    </w:p>
    <w:p w14:paraId="6FFE5189">
      <w:pPr>
        <w:pStyle w:val="47"/>
        <w:bidi w:val="0"/>
        <w:rPr>
          <w:rFonts w:hint="default"/>
        </w:rPr>
      </w:pPr>
      <w:r>
        <w:rPr>
          <w:rFonts w:hint="default"/>
          <w:b/>
          <w:bCs/>
        </w:rPr>
        <w:t>活性炭吸附</w:t>
      </w:r>
      <w:r>
        <w:rPr>
          <w:rFonts w:hint="eastAsia"/>
          <w:b/>
          <w:bCs/>
          <w:lang w:val="en-US" w:eastAsia="zh-CN"/>
        </w:rPr>
        <w:t>装置：</w:t>
      </w:r>
      <w:r>
        <w:rPr>
          <w:rFonts w:hint="default"/>
        </w:rPr>
        <w:t>在一定的温度和压力下，当活性炭与有机废气接触时，有机废气吸附于活性炭的细孔中。气、固相开始接触时，对有机废气中的轻质烃等物质的吸附是主要过程，在活性炭的众多微孔中分为大中小三种，只有微小孔是吸附的主力军，活性炭具有微晶结构，微晶排列完全不规则，晶体中有微孔（半径小于20[埃]=10</w:t>
      </w:r>
      <w:r>
        <w:rPr>
          <w:rFonts w:hint="default"/>
          <w:lang w:val="en-US" w:eastAsia="zh-CN"/>
        </w:rPr>
        <w:t>-</w:t>
      </w:r>
      <w:r>
        <w:rPr>
          <w:rFonts w:hint="default"/>
        </w:rPr>
        <w:t>10米）、过渡孔（半径20~1000）、大孔（半径1000~100000），使它具有很大的内表面，比表面积为500~1700m</w:t>
      </w:r>
      <w:r>
        <w:rPr>
          <w:rFonts w:hint="default"/>
          <w:vertAlign w:val="superscript"/>
        </w:rPr>
        <w:t>2</w:t>
      </w:r>
      <w:r>
        <w:rPr>
          <w:rFonts w:hint="default"/>
        </w:rPr>
        <w:t>/g。这决定了活性炭具有良好的吸附性。随着时间的延长，活性炭细孔中吸附质浓度的不断增大，吸附速度会不断减慢，直到活性炭达到饱和状态。此时，吸附速度和解吸速度达到动态平衡，气、固相之间的传递相等。为了保证活性炭的吸附效率，环评要求活性炭定期更换，并有更换记录。建立台账记录制度等，</w:t>
      </w:r>
      <w:r>
        <w:rPr>
          <w:rFonts w:hint="default"/>
          <w:lang w:eastAsia="zh-CN"/>
        </w:rPr>
        <w:t>台账记录</w:t>
      </w:r>
      <w:r>
        <w:rPr>
          <w:rFonts w:hint="default"/>
        </w:rPr>
        <w:t>保存期限不得少于5年，活性炭更换频次原则上不超过3个月。</w:t>
      </w:r>
    </w:p>
    <w:p w14:paraId="1F5B8048">
      <w:pPr>
        <w:pStyle w:val="47"/>
        <w:ind w:firstLine="482"/>
        <w:rPr>
          <w:rFonts w:hint="eastAsia"/>
        </w:rPr>
      </w:pPr>
      <w:r>
        <w:rPr>
          <w:rFonts w:hint="eastAsia"/>
          <w:lang w:val="en-US" w:eastAsia="zh-CN"/>
        </w:rPr>
        <w:t>（2）无</w:t>
      </w:r>
      <w:r>
        <w:rPr>
          <w:rFonts w:hint="eastAsia"/>
        </w:rPr>
        <w:t>组织废气治环境保护措施</w:t>
      </w:r>
    </w:p>
    <w:p w14:paraId="2445CECB">
      <w:pPr>
        <w:pStyle w:val="47"/>
        <w:ind w:firstLine="482"/>
        <w:rPr>
          <w:rFonts w:hint="eastAsia"/>
        </w:rPr>
      </w:pPr>
      <w:r>
        <w:rPr>
          <w:rFonts w:hint="eastAsia"/>
        </w:rPr>
        <w:t>项目生产过程中无组织形式排放的主要为未被集气罩收集到的非甲烷总烃、颗粒物</w:t>
      </w:r>
      <w:r>
        <w:rPr>
          <w:rFonts w:hint="eastAsia"/>
          <w:lang w:eastAsia="zh-CN"/>
        </w:rPr>
        <w:t>、</w:t>
      </w:r>
      <w:r>
        <w:rPr>
          <w:rFonts w:hint="eastAsia"/>
          <w:lang w:val="en-US" w:eastAsia="zh-CN"/>
        </w:rPr>
        <w:t>HCl、臭气浓度</w:t>
      </w:r>
      <w:r>
        <w:rPr>
          <w:rFonts w:hint="eastAsia"/>
        </w:rPr>
        <w:t>。建设单位加强对无组织排放废气的控制监管，尽量减少无组织废气的排放，具体应做到以下几个方面：</w:t>
      </w:r>
    </w:p>
    <w:p w14:paraId="7F332487">
      <w:pPr>
        <w:pStyle w:val="47"/>
        <w:ind w:firstLine="482"/>
        <w:rPr>
          <w:rFonts w:hint="eastAsia"/>
        </w:rPr>
      </w:pPr>
      <w:r>
        <w:rPr>
          <w:rFonts w:hint="eastAsia"/>
        </w:rPr>
        <w:t>①项目原料运输过程需做好覆盖工作，防止原料遗撒。</w:t>
      </w:r>
    </w:p>
    <w:p w14:paraId="30BFC870">
      <w:pPr>
        <w:pStyle w:val="47"/>
        <w:ind w:firstLine="482"/>
        <w:rPr>
          <w:rFonts w:hint="eastAsia"/>
        </w:rPr>
      </w:pPr>
      <w:r>
        <w:rPr>
          <w:rFonts w:hint="eastAsia"/>
        </w:rPr>
        <w:t>②装卸过程在</w:t>
      </w:r>
      <w:r>
        <w:rPr>
          <w:rFonts w:hint="eastAsia"/>
          <w:lang w:val="en-US" w:eastAsia="zh-CN"/>
        </w:rPr>
        <w:t>原料车间内</w:t>
      </w:r>
      <w:r>
        <w:rPr>
          <w:rFonts w:hint="eastAsia"/>
        </w:rPr>
        <w:t>进行，具有防雨、防风、防渗等功能。</w:t>
      </w:r>
    </w:p>
    <w:p w14:paraId="028FDABD">
      <w:pPr>
        <w:pStyle w:val="47"/>
        <w:ind w:firstLine="482"/>
        <w:rPr>
          <w:rFonts w:hint="eastAsia"/>
        </w:rPr>
      </w:pPr>
      <w:r>
        <w:rPr>
          <w:rFonts w:hint="eastAsia"/>
        </w:rPr>
        <w:t>③生产线开机先启动环保设施再开启加工机组，停线先停止生产机组再关闭环保设施设备；</w:t>
      </w:r>
    </w:p>
    <w:p w14:paraId="23671AB1">
      <w:pPr>
        <w:pStyle w:val="47"/>
        <w:ind w:firstLine="482"/>
        <w:rPr>
          <w:rFonts w:hint="eastAsia"/>
        </w:rPr>
      </w:pPr>
      <w:r>
        <w:rPr>
          <w:rFonts w:hint="eastAsia"/>
        </w:rPr>
        <w:t>④经常检查设备工况，保证设备的完好率，防止泄露；</w:t>
      </w:r>
    </w:p>
    <w:p w14:paraId="180644D1">
      <w:pPr>
        <w:pStyle w:val="47"/>
        <w:ind w:firstLine="482"/>
        <w:rPr>
          <w:rFonts w:hint="eastAsia"/>
        </w:rPr>
      </w:pPr>
      <w:r>
        <w:rPr>
          <w:rFonts w:hint="eastAsia"/>
        </w:rPr>
        <w:t>⑤在生产过程中加强对废气收集装置的维护，保证有组织废气捕集效率，以尽量将无组织排放的废气量减小到最低限度；</w:t>
      </w:r>
    </w:p>
    <w:p w14:paraId="78966891">
      <w:pPr>
        <w:pStyle w:val="47"/>
        <w:ind w:firstLine="482"/>
        <w:rPr>
          <w:rFonts w:hint="eastAsia"/>
        </w:rPr>
      </w:pPr>
      <w:r>
        <w:rPr>
          <w:rFonts w:hint="eastAsia"/>
        </w:rPr>
        <w:t>⑥加强车间通排风，通过加强车间气流通畅，为员工配备必要的防护用品。</w:t>
      </w:r>
    </w:p>
    <w:p w14:paraId="4B6DC936">
      <w:pPr>
        <w:pStyle w:val="47"/>
        <w:ind w:left="0" w:leftChars="0" w:firstLine="560" w:firstLineChars="200"/>
        <w:rPr>
          <w:rFonts w:hint="eastAsia"/>
          <w:lang w:val="en-US" w:eastAsia="zh-CN"/>
        </w:rPr>
      </w:pPr>
      <w:r>
        <w:rPr>
          <w:rFonts w:hint="eastAsia"/>
        </w:rPr>
        <w:t>采取上述措施后，厂界无组织颗粒物满足《合成树脂工业污染物排放标准》（GB31572-2015）表9无组织浓度监控排放限值的要求；厂界无组织</w:t>
      </w:r>
      <w:r>
        <w:rPr>
          <w:rFonts w:hint="eastAsia"/>
          <w:lang w:val="en-US" w:eastAsia="zh-CN"/>
        </w:rPr>
        <w:t>非甲烷总烃</w:t>
      </w:r>
      <w:r>
        <w:rPr>
          <w:rFonts w:hint="eastAsia"/>
        </w:rPr>
        <w:t>满足河北省地方标准《工业企业挥发性有机物排放控制标准》（DB13/2322-2016）表2企业边界大气污染物浓度限值中其他企业</w:t>
      </w:r>
      <w:r>
        <w:rPr>
          <w:rFonts w:hint="eastAsia"/>
          <w:lang w:eastAsia="zh-CN"/>
        </w:rPr>
        <w:t>；</w:t>
      </w:r>
      <w:r>
        <w:rPr>
          <w:rFonts w:hint="eastAsia"/>
        </w:rPr>
        <w:t>厂内无组织非甲烷总烃满足《挥发性有机物无组织排放控制标准》（GB37822-2019）中相关控制要求</w:t>
      </w:r>
      <w:r>
        <w:rPr>
          <w:rFonts w:hint="eastAsia"/>
          <w:lang w:eastAsia="zh-CN"/>
        </w:rPr>
        <w:t>；HCl</w:t>
      </w:r>
      <w:r>
        <w:rPr>
          <w:rFonts w:hint="eastAsia"/>
          <w:lang w:val="en-US" w:eastAsia="zh-CN"/>
        </w:rPr>
        <w:t>满足《大气污染物综合排放标准》</w:t>
      </w:r>
    </w:p>
    <w:p w14:paraId="1A9960D2">
      <w:pPr>
        <w:pStyle w:val="47"/>
        <w:ind w:left="0" w:leftChars="0" w:firstLine="0" w:firstLineChars="0"/>
        <w:rPr>
          <w:rFonts w:hint="default" w:eastAsia="楷体"/>
          <w:lang w:val="en-US" w:eastAsia="zh-CN"/>
        </w:rPr>
      </w:pPr>
      <w:r>
        <w:rPr>
          <w:rFonts w:hint="eastAsia"/>
          <w:lang w:val="en-US" w:eastAsia="zh-CN"/>
        </w:rPr>
        <w:t>（GB16297-1996）表 2无组织排放监控浓度限值；</w:t>
      </w:r>
      <w:r>
        <w:rPr>
          <w:rFonts w:hint="default"/>
          <w:color w:val="000000" w:themeColor="text1"/>
          <w:lang w:val="en-US" w:eastAsia="zh-CN"/>
          <w14:textFill>
            <w14:solidFill>
              <w14:schemeClr w14:val="tx1"/>
            </w14:solidFill>
          </w14:textFill>
        </w:rPr>
        <w:t>臭气浓度</w:t>
      </w:r>
      <w:r>
        <w:rPr>
          <w:rFonts w:hint="eastAsia"/>
          <w:color w:val="000000" w:themeColor="text1"/>
          <w:lang w:val="en-US" w:eastAsia="zh-CN"/>
          <w14:textFill>
            <w14:solidFill>
              <w14:schemeClr w14:val="tx1"/>
            </w14:solidFill>
          </w14:textFill>
        </w:rPr>
        <w:t>满足《恶臭污染物排放标准》（GB14554-93）表1恶臭污染物厂界标准值中二级新改扩建标准。</w:t>
      </w:r>
    </w:p>
    <w:p w14:paraId="1A0F6D32">
      <w:pPr>
        <w:pStyle w:val="47"/>
        <w:ind w:left="0" w:leftChars="0" w:firstLine="560" w:firstLineChars="200"/>
        <w:rPr>
          <w:rFonts w:hint="eastAsia"/>
        </w:rPr>
      </w:pPr>
      <w:r>
        <w:rPr>
          <w:rFonts w:hint="eastAsia"/>
          <w:lang w:eastAsia="zh-CN"/>
        </w:rPr>
        <w:t>（</w:t>
      </w:r>
      <w:r>
        <w:rPr>
          <w:rFonts w:hint="eastAsia"/>
          <w:lang w:val="en-US" w:eastAsia="zh-CN"/>
        </w:rPr>
        <w:t>3</w:t>
      </w:r>
      <w:r>
        <w:rPr>
          <w:rFonts w:hint="eastAsia"/>
          <w:lang w:eastAsia="zh-CN"/>
        </w:rPr>
        <w:t>）</w:t>
      </w:r>
      <w:r>
        <w:rPr>
          <w:rFonts w:hint="eastAsia"/>
        </w:rPr>
        <w:t>小结</w:t>
      </w:r>
    </w:p>
    <w:p w14:paraId="66467D4D">
      <w:pPr>
        <w:pStyle w:val="47"/>
        <w:ind w:firstLine="482"/>
      </w:pPr>
      <w:r>
        <w:rPr>
          <w:rFonts w:hint="eastAsia"/>
        </w:rPr>
        <w:t>综上所述，通过严格落实并且认真执行上述大气环境保护和污染防治措施后，本项目运营期间产生的有机废气均实现达标排放，对项目区及周边附近区域大气环境和人群产生影响较小，采取的大气环境保护和污染防治措施是可行的。</w:t>
      </w:r>
    </w:p>
    <w:p w14:paraId="433EB958">
      <w:pPr>
        <w:pStyle w:val="92"/>
        <w:bidi w:val="0"/>
        <w:ind w:left="0" w:leftChars="0" w:firstLine="0" w:firstLineChars="0"/>
      </w:pPr>
      <w:r>
        <w:rPr>
          <w:rFonts w:hint="eastAsia"/>
        </w:rPr>
        <w:t>废水污染</w:t>
      </w:r>
      <w:r>
        <w:t>防治措施</w:t>
      </w:r>
    </w:p>
    <w:p w14:paraId="1BBECAE2">
      <w:pPr>
        <w:pStyle w:val="47"/>
        <w:bidi w:val="0"/>
        <w:rPr>
          <w:rFonts w:hint="eastAsia"/>
        </w:rPr>
      </w:pPr>
      <w:r>
        <w:rPr>
          <w:rFonts w:hint="eastAsia"/>
        </w:rPr>
        <w:t>项目废水主要包括生活污水、</w:t>
      </w:r>
      <w:r>
        <w:rPr>
          <w:rFonts w:hint="eastAsia"/>
          <w:lang w:eastAsia="zh-CN"/>
        </w:rPr>
        <w:t>生产废水</w:t>
      </w:r>
      <w:r>
        <w:rPr>
          <w:rFonts w:hint="eastAsia"/>
        </w:rPr>
        <w:t>。</w:t>
      </w:r>
      <w:r>
        <w:rPr>
          <w:rFonts w:hint="eastAsia"/>
          <w:lang w:eastAsia="zh-CN"/>
        </w:rPr>
        <w:t>生产废水主要为</w:t>
      </w:r>
      <w:r>
        <w:rPr>
          <w:rFonts w:hint="eastAsia"/>
        </w:rPr>
        <w:t>湿式破碎及清洗废水、挤出工序冷却废水经沉淀池沉淀后循环使用，不外排；循环水池池体做防渗处理，防渗系数大于10</w:t>
      </w:r>
      <w:r>
        <w:rPr>
          <w:rFonts w:hint="eastAsia"/>
          <w:vertAlign w:val="superscript"/>
        </w:rPr>
        <w:t>-7</w:t>
      </w:r>
      <w:r>
        <w:rPr>
          <w:rFonts w:hint="eastAsia"/>
        </w:rPr>
        <w:t>cm/s，不会对地下水造成影响。生活污水主要为职工盥洗废水，泼洒厂区地面抑尘，厂区设防渗旱厕，定期清掏不外排。</w:t>
      </w:r>
    </w:p>
    <w:p w14:paraId="6E941625">
      <w:pPr>
        <w:pStyle w:val="47"/>
        <w:rPr>
          <w:rFonts w:hint="eastAsia"/>
        </w:rPr>
      </w:pPr>
      <w:r>
        <w:rPr>
          <w:rFonts w:hint="eastAsia"/>
          <w:color w:val="000000" w:themeColor="text1"/>
          <w14:textFill>
            <w14:solidFill>
              <w14:schemeClr w14:val="tx1"/>
            </w14:solidFill>
          </w14:textFill>
        </w:rPr>
        <w:t>因此，评价认为项目</w:t>
      </w:r>
      <w:r>
        <w:rPr>
          <w:rFonts w:hint="eastAsia"/>
          <w:color w:val="000000" w:themeColor="text1"/>
          <w:lang w:val="en-US" w:eastAsia="zh-CN"/>
          <w14:textFill>
            <w14:solidFill>
              <w14:schemeClr w14:val="tx1"/>
            </w14:solidFill>
          </w14:textFill>
        </w:rPr>
        <w:t>废水</w:t>
      </w:r>
      <w:r>
        <w:rPr>
          <w:rFonts w:hint="eastAsia"/>
          <w:color w:val="000000" w:themeColor="text1"/>
          <w14:textFill>
            <w14:solidFill>
              <w14:schemeClr w14:val="tx1"/>
            </w14:solidFill>
          </w14:textFill>
        </w:rPr>
        <w:t>防治措施可行。</w:t>
      </w:r>
    </w:p>
    <w:p w14:paraId="3C3A3168">
      <w:pPr>
        <w:pStyle w:val="92"/>
        <w:bidi w:val="0"/>
        <w:ind w:left="0" w:leftChars="0" w:firstLine="0" w:firstLineChars="0"/>
      </w:pPr>
      <w:r>
        <w:rPr>
          <w:rFonts w:hint="eastAsia"/>
        </w:rPr>
        <w:t>地下水污染防治措施</w:t>
      </w:r>
    </w:p>
    <w:p w14:paraId="276A68C8">
      <w:pPr>
        <w:pStyle w:val="47"/>
        <w:ind w:firstLine="482"/>
        <w:rPr>
          <w:rFonts w:hint="eastAsia"/>
        </w:rPr>
      </w:pPr>
      <w:r>
        <w:rPr>
          <w:rFonts w:hint="eastAsia"/>
        </w:rPr>
        <w:t>（1）污染防治措施分析</w:t>
      </w:r>
    </w:p>
    <w:p w14:paraId="3E9423CE">
      <w:pPr>
        <w:pStyle w:val="47"/>
        <w:ind w:firstLine="482"/>
        <w:rPr>
          <w:rFonts w:hint="eastAsia"/>
        </w:rPr>
      </w:pPr>
      <w:r>
        <w:rPr>
          <w:rFonts w:hint="eastAsia"/>
        </w:rPr>
        <w:t>污染物从污染源进入地下水所经过路径称为地下水污染途径，地下水污染途径是多种多样的。项目运营期环境影响因素主要为生活污水</w:t>
      </w:r>
      <w:r>
        <w:rPr>
          <w:rFonts w:hint="eastAsia"/>
          <w:lang w:eastAsia="zh-CN"/>
        </w:rPr>
        <w:t>，</w:t>
      </w:r>
      <w:r>
        <w:rPr>
          <w:rFonts w:hint="eastAsia"/>
        </w:rPr>
        <w:t>如不加以管理，</w:t>
      </w:r>
      <w:r>
        <w:rPr>
          <w:rFonts w:hint="eastAsia"/>
          <w:lang w:val="en-US" w:eastAsia="zh-CN"/>
        </w:rPr>
        <w:t>防渗旱厕泄露</w:t>
      </w:r>
      <w:r>
        <w:rPr>
          <w:rFonts w:hint="eastAsia"/>
        </w:rPr>
        <w:t>下渗</w:t>
      </w:r>
      <w:r>
        <w:rPr>
          <w:rFonts w:hint="eastAsia"/>
          <w:lang w:eastAsia="zh-CN"/>
        </w:rPr>
        <w:t>将</w:t>
      </w:r>
      <w:r>
        <w:rPr>
          <w:rFonts w:hint="eastAsia"/>
        </w:rPr>
        <w:t>污染地下水。</w:t>
      </w:r>
    </w:p>
    <w:p w14:paraId="2DD77D0E">
      <w:pPr>
        <w:pStyle w:val="47"/>
        <w:ind w:firstLine="482"/>
        <w:rPr>
          <w:rFonts w:hint="eastAsia"/>
        </w:rPr>
      </w:pPr>
      <w:r>
        <w:rPr>
          <w:rFonts w:hint="eastAsia"/>
        </w:rPr>
        <w:t>项目在施工阶段，应充分做好排污管理的防渗处理，杜绝污水渗漏，确保污水收集处理系统衔接良好，严格用水管理。针对项目可能对地下水造成的污染情况，本评价要求建设单位拟采取防止地下水污染的保护措施如下：</w:t>
      </w:r>
    </w:p>
    <w:p w14:paraId="2CE7B907">
      <w:pPr>
        <w:pStyle w:val="47"/>
        <w:ind w:firstLine="482"/>
        <w:rPr>
          <w:rFonts w:hint="eastAsia"/>
        </w:rPr>
      </w:pPr>
      <w:r>
        <w:rPr>
          <w:rFonts w:hint="eastAsia"/>
        </w:rPr>
        <w:t>①禁止在厂区内任意设置排污口，防止污水流入环境中。</w:t>
      </w:r>
    </w:p>
    <w:p w14:paraId="6F575593">
      <w:pPr>
        <w:pStyle w:val="47"/>
        <w:ind w:firstLine="482"/>
        <w:rPr>
          <w:rFonts w:hint="eastAsia"/>
        </w:rPr>
      </w:pPr>
      <w:r>
        <w:rPr>
          <w:rFonts w:hint="eastAsia"/>
        </w:rPr>
        <w:t>②</w:t>
      </w:r>
      <w:r>
        <w:rPr>
          <w:rFonts w:hint="eastAsia"/>
          <w:lang w:val="en-US" w:eastAsia="zh-CN"/>
        </w:rPr>
        <w:t>防渗旱厕、</w:t>
      </w:r>
      <w:r>
        <w:rPr>
          <w:rFonts w:hint="eastAsia"/>
        </w:rPr>
        <w:t>沉淀池进行防渗处理，充分做好废水管道的防渗处理，杜绝污水渗漏，确保沉淀池收集处理系统衔接良好，采用柔性的橡胶圈结构，对废水收集管网、阀门严格质量管理，如发现问题，应及时解决。对于工艺要求必须地下走管的管道、阀门尽量设专用防渗管沟，管沟上设活动观察顶盖，以便出现渗漏问题及时观察解决。</w:t>
      </w:r>
    </w:p>
    <w:p w14:paraId="61889436">
      <w:pPr>
        <w:pStyle w:val="47"/>
        <w:bidi w:val="0"/>
        <w:rPr>
          <w:rFonts w:hint="eastAsia"/>
        </w:rPr>
      </w:pPr>
      <w:r>
        <w:rPr>
          <w:rFonts w:hint="eastAsia"/>
        </w:rPr>
        <w:t>③项目应进行分区防渗，对重点防渗区</w:t>
      </w:r>
      <w:r>
        <w:rPr>
          <w:rFonts w:hint="eastAsia"/>
          <w:color w:val="000000" w:themeColor="text1"/>
          <w:lang w:eastAsia="zh-CN"/>
          <w14:textFill>
            <w14:solidFill>
              <w14:schemeClr w14:val="tx1"/>
            </w14:solidFill>
          </w14:textFill>
        </w:rPr>
        <w:t>防渗层防渗性能不能低于6m厚，渗透系数≤10</w:t>
      </w:r>
      <w:r>
        <w:rPr>
          <w:rFonts w:hint="eastAsia"/>
          <w:color w:val="000000" w:themeColor="text1"/>
          <w:vertAlign w:val="superscript"/>
          <w:lang w:eastAsia="zh-CN"/>
          <w14:textFill>
            <w14:solidFill>
              <w14:schemeClr w14:val="tx1"/>
            </w14:solidFill>
          </w14:textFill>
        </w:rPr>
        <w:t>-7</w:t>
      </w:r>
      <w:r>
        <w:rPr>
          <w:rFonts w:hint="eastAsia"/>
          <w:color w:val="000000" w:themeColor="text1"/>
          <w:lang w:eastAsia="zh-CN"/>
          <w14:textFill>
            <w14:solidFill>
              <w14:schemeClr w14:val="tx1"/>
            </w14:solidFill>
          </w14:textFill>
        </w:rPr>
        <w:t>cm/s的防渗性能</w:t>
      </w:r>
      <w:r>
        <w:rPr>
          <w:rFonts w:hint="eastAsia"/>
          <w:lang w:eastAsia="zh-CN"/>
        </w:rPr>
        <w:t>，</w:t>
      </w:r>
      <w:r>
        <w:rPr>
          <w:rFonts w:hint="eastAsia"/>
        </w:rPr>
        <w:t>对一般防渗区其渗透系数小于1.0×10</w:t>
      </w:r>
      <w:r>
        <w:rPr>
          <w:rFonts w:hint="eastAsia"/>
          <w:vertAlign w:val="superscript"/>
        </w:rPr>
        <w:t>-7</w:t>
      </w:r>
      <w:r>
        <w:rPr>
          <w:rFonts w:hint="eastAsia"/>
        </w:rPr>
        <w:t>cm/s</w:t>
      </w:r>
      <w:r>
        <w:rPr>
          <w:rFonts w:hint="eastAsia"/>
          <w:lang w:eastAsia="zh-CN"/>
        </w:rPr>
        <w:t>，简单防渗区</w:t>
      </w:r>
      <w:r>
        <w:rPr>
          <w:rFonts w:hint="eastAsia"/>
          <w:color w:val="000000" w:themeColor="text1"/>
          <w:lang w:eastAsia="zh-CN"/>
          <w14:textFill>
            <w14:solidFill>
              <w14:schemeClr w14:val="tx1"/>
            </w14:solidFill>
          </w14:textFill>
        </w:rPr>
        <w:t>除绿化用地均采取灰土铺底，再在上层铺10～15cm的混凝土进行硬化，</w:t>
      </w:r>
      <w:r>
        <w:rPr>
          <w:rFonts w:hint="eastAsia"/>
        </w:rPr>
        <w:t>严防地下水污染。</w:t>
      </w:r>
    </w:p>
    <w:p w14:paraId="2D024D5F">
      <w:pPr>
        <w:pStyle w:val="47"/>
        <w:ind w:firstLine="482"/>
        <w:rPr>
          <w:rFonts w:hint="eastAsia"/>
        </w:rPr>
      </w:pPr>
      <w:r>
        <w:rPr>
          <w:rFonts w:hint="eastAsia"/>
        </w:rPr>
        <w:t>④项目物料运输的过程中，做到严格管理，防止“跑、冒、滴、漏”现象的发生，避免滴落的物料经雨水冲刷带走，下渗污染地下水。</w:t>
      </w:r>
    </w:p>
    <w:p w14:paraId="2677A064">
      <w:pPr>
        <w:pStyle w:val="47"/>
        <w:ind w:firstLine="482"/>
        <w:rPr>
          <w:rFonts w:hint="eastAsia"/>
        </w:rPr>
      </w:pPr>
      <w:r>
        <w:rPr>
          <w:rFonts w:hint="eastAsia"/>
        </w:rPr>
        <w:t>（2）管理措施分析</w:t>
      </w:r>
    </w:p>
    <w:p w14:paraId="6999B1C7">
      <w:pPr>
        <w:pStyle w:val="47"/>
        <w:ind w:firstLine="482"/>
        <w:rPr>
          <w:rFonts w:hint="eastAsia"/>
        </w:rPr>
      </w:pPr>
      <w:r>
        <w:rPr>
          <w:rFonts w:hint="eastAsia"/>
        </w:rPr>
        <w:t>成立事故处理组织，一旦发生废水事故排放，应立即对设备进行维修，同时对废水进行回收、拦截，以防止污染地下水。</w:t>
      </w:r>
    </w:p>
    <w:p w14:paraId="656ECC9D">
      <w:pPr>
        <w:pStyle w:val="47"/>
        <w:ind w:firstLine="482"/>
        <w:rPr>
          <w:rFonts w:hint="eastAsia"/>
        </w:rPr>
      </w:pPr>
      <w:r>
        <w:rPr>
          <w:rFonts w:hint="eastAsia"/>
        </w:rPr>
        <w:t>（3）地下水污染监控系统</w:t>
      </w:r>
    </w:p>
    <w:p w14:paraId="250D18C6">
      <w:pPr>
        <w:pStyle w:val="47"/>
        <w:ind w:firstLine="482"/>
        <w:rPr>
          <w:rFonts w:hint="eastAsia"/>
          <w:highlight w:val="none"/>
        </w:rPr>
      </w:pPr>
      <w:r>
        <w:rPr>
          <w:rFonts w:hint="eastAsia"/>
          <w:highlight w:val="none"/>
        </w:rPr>
        <w:t>项目应建立地下水环境监测管理体系，以便及时发现问题，采取措施，根据《环境影响评价技术导则 地下水环境》（HJ610-2016），三级评价的建设项目跟踪监测点数量要求一般不少于一个，应至少在建设项目场地下游布置一个。综上所述，项目严格执行上述措施后，杜绝了厂区污水下渗的途径，绝大部分污染物得到有效控制，可有效避免项目对地下水的影响。生产过程中产生的危险固废均能得到处置，处置途径可行，不会对环境产生二次污染。本评价认为建设单位采取的地下水污染防治措施在技术上是可行的。</w:t>
      </w:r>
    </w:p>
    <w:p w14:paraId="57D35377">
      <w:pPr>
        <w:pStyle w:val="47"/>
        <w:ind w:firstLine="482"/>
      </w:pPr>
      <w:r>
        <w:rPr>
          <w:rFonts w:hint="eastAsia"/>
          <w:highlight w:val="none"/>
        </w:rPr>
        <w:t>综上所述，建设单位严格按照上述措施执行，项目几乎不对地下水产生影响。</w:t>
      </w:r>
    </w:p>
    <w:p w14:paraId="1869C2B4">
      <w:pPr>
        <w:pStyle w:val="92"/>
        <w:bidi w:val="0"/>
        <w:ind w:left="0" w:leftChars="0" w:firstLine="0" w:firstLineChars="0"/>
      </w:pPr>
      <w:r>
        <w:rPr>
          <w:rFonts w:hint="eastAsia"/>
        </w:rPr>
        <w:t>噪声污染防治措施</w:t>
      </w:r>
    </w:p>
    <w:p w14:paraId="0A50F0B2">
      <w:pPr>
        <w:pStyle w:val="47"/>
        <w:rPr>
          <w:rFonts w:hint="eastAsia"/>
        </w:rPr>
      </w:pPr>
      <w:r>
        <w:rPr>
          <w:rFonts w:hint="eastAsia"/>
        </w:rPr>
        <w:t>项目噪声主要来源于破碎机、清洗机、挤出机等设备运行过程中产生的设备噪声，以及水泵、风机等运行时产生的空气动力性噪声，声级值约为</w:t>
      </w:r>
      <w:r>
        <w:rPr>
          <w:rFonts w:hint="eastAsia"/>
          <w:lang w:val="en-US" w:eastAsia="zh-CN"/>
        </w:rPr>
        <w:t>80</w:t>
      </w:r>
      <w:r>
        <w:rPr>
          <w:rFonts w:hint="eastAsia"/>
        </w:rPr>
        <w:t>-9</w:t>
      </w:r>
      <w:r>
        <w:rPr>
          <w:rFonts w:hint="eastAsia"/>
          <w:lang w:val="en-US" w:eastAsia="zh-CN"/>
        </w:rPr>
        <w:t>4</w:t>
      </w:r>
      <w:r>
        <w:rPr>
          <w:rFonts w:hint="eastAsia"/>
        </w:rPr>
        <w:t>dB（A）。拟采取的防治措施如下：</w:t>
      </w:r>
    </w:p>
    <w:p w14:paraId="0463340E">
      <w:pPr>
        <w:pStyle w:val="47"/>
        <w:rPr>
          <w:rFonts w:hint="eastAsia"/>
        </w:rPr>
      </w:pPr>
      <w:r>
        <w:rPr>
          <w:rFonts w:hint="eastAsia"/>
        </w:rPr>
        <w:t>①合理布局，要充分考虑各机械设备及各生产工序的性能特点，高噪声设备尽量放置在厂房中部集中布置。在厂区总体布置上利用建筑物、构筑物等阻隔声波的传播。</w:t>
      </w:r>
    </w:p>
    <w:p w14:paraId="42AF5ECB">
      <w:pPr>
        <w:pStyle w:val="47"/>
        <w:rPr>
          <w:rFonts w:hint="eastAsia"/>
        </w:rPr>
      </w:pPr>
      <w:r>
        <w:rPr>
          <w:rFonts w:hint="eastAsia"/>
        </w:rPr>
        <w:t>②基础减振、采取厂房隔音等措施降噪；</w:t>
      </w:r>
    </w:p>
    <w:p w14:paraId="2485BB53">
      <w:pPr>
        <w:pStyle w:val="47"/>
        <w:rPr>
          <w:rFonts w:hint="eastAsia"/>
        </w:rPr>
      </w:pPr>
      <w:r>
        <w:rPr>
          <w:rFonts w:hint="eastAsia"/>
        </w:rPr>
        <w:t>③建立设备定期维护、保养的管理制度，防止设备故障形成的非正常生产噪声，同时确保环保措施发挥最佳降噪功能；</w:t>
      </w:r>
    </w:p>
    <w:p w14:paraId="3461BC8F">
      <w:pPr>
        <w:pStyle w:val="47"/>
        <w:rPr>
          <w:rFonts w:hint="eastAsia"/>
        </w:rPr>
      </w:pPr>
      <w:r>
        <w:rPr>
          <w:rFonts w:hint="eastAsia"/>
        </w:rPr>
        <w:t>④在厂区周围种植绿化林木，利用植物的屏蔽和吸收作用降低噪声污染；</w:t>
      </w:r>
    </w:p>
    <w:p w14:paraId="5666199B">
      <w:pPr>
        <w:pStyle w:val="47"/>
        <w:rPr>
          <w:rFonts w:hint="eastAsia"/>
        </w:rPr>
      </w:pPr>
      <w:r>
        <w:rPr>
          <w:rFonts w:hint="eastAsia"/>
        </w:rPr>
        <w:t>⑤工作操作人员全部佩带耳塞、耳罩等个人防护用品；</w:t>
      </w:r>
    </w:p>
    <w:p w14:paraId="6946DD66">
      <w:pPr>
        <w:pStyle w:val="47"/>
        <w:rPr>
          <w:rFonts w:hint="eastAsia"/>
        </w:rPr>
      </w:pPr>
      <w:r>
        <w:rPr>
          <w:rFonts w:hint="eastAsia"/>
        </w:rPr>
        <w:t>⑥货物运输车辆应配备低音喇叭，在厂区门前做到不鸣或少鸣笛，以减轻交通噪声对厂区周围地区的影响。</w:t>
      </w:r>
    </w:p>
    <w:p w14:paraId="2FE4721D">
      <w:pPr>
        <w:pStyle w:val="47"/>
        <w:rPr>
          <w:rFonts w:hint="eastAsia"/>
        </w:rPr>
      </w:pPr>
      <w:r>
        <w:rPr>
          <w:rFonts w:hint="eastAsia"/>
        </w:rPr>
        <w:t>采取上述噪声污染防治措施后，厂界外昼夜间噪声值可满足《工业企业厂界环境噪声排放标准》（GB12348-2008）中2类标准的要求，噪声防治措施可行。</w:t>
      </w:r>
    </w:p>
    <w:p w14:paraId="137234FC">
      <w:pPr>
        <w:pStyle w:val="92"/>
        <w:bidi w:val="0"/>
        <w:ind w:left="0" w:leftChars="0" w:firstLine="0" w:firstLineChars="0"/>
      </w:pPr>
      <w:r>
        <w:rPr>
          <w:rFonts w:hint="eastAsia"/>
        </w:rPr>
        <w:t>固体</w:t>
      </w:r>
      <w:r>
        <w:t>废物</w:t>
      </w:r>
      <w:r>
        <w:rPr>
          <w:rFonts w:hint="eastAsia"/>
        </w:rPr>
        <w:t>污染防治措施</w:t>
      </w:r>
    </w:p>
    <w:p w14:paraId="0A5E3B2B">
      <w:pPr>
        <w:pStyle w:val="47"/>
        <w:bidi w:val="0"/>
      </w:pPr>
      <w:r>
        <w:rPr>
          <w:rFonts w:hint="eastAsia"/>
          <w:lang w:eastAsia="zh-CN"/>
        </w:rPr>
        <w:t>（</w:t>
      </w:r>
      <w:r>
        <w:rPr>
          <w:rFonts w:hint="eastAsia"/>
          <w:lang w:val="en-US" w:eastAsia="zh-CN"/>
        </w:rPr>
        <w:t>1</w:t>
      </w:r>
      <w:r>
        <w:rPr>
          <w:rFonts w:hint="eastAsia"/>
          <w:lang w:eastAsia="zh-CN"/>
        </w:rPr>
        <w:t>）</w:t>
      </w:r>
      <w:r>
        <w:rPr>
          <w:rFonts w:hint="eastAsia"/>
        </w:rPr>
        <w:t>固体</w:t>
      </w:r>
      <w:r>
        <w:t>废物</w:t>
      </w:r>
      <w:r>
        <w:rPr>
          <w:rFonts w:hint="eastAsia"/>
        </w:rPr>
        <w:t>处置</w:t>
      </w:r>
      <w:r>
        <w:t>措施</w:t>
      </w:r>
      <w:r>
        <w:rPr>
          <w:rFonts w:hint="eastAsia"/>
        </w:rPr>
        <w:t>分析</w:t>
      </w:r>
    </w:p>
    <w:p w14:paraId="42573089">
      <w:pPr>
        <w:pStyle w:val="47"/>
        <w:bidi w:val="0"/>
        <w:rPr>
          <w:rFonts w:hint="eastAsia"/>
          <w:lang w:val="en-US" w:eastAsia="zh-CN"/>
        </w:rPr>
      </w:pPr>
      <w:r>
        <w:rPr>
          <w:rFonts w:hint="eastAsia" w:ascii="楷体" w:hAnsi="楷体" w:eastAsia="楷体" w:cs="楷体"/>
          <w:lang w:val="en-US" w:eastAsia="zh-CN"/>
        </w:rPr>
        <w:t>①</w:t>
      </w:r>
      <w:r>
        <w:rPr>
          <w:rFonts w:hint="eastAsia"/>
          <w:lang w:val="en-US" w:eastAsia="zh-CN"/>
        </w:rPr>
        <w:t>一般工业固体废物</w:t>
      </w:r>
    </w:p>
    <w:p w14:paraId="2B94C933">
      <w:pPr>
        <w:pStyle w:val="47"/>
        <w:bidi w:val="0"/>
        <w:rPr>
          <w:rFonts w:hint="eastAsia"/>
          <w:lang w:val="en-US" w:eastAsia="zh-CN"/>
        </w:rPr>
      </w:pPr>
      <w:r>
        <w:rPr>
          <w:rFonts w:hint="eastAsia"/>
          <w:lang w:val="en-US" w:eastAsia="zh-CN"/>
        </w:rPr>
        <w:t>项目产生分拣废物</w:t>
      </w:r>
      <w:r>
        <w:rPr>
          <w:rFonts w:hint="eastAsia"/>
        </w:rPr>
        <w:t>定期送往环卫部门指定地点处置</w:t>
      </w:r>
      <w:r>
        <w:rPr>
          <w:rFonts w:hint="eastAsia"/>
          <w:lang w:val="en-US" w:eastAsia="zh-CN"/>
        </w:rPr>
        <w:t>；沉淀池污泥定期清掏自然干化后作为生活垃圾交由环卫部门处理；废旧滤网由厂家回收处置；</w:t>
      </w:r>
      <w:r>
        <w:rPr>
          <w:rFonts w:hint="eastAsia"/>
        </w:rPr>
        <w:t>布袋除尘器除尘灰全部回用于生产</w:t>
      </w:r>
      <w:r>
        <w:rPr>
          <w:rFonts w:hint="eastAsia"/>
          <w:lang w:eastAsia="zh-CN"/>
        </w:rPr>
        <w:t>；</w:t>
      </w:r>
      <w:r>
        <w:rPr>
          <w:rFonts w:hint="eastAsia"/>
          <w:lang w:val="en-US" w:eastAsia="zh-CN"/>
        </w:rPr>
        <w:t>废包装袋</w:t>
      </w:r>
      <w:r>
        <w:rPr>
          <w:rFonts w:hint="eastAsia"/>
        </w:rPr>
        <w:t>定期外售废品收购站</w:t>
      </w:r>
      <w:r>
        <w:rPr>
          <w:rFonts w:hint="eastAsia"/>
          <w:lang w:val="en-US" w:eastAsia="zh-CN"/>
        </w:rPr>
        <w:t>。</w:t>
      </w:r>
    </w:p>
    <w:p w14:paraId="53B5414C">
      <w:pPr>
        <w:pStyle w:val="47"/>
        <w:bidi w:val="0"/>
        <w:rPr>
          <w:rFonts w:hint="eastAsia"/>
          <w:lang w:val="en-US" w:eastAsia="zh-CN"/>
        </w:rPr>
      </w:pPr>
      <w:r>
        <w:rPr>
          <w:rFonts w:hint="eastAsia" w:ascii="楷体" w:hAnsi="楷体" w:eastAsia="楷体" w:cs="楷体"/>
          <w:lang w:val="en-US" w:eastAsia="zh-CN"/>
        </w:rPr>
        <w:t>②</w:t>
      </w:r>
      <w:r>
        <w:rPr>
          <w:rFonts w:hint="eastAsia"/>
          <w:lang w:val="en-US" w:eastAsia="zh-CN"/>
        </w:rPr>
        <w:t>危险废物</w:t>
      </w:r>
    </w:p>
    <w:p w14:paraId="21185147">
      <w:pPr>
        <w:pStyle w:val="47"/>
        <w:bidi w:val="0"/>
        <w:rPr>
          <w:rFonts w:hint="default"/>
          <w:lang w:val="en-US" w:eastAsia="zh-CN"/>
        </w:rPr>
      </w:pPr>
      <w:r>
        <w:rPr>
          <w:rFonts w:hint="eastAsia"/>
          <w:lang w:val="en-US" w:eastAsia="zh-CN"/>
        </w:rPr>
        <w:t>项目环保装置产生的废活性炭、废过滤棉，设备维护产生的废润滑油、废润滑油桶，分类</w:t>
      </w:r>
      <w:r>
        <w:rPr>
          <w:rFonts w:hint="default"/>
          <w:lang w:val="en-US" w:eastAsia="zh-CN"/>
        </w:rPr>
        <w:t>暂存于危废暂存间，定期委托有资质单位处置。</w:t>
      </w:r>
    </w:p>
    <w:p w14:paraId="49C146D7">
      <w:pPr>
        <w:pStyle w:val="47"/>
        <w:bidi w:val="0"/>
        <w:rPr>
          <w:rFonts w:hint="eastAsia"/>
          <w:lang w:val="en-US" w:eastAsia="zh-CN"/>
        </w:rPr>
      </w:pPr>
      <w:r>
        <w:rPr>
          <w:rFonts w:hint="eastAsia" w:ascii="楷体" w:hAnsi="楷体" w:eastAsia="楷体" w:cs="楷体"/>
          <w:lang w:val="en-US" w:eastAsia="zh-CN"/>
        </w:rPr>
        <w:t>③</w:t>
      </w:r>
      <w:r>
        <w:rPr>
          <w:rFonts w:hint="eastAsia"/>
          <w:lang w:val="en-US" w:eastAsia="zh-CN"/>
        </w:rPr>
        <w:t>生活垃圾</w:t>
      </w:r>
    </w:p>
    <w:p w14:paraId="6472404A">
      <w:pPr>
        <w:pStyle w:val="47"/>
        <w:bidi w:val="0"/>
        <w:rPr>
          <w:rFonts w:hint="eastAsia"/>
          <w:lang w:val="en-US" w:eastAsia="zh-CN"/>
        </w:rPr>
      </w:pPr>
      <w:r>
        <w:rPr>
          <w:rFonts w:hint="eastAsia"/>
          <w:lang w:val="en-US" w:eastAsia="zh-CN"/>
        </w:rPr>
        <w:t>项目生活垃圾集中收集后交由环卫部门处理。</w:t>
      </w:r>
    </w:p>
    <w:p w14:paraId="05725DDA">
      <w:pPr>
        <w:pStyle w:val="47"/>
        <w:bidi w:val="0"/>
      </w:pPr>
      <w:r>
        <w:rPr>
          <w:rFonts w:hint="eastAsia"/>
          <w:lang w:eastAsia="zh-CN"/>
        </w:rPr>
        <w:t>（</w:t>
      </w:r>
      <w:r>
        <w:rPr>
          <w:rFonts w:hint="eastAsia"/>
          <w:lang w:val="en-US" w:eastAsia="zh-CN"/>
        </w:rPr>
        <w:t>2</w:t>
      </w:r>
      <w:r>
        <w:rPr>
          <w:rFonts w:hint="eastAsia"/>
          <w:lang w:eastAsia="zh-CN"/>
        </w:rPr>
        <w:t>）</w:t>
      </w:r>
      <w:r>
        <w:rPr>
          <w:rFonts w:hint="eastAsia"/>
        </w:rPr>
        <w:t>危险废物</w:t>
      </w:r>
      <w:r>
        <w:t>贮存</w:t>
      </w:r>
      <w:r>
        <w:rPr>
          <w:rFonts w:hint="eastAsia"/>
        </w:rPr>
        <w:t>措施可行性分析</w:t>
      </w:r>
    </w:p>
    <w:p w14:paraId="7473AC11">
      <w:pPr>
        <w:pStyle w:val="47"/>
        <w:ind w:firstLine="482"/>
        <w:rPr>
          <w:rFonts w:hint="eastAsia"/>
        </w:rPr>
      </w:pPr>
      <w:r>
        <w:rPr>
          <w:rFonts w:hint="eastAsia" w:ascii="楷体" w:hAnsi="楷体" w:eastAsia="楷体" w:cs="楷体"/>
        </w:rPr>
        <w:t>①</w:t>
      </w:r>
      <w:r>
        <w:rPr>
          <w:rFonts w:hint="eastAsia"/>
        </w:rPr>
        <w:t>危险废物贮存库概况</w:t>
      </w:r>
    </w:p>
    <w:p w14:paraId="682D1FD1">
      <w:pPr>
        <w:pStyle w:val="47"/>
        <w:ind w:firstLine="482"/>
        <w:rPr>
          <w:rFonts w:hint="eastAsia"/>
        </w:rPr>
      </w:pPr>
      <w:r>
        <w:rPr>
          <w:rFonts w:hint="eastAsia"/>
        </w:rPr>
        <w:t>项目</w:t>
      </w:r>
      <w:r>
        <w:rPr>
          <w:rFonts w:hint="eastAsia"/>
          <w:lang w:eastAsia="zh-CN"/>
        </w:rPr>
        <w:t>建设</w:t>
      </w:r>
      <w:r>
        <w:rPr>
          <w:rFonts w:hint="eastAsia"/>
        </w:rPr>
        <w:t>危险废物</w:t>
      </w:r>
      <w:r>
        <w:rPr>
          <w:rFonts w:hint="eastAsia"/>
          <w:lang w:eastAsia="zh-CN"/>
        </w:rPr>
        <w:t>暂存间，</w:t>
      </w:r>
      <w:r>
        <w:rPr>
          <w:rFonts w:hint="eastAsia"/>
        </w:rPr>
        <w:t>用于临时储存项目</w:t>
      </w:r>
      <w:r>
        <w:rPr>
          <w:rFonts w:hint="eastAsia"/>
          <w:lang w:eastAsia="zh-CN"/>
        </w:rPr>
        <w:t>生产的危险废物</w:t>
      </w:r>
      <w:r>
        <w:rPr>
          <w:rFonts w:hint="eastAsia"/>
        </w:rPr>
        <w:t>。</w:t>
      </w:r>
    </w:p>
    <w:p w14:paraId="06B0575F">
      <w:pPr>
        <w:pStyle w:val="47"/>
        <w:ind w:firstLine="482"/>
        <w:rPr>
          <w:rFonts w:hint="eastAsia"/>
        </w:rPr>
      </w:pPr>
      <w:r>
        <w:rPr>
          <w:rFonts w:hint="eastAsia" w:ascii="楷体" w:hAnsi="楷体" w:eastAsia="楷体" w:cs="楷体"/>
        </w:rPr>
        <w:t>②</w:t>
      </w:r>
      <w:r>
        <w:rPr>
          <w:rFonts w:hint="eastAsia"/>
        </w:rPr>
        <w:t>危险废物暂存及管理要求</w:t>
      </w:r>
    </w:p>
    <w:p w14:paraId="62EBADC2">
      <w:pPr>
        <w:pStyle w:val="47"/>
        <w:ind w:firstLine="482"/>
        <w:rPr>
          <w:rFonts w:hint="eastAsia"/>
        </w:rPr>
      </w:pPr>
      <w:r>
        <w:rPr>
          <w:rFonts w:hint="eastAsia"/>
        </w:rPr>
        <w:t>本次环评要求严格按照《危险废物贮存污染控制标准》（GB18597-2023）《危险废物收集 贮存 运输技术规范》（HJ2025-2012）和《危险废物转移管理办法》生态环境部、公安部、交通运输部（部令 23 号）相关要求对其进行贮存、转移及制度性管理。根据国家产生危险废物的单位应当以控制危险废物的环境风险为目标，企业应制定危险废物管理计划和应急预案并报所在地县级以上地方生态环境部门备案。</w:t>
      </w:r>
    </w:p>
    <w:p w14:paraId="6E35EBFC">
      <w:pPr>
        <w:pStyle w:val="47"/>
        <w:ind w:firstLine="482"/>
        <w:rPr>
          <w:rFonts w:hint="eastAsia"/>
        </w:rPr>
      </w:pPr>
      <w:r>
        <w:rPr>
          <w:rFonts w:hint="eastAsia"/>
          <w:lang w:val="en-US" w:eastAsia="zh-CN"/>
        </w:rPr>
        <w:t>a</w:t>
      </w:r>
      <w:r>
        <w:rPr>
          <w:rFonts w:hint="eastAsia"/>
        </w:rPr>
        <w:t>危险废物贮存污染控制</w:t>
      </w:r>
    </w:p>
    <w:p w14:paraId="1AA02666">
      <w:pPr>
        <w:pStyle w:val="47"/>
        <w:ind w:firstLine="482"/>
        <w:rPr>
          <w:rFonts w:hint="eastAsia"/>
        </w:rPr>
      </w:pPr>
      <w:r>
        <w:rPr>
          <w:rFonts w:hint="eastAsia"/>
        </w:rPr>
        <w:t>项目建设</w:t>
      </w:r>
      <w:r>
        <w:rPr>
          <w:rFonts w:hint="eastAsia"/>
          <w:lang w:val="en-US" w:eastAsia="zh-CN"/>
        </w:rPr>
        <w:t>1</w:t>
      </w:r>
      <w:r>
        <w:rPr>
          <w:rFonts w:hint="eastAsia"/>
        </w:rPr>
        <w:t>座危险废物</w:t>
      </w:r>
      <w:r>
        <w:rPr>
          <w:rFonts w:hint="eastAsia"/>
          <w:lang w:eastAsia="zh-CN"/>
        </w:rPr>
        <w:t>暂存间</w:t>
      </w:r>
      <w:r>
        <w:rPr>
          <w:rFonts w:hint="eastAsia"/>
        </w:rPr>
        <w:t>，根据《危险废物贮存污染控制标准》（GB18597-2023）要求，危险废物贮存设施污染控制要求如下：</w:t>
      </w:r>
    </w:p>
    <w:p w14:paraId="1C2F1A27">
      <w:pPr>
        <w:pStyle w:val="47"/>
        <w:ind w:firstLine="482"/>
        <w:rPr>
          <w:rFonts w:hint="eastAsia"/>
        </w:rPr>
      </w:pPr>
      <w:r>
        <w:rPr>
          <w:rFonts w:hint="eastAsia"/>
        </w:rPr>
        <w:t>贮存设施应根据危险废物的状态、物理化学性质、包装形式和污染物迁移途径，采取必要的防风、防晒、防雨、防漏、防渗、防腐以及其他环境污染防治措施，不应露天堆放危险废物。</w:t>
      </w:r>
    </w:p>
    <w:p w14:paraId="011136C1">
      <w:pPr>
        <w:pStyle w:val="47"/>
        <w:ind w:firstLine="482"/>
        <w:rPr>
          <w:rFonts w:hint="eastAsia"/>
        </w:rPr>
      </w:pPr>
      <w:r>
        <w:rPr>
          <w:rFonts w:hint="eastAsia"/>
        </w:rPr>
        <w:t>贮存设施应根据危险废物的类别、数量、形态、物理化学性质和污染防治等要求设置必要的贮存分区，避免不相容的危险废物接触、混合。</w:t>
      </w:r>
    </w:p>
    <w:p w14:paraId="2B4728C9">
      <w:pPr>
        <w:pStyle w:val="47"/>
        <w:ind w:firstLine="482"/>
        <w:rPr>
          <w:rFonts w:hint="eastAsia"/>
        </w:rPr>
      </w:pPr>
      <w:r>
        <w:rPr>
          <w:rFonts w:hint="eastAsia"/>
        </w:rPr>
        <w:t>贮存设施或贮存分区内地面、墙面裙脚、堵截泄漏的围堰、接触危险废物的隔板和墙体等应该采用坚固的材料建造，表面无裂缝。</w:t>
      </w:r>
    </w:p>
    <w:p w14:paraId="5D09485F">
      <w:pPr>
        <w:pStyle w:val="47"/>
        <w:ind w:firstLine="482"/>
        <w:rPr>
          <w:rFonts w:hint="eastAsia"/>
        </w:rPr>
      </w:pPr>
      <w:r>
        <w:rPr>
          <w:rFonts w:hint="eastAsia"/>
        </w:rPr>
        <w:t>贮存设施地面与裙脚应采取表面防渗措施：表面防渗材料应与所接触的物料或污染物相容，可采用抗渗混凝土、高密度聚乙烯膜、钠基膨润土防水毯或其他防渗性能等效的材料。贮存的危险废物直接接触地面的，还应进行基础防渗，防渗层为至少1m厚黏土层（渗透系数不大于10-7cm/s），或至少2mm厚高密度聚乙烯膜等人工防渗材料（渗透系数不大于10-10cm/s），或其他防渗性能等效的材料。</w:t>
      </w:r>
    </w:p>
    <w:p w14:paraId="3A2A511A">
      <w:pPr>
        <w:pStyle w:val="47"/>
        <w:ind w:firstLine="482"/>
        <w:rPr>
          <w:rFonts w:hint="eastAsia"/>
        </w:rPr>
      </w:pPr>
      <w:r>
        <w:rPr>
          <w:rFonts w:hint="eastAsia"/>
        </w:rPr>
        <w:t>同一贮存设施宜采用相同的防渗、防腐工艺（包括防渗、防腐结构或材料），防渗、防腐材料应覆盖所有可能与废物及其渗滤液、渗漏液等接触的构筑物表面；采用不同防渗工艺应分别建设贮存分区。</w:t>
      </w:r>
    </w:p>
    <w:p w14:paraId="4710BB4C">
      <w:pPr>
        <w:pStyle w:val="47"/>
        <w:ind w:firstLine="482"/>
        <w:rPr>
          <w:rFonts w:hint="eastAsia"/>
        </w:rPr>
      </w:pPr>
      <w:r>
        <w:rPr>
          <w:rFonts w:hint="eastAsia"/>
        </w:rPr>
        <w:t>贮存设施应采取技术和管理措施防止无关人员进入。</w:t>
      </w:r>
    </w:p>
    <w:p w14:paraId="7E1DFA1F">
      <w:pPr>
        <w:pStyle w:val="47"/>
        <w:ind w:firstLine="482"/>
        <w:rPr>
          <w:rFonts w:hint="eastAsia"/>
        </w:rPr>
      </w:pPr>
      <w:r>
        <w:rPr>
          <w:rFonts w:hint="eastAsia"/>
        </w:rPr>
        <w:t>贮存库内不同贮存区之间应采取隔离措施。隔离措施可根据危险废物特性采用过道、隔板或者隔墙等方式。</w:t>
      </w:r>
    </w:p>
    <w:p w14:paraId="1DDF3337">
      <w:pPr>
        <w:pStyle w:val="47"/>
        <w:ind w:firstLine="482"/>
        <w:rPr>
          <w:rFonts w:hint="eastAsia"/>
        </w:rPr>
      </w:pPr>
      <w:r>
        <w:rPr>
          <w:rFonts w:hint="eastAsia"/>
          <w:lang w:val="en-US" w:eastAsia="zh-CN"/>
        </w:rPr>
        <w:t>b</w:t>
      </w:r>
      <w:r>
        <w:rPr>
          <w:rFonts w:hint="eastAsia"/>
        </w:rPr>
        <w:t>容器和包装物污染控制要求</w:t>
      </w:r>
    </w:p>
    <w:p w14:paraId="0DA8D246">
      <w:pPr>
        <w:pStyle w:val="47"/>
        <w:ind w:firstLine="482"/>
        <w:rPr>
          <w:rFonts w:hint="eastAsia"/>
        </w:rPr>
      </w:pPr>
      <w:r>
        <w:rPr>
          <w:rFonts w:hint="eastAsia"/>
        </w:rPr>
        <w:t>容器和包装物材质、内衬应与盛装的危险废物相容。</w:t>
      </w:r>
    </w:p>
    <w:p w14:paraId="76F3AC76">
      <w:pPr>
        <w:pStyle w:val="47"/>
        <w:rPr>
          <w:rFonts w:hint="eastAsia"/>
        </w:rPr>
      </w:pPr>
      <w:r>
        <w:rPr>
          <w:rFonts w:hint="eastAsia"/>
        </w:rPr>
        <w:t>针对不同类别、形态、物理化学性质的危险废物，其容器和包装物应满足相应的防渗、防漏、防腐和强度等要求。</w:t>
      </w:r>
    </w:p>
    <w:p w14:paraId="33928F9C">
      <w:pPr>
        <w:pStyle w:val="47"/>
        <w:ind w:firstLine="482"/>
        <w:rPr>
          <w:rFonts w:hint="eastAsia"/>
        </w:rPr>
      </w:pPr>
      <w:r>
        <w:rPr>
          <w:rFonts w:hint="eastAsia"/>
        </w:rPr>
        <w:t>硬质容器和包装物及其支护结构堆叠码放时不应有明显变形，无破损泄漏。</w:t>
      </w:r>
    </w:p>
    <w:p w14:paraId="677C088C">
      <w:pPr>
        <w:pStyle w:val="47"/>
        <w:ind w:firstLine="482"/>
        <w:rPr>
          <w:rFonts w:hint="eastAsia"/>
        </w:rPr>
      </w:pPr>
      <w:r>
        <w:rPr>
          <w:rFonts w:hint="eastAsia"/>
        </w:rPr>
        <w:t>柔性容器和包装物堆叠码放时应封口严密，无破损泄漏。</w:t>
      </w:r>
    </w:p>
    <w:p w14:paraId="495AA25E">
      <w:pPr>
        <w:pStyle w:val="47"/>
        <w:ind w:firstLine="482"/>
        <w:rPr>
          <w:rFonts w:hint="eastAsia"/>
        </w:rPr>
      </w:pPr>
      <w:r>
        <w:rPr>
          <w:rFonts w:hint="eastAsia"/>
        </w:rPr>
        <w:t>使用容器盛装半固态</w:t>
      </w:r>
      <w:r>
        <w:rPr>
          <w:rFonts w:hint="eastAsia"/>
          <w:lang w:eastAsia="zh-CN"/>
        </w:rPr>
        <w:t>、固态</w:t>
      </w:r>
      <w:r>
        <w:rPr>
          <w:rFonts w:hint="eastAsia"/>
        </w:rPr>
        <w:t>危险废物时，容器内部应留有适当的空间，以适应因温度变化等可能引发的收缩和膨胀，防止其导致容器渗漏或永久变形。</w:t>
      </w:r>
    </w:p>
    <w:p w14:paraId="4CC1D0DC">
      <w:pPr>
        <w:pStyle w:val="47"/>
        <w:ind w:firstLine="482"/>
        <w:rPr>
          <w:rFonts w:hint="eastAsia"/>
        </w:rPr>
      </w:pPr>
      <w:r>
        <w:rPr>
          <w:rFonts w:hint="eastAsia"/>
        </w:rPr>
        <w:t>容器和包装物外表面应保持清洁。</w:t>
      </w:r>
    </w:p>
    <w:p w14:paraId="6C986E04">
      <w:pPr>
        <w:pStyle w:val="47"/>
        <w:ind w:firstLine="482"/>
        <w:rPr>
          <w:rFonts w:hint="eastAsia"/>
        </w:rPr>
      </w:pPr>
      <w:r>
        <w:rPr>
          <w:rFonts w:hint="eastAsia"/>
          <w:lang w:val="en-US" w:eastAsia="zh-CN"/>
        </w:rPr>
        <w:t>c</w:t>
      </w:r>
      <w:r>
        <w:rPr>
          <w:rFonts w:hint="eastAsia"/>
        </w:rPr>
        <w:t>贮存过程污染控制要求如下：</w:t>
      </w:r>
    </w:p>
    <w:p w14:paraId="076FF1F1">
      <w:pPr>
        <w:pStyle w:val="47"/>
        <w:ind w:firstLine="482"/>
        <w:rPr>
          <w:rFonts w:hint="eastAsia"/>
        </w:rPr>
      </w:pPr>
      <w:r>
        <w:rPr>
          <w:rFonts w:hint="eastAsia"/>
        </w:rPr>
        <w:t>在常温常压下不易水解、不易挥发的固态危险废物可分类堆放贮存，其他固态危险废物应装入容器或包装物内贮存。</w:t>
      </w:r>
    </w:p>
    <w:p w14:paraId="60B3E4C0">
      <w:pPr>
        <w:pStyle w:val="47"/>
        <w:ind w:firstLine="482"/>
        <w:rPr>
          <w:rFonts w:hint="eastAsia"/>
        </w:rPr>
      </w:pPr>
      <w:r>
        <w:rPr>
          <w:rFonts w:hint="eastAsia"/>
        </w:rPr>
        <w:t>半固态危险废物应装入容器或包装袋内贮存，或直接采用贮存池贮存。具有热塑性的危险废物应装入容器或包装袋内进行贮存。易产生粉尘、VOCs、酸雾、有毒有害大气污染物和刺激性气味气体的危险废物应装入闭口容器或包装物内贮存。危险废物贮存过程中易产生粉尘等无组织排放的，应采取抑尘等有效措施。</w:t>
      </w:r>
    </w:p>
    <w:p w14:paraId="4E5BF802">
      <w:pPr>
        <w:pStyle w:val="47"/>
        <w:ind w:firstLine="482"/>
        <w:rPr>
          <w:rFonts w:hint="eastAsia"/>
        </w:rPr>
      </w:pPr>
      <w:r>
        <w:rPr>
          <w:rFonts w:hint="eastAsia"/>
          <w:lang w:val="en-US" w:eastAsia="zh-CN"/>
        </w:rPr>
        <w:t>d</w:t>
      </w:r>
      <w:r>
        <w:rPr>
          <w:rFonts w:hint="eastAsia"/>
        </w:rPr>
        <w:t>贮存设施运行环境管理要求如下：</w:t>
      </w:r>
    </w:p>
    <w:p w14:paraId="0D6E43FE">
      <w:pPr>
        <w:pStyle w:val="47"/>
        <w:ind w:firstLine="482"/>
        <w:rPr>
          <w:rFonts w:hint="eastAsia"/>
        </w:rPr>
      </w:pPr>
      <w:r>
        <w:rPr>
          <w:rFonts w:hint="eastAsia"/>
        </w:rPr>
        <w:t>危险废物存入贮存设施前应对危险废物类别和特性与危险废物标签等危险废物识别标志的一致性进行核验，不一致的或类别、特性不明的不应存入。</w:t>
      </w:r>
    </w:p>
    <w:p w14:paraId="1A1429B3">
      <w:pPr>
        <w:pStyle w:val="47"/>
        <w:ind w:firstLine="482"/>
        <w:rPr>
          <w:rFonts w:hint="eastAsia"/>
        </w:rPr>
      </w:pPr>
      <w:r>
        <w:rPr>
          <w:rFonts w:hint="eastAsia"/>
        </w:rPr>
        <w:t>应定期检查危险废物的贮存状况，及时清理贮存设施地面，更换破损泄漏的危险废物贮存容器和包装物，保证堆存危险废物的防雨、防风、防扬尘等设施功能完好。</w:t>
      </w:r>
    </w:p>
    <w:p w14:paraId="0860AF07">
      <w:pPr>
        <w:pStyle w:val="47"/>
        <w:ind w:firstLine="482"/>
        <w:rPr>
          <w:rFonts w:hint="eastAsia"/>
        </w:rPr>
      </w:pPr>
      <w:r>
        <w:rPr>
          <w:rFonts w:hint="eastAsia"/>
        </w:rPr>
        <w:t>作业设备及车辆等结束作业离开贮存设施时，应对其残留的危险废物进行清理，清理的废物或清洗废水应收集处理。</w:t>
      </w:r>
    </w:p>
    <w:p w14:paraId="00D7EB6E">
      <w:pPr>
        <w:pStyle w:val="47"/>
        <w:ind w:firstLine="482"/>
        <w:rPr>
          <w:rFonts w:hint="eastAsia"/>
        </w:rPr>
      </w:pPr>
      <w:r>
        <w:rPr>
          <w:rFonts w:hint="eastAsia"/>
        </w:rPr>
        <w:t>贮存设施运行期间，应按国家有关标准和规定建立危险废物管理台账并保存。</w:t>
      </w:r>
    </w:p>
    <w:p w14:paraId="470C8A1B">
      <w:pPr>
        <w:pStyle w:val="47"/>
        <w:ind w:firstLine="482"/>
        <w:rPr>
          <w:rFonts w:hint="eastAsia"/>
        </w:rPr>
      </w:pPr>
      <w:r>
        <w:rPr>
          <w:rFonts w:hint="eastAsia"/>
        </w:rPr>
        <w:t>贮存设施所有者或运营者应建立贮存设施环境管理制度、管理人员岗位职责制度、设施运行操作制度、人员岗位培训制度等。</w:t>
      </w:r>
    </w:p>
    <w:p w14:paraId="41AE133A">
      <w:pPr>
        <w:pStyle w:val="47"/>
        <w:ind w:firstLine="482"/>
        <w:rPr>
          <w:rFonts w:hint="eastAsia"/>
        </w:rPr>
      </w:pPr>
      <w:r>
        <w:rPr>
          <w:rFonts w:hint="eastAsia"/>
        </w:rPr>
        <w:t>贮存设施所有者或运营者应依据国家土壤和地下水污染防治的有关规定，结合贮存设施特点建立土壤和地下水污染隐患排查制度，并定期开展隐患排查；发现隐患应及时采取措施消除隐患，并建立档案。</w:t>
      </w:r>
    </w:p>
    <w:p w14:paraId="70B3E18A">
      <w:pPr>
        <w:pStyle w:val="47"/>
        <w:ind w:firstLine="482"/>
        <w:rPr>
          <w:rFonts w:hint="eastAsia"/>
        </w:rPr>
      </w:pPr>
      <w:r>
        <w:rPr>
          <w:rFonts w:hint="eastAsia"/>
        </w:rPr>
        <w:t>贮存设施所有者或运营者应建立贮存设施全部档案，包括设计、施工、验收、运行、监测和环境应急等，应按国家有关档案管理的法律法规进行整理和归档。</w:t>
      </w:r>
    </w:p>
    <w:p w14:paraId="0E02F979">
      <w:pPr>
        <w:pStyle w:val="47"/>
        <w:ind w:firstLine="482"/>
        <w:rPr>
          <w:rFonts w:hint="eastAsia"/>
        </w:rPr>
      </w:pPr>
      <w:r>
        <w:rPr>
          <w:rFonts w:hint="eastAsia" w:ascii="楷体" w:hAnsi="楷体" w:eastAsia="楷体" w:cs="楷体"/>
        </w:rPr>
        <w:t>③</w:t>
      </w:r>
      <w:r>
        <w:rPr>
          <w:rFonts w:hint="eastAsia"/>
        </w:rPr>
        <w:t>危险废物转移</w:t>
      </w:r>
    </w:p>
    <w:p w14:paraId="33B3BE1D">
      <w:pPr>
        <w:pStyle w:val="47"/>
        <w:ind w:firstLine="482"/>
        <w:rPr>
          <w:rFonts w:hint="eastAsia"/>
        </w:rPr>
      </w:pPr>
      <w:r>
        <w:rPr>
          <w:rFonts w:hint="eastAsia"/>
        </w:rPr>
        <w:t>危险废物的运输和转移，应根据《危险废物收集、贮存、运输技术规范》（GB2025-2012）中相关要求：</w:t>
      </w:r>
    </w:p>
    <w:p w14:paraId="3F7EB8D2">
      <w:pPr>
        <w:pStyle w:val="47"/>
        <w:ind w:firstLine="482"/>
        <w:rPr>
          <w:rFonts w:hint="eastAsia"/>
        </w:rPr>
      </w:pPr>
      <w:r>
        <w:rPr>
          <w:rFonts w:hint="eastAsia"/>
        </w:rPr>
        <w:t>危险废物运输和转移前，应当向当地生态环境部门报送危险废物转移计划；经批准并填写危险废物转移联单后方可进行运输和转移；</w:t>
      </w:r>
    </w:p>
    <w:p w14:paraId="0178B52C">
      <w:pPr>
        <w:pStyle w:val="47"/>
        <w:ind w:firstLine="482"/>
        <w:rPr>
          <w:rFonts w:hint="eastAsia"/>
        </w:rPr>
      </w:pPr>
      <w:r>
        <w:rPr>
          <w:rFonts w:hint="eastAsia"/>
        </w:rPr>
        <w:t>从事收集、利用、处置危险废物经营活动的单位应当具备与其经营活动相应的资格，禁止产废单位将危险废物提供或者委托给无经营许可证的单位；</w:t>
      </w:r>
    </w:p>
    <w:p w14:paraId="75F2F177">
      <w:pPr>
        <w:pStyle w:val="47"/>
        <w:ind w:firstLine="482"/>
        <w:rPr>
          <w:rFonts w:hint="eastAsia"/>
        </w:rPr>
      </w:pPr>
      <w:r>
        <w:rPr>
          <w:rFonts w:hint="eastAsia"/>
        </w:rPr>
        <w:t>所有危险废物均应按类在专用密闭容器中储存，并按规定贴标签。不得混装，废物收集和封装容器应得到接收单位及当地生态环境部门的认可。收集的危废应详细列出数量和成分，并填写有关材料。</w:t>
      </w:r>
    </w:p>
    <w:p w14:paraId="2FE28F6B">
      <w:pPr>
        <w:pStyle w:val="47"/>
        <w:ind w:firstLine="482"/>
        <w:rPr>
          <w:rFonts w:hint="eastAsia"/>
        </w:rPr>
      </w:pPr>
      <w:r>
        <w:rPr>
          <w:rFonts w:hint="eastAsia"/>
        </w:rPr>
        <w:t>危险废物转移情况包括转移类型、危险物名称、类别、代码、有害成分名称、形态、危险特性。本年度预计转移量，计量单位为吨。拟接收单位类型、危险废物经营许可证持有单位。</w:t>
      </w:r>
    </w:p>
    <w:p w14:paraId="486601AF">
      <w:pPr>
        <w:pStyle w:val="47"/>
        <w:ind w:firstLine="482"/>
        <w:rPr>
          <w:rFonts w:hint="eastAsia"/>
        </w:rPr>
      </w:pPr>
      <w:r>
        <w:rPr>
          <w:rFonts w:hint="eastAsia"/>
        </w:rPr>
        <w:t>危废转移时应当填写、运行一份危险废物转移联单；每车（船或者其他运输工具）次转移多类危险废物的，可以填写、运行一份危险废物转移联单，也可以每一类危险废物填写、运行一份危险废物转移联单。危险废物转移联单实行全国统一编号，编号由十四位阿拉伯数字组成。危险废物电子转移联单数据应当在信息系统中至少保存十年。因特殊原因无法运行危险废物电子转移联单的，可以先使用纸质转移联单，并于转移活动完成后十个工作日内在信息系统中补录电子转移联单。</w:t>
      </w:r>
    </w:p>
    <w:p w14:paraId="1993D84E">
      <w:pPr>
        <w:pStyle w:val="47"/>
        <w:ind w:firstLine="482"/>
        <w:rPr>
          <w:rFonts w:hint="eastAsia"/>
        </w:rPr>
      </w:pPr>
      <w:r>
        <w:rPr>
          <w:rFonts w:hint="eastAsia" w:ascii="楷体" w:hAnsi="楷体" w:eastAsia="楷体" w:cs="楷体"/>
        </w:rPr>
        <w:t>④</w:t>
      </w:r>
      <w:r>
        <w:rPr>
          <w:rFonts w:hint="eastAsia"/>
        </w:rPr>
        <w:t>危险废物管理台账制定要求</w:t>
      </w:r>
    </w:p>
    <w:p w14:paraId="212F6DFA">
      <w:pPr>
        <w:pStyle w:val="47"/>
        <w:ind w:firstLine="482"/>
        <w:rPr>
          <w:rFonts w:hint="eastAsia"/>
        </w:rPr>
      </w:pPr>
      <w:r>
        <w:rPr>
          <w:rFonts w:hint="eastAsia"/>
        </w:rPr>
        <w:t>项目运营期应建立危险废物管理台账，落实危险废物管理台账记录的责任人，明确工作职责，并对危险废物管理台账的真实性、准确性和完整性负法律责任。产生危险废物的单位应根据危险废物产生、贮存、利用、处置等环节的动态流向，如实建立各环节的危险废物管理台账。危险废物管理台账分为电子管理台账和纸质管理台账两种形式。可通过国家危险废物信息管理系统、企业自建信息管理系统或第三方平台等方式记录电子管理台账。</w:t>
      </w:r>
    </w:p>
    <w:p w14:paraId="478460F7">
      <w:pPr>
        <w:pStyle w:val="47"/>
        <w:ind w:firstLine="482"/>
        <w:rPr>
          <w:rFonts w:hint="eastAsia"/>
        </w:rPr>
      </w:pPr>
      <w:r>
        <w:rPr>
          <w:rFonts w:hint="eastAsia"/>
        </w:rPr>
        <w:t>频次：危险废物产生后盛放至容器和包装物的，应按每个容器和包装物进行记录；产生后采用管道等方式输送至贮存场所的，按日记录；其他特殊情形的，根据危险废物产生规律确定记录频次。</w:t>
      </w:r>
    </w:p>
    <w:p w14:paraId="6A106C05">
      <w:pPr>
        <w:pStyle w:val="47"/>
        <w:ind w:firstLine="482"/>
        <w:rPr>
          <w:rFonts w:hint="eastAsia"/>
        </w:rPr>
      </w:pPr>
      <w:r>
        <w:rPr>
          <w:rFonts w:hint="eastAsia"/>
        </w:rPr>
        <w:t>记录内容：危险废物产生环节，应记录产生批次编码、产生时间、危险废物名称、危险废物类别、危险废物代码、产生量、计量单位、容器/包装编码、容器/包装类型、容器/包装数量、产生危险废物设施编码、产生部门经办人、去向等。危险废物入库环节，应记录入库批次编码、入库时间、容器/包装编码、容器/包装类型、容器/包装数量、危险废物名称、危险废物类别、危险废物代码、入库量、计量单位、贮存设施编码、贮存设施类型、运送部门经办人、贮存部门经办人、产生批次编码等。</w:t>
      </w:r>
    </w:p>
    <w:p w14:paraId="63BAC2BA">
      <w:pPr>
        <w:pStyle w:val="47"/>
        <w:ind w:firstLine="482"/>
        <w:rPr>
          <w:rFonts w:hint="eastAsia"/>
        </w:rPr>
      </w:pPr>
      <w:r>
        <w:rPr>
          <w:rFonts w:hint="eastAsia"/>
        </w:rPr>
        <w:t>危险废物出库环节，应记录出库批次编码、出库时间、容器/包装编码、容器/包装类型、容器/包装数量、危险废物名称、危险废物类别、危险废物代码、出库量、计量单位、贮存设施编码、贮存设施类型、出库部门经办人、运送部门经办人、入库批次编码、去向等。</w:t>
      </w:r>
    </w:p>
    <w:p w14:paraId="7A84B799">
      <w:pPr>
        <w:pStyle w:val="47"/>
        <w:ind w:firstLine="482"/>
      </w:pPr>
      <w:r>
        <w:rPr>
          <w:rFonts w:hint="eastAsia"/>
        </w:rPr>
        <w:t>环评要求企业在运营期间严格落实《危险废物管理计划和管理台账制定技术导则》（HJ1259-2022）有关规定，如实记录有关危险废物信息，并通过固体废物环监管信息平台进行申报。本项目建设单位不自行外运、转移，危险废物委托处理后对环境影响不大。</w:t>
      </w:r>
    </w:p>
    <w:p w14:paraId="7A5FF672">
      <w:pPr>
        <w:pStyle w:val="47"/>
        <w:bidi w:val="0"/>
      </w:pPr>
      <w:r>
        <w:rPr>
          <w:rFonts w:hint="eastAsia"/>
          <w:lang w:eastAsia="zh-CN"/>
        </w:rPr>
        <w:t>（</w:t>
      </w:r>
      <w:r>
        <w:rPr>
          <w:rFonts w:hint="eastAsia"/>
          <w:lang w:val="en-US" w:eastAsia="zh-CN"/>
        </w:rPr>
        <w:t>3</w:t>
      </w:r>
      <w:r>
        <w:rPr>
          <w:rFonts w:hint="eastAsia"/>
          <w:lang w:eastAsia="zh-CN"/>
        </w:rPr>
        <w:t>）</w:t>
      </w:r>
      <w:r>
        <w:rPr>
          <w:rFonts w:hint="eastAsia"/>
        </w:rPr>
        <w:t>一般工业固体废物污染防控技术要求</w:t>
      </w:r>
    </w:p>
    <w:p w14:paraId="06883FB6">
      <w:pPr>
        <w:pStyle w:val="47"/>
        <w:ind w:firstLine="482"/>
        <w:rPr>
          <w:rFonts w:hint="eastAsia"/>
        </w:rPr>
      </w:pPr>
      <w:r>
        <w:rPr>
          <w:rFonts w:hint="eastAsia" w:ascii="楷体" w:hAnsi="楷体" w:eastAsia="楷体" w:cs="楷体"/>
        </w:rPr>
        <w:t>①</w:t>
      </w:r>
      <w:r>
        <w:rPr>
          <w:rFonts w:hint="eastAsia"/>
        </w:rPr>
        <w:t>委托贮存/利用/处置环节污染防控技术要求</w:t>
      </w:r>
    </w:p>
    <w:p w14:paraId="5E36FB13">
      <w:pPr>
        <w:pStyle w:val="47"/>
        <w:ind w:firstLine="482"/>
        <w:rPr>
          <w:rFonts w:hint="eastAsia"/>
        </w:rPr>
      </w:pPr>
      <w:r>
        <w:rPr>
          <w:rFonts w:hint="eastAsia"/>
        </w:rPr>
        <w:t>排污单位委托他人运输、利用、处置一般工业固体废物的，应落实《中华人民共和国固体废物污染环境防治法》等法律法规要求，对受托方的主体资格和技术能力进行核实，依法签订书面合同，在合同中约定污染防治要求等。</w:t>
      </w:r>
    </w:p>
    <w:p w14:paraId="0B3AE349">
      <w:pPr>
        <w:pStyle w:val="47"/>
        <w:ind w:firstLine="482"/>
        <w:rPr>
          <w:rFonts w:hint="eastAsia"/>
        </w:rPr>
      </w:pPr>
      <w:r>
        <w:rPr>
          <w:rFonts w:hint="eastAsia" w:ascii="楷体" w:hAnsi="楷体" w:eastAsia="楷体" w:cs="楷体"/>
        </w:rPr>
        <w:t>②</w:t>
      </w:r>
      <w:r>
        <w:rPr>
          <w:rFonts w:hint="eastAsia"/>
        </w:rPr>
        <w:t>自行贮存/利用/处置设施污染防控技术要求</w:t>
      </w:r>
    </w:p>
    <w:p w14:paraId="724AE3B3">
      <w:pPr>
        <w:pStyle w:val="47"/>
        <w:ind w:firstLine="482"/>
        <w:rPr>
          <w:rFonts w:hint="eastAsia"/>
        </w:rPr>
      </w:pPr>
      <w:r>
        <w:rPr>
          <w:rFonts w:hint="eastAsia"/>
        </w:rPr>
        <w:t>采用库房、包装工具（罐、桶、包装袋等）贮存一般工业固体废物的，贮存过程应满足相应防渗漏、防雨淋、防扬尘等环境保护要求；危险废物和生活垃圾不得进入一般工业固体废物贮存场；不相容的一般工业固体废物应设置不同的分区进行贮存；贮存场应设置清晰、完整的一般工业固体废物标志牌等。</w:t>
      </w:r>
    </w:p>
    <w:p w14:paraId="2B68AFF0">
      <w:pPr>
        <w:pStyle w:val="47"/>
        <w:ind w:firstLine="482"/>
        <w:rPr>
          <w:rFonts w:hint="eastAsia"/>
        </w:rPr>
      </w:pPr>
      <w:r>
        <w:rPr>
          <w:rFonts w:hint="eastAsia"/>
          <w:lang w:eastAsia="zh-CN"/>
        </w:rPr>
        <w:t>（</w:t>
      </w:r>
      <w:r>
        <w:rPr>
          <w:rFonts w:hint="eastAsia"/>
          <w:lang w:val="en-US" w:eastAsia="zh-CN"/>
        </w:rPr>
        <w:t>4</w:t>
      </w:r>
      <w:r>
        <w:rPr>
          <w:rFonts w:hint="eastAsia"/>
          <w:lang w:eastAsia="zh-CN"/>
        </w:rPr>
        <w:t>）</w:t>
      </w:r>
      <w:r>
        <w:rPr>
          <w:rFonts w:hint="eastAsia"/>
        </w:rPr>
        <w:t>小结</w:t>
      </w:r>
    </w:p>
    <w:p w14:paraId="67B3E573">
      <w:pPr>
        <w:pStyle w:val="47"/>
        <w:ind w:firstLine="482"/>
        <w:rPr>
          <w:rFonts w:hint="eastAsia"/>
        </w:rPr>
      </w:pPr>
      <w:r>
        <w:rPr>
          <w:rFonts w:hint="eastAsia"/>
        </w:rPr>
        <w:t>综上分析，项目建成后，所产生的固废均得到了综合利用或妥善处置，处置率达到100%，工业固体废物零排放，因此不会对环境造成污染影响。项目固体废物处置满足环保要求，处理措施可行。</w:t>
      </w:r>
    </w:p>
    <w:p w14:paraId="40F4A8BF">
      <w:pPr>
        <w:pStyle w:val="92"/>
        <w:bidi w:val="0"/>
        <w:ind w:left="0" w:leftChars="0" w:firstLine="0" w:firstLineChars="0"/>
      </w:pPr>
      <w:r>
        <w:rPr>
          <w:rFonts w:hint="eastAsia"/>
        </w:rPr>
        <w:t>土壤污染防治措施</w:t>
      </w:r>
    </w:p>
    <w:p w14:paraId="27CCBEC6">
      <w:pPr>
        <w:pStyle w:val="47"/>
        <w:ind w:firstLine="482"/>
        <w:rPr>
          <w:rFonts w:hint="eastAsia"/>
        </w:rPr>
      </w:pPr>
      <w:r>
        <w:rPr>
          <w:rFonts w:hint="eastAsia"/>
        </w:rPr>
        <w:t>项目</w:t>
      </w:r>
      <w:r>
        <w:rPr>
          <w:rFonts w:hint="eastAsia"/>
          <w:lang w:val="en-US" w:eastAsia="zh-CN"/>
        </w:rPr>
        <w:t>生产废水</w:t>
      </w:r>
      <w:r>
        <w:rPr>
          <w:rFonts w:hint="eastAsia"/>
        </w:rPr>
        <w:t>循环利用，不外排；</w:t>
      </w:r>
      <w:r>
        <w:rPr>
          <w:rFonts w:hint="eastAsia"/>
          <w:lang w:val="en-US" w:eastAsia="zh-CN"/>
        </w:rPr>
        <w:t>生活污水排入防渗旱厕定期清掏，不外排</w:t>
      </w:r>
      <w:r>
        <w:rPr>
          <w:rFonts w:hint="eastAsia"/>
        </w:rPr>
        <w:t>。废气主要为生产过程中投料</w:t>
      </w:r>
      <w:r>
        <w:rPr>
          <w:rFonts w:hint="eastAsia"/>
          <w:lang w:eastAsia="zh-CN"/>
        </w:rPr>
        <w:t>、</w:t>
      </w:r>
      <w:r>
        <w:rPr>
          <w:rFonts w:hint="eastAsia"/>
        </w:rPr>
        <w:t>搅拌</w:t>
      </w:r>
      <w:r>
        <w:rPr>
          <w:rFonts w:hint="eastAsia"/>
          <w:lang w:eastAsia="zh-CN"/>
        </w:rPr>
        <w:t>、</w:t>
      </w:r>
      <w:r>
        <w:rPr>
          <w:rFonts w:hint="eastAsia"/>
          <w:lang w:val="en-US" w:eastAsia="zh-CN"/>
        </w:rPr>
        <w:t>挤出</w:t>
      </w:r>
      <w:r>
        <w:rPr>
          <w:rFonts w:hint="eastAsia"/>
        </w:rPr>
        <w:t>工序</w:t>
      </w:r>
      <w:r>
        <w:rPr>
          <w:rFonts w:hint="eastAsia"/>
          <w:lang w:val="en-US" w:eastAsia="zh-CN"/>
        </w:rPr>
        <w:t>产生的颗粒物、非甲烷总烃、氯化氢、臭气浓度</w:t>
      </w:r>
      <w:r>
        <w:rPr>
          <w:rFonts w:hint="eastAsia"/>
        </w:rPr>
        <w:t>，各生产工序安装合理可靠的废气处理设施，</w:t>
      </w:r>
      <w:r>
        <w:rPr>
          <w:rFonts w:hint="eastAsia"/>
          <w:lang w:eastAsia="zh-CN"/>
        </w:rPr>
        <w:t>废气</w:t>
      </w:r>
      <w:r>
        <w:rPr>
          <w:rFonts w:hint="eastAsia"/>
        </w:rPr>
        <w:t>达标排放；固体废弃物均得到有效处理或处置，不涉及毒有害污染物及有机类等污染物排放；危废</w:t>
      </w:r>
      <w:r>
        <w:rPr>
          <w:rFonts w:hint="eastAsia"/>
          <w:lang w:val="en-US" w:eastAsia="zh-CN"/>
        </w:rPr>
        <w:t>间</w:t>
      </w:r>
      <w:r>
        <w:rPr>
          <w:rFonts w:hint="eastAsia"/>
        </w:rPr>
        <w:t>做到“防风、防雨、防晒、防渗漏”；</w:t>
      </w:r>
      <w:r>
        <w:rPr>
          <w:rFonts w:hint="eastAsia"/>
          <w:lang w:val="en-US" w:eastAsia="zh-CN"/>
        </w:rPr>
        <w:t>旱厕及沉淀池</w:t>
      </w:r>
      <w:r>
        <w:rPr>
          <w:rFonts w:hint="eastAsia"/>
        </w:rPr>
        <w:t>进行了严格的防腐、防渗处理</w:t>
      </w:r>
      <w:r>
        <w:rPr>
          <w:rFonts w:hint="eastAsia"/>
          <w:lang w:eastAsia="zh-CN"/>
        </w:rPr>
        <w:t>，</w:t>
      </w:r>
      <w:r>
        <w:rPr>
          <w:rFonts w:hint="eastAsia"/>
        </w:rPr>
        <w:t>不会出现渗漏污染土壤的情景，因此项目基本不会对周围土壤环境产生污染影响。</w:t>
      </w:r>
    </w:p>
    <w:p w14:paraId="143ABAEE">
      <w:pPr>
        <w:pStyle w:val="47"/>
        <w:ind w:firstLine="482"/>
      </w:pPr>
      <w:r>
        <w:rPr>
          <w:rFonts w:hint="eastAsia"/>
        </w:rPr>
        <w:t>因此，评价认为项目拟采取的土壤防治措施可行。</w:t>
      </w:r>
    </w:p>
    <w:p w14:paraId="267242B9">
      <w:pPr>
        <w:pStyle w:val="47"/>
        <w:ind w:firstLine="482"/>
      </w:pPr>
    </w:p>
    <w:p w14:paraId="75B44E67">
      <w:pPr>
        <w:pStyle w:val="47"/>
        <w:ind w:firstLine="482"/>
        <w:sectPr>
          <w:pgSz w:w="11906" w:h="16838"/>
          <w:pgMar w:top="1417" w:right="1417" w:bottom="1417" w:left="1417" w:header="964" w:footer="964" w:gutter="0"/>
          <w:pgBorders>
            <w:top w:val="none" w:sz="0" w:space="0"/>
            <w:left w:val="none" w:sz="0" w:space="0"/>
            <w:bottom w:val="none" w:sz="0" w:space="0"/>
            <w:right w:val="none" w:sz="0" w:space="0"/>
          </w:pgBorders>
          <w:pgNumType w:fmt="decimal"/>
          <w:cols w:space="425" w:num="1"/>
          <w:docGrid w:type="linesAndChars" w:linePitch="326" w:charSpace="190"/>
        </w:sectPr>
      </w:pPr>
    </w:p>
    <w:p w14:paraId="2B7882BD">
      <w:pPr>
        <w:pStyle w:val="88"/>
        <w:bidi w:val="0"/>
        <w:ind w:left="0" w:leftChars="0" w:hanging="102" w:firstLineChars="0"/>
      </w:pPr>
      <w:bookmarkStart w:id="66" w:name="_Toc6311"/>
      <w:r>
        <w:rPr>
          <w:rFonts w:hint="eastAsia"/>
        </w:rPr>
        <w:t>环境影响</w:t>
      </w:r>
      <w:r>
        <w:t>经济损益分析</w:t>
      </w:r>
      <w:bookmarkEnd w:id="66"/>
    </w:p>
    <w:p w14:paraId="66B0E14E">
      <w:pPr>
        <w:pStyle w:val="47"/>
        <w:ind w:firstLine="482"/>
        <w:rPr>
          <w:rFonts w:hint="eastAsia"/>
        </w:rPr>
      </w:pPr>
      <w:r>
        <w:rPr>
          <w:rFonts w:hint="eastAsia"/>
        </w:rPr>
        <w:t>建设项目的环境经济损益分析，是从经济学的角度来分析项目的环境效益和社会效益，是根据项目的特性、总投资及生产规模分析其所采取的环保措施而引起的投资费用和得到经济、环境和社会效益进行经济分析。充分体现经济效益、社会效益与环境效益对立与统一的关系。通过环境经济损益的分析可以说明环保综合效益状况，而且可从环境效益、经济效益和社会效益相协调统一的角度来讨论项目建设的意义。项目环境经济损益分析着重对项目环保投资和项目投产后的效益进行分析。</w:t>
      </w:r>
    </w:p>
    <w:p w14:paraId="6BEF12DA">
      <w:pPr>
        <w:pStyle w:val="90"/>
        <w:bidi w:val="0"/>
        <w:ind w:left="0" w:leftChars="0" w:firstLine="0" w:firstLineChars="0"/>
        <w:rPr>
          <w:rFonts w:hint="eastAsia"/>
        </w:rPr>
      </w:pPr>
      <w:bookmarkStart w:id="67" w:name="_Toc22194"/>
      <w:bookmarkStart w:id="68" w:name="_Toc31197"/>
      <w:bookmarkStart w:id="69" w:name="_Toc570"/>
      <w:bookmarkStart w:id="70" w:name="_Toc2133"/>
      <w:r>
        <w:rPr>
          <w:rFonts w:hint="eastAsia"/>
        </w:rPr>
        <w:t>环保投资估算</w:t>
      </w:r>
      <w:bookmarkEnd w:id="67"/>
      <w:bookmarkEnd w:id="68"/>
      <w:bookmarkEnd w:id="69"/>
      <w:bookmarkEnd w:id="70"/>
    </w:p>
    <w:p w14:paraId="3FF6A190">
      <w:pPr>
        <w:pStyle w:val="47"/>
        <w:bidi w:val="0"/>
        <w:rPr>
          <w:rFonts w:hint="eastAsia"/>
          <w:highlight w:val="none"/>
        </w:rPr>
      </w:pPr>
      <w:r>
        <w:rPr>
          <w:rFonts w:hint="eastAsia"/>
          <w:highlight w:val="none"/>
        </w:rPr>
        <w:t>项目总投资</w:t>
      </w:r>
      <w:r>
        <w:rPr>
          <w:rFonts w:hint="eastAsia"/>
          <w:highlight w:val="none"/>
          <w:u w:val="none"/>
          <w:lang w:val="en-US" w:eastAsia="zh-CN"/>
        </w:rPr>
        <w:t>5013.5</w:t>
      </w:r>
      <w:r>
        <w:rPr>
          <w:rFonts w:hint="eastAsia"/>
          <w:highlight w:val="none"/>
          <w:lang w:eastAsia="zh-CN"/>
        </w:rPr>
        <w:t>万元</w:t>
      </w:r>
      <w:r>
        <w:rPr>
          <w:rFonts w:hint="eastAsia"/>
          <w:highlight w:val="none"/>
        </w:rPr>
        <w:t>，计划用于环境保护设施项目的投资共计</w:t>
      </w:r>
      <w:r>
        <w:rPr>
          <w:rFonts w:hint="eastAsia"/>
          <w:highlight w:val="none"/>
          <w:lang w:val="en-US" w:eastAsia="zh-CN"/>
        </w:rPr>
        <w:t>200</w:t>
      </w:r>
      <w:r>
        <w:rPr>
          <w:rFonts w:hint="eastAsia"/>
          <w:highlight w:val="none"/>
        </w:rPr>
        <w:t>万元，工程环保投资占总投资比例为</w:t>
      </w:r>
      <w:r>
        <w:rPr>
          <w:rFonts w:hint="eastAsia"/>
          <w:highlight w:val="none"/>
          <w:lang w:val="en-US" w:eastAsia="zh-CN"/>
        </w:rPr>
        <w:t>4</w:t>
      </w:r>
      <w:r>
        <w:rPr>
          <w:rFonts w:hint="eastAsia"/>
          <w:highlight w:val="none"/>
          <w:lang w:eastAsia="zh-CN"/>
        </w:rPr>
        <w:t>%</w:t>
      </w:r>
      <w:r>
        <w:rPr>
          <w:rFonts w:hint="eastAsia"/>
          <w:highlight w:val="none"/>
        </w:rPr>
        <w:t>。项目环保投资估算见表</w:t>
      </w:r>
      <w:r>
        <w:rPr>
          <w:rFonts w:hint="eastAsia"/>
          <w:highlight w:val="none"/>
          <w:lang w:val="en-US" w:eastAsia="zh-CN"/>
        </w:rPr>
        <w:t>8</w:t>
      </w:r>
      <w:r>
        <w:rPr>
          <w:rFonts w:hint="eastAsia"/>
          <w:highlight w:val="none"/>
        </w:rPr>
        <w:t>.1-1。</w:t>
      </w:r>
    </w:p>
    <w:p w14:paraId="4B118E44">
      <w:pPr>
        <w:pStyle w:val="94"/>
        <w:bidi w:val="0"/>
        <w:ind w:left="0" w:leftChars="0" w:firstLine="0" w:firstLineChars="0"/>
        <w:rPr>
          <w:rFonts w:hint="eastAsia"/>
        </w:rPr>
      </w:pPr>
      <w:r>
        <w:rPr>
          <w:rFonts w:hint="eastAsia"/>
        </w:rPr>
        <w:t>环保工程投资估算一览表</w:t>
      </w:r>
      <w:r>
        <w:rPr>
          <w:rFonts w:hint="eastAsia"/>
          <w:lang w:val="en-US" w:eastAsia="zh-CN"/>
        </w:rPr>
        <w:t xml:space="preserve">  </w:t>
      </w:r>
      <w:r>
        <w:rPr>
          <w:rFonts w:hint="eastAsia"/>
        </w:rPr>
        <w:t>(</w:t>
      </w:r>
      <w:r>
        <w:rPr>
          <w:rFonts w:hint="eastAsia"/>
          <w:lang w:val="en-US" w:eastAsia="zh-CN"/>
        </w:rPr>
        <w:t>单位：</w:t>
      </w:r>
      <w:r>
        <w:rPr>
          <w:rFonts w:hint="eastAsia"/>
        </w:rPr>
        <w:t>万元)</w:t>
      </w:r>
    </w:p>
    <w:tbl>
      <w:tblPr>
        <w:tblStyle w:val="32"/>
        <w:tblW w:w="50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45"/>
        <w:gridCol w:w="1618"/>
        <w:gridCol w:w="5115"/>
        <w:gridCol w:w="1609"/>
      </w:tblGrid>
      <w:tr w14:paraId="20BFD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410" w:type="pct"/>
            <w:tcBorders>
              <w:tl2br w:val="nil"/>
              <w:tr2bl w:val="nil"/>
            </w:tcBorders>
            <w:noWrap w:val="0"/>
            <w:vAlign w:val="center"/>
          </w:tcPr>
          <w:p w14:paraId="569D366A">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rPr>
            </w:pPr>
            <w:r>
              <w:rPr>
                <w:rFonts w:hint="default"/>
              </w:rPr>
              <w:t>环境</w:t>
            </w:r>
          </w:p>
          <w:p w14:paraId="43838239">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rPr>
            </w:pPr>
            <w:r>
              <w:rPr>
                <w:rFonts w:hint="default"/>
              </w:rPr>
              <w:t>要素</w:t>
            </w:r>
          </w:p>
        </w:tc>
        <w:tc>
          <w:tcPr>
            <w:tcW w:w="890" w:type="pct"/>
            <w:tcBorders>
              <w:tl2br w:val="nil"/>
              <w:tr2bl w:val="nil"/>
            </w:tcBorders>
            <w:noWrap w:val="0"/>
            <w:vAlign w:val="center"/>
          </w:tcPr>
          <w:p w14:paraId="2C22D7B1">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rPr>
            </w:pPr>
            <w:r>
              <w:rPr>
                <w:rFonts w:hint="default"/>
              </w:rPr>
              <w:t>污染源节点</w:t>
            </w:r>
          </w:p>
        </w:tc>
        <w:tc>
          <w:tcPr>
            <w:tcW w:w="2813" w:type="pct"/>
            <w:tcBorders>
              <w:tl2br w:val="nil"/>
              <w:tr2bl w:val="nil"/>
            </w:tcBorders>
            <w:noWrap w:val="0"/>
            <w:vAlign w:val="center"/>
          </w:tcPr>
          <w:p w14:paraId="02BC7F57">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rPr>
            </w:pPr>
            <w:r>
              <w:rPr>
                <w:rFonts w:hint="default"/>
              </w:rPr>
              <w:t>治理措施</w:t>
            </w:r>
          </w:p>
        </w:tc>
        <w:tc>
          <w:tcPr>
            <w:tcW w:w="885" w:type="pct"/>
            <w:tcBorders>
              <w:tl2br w:val="nil"/>
              <w:tr2bl w:val="nil"/>
            </w:tcBorders>
            <w:noWrap w:val="0"/>
            <w:vAlign w:val="center"/>
          </w:tcPr>
          <w:p w14:paraId="517718C6">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rPr>
            </w:pPr>
            <w:r>
              <w:rPr>
                <w:rFonts w:hint="default"/>
              </w:rPr>
              <w:t>投资</w:t>
            </w:r>
          </w:p>
        </w:tc>
      </w:tr>
      <w:tr w14:paraId="7DFA2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jc w:val="center"/>
        </w:trPr>
        <w:tc>
          <w:tcPr>
            <w:tcW w:w="410" w:type="pct"/>
            <w:vMerge w:val="restart"/>
            <w:tcBorders>
              <w:tl2br w:val="nil"/>
              <w:tr2bl w:val="nil"/>
            </w:tcBorders>
            <w:noWrap w:val="0"/>
            <w:vAlign w:val="center"/>
          </w:tcPr>
          <w:p w14:paraId="7975118E">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rPr>
            </w:pPr>
            <w:r>
              <w:rPr>
                <w:rFonts w:hint="default"/>
              </w:rPr>
              <w:t>废气</w:t>
            </w:r>
          </w:p>
        </w:tc>
        <w:tc>
          <w:tcPr>
            <w:tcW w:w="890" w:type="pct"/>
            <w:tcBorders>
              <w:tl2br w:val="nil"/>
              <w:tr2bl w:val="nil"/>
            </w:tcBorders>
            <w:noWrap w:val="0"/>
            <w:vAlign w:val="center"/>
          </w:tcPr>
          <w:p w14:paraId="3E3DDC34">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rPr>
            </w:pPr>
            <w:r>
              <w:rPr>
                <w:rFonts w:hint="eastAsia"/>
                <w:lang w:val="en-US" w:eastAsia="zh-CN"/>
              </w:rPr>
              <w:t>1</w:t>
            </w:r>
            <w:r>
              <w:rPr>
                <w:rFonts w:hint="eastAsia"/>
              </w:rPr>
              <w:t>#生产车间</w:t>
            </w:r>
          </w:p>
        </w:tc>
        <w:tc>
          <w:tcPr>
            <w:tcW w:w="2813" w:type="pct"/>
            <w:tcBorders>
              <w:tl2br w:val="nil"/>
              <w:tr2bl w:val="nil"/>
            </w:tcBorders>
            <w:noWrap w:val="0"/>
            <w:vAlign w:val="center"/>
          </w:tcPr>
          <w:p w14:paraId="09ECF496">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rPr>
            </w:pPr>
            <w:r>
              <w:rPr>
                <w:rFonts w:hint="default"/>
              </w:rPr>
              <w:t>投料</w:t>
            </w:r>
            <w:r>
              <w:rPr>
                <w:rFonts w:hint="eastAsia"/>
                <w:lang w:eastAsia="zh-CN"/>
              </w:rPr>
              <w:t>、</w:t>
            </w:r>
            <w:r>
              <w:rPr>
                <w:rFonts w:hint="default"/>
              </w:rPr>
              <w:t>搅拌</w:t>
            </w:r>
            <w:r>
              <w:rPr>
                <w:rFonts w:hint="eastAsia"/>
                <w:lang w:eastAsia="zh-CN"/>
              </w:rPr>
              <w:t>、</w:t>
            </w:r>
            <w:r>
              <w:rPr>
                <w:rFonts w:hint="default"/>
              </w:rPr>
              <w:t>挤出工序废气分别经集气罩收集，分别引入</w:t>
            </w:r>
            <w:r>
              <w:rPr>
                <w:rFonts w:hint="eastAsia"/>
                <w:lang w:val="en-US" w:eastAsia="zh-CN"/>
              </w:rPr>
              <w:t>1</w:t>
            </w:r>
            <w:r>
              <w:rPr>
                <w:rFonts w:hint="default"/>
              </w:rPr>
              <w:t>套“布袋除尘器+两级活性炭吸附装置”处理后，由15m高排气筒</w:t>
            </w:r>
            <w:r>
              <w:rPr>
                <w:rFonts w:hint="eastAsia"/>
                <w:lang w:eastAsia="zh-CN"/>
              </w:rPr>
              <w:t>（</w:t>
            </w:r>
            <w:r>
              <w:rPr>
                <w:rFonts w:hint="eastAsia"/>
                <w:lang w:val="en-US" w:eastAsia="zh-CN"/>
              </w:rPr>
              <w:t>DA001</w:t>
            </w:r>
            <w:r>
              <w:rPr>
                <w:rFonts w:hint="eastAsia"/>
                <w:lang w:eastAsia="zh-CN"/>
              </w:rPr>
              <w:t>）</w:t>
            </w:r>
            <w:r>
              <w:rPr>
                <w:rFonts w:hint="default"/>
              </w:rPr>
              <w:t>排放</w:t>
            </w:r>
          </w:p>
        </w:tc>
        <w:tc>
          <w:tcPr>
            <w:tcW w:w="885" w:type="pct"/>
            <w:tcBorders>
              <w:tl2br w:val="nil"/>
              <w:tr2bl w:val="nil"/>
            </w:tcBorders>
            <w:noWrap w:val="0"/>
            <w:vAlign w:val="center"/>
          </w:tcPr>
          <w:p w14:paraId="5075F5B2">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lang w:val="en-US" w:eastAsia="zh-CN"/>
              </w:rPr>
            </w:pPr>
            <w:r>
              <w:rPr>
                <w:rFonts w:hint="eastAsia"/>
                <w:lang w:val="en-US" w:eastAsia="zh-CN"/>
              </w:rPr>
              <w:t>50</w:t>
            </w:r>
          </w:p>
        </w:tc>
      </w:tr>
      <w:tr w14:paraId="2840B7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jc w:val="center"/>
        </w:trPr>
        <w:tc>
          <w:tcPr>
            <w:tcW w:w="410" w:type="pct"/>
            <w:vMerge w:val="continue"/>
            <w:tcBorders>
              <w:tl2br w:val="nil"/>
              <w:tr2bl w:val="nil"/>
            </w:tcBorders>
            <w:noWrap w:val="0"/>
            <w:vAlign w:val="center"/>
          </w:tcPr>
          <w:p w14:paraId="1AACB020">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rPr>
            </w:pPr>
          </w:p>
        </w:tc>
        <w:tc>
          <w:tcPr>
            <w:tcW w:w="890" w:type="pct"/>
            <w:tcBorders>
              <w:tl2br w:val="nil"/>
              <w:tr2bl w:val="nil"/>
            </w:tcBorders>
            <w:noWrap w:val="0"/>
            <w:vAlign w:val="center"/>
          </w:tcPr>
          <w:p w14:paraId="74538970">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rPr>
            </w:pPr>
            <w:r>
              <w:rPr>
                <w:rFonts w:hint="eastAsia"/>
                <w:lang w:val="en-US" w:eastAsia="zh-CN"/>
              </w:rPr>
              <w:t>2</w:t>
            </w:r>
            <w:r>
              <w:rPr>
                <w:rFonts w:hint="eastAsia"/>
              </w:rPr>
              <w:t>#生产车间</w:t>
            </w:r>
          </w:p>
        </w:tc>
        <w:tc>
          <w:tcPr>
            <w:tcW w:w="2813" w:type="pct"/>
            <w:tcBorders>
              <w:tl2br w:val="nil"/>
              <w:tr2bl w:val="nil"/>
            </w:tcBorders>
            <w:noWrap w:val="0"/>
            <w:vAlign w:val="center"/>
          </w:tcPr>
          <w:p w14:paraId="71BE783D">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rPr>
            </w:pPr>
            <w:r>
              <w:rPr>
                <w:rFonts w:hint="default"/>
              </w:rPr>
              <w:t>投料</w:t>
            </w:r>
            <w:r>
              <w:rPr>
                <w:rFonts w:hint="eastAsia"/>
                <w:lang w:eastAsia="zh-CN"/>
              </w:rPr>
              <w:t>、</w:t>
            </w:r>
            <w:r>
              <w:rPr>
                <w:rFonts w:hint="default"/>
              </w:rPr>
              <w:t>搅拌</w:t>
            </w:r>
            <w:r>
              <w:rPr>
                <w:rFonts w:hint="eastAsia"/>
                <w:lang w:eastAsia="zh-CN"/>
              </w:rPr>
              <w:t>、</w:t>
            </w:r>
            <w:r>
              <w:rPr>
                <w:rFonts w:hint="default"/>
              </w:rPr>
              <w:t>挤出工序废气分别经集气罩收集，分别引入</w:t>
            </w:r>
            <w:r>
              <w:rPr>
                <w:rFonts w:hint="eastAsia"/>
                <w:lang w:val="en-US" w:eastAsia="zh-CN"/>
              </w:rPr>
              <w:t>1</w:t>
            </w:r>
            <w:r>
              <w:rPr>
                <w:rFonts w:hint="default"/>
              </w:rPr>
              <w:t>套“布袋除尘器+两级活性炭吸附装置”处理后，由15m高排气筒</w:t>
            </w:r>
            <w:r>
              <w:rPr>
                <w:rFonts w:hint="eastAsia"/>
                <w:lang w:eastAsia="zh-CN"/>
              </w:rPr>
              <w:t>（</w:t>
            </w:r>
            <w:r>
              <w:rPr>
                <w:rFonts w:hint="eastAsia"/>
                <w:lang w:val="en-US" w:eastAsia="zh-CN"/>
              </w:rPr>
              <w:t>DA002</w:t>
            </w:r>
            <w:r>
              <w:rPr>
                <w:rFonts w:hint="eastAsia"/>
                <w:lang w:eastAsia="zh-CN"/>
              </w:rPr>
              <w:t>）</w:t>
            </w:r>
            <w:r>
              <w:rPr>
                <w:rFonts w:hint="default"/>
              </w:rPr>
              <w:t>排放</w:t>
            </w:r>
          </w:p>
        </w:tc>
        <w:tc>
          <w:tcPr>
            <w:tcW w:w="885" w:type="pct"/>
            <w:tcBorders>
              <w:tl2br w:val="nil"/>
              <w:tr2bl w:val="nil"/>
            </w:tcBorders>
            <w:noWrap w:val="0"/>
            <w:vAlign w:val="center"/>
          </w:tcPr>
          <w:p w14:paraId="2656BA60">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lang w:val="en-US" w:eastAsia="zh-CN"/>
              </w:rPr>
            </w:pPr>
            <w:r>
              <w:rPr>
                <w:rFonts w:hint="eastAsia"/>
                <w:lang w:val="en-US" w:eastAsia="zh-CN"/>
              </w:rPr>
              <w:t>50</w:t>
            </w:r>
          </w:p>
        </w:tc>
      </w:tr>
      <w:tr w14:paraId="2C0ED1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6" w:hRule="atLeast"/>
          <w:jc w:val="center"/>
        </w:trPr>
        <w:tc>
          <w:tcPr>
            <w:tcW w:w="410" w:type="pct"/>
            <w:vMerge w:val="continue"/>
            <w:tcBorders>
              <w:tl2br w:val="nil"/>
              <w:tr2bl w:val="nil"/>
            </w:tcBorders>
            <w:noWrap w:val="0"/>
            <w:vAlign w:val="center"/>
          </w:tcPr>
          <w:p w14:paraId="1BD785C0">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rPr>
            </w:pPr>
          </w:p>
        </w:tc>
        <w:tc>
          <w:tcPr>
            <w:tcW w:w="890" w:type="pct"/>
            <w:tcBorders>
              <w:tl2br w:val="nil"/>
              <w:tr2bl w:val="nil"/>
            </w:tcBorders>
            <w:noWrap w:val="0"/>
            <w:vAlign w:val="center"/>
          </w:tcPr>
          <w:p w14:paraId="43DDCBA3">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rPr>
            </w:pPr>
            <w:r>
              <w:rPr>
                <w:rFonts w:hint="eastAsia"/>
                <w:lang w:val="en-US" w:eastAsia="zh-CN"/>
              </w:rPr>
              <w:t>3</w:t>
            </w:r>
            <w:r>
              <w:rPr>
                <w:rFonts w:hint="eastAsia"/>
              </w:rPr>
              <w:t>#生产车间</w:t>
            </w:r>
          </w:p>
        </w:tc>
        <w:tc>
          <w:tcPr>
            <w:tcW w:w="2813" w:type="pct"/>
            <w:tcBorders>
              <w:tl2br w:val="nil"/>
              <w:tr2bl w:val="nil"/>
            </w:tcBorders>
            <w:noWrap w:val="0"/>
            <w:vAlign w:val="center"/>
          </w:tcPr>
          <w:p w14:paraId="1E8D84DE">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rPr>
            </w:pPr>
            <w:r>
              <w:rPr>
                <w:rFonts w:hint="default"/>
              </w:rPr>
              <w:t>投料</w:t>
            </w:r>
            <w:r>
              <w:rPr>
                <w:rFonts w:hint="eastAsia"/>
                <w:lang w:eastAsia="zh-CN"/>
              </w:rPr>
              <w:t>、</w:t>
            </w:r>
            <w:r>
              <w:rPr>
                <w:rFonts w:hint="default"/>
              </w:rPr>
              <w:t>搅拌</w:t>
            </w:r>
            <w:r>
              <w:rPr>
                <w:rFonts w:hint="eastAsia"/>
                <w:lang w:eastAsia="zh-CN"/>
              </w:rPr>
              <w:t>、</w:t>
            </w:r>
            <w:r>
              <w:rPr>
                <w:rFonts w:hint="default"/>
              </w:rPr>
              <w:t>挤出工序废气分别经集气罩收集，分别引入</w:t>
            </w:r>
            <w:r>
              <w:rPr>
                <w:rFonts w:hint="eastAsia"/>
                <w:lang w:val="en-US" w:eastAsia="zh-CN"/>
              </w:rPr>
              <w:t>1</w:t>
            </w:r>
            <w:r>
              <w:rPr>
                <w:rFonts w:hint="default"/>
              </w:rPr>
              <w:t>套“布袋除尘器+两级活性炭吸附装置”处理后，由15m高排气筒</w:t>
            </w:r>
            <w:r>
              <w:rPr>
                <w:rFonts w:hint="eastAsia"/>
                <w:lang w:eastAsia="zh-CN"/>
              </w:rPr>
              <w:t>（</w:t>
            </w:r>
            <w:r>
              <w:rPr>
                <w:rFonts w:hint="eastAsia"/>
                <w:lang w:val="en-US" w:eastAsia="zh-CN"/>
              </w:rPr>
              <w:t>DA003</w:t>
            </w:r>
            <w:r>
              <w:rPr>
                <w:rFonts w:hint="eastAsia"/>
                <w:lang w:eastAsia="zh-CN"/>
              </w:rPr>
              <w:t>）</w:t>
            </w:r>
            <w:r>
              <w:rPr>
                <w:rFonts w:hint="default"/>
              </w:rPr>
              <w:t>排放</w:t>
            </w:r>
          </w:p>
        </w:tc>
        <w:tc>
          <w:tcPr>
            <w:tcW w:w="885" w:type="pct"/>
            <w:tcBorders>
              <w:tl2br w:val="nil"/>
              <w:tr2bl w:val="nil"/>
            </w:tcBorders>
            <w:noWrap w:val="0"/>
            <w:vAlign w:val="center"/>
          </w:tcPr>
          <w:p w14:paraId="42340E56">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lang w:val="en-US" w:eastAsia="zh-CN"/>
              </w:rPr>
            </w:pPr>
            <w:r>
              <w:rPr>
                <w:rFonts w:hint="eastAsia"/>
                <w:lang w:val="en-US" w:eastAsia="zh-CN"/>
              </w:rPr>
              <w:t>50</w:t>
            </w:r>
          </w:p>
        </w:tc>
      </w:tr>
      <w:tr w14:paraId="548E55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410" w:type="pct"/>
            <w:vMerge w:val="restart"/>
            <w:tcBorders>
              <w:tl2br w:val="nil"/>
              <w:tr2bl w:val="nil"/>
            </w:tcBorders>
            <w:noWrap w:val="0"/>
            <w:vAlign w:val="center"/>
          </w:tcPr>
          <w:p w14:paraId="13414D47">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rPr>
            </w:pPr>
            <w:r>
              <w:rPr>
                <w:rFonts w:hint="default"/>
              </w:rPr>
              <w:t>废水</w:t>
            </w:r>
          </w:p>
        </w:tc>
        <w:tc>
          <w:tcPr>
            <w:tcW w:w="890" w:type="pct"/>
            <w:vMerge w:val="restart"/>
            <w:tcBorders>
              <w:tl2br w:val="nil"/>
              <w:tr2bl w:val="nil"/>
            </w:tcBorders>
            <w:noWrap w:val="0"/>
            <w:vAlign w:val="center"/>
          </w:tcPr>
          <w:p w14:paraId="7D9F821E">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rPr>
            </w:pPr>
            <w:r>
              <w:rPr>
                <w:rFonts w:hint="default"/>
              </w:rPr>
              <w:t>生产废水</w:t>
            </w:r>
          </w:p>
        </w:tc>
        <w:tc>
          <w:tcPr>
            <w:tcW w:w="2813" w:type="pct"/>
            <w:tcBorders>
              <w:tl2br w:val="nil"/>
              <w:tr2bl w:val="nil"/>
            </w:tcBorders>
            <w:noWrap w:val="0"/>
            <w:vAlign w:val="center"/>
          </w:tcPr>
          <w:p w14:paraId="07A21AD2">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lang w:val="en-US" w:eastAsia="zh-CN"/>
              </w:rPr>
            </w:pPr>
            <w:r>
              <w:rPr>
                <w:rFonts w:hint="default"/>
              </w:rPr>
              <w:t>防渗沉淀池</w:t>
            </w:r>
          </w:p>
        </w:tc>
        <w:tc>
          <w:tcPr>
            <w:tcW w:w="885" w:type="pct"/>
            <w:tcBorders>
              <w:tl2br w:val="nil"/>
              <w:tr2bl w:val="nil"/>
            </w:tcBorders>
            <w:noWrap w:val="0"/>
            <w:vAlign w:val="center"/>
          </w:tcPr>
          <w:p w14:paraId="4BA96187">
            <w:pPr>
              <w:keepNext w:val="0"/>
              <w:keepLines w:val="0"/>
              <w:pageBreakBefore w:val="0"/>
              <w:widowControl/>
              <w:suppressLineNumbers w:val="0"/>
              <w:kinsoku/>
              <w:wordWrap/>
              <w:overflowPunct/>
              <w:topLinePunct w:val="0"/>
              <w:autoSpaceDE/>
              <w:autoSpaceDN/>
              <w:bidi w:val="0"/>
              <w:adjustRightInd w:val="0"/>
              <w:snapToGrid w:val="0"/>
              <w:spacing w:line="300" w:lineRule="exact"/>
              <w:ind w:firstLine="0" w:firstLineChars="0"/>
              <w:jc w:val="center"/>
              <w:textAlignment w:val="center"/>
              <w:rPr>
                <w:rFonts w:hint="default" w:ascii="Times New Roman" w:hAnsi="Times New Roman" w:eastAsia="楷体" w:cstheme="minorBidi"/>
                <w:snapToGrid w:val="0"/>
                <w:kern w:val="0"/>
                <w:sz w:val="24"/>
                <w:szCs w:val="24"/>
                <w:lang w:val="en-US" w:eastAsia="zh-CN" w:bidi="ar-SA"/>
              </w:rPr>
            </w:pPr>
            <w:r>
              <w:rPr>
                <w:rFonts w:hint="default" w:ascii="Times New Roman" w:hAnsi="Times New Roman" w:eastAsia="楷体" w:cstheme="minorBidi"/>
                <w:snapToGrid w:val="0"/>
                <w:kern w:val="0"/>
                <w:sz w:val="24"/>
                <w:szCs w:val="24"/>
                <w:lang w:val="en-US" w:eastAsia="zh-CN" w:bidi="ar-SA"/>
              </w:rPr>
              <w:t>12</w:t>
            </w:r>
          </w:p>
        </w:tc>
      </w:tr>
      <w:tr w14:paraId="3838F1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410" w:type="pct"/>
            <w:vMerge w:val="continue"/>
            <w:tcBorders>
              <w:tl2br w:val="nil"/>
              <w:tr2bl w:val="nil"/>
            </w:tcBorders>
            <w:noWrap w:val="0"/>
            <w:vAlign w:val="center"/>
          </w:tcPr>
          <w:p w14:paraId="331B45FF">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rPr>
            </w:pPr>
          </w:p>
        </w:tc>
        <w:tc>
          <w:tcPr>
            <w:tcW w:w="890" w:type="pct"/>
            <w:vMerge w:val="continue"/>
            <w:tcBorders>
              <w:tl2br w:val="nil"/>
              <w:tr2bl w:val="nil"/>
            </w:tcBorders>
            <w:noWrap w:val="0"/>
            <w:vAlign w:val="center"/>
          </w:tcPr>
          <w:p w14:paraId="50E80E36">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rPr>
            </w:pPr>
          </w:p>
        </w:tc>
        <w:tc>
          <w:tcPr>
            <w:tcW w:w="2813" w:type="pct"/>
            <w:tcBorders>
              <w:tl2br w:val="nil"/>
              <w:tr2bl w:val="nil"/>
            </w:tcBorders>
            <w:noWrap w:val="0"/>
            <w:vAlign w:val="center"/>
          </w:tcPr>
          <w:p w14:paraId="3D72B9BA">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rPr>
            </w:pPr>
            <w:r>
              <w:rPr>
                <w:rFonts w:hint="default"/>
                <w:lang w:val="en-US" w:eastAsia="zh-CN"/>
              </w:rPr>
              <w:t>循环冷却水系统</w:t>
            </w:r>
          </w:p>
        </w:tc>
        <w:tc>
          <w:tcPr>
            <w:tcW w:w="885" w:type="pct"/>
            <w:tcBorders>
              <w:tl2br w:val="nil"/>
              <w:tr2bl w:val="nil"/>
            </w:tcBorders>
            <w:noWrap w:val="0"/>
            <w:vAlign w:val="center"/>
          </w:tcPr>
          <w:p w14:paraId="27FC1F07">
            <w:pPr>
              <w:keepNext w:val="0"/>
              <w:keepLines w:val="0"/>
              <w:pageBreakBefore w:val="0"/>
              <w:widowControl/>
              <w:suppressLineNumbers w:val="0"/>
              <w:kinsoku/>
              <w:wordWrap/>
              <w:overflowPunct/>
              <w:topLinePunct w:val="0"/>
              <w:autoSpaceDE/>
              <w:autoSpaceDN/>
              <w:bidi w:val="0"/>
              <w:adjustRightInd w:val="0"/>
              <w:snapToGrid w:val="0"/>
              <w:spacing w:line="300" w:lineRule="exact"/>
              <w:ind w:firstLine="0" w:firstLineChars="0"/>
              <w:jc w:val="center"/>
              <w:textAlignment w:val="center"/>
              <w:rPr>
                <w:rFonts w:hint="default" w:ascii="Times New Roman" w:hAnsi="Times New Roman" w:eastAsia="楷体" w:cstheme="minorBidi"/>
                <w:snapToGrid w:val="0"/>
                <w:kern w:val="0"/>
                <w:sz w:val="24"/>
                <w:szCs w:val="24"/>
                <w:lang w:val="en-US" w:eastAsia="zh-CN" w:bidi="ar-SA"/>
              </w:rPr>
            </w:pPr>
            <w:r>
              <w:rPr>
                <w:rFonts w:hint="default" w:ascii="Times New Roman" w:hAnsi="Times New Roman" w:eastAsia="楷体" w:cstheme="minorBidi"/>
                <w:snapToGrid w:val="0"/>
                <w:kern w:val="0"/>
                <w:sz w:val="24"/>
                <w:szCs w:val="24"/>
                <w:lang w:val="en-US" w:eastAsia="zh-CN" w:bidi="ar-SA"/>
              </w:rPr>
              <w:t>5</w:t>
            </w:r>
          </w:p>
        </w:tc>
      </w:tr>
      <w:tr w14:paraId="62304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410" w:type="pct"/>
            <w:vMerge w:val="continue"/>
            <w:tcBorders>
              <w:tl2br w:val="nil"/>
              <w:tr2bl w:val="nil"/>
            </w:tcBorders>
            <w:noWrap w:val="0"/>
            <w:vAlign w:val="center"/>
          </w:tcPr>
          <w:p w14:paraId="35AACB23">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rPr>
            </w:pPr>
          </w:p>
        </w:tc>
        <w:tc>
          <w:tcPr>
            <w:tcW w:w="890" w:type="pct"/>
            <w:tcBorders>
              <w:tl2br w:val="nil"/>
              <w:tr2bl w:val="nil"/>
            </w:tcBorders>
            <w:noWrap w:val="0"/>
            <w:vAlign w:val="center"/>
          </w:tcPr>
          <w:p w14:paraId="5B9F3B29">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rPr>
            </w:pPr>
            <w:r>
              <w:rPr>
                <w:rFonts w:hint="default"/>
              </w:rPr>
              <w:t>生活污水</w:t>
            </w:r>
          </w:p>
        </w:tc>
        <w:tc>
          <w:tcPr>
            <w:tcW w:w="2813" w:type="pct"/>
            <w:tcBorders>
              <w:tl2br w:val="nil"/>
              <w:tr2bl w:val="nil"/>
            </w:tcBorders>
            <w:noWrap w:val="0"/>
            <w:vAlign w:val="center"/>
          </w:tcPr>
          <w:p w14:paraId="27F59861">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lang w:val="en-US" w:eastAsia="zh-CN"/>
              </w:rPr>
            </w:pPr>
            <w:r>
              <w:rPr>
                <w:rFonts w:hint="eastAsia"/>
                <w:lang w:val="en-US" w:eastAsia="zh-CN"/>
              </w:rPr>
              <w:t>防渗旱厕</w:t>
            </w:r>
          </w:p>
        </w:tc>
        <w:tc>
          <w:tcPr>
            <w:tcW w:w="885" w:type="pct"/>
            <w:tcBorders>
              <w:tl2br w:val="nil"/>
              <w:tr2bl w:val="nil"/>
            </w:tcBorders>
            <w:noWrap w:val="0"/>
            <w:vAlign w:val="center"/>
          </w:tcPr>
          <w:p w14:paraId="5A4536D8">
            <w:pPr>
              <w:keepNext w:val="0"/>
              <w:keepLines w:val="0"/>
              <w:pageBreakBefore w:val="0"/>
              <w:widowControl/>
              <w:suppressLineNumbers w:val="0"/>
              <w:kinsoku/>
              <w:wordWrap/>
              <w:overflowPunct/>
              <w:topLinePunct w:val="0"/>
              <w:autoSpaceDE/>
              <w:autoSpaceDN/>
              <w:bidi w:val="0"/>
              <w:adjustRightInd w:val="0"/>
              <w:snapToGrid w:val="0"/>
              <w:spacing w:line="300" w:lineRule="exact"/>
              <w:ind w:firstLine="0" w:firstLineChars="0"/>
              <w:jc w:val="center"/>
              <w:textAlignment w:val="center"/>
              <w:rPr>
                <w:rFonts w:hint="default" w:ascii="Times New Roman" w:hAnsi="Times New Roman" w:eastAsia="楷体" w:cstheme="minorBidi"/>
                <w:snapToGrid w:val="0"/>
                <w:kern w:val="0"/>
                <w:sz w:val="24"/>
                <w:szCs w:val="24"/>
                <w:lang w:val="en-US" w:eastAsia="zh-CN" w:bidi="ar-SA"/>
              </w:rPr>
            </w:pPr>
            <w:r>
              <w:rPr>
                <w:rFonts w:hint="default" w:ascii="Times New Roman" w:hAnsi="Times New Roman" w:eastAsia="楷体" w:cstheme="minorBidi"/>
                <w:snapToGrid w:val="0"/>
                <w:kern w:val="0"/>
                <w:sz w:val="24"/>
                <w:szCs w:val="24"/>
                <w:lang w:val="en-US" w:eastAsia="zh-CN" w:bidi="ar-SA"/>
              </w:rPr>
              <w:t>2</w:t>
            </w:r>
          </w:p>
        </w:tc>
      </w:tr>
      <w:tr w14:paraId="7F9297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410" w:type="pct"/>
            <w:tcBorders>
              <w:tl2br w:val="nil"/>
              <w:tr2bl w:val="nil"/>
            </w:tcBorders>
            <w:noWrap w:val="0"/>
            <w:vAlign w:val="center"/>
          </w:tcPr>
          <w:p w14:paraId="5B463C53">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rPr>
            </w:pPr>
            <w:r>
              <w:rPr>
                <w:rFonts w:hint="default"/>
              </w:rPr>
              <w:t>噪声</w:t>
            </w:r>
          </w:p>
        </w:tc>
        <w:tc>
          <w:tcPr>
            <w:tcW w:w="890" w:type="pct"/>
            <w:tcBorders>
              <w:tl2br w:val="nil"/>
              <w:tr2bl w:val="nil"/>
            </w:tcBorders>
            <w:noWrap w:val="0"/>
            <w:vAlign w:val="center"/>
          </w:tcPr>
          <w:p w14:paraId="200AAC3C">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rPr>
            </w:pPr>
            <w:r>
              <w:rPr>
                <w:rFonts w:hint="default"/>
              </w:rPr>
              <w:t>机械噪声</w:t>
            </w:r>
          </w:p>
        </w:tc>
        <w:tc>
          <w:tcPr>
            <w:tcW w:w="2813" w:type="pct"/>
            <w:tcBorders>
              <w:tl2br w:val="nil"/>
              <w:tr2bl w:val="nil"/>
            </w:tcBorders>
            <w:noWrap w:val="0"/>
            <w:vAlign w:val="center"/>
          </w:tcPr>
          <w:p w14:paraId="0E6ADC66">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rPr>
            </w:pPr>
            <w:r>
              <w:rPr>
                <w:rFonts w:hint="default"/>
              </w:rPr>
              <w:t>设备隔声、减振等</w:t>
            </w:r>
          </w:p>
        </w:tc>
        <w:tc>
          <w:tcPr>
            <w:tcW w:w="885" w:type="pct"/>
            <w:tcBorders>
              <w:tl2br w:val="nil"/>
              <w:tr2bl w:val="nil"/>
            </w:tcBorders>
            <w:noWrap w:val="0"/>
            <w:vAlign w:val="center"/>
          </w:tcPr>
          <w:p w14:paraId="3BCB264D">
            <w:pPr>
              <w:keepNext w:val="0"/>
              <w:keepLines w:val="0"/>
              <w:pageBreakBefore w:val="0"/>
              <w:widowControl/>
              <w:suppressLineNumbers w:val="0"/>
              <w:kinsoku/>
              <w:wordWrap/>
              <w:overflowPunct/>
              <w:topLinePunct w:val="0"/>
              <w:autoSpaceDE/>
              <w:autoSpaceDN/>
              <w:bidi w:val="0"/>
              <w:adjustRightInd w:val="0"/>
              <w:snapToGrid w:val="0"/>
              <w:spacing w:line="300" w:lineRule="exact"/>
              <w:ind w:firstLine="0" w:firstLineChars="0"/>
              <w:jc w:val="center"/>
              <w:textAlignment w:val="center"/>
              <w:rPr>
                <w:rFonts w:hint="default" w:ascii="Times New Roman" w:hAnsi="Times New Roman" w:eastAsia="楷体" w:cstheme="minorBidi"/>
                <w:snapToGrid w:val="0"/>
                <w:kern w:val="0"/>
                <w:sz w:val="24"/>
                <w:szCs w:val="24"/>
                <w:lang w:val="en-US" w:eastAsia="zh-CN" w:bidi="ar-SA"/>
              </w:rPr>
            </w:pPr>
            <w:r>
              <w:rPr>
                <w:rFonts w:hint="default" w:ascii="Times New Roman" w:hAnsi="Times New Roman" w:eastAsia="楷体" w:cstheme="minorBidi"/>
                <w:snapToGrid w:val="0"/>
                <w:kern w:val="0"/>
                <w:sz w:val="24"/>
                <w:szCs w:val="24"/>
                <w:lang w:val="en-US" w:eastAsia="zh-CN" w:bidi="ar-SA"/>
              </w:rPr>
              <w:t>8</w:t>
            </w:r>
          </w:p>
        </w:tc>
      </w:tr>
      <w:tr w14:paraId="55317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410" w:type="pct"/>
            <w:vMerge w:val="restart"/>
            <w:tcBorders>
              <w:tl2br w:val="nil"/>
              <w:tr2bl w:val="nil"/>
            </w:tcBorders>
            <w:noWrap w:val="0"/>
            <w:vAlign w:val="center"/>
          </w:tcPr>
          <w:p w14:paraId="0032DF35">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rPr>
            </w:pPr>
            <w:r>
              <w:rPr>
                <w:rFonts w:hint="default"/>
              </w:rPr>
              <w:t>固体</w:t>
            </w:r>
          </w:p>
          <w:p w14:paraId="7FE69A16">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rPr>
            </w:pPr>
            <w:r>
              <w:rPr>
                <w:rFonts w:hint="default"/>
              </w:rPr>
              <w:t>废物</w:t>
            </w:r>
          </w:p>
        </w:tc>
        <w:tc>
          <w:tcPr>
            <w:tcW w:w="890" w:type="pct"/>
            <w:tcBorders>
              <w:tl2br w:val="nil"/>
              <w:tr2bl w:val="nil"/>
            </w:tcBorders>
            <w:noWrap w:val="0"/>
            <w:vAlign w:val="center"/>
          </w:tcPr>
          <w:p w14:paraId="56BC8F58">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rPr>
            </w:pPr>
            <w:r>
              <w:rPr>
                <w:rFonts w:hint="default"/>
              </w:rPr>
              <w:t>生活垃圾</w:t>
            </w:r>
          </w:p>
        </w:tc>
        <w:tc>
          <w:tcPr>
            <w:tcW w:w="2813" w:type="pct"/>
            <w:tcBorders>
              <w:tl2br w:val="nil"/>
              <w:tr2bl w:val="nil"/>
            </w:tcBorders>
            <w:noWrap w:val="0"/>
            <w:vAlign w:val="center"/>
          </w:tcPr>
          <w:p w14:paraId="2A1A3D27">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rPr>
            </w:pPr>
            <w:r>
              <w:rPr>
                <w:rFonts w:hint="default"/>
              </w:rPr>
              <w:t>生活垃圾收运</w:t>
            </w:r>
          </w:p>
        </w:tc>
        <w:tc>
          <w:tcPr>
            <w:tcW w:w="885" w:type="pct"/>
            <w:tcBorders>
              <w:tl2br w:val="nil"/>
              <w:tr2bl w:val="nil"/>
            </w:tcBorders>
            <w:noWrap w:val="0"/>
            <w:vAlign w:val="center"/>
          </w:tcPr>
          <w:p w14:paraId="6F7E48E1">
            <w:pPr>
              <w:keepNext w:val="0"/>
              <w:keepLines w:val="0"/>
              <w:pageBreakBefore w:val="0"/>
              <w:widowControl/>
              <w:suppressLineNumbers w:val="0"/>
              <w:kinsoku/>
              <w:wordWrap/>
              <w:overflowPunct/>
              <w:topLinePunct w:val="0"/>
              <w:autoSpaceDE/>
              <w:autoSpaceDN/>
              <w:bidi w:val="0"/>
              <w:adjustRightInd w:val="0"/>
              <w:snapToGrid w:val="0"/>
              <w:spacing w:line="300" w:lineRule="exact"/>
              <w:ind w:firstLine="0" w:firstLineChars="0"/>
              <w:jc w:val="center"/>
              <w:textAlignment w:val="center"/>
              <w:rPr>
                <w:rFonts w:hint="default" w:ascii="Times New Roman" w:hAnsi="Times New Roman" w:eastAsia="楷体" w:cstheme="minorBidi"/>
                <w:snapToGrid w:val="0"/>
                <w:kern w:val="0"/>
                <w:sz w:val="24"/>
                <w:szCs w:val="24"/>
                <w:lang w:val="en-US" w:eastAsia="zh-CN" w:bidi="ar-SA"/>
              </w:rPr>
            </w:pPr>
            <w:r>
              <w:rPr>
                <w:rFonts w:hint="default" w:ascii="Times New Roman" w:hAnsi="Times New Roman" w:eastAsia="楷体" w:cstheme="minorBidi"/>
                <w:snapToGrid w:val="0"/>
                <w:kern w:val="0"/>
                <w:sz w:val="24"/>
                <w:szCs w:val="24"/>
                <w:lang w:val="en-US" w:eastAsia="zh-CN" w:bidi="ar-SA"/>
              </w:rPr>
              <w:t>1</w:t>
            </w:r>
          </w:p>
        </w:tc>
      </w:tr>
      <w:tr w14:paraId="01D1B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410" w:type="pct"/>
            <w:vMerge w:val="continue"/>
            <w:tcBorders>
              <w:tl2br w:val="nil"/>
              <w:tr2bl w:val="nil"/>
            </w:tcBorders>
            <w:noWrap w:val="0"/>
            <w:vAlign w:val="center"/>
          </w:tcPr>
          <w:p w14:paraId="117AB2A4">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rPr>
            </w:pPr>
          </w:p>
        </w:tc>
        <w:tc>
          <w:tcPr>
            <w:tcW w:w="890" w:type="pct"/>
            <w:tcBorders>
              <w:tl2br w:val="nil"/>
              <w:tr2bl w:val="nil"/>
            </w:tcBorders>
            <w:noWrap w:val="0"/>
            <w:vAlign w:val="center"/>
          </w:tcPr>
          <w:p w14:paraId="014B1FE4">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rPr>
            </w:pPr>
            <w:r>
              <w:rPr>
                <w:rFonts w:hint="default"/>
                <w:lang w:eastAsia="zh-CN"/>
              </w:rPr>
              <w:t>一般工业固废</w:t>
            </w:r>
          </w:p>
        </w:tc>
        <w:tc>
          <w:tcPr>
            <w:tcW w:w="2813" w:type="pct"/>
            <w:tcBorders>
              <w:tl2br w:val="nil"/>
              <w:tr2bl w:val="nil"/>
            </w:tcBorders>
            <w:noWrap w:val="0"/>
            <w:vAlign w:val="center"/>
          </w:tcPr>
          <w:p w14:paraId="01A80FEA">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lang w:val="en-US" w:eastAsia="zh-CN"/>
              </w:rPr>
            </w:pPr>
            <w:r>
              <w:rPr>
                <w:rFonts w:hint="default"/>
                <w:lang w:val="en-US" w:eastAsia="zh-CN"/>
              </w:rPr>
              <w:t>一般固废暂存</w:t>
            </w:r>
            <w:r>
              <w:rPr>
                <w:rFonts w:hint="eastAsia"/>
                <w:lang w:val="en-US" w:eastAsia="zh-CN"/>
              </w:rPr>
              <w:t>、清运</w:t>
            </w:r>
          </w:p>
        </w:tc>
        <w:tc>
          <w:tcPr>
            <w:tcW w:w="885" w:type="pct"/>
            <w:tcBorders>
              <w:tl2br w:val="nil"/>
              <w:tr2bl w:val="nil"/>
            </w:tcBorders>
            <w:noWrap w:val="0"/>
            <w:vAlign w:val="center"/>
          </w:tcPr>
          <w:p w14:paraId="6FE84690">
            <w:pPr>
              <w:keepNext w:val="0"/>
              <w:keepLines w:val="0"/>
              <w:pageBreakBefore w:val="0"/>
              <w:widowControl/>
              <w:suppressLineNumbers w:val="0"/>
              <w:kinsoku/>
              <w:wordWrap/>
              <w:overflowPunct/>
              <w:topLinePunct w:val="0"/>
              <w:autoSpaceDE/>
              <w:autoSpaceDN/>
              <w:bidi w:val="0"/>
              <w:adjustRightInd w:val="0"/>
              <w:snapToGrid w:val="0"/>
              <w:spacing w:line="300" w:lineRule="exact"/>
              <w:ind w:firstLine="0" w:firstLineChars="0"/>
              <w:jc w:val="center"/>
              <w:textAlignment w:val="center"/>
              <w:rPr>
                <w:rFonts w:hint="default" w:ascii="Times New Roman" w:hAnsi="Times New Roman" w:eastAsia="楷体" w:cstheme="minorBidi"/>
                <w:snapToGrid w:val="0"/>
                <w:kern w:val="0"/>
                <w:sz w:val="24"/>
                <w:szCs w:val="24"/>
                <w:lang w:val="en-US" w:eastAsia="zh-CN" w:bidi="ar-SA"/>
              </w:rPr>
            </w:pPr>
            <w:r>
              <w:rPr>
                <w:rFonts w:hint="eastAsia" w:eastAsia="楷体" w:cstheme="minorBidi"/>
                <w:snapToGrid w:val="0"/>
                <w:kern w:val="0"/>
                <w:sz w:val="24"/>
                <w:szCs w:val="24"/>
                <w:lang w:val="en-US" w:eastAsia="zh-CN" w:bidi="ar-SA"/>
              </w:rPr>
              <w:t>8</w:t>
            </w:r>
          </w:p>
        </w:tc>
      </w:tr>
      <w:tr w14:paraId="466C84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410" w:type="pct"/>
            <w:vMerge w:val="continue"/>
            <w:tcBorders>
              <w:tl2br w:val="nil"/>
              <w:tr2bl w:val="nil"/>
            </w:tcBorders>
            <w:noWrap w:val="0"/>
            <w:vAlign w:val="center"/>
          </w:tcPr>
          <w:p w14:paraId="37D6AA88">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rPr>
            </w:pPr>
          </w:p>
        </w:tc>
        <w:tc>
          <w:tcPr>
            <w:tcW w:w="890" w:type="pct"/>
            <w:tcBorders>
              <w:tl2br w:val="nil"/>
              <w:tr2bl w:val="nil"/>
            </w:tcBorders>
            <w:noWrap w:val="0"/>
            <w:vAlign w:val="center"/>
          </w:tcPr>
          <w:p w14:paraId="5C4664BB">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rPr>
            </w:pPr>
            <w:r>
              <w:rPr>
                <w:rFonts w:hint="default"/>
              </w:rPr>
              <w:t>危险废物</w:t>
            </w:r>
          </w:p>
        </w:tc>
        <w:tc>
          <w:tcPr>
            <w:tcW w:w="2813" w:type="pct"/>
            <w:tcBorders>
              <w:tl2br w:val="nil"/>
              <w:tr2bl w:val="nil"/>
            </w:tcBorders>
            <w:noWrap w:val="0"/>
            <w:vAlign w:val="center"/>
          </w:tcPr>
          <w:p w14:paraId="783445FD">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rPr>
            </w:pPr>
            <w:r>
              <w:rPr>
                <w:rFonts w:hint="default"/>
              </w:rPr>
              <w:t>建设</w:t>
            </w:r>
            <w:r>
              <w:rPr>
                <w:rFonts w:hint="eastAsia"/>
                <w:lang w:eastAsia="zh-CN"/>
              </w:rPr>
              <w:t>危险废物贮存库</w:t>
            </w:r>
            <w:r>
              <w:rPr>
                <w:rFonts w:hint="default"/>
              </w:rPr>
              <w:t>一座，委托有资质单位处理</w:t>
            </w:r>
          </w:p>
        </w:tc>
        <w:tc>
          <w:tcPr>
            <w:tcW w:w="885" w:type="pct"/>
            <w:tcBorders>
              <w:tl2br w:val="nil"/>
              <w:tr2bl w:val="nil"/>
            </w:tcBorders>
            <w:noWrap w:val="0"/>
            <w:vAlign w:val="center"/>
          </w:tcPr>
          <w:p w14:paraId="569793F8">
            <w:pPr>
              <w:keepNext w:val="0"/>
              <w:keepLines w:val="0"/>
              <w:pageBreakBefore w:val="0"/>
              <w:widowControl/>
              <w:suppressLineNumbers w:val="0"/>
              <w:kinsoku/>
              <w:wordWrap/>
              <w:overflowPunct/>
              <w:topLinePunct w:val="0"/>
              <w:autoSpaceDE/>
              <w:autoSpaceDN/>
              <w:bidi w:val="0"/>
              <w:adjustRightInd w:val="0"/>
              <w:snapToGrid w:val="0"/>
              <w:spacing w:line="300" w:lineRule="exact"/>
              <w:ind w:firstLine="0" w:firstLineChars="0"/>
              <w:jc w:val="center"/>
              <w:textAlignment w:val="center"/>
              <w:rPr>
                <w:rFonts w:hint="default" w:ascii="Times New Roman" w:hAnsi="Times New Roman" w:eastAsia="楷体" w:cstheme="minorBidi"/>
                <w:snapToGrid w:val="0"/>
                <w:kern w:val="0"/>
                <w:sz w:val="24"/>
                <w:szCs w:val="24"/>
                <w:lang w:val="en-US" w:eastAsia="zh-CN" w:bidi="ar-SA"/>
              </w:rPr>
            </w:pPr>
            <w:r>
              <w:rPr>
                <w:rFonts w:hint="default" w:ascii="Times New Roman" w:hAnsi="Times New Roman" w:eastAsia="楷体" w:cstheme="minorBidi"/>
                <w:snapToGrid w:val="0"/>
                <w:kern w:val="0"/>
                <w:sz w:val="24"/>
                <w:szCs w:val="24"/>
                <w:lang w:val="en-US" w:eastAsia="zh-CN" w:bidi="ar-SA"/>
              </w:rPr>
              <w:t>2</w:t>
            </w:r>
          </w:p>
        </w:tc>
      </w:tr>
      <w:tr w14:paraId="592B0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300" w:type="pct"/>
            <w:gridSpan w:val="2"/>
            <w:tcBorders>
              <w:tl2br w:val="nil"/>
              <w:tr2bl w:val="nil"/>
            </w:tcBorders>
            <w:noWrap w:val="0"/>
            <w:vAlign w:val="center"/>
          </w:tcPr>
          <w:p w14:paraId="3E85F703">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lang w:val="en-US" w:eastAsia="zh-CN"/>
              </w:rPr>
            </w:pPr>
            <w:r>
              <w:rPr>
                <w:rFonts w:hint="eastAsia"/>
                <w:lang w:val="en-US" w:eastAsia="zh-CN"/>
              </w:rPr>
              <w:t>地面防渗</w:t>
            </w:r>
          </w:p>
        </w:tc>
        <w:tc>
          <w:tcPr>
            <w:tcW w:w="2813" w:type="pct"/>
            <w:tcBorders>
              <w:tl2br w:val="nil"/>
              <w:tr2bl w:val="nil"/>
            </w:tcBorders>
            <w:noWrap w:val="0"/>
            <w:vAlign w:val="center"/>
          </w:tcPr>
          <w:p w14:paraId="6863F108">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rPr>
            </w:pPr>
            <w:r>
              <w:rPr>
                <w:rFonts w:hint="eastAsia"/>
              </w:rPr>
              <w:t>对厂区地面进行水泥硬化、</w:t>
            </w:r>
            <w:r>
              <w:rPr>
                <w:rFonts w:hint="eastAsia"/>
                <w:lang w:val="en-US" w:eastAsia="zh-CN"/>
              </w:rPr>
              <w:t>车间</w:t>
            </w:r>
            <w:r>
              <w:rPr>
                <w:rFonts w:hint="eastAsia"/>
              </w:rPr>
              <w:t>等进行地面硬化</w:t>
            </w:r>
          </w:p>
        </w:tc>
        <w:tc>
          <w:tcPr>
            <w:tcW w:w="885" w:type="pct"/>
            <w:tcBorders>
              <w:tl2br w:val="nil"/>
              <w:tr2bl w:val="nil"/>
            </w:tcBorders>
            <w:noWrap w:val="0"/>
            <w:vAlign w:val="center"/>
          </w:tcPr>
          <w:p w14:paraId="525FBD9A">
            <w:pPr>
              <w:keepNext w:val="0"/>
              <w:keepLines w:val="0"/>
              <w:pageBreakBefore w:val="0"/>
              <w:widowControl/>
              <w:suppressLineNumbers w:val="0"/>
              <w:kinsoku/>
              <w:wordWrap/>
              <w:overflowPunct/>
              <w:topLinePunct w:val="0"/>
              <w:autoSpaceDE/>
              <w:autoSpaceDN/>
              <w:bidi w:val="0"/>
              <w:adjustRightInd w:val="0"/>
              <w:snapToGrid w:val="0"/>
              <w:spacing w:line="300" w:lineRule="exact"/>
              <w:ind w:firstLine="0" w:firstLineChars="0"/>
              <w:jc w:val="center"/>
              <w:textAlignment w:val="center"/>
              <w:rPr>
                <w:rFonts w:hint="default" w:ascii="Times New Roman" w:hAnsi="Times New Roman" w:eastAsia="楷体" w:cstheme="minorBidi"/>
                <w:snapToGrid w:val="0"/>
                <w:kern w:val="0"/>
                <w:sz w:val="24"/>
                <w:szCs w:val="24"/>
                <w:lang w:val="en-US" w:eastAsia="zh-CN" w:bidi="ar-SA"/>
              </w:rPr>
            </w:pPr>
            <w:r>
              <w:rPr>
                <w:rFonts w:hint="default" w:ascii="Times New Roman" w:hAnsi="Times New Roman" w:eastAsia="楷体" w:cstheme="minorBidi"/>
                <w:snapToGrid w:val="0"/>
                <w:kern w:val="0"/>
                <w:sz w:val="24"/>
                <w:szCs w:val="24"/>
                <w:lang w:val="en-US" w:eastAsia="zh-CN" w:bidi="ar-SA"/>
              </w:rPr>
              <w:t>12</w:t>
            </w:r>
          </w:p>
        </w:tc>
      </w:tr>
      <w:tr w14:paraId="771694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4114" w:type="pct"/>
            <w:gridSpan w:val="3"/>
            <w:tcBorders>
              <w:tl2br w:val="nil"/>
              <w:tr2bl w:val="nil"/>
            </w:tcBorders>
            <w:noWrap w:val="0"/>
            <w:vAlign w:val="center"/>
          </w:tcPr>
          <w:p w14:paraId="66232C51">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rPr>
            </w:pPr>
            <w:r>
              <w:rPr>
                <w:rFonts w:hint="default"/>
              </w:rPr>
              <w:t>合计</w:t>
            </w:r>
          </w:p>
        </w:tc>
        <w:tc>
          <w:tcPr>
            <w:tcW w:w="885" w:type="pct"/>
            <w:tcBorders>
              <w:tl2br w:val="nil"/>
              <w:tr2bl w:val="nil"/>
            </w:tcBorders>
            <w:noWrap w:val="0"/>
            <w:vAlign w:val="center"/>
          </w:tcPr>
          <w:p w14:paraId="728488FE">
            <w:pPr>
              <w:pStyle w:val="55"/>
              <w:keepNext w:val="0"/>
              <w:keepLines w:val="0"/>
              <w:pageBreakBefore w:val="0"/>
              <w:widowControl/>
              <w:kinsoku/>
              <w:wordWrap/>
              <w:overflowPunct/>
              <w:topLinePunct w:val="0"/>
              <w:autoSpaceDE/>
              <w:autoSpaceDN/>
              <w:bidi w:val="0"/>
              <w:adjustRightInd w:val="0"/>
              <w:snapToGrid w:val="0"/>
              <w:spacing w:line="300" w:lineRule="exact"/>
              <w:rPr>
                <w:rFonts w:hint="default"/>
                <w:lang w:val="en-US" w:eastAsia="zh-CN"/>
              </w:rPr>
            </w:pPr>
            <w:r>
              <w:rPr>
                <w:rFonts w:hint="eastAsia"/>
                <w:lang w:val="en-US" w:eastAsia="zh-CN"/>
              </w:rPr>
              <w:t>200</w:t>
            </w:r>
          </w:p>
        </w:tc>
      </w:tr>
    </w:tbl>
    <w:p w14:paraId="56C7DCE0">
      <w:pPr>
        <w:pStyle w:val="90"/>
        <w:bidi w:val="0"/>
        <w:ind w:left="0" w:leftChars="0" w:firstLine="0" w:firstLineChars="0"/>
        <w:rPr>
          <w:rFonts w:hint="eastAsia"/>
        </w:rPr>
      </w:pPr>
      <w:bookmarkStart w:id="71" w:name="_Toc19677"/>
      <w:bookmarkStart w:id="72" w:name="_Toc28201"/>
      <w:bookmarkStart w:id="73" w:name="_Toc32444"/>
      <w:bookmarkStart w:id="74" w:name="_Toc5893"/>
      <w:r>
        <w:rPr>
          <w:rFonts w:hint="eastAsia"/>
        </w:rPr>
        <w:t>环境影响经济损益分析</w:t>
      </w:r>
      <w:bookmarkEnd w:id="71"/>
      <w:bookmarkEnd w:id="72"/>
      <w:bookmarkEnd w:id="73"/>
      <w:bookmarkEnd w:id="74"/>
    </w:p>
    <w:p w14:paraId="7A65A7AF">
      <w:pPr>
        <w:pStyle w:val="47"/>
        <w:bidi w:val="0"/>
        <w:rPr>
          <w:rFonts w:hint="eastAsia"/>
        </w:rPr>
      </w:pPr>
      <w:r>
        <w:rPr>
          <w:rFonts w:hint="eastAsia"/>
          <w:lang w:eastAsia="zh-CN"/>
        </w:rPr>
        <w:t>（</w:t>
      </w:r>
      <w:r>
        <w:rPr>
          <w:rFonts w:hint="eastAsia"/>
          <w:lang w:val="en-US" w:eastAsia="zh-CN"/>
        </w:rPr>
        <w:t>1</w:t>
      </w:r>
      <w:r>
        <w:rPr>
          <w:rFonts w:hint="eastAsia"/>
          <w:lang w:eastAsia="zh-CN"/>
        </w:rPr>
        <w:t>）</w:t>
      </w:r>
      <w:r>
        <w:rPr>
          <w:rFonts w:hint="eastAsia"/>
        </w:rPr>
        <w:t>环保投资经济效益</w:t>
      </w:r>
    </w:p>
    <w:p w14:paraId="66EBFCA3">
      <w:pPr>
        <w:pStyle w:val="47"/>
        <w:bidi w:val="0"/>
        <w:rPr>
          <w:rFonts w:hint="eastAsia"/>
        </w:rPr>
      </w:pPr>
      <w:r>
        <w:rPr>
          <w:rFonts w:hint="eastAsia"/>
        </w:rPr>
        <w:t>由于能源的紧缺和不可在生，国家对物资回收利用也越来越重视，物资生产对废旧物资的依赖越来越高，使废旧物资行业得到健康发展。具有一定的经济效益，主要体现在如下几方面：</w:t>
      </w:r>
    </w:p>
    <w:p w14:paraId="397C772A">
      <w:pPr>
        <w:pStyle w:val="47"/>
        <w:bidi w:val="0"/>
        <w:rPr>
          <w:rFonts w:hint="eastAsia"/>
        </w:rPr>
      </w:pPr>
      <w:r>
        <w:rPr>
          <w:rFonts w:hint="eastAsia"/>
        </w:rPr>
        <w:t>①增加地方面税收。</w:t>
      </w:r>
      <w:r>
        <w:rPr>
          <w:rFonts w:hint="eastAsia"/>
          <w:lang w:val="en-US" w:eastAsia="zh-CN"/>
        </w:rPr>
        <w:t>再生</w:t>
      </w:r>
      <w:r>
        <w:rPr>
          <w:rFonts w:hint="eastAsia"/>
        </w:rPr>
        <w:t>塑料</w:t>
      </w:r>
      <w:r>
        <w:rPr>
          <w:rFonts w:hint="eastAsia"/>
          <w:lang w:val="en-US" w:eastAsia="zh-CN"/>
        </w:rPr>
        <w:t>颗粒</w:t>
      </w:r>
      <w:r>
        <w:rPr>
          <w:rFonts w:hint="eastAsia"/>
        </w:rPr>
        <w:t>加工建设不仅可满足市场需求，而且可以带动当地相关产业的发展，具有很好的经济效益。</w:t>
      </w:r>
    </w:p>
    <w:p w14:paraId="396884DE">
      <w:pPr>
        <w:pStyle w:val="47"/>
        <w:bidi w:val="0"/>
        <w:rPr>
          <w:rFonts w:hint="eastAsia"/>
        </w:rPr>
      </w:pPr>
      <w:r>
        <w:rPr>
          <w:rFonts w:hint="eastAsia"/>
        </w:rPr>
        <w:t>②就地消费，带旺地方面经济企业的员工就地消费，增加地方的经济消费，由于区域的消费能力增加，将带动一系列相关行业的发展，从而更进一步地促进地方经济的发展。</w:t>
      </w:r>
    </w:p>
    <w:p w14:paraId="0B42AD95">
      <w:pPr>
        <w:pStyle w:val="47"/>
        <w:bidi w:val="0"/>
        <w:rPr>
          <w:rFonts w:hint="eastAsia"/>
        </w:rPr>
      </w:pPr>
      <w:r>
        <w:rPr>
          <w:rFonts w:hint="eastAsia"/>
        </w:rPr>
        <w:t>③产业带动，完善产业配套。项目的建设，将会带动相关产业的相应发展，完善了城镇的产业配套，更促进了相关地区的经济总量以及税收。</w:t>
      </w:r>
    </w:p>
    <w:p w14:paraId="5A1D0F44">
      <w:pPr>
        <w:pStyle w:val="47"/>
        <w:bidi w:val="0"/>
        <w:rPr>
          <w:rFonts w:hint="eastAsia"/>
        </w:rPr>
      </w:pPr>
      <w:r>
        <w:rPr>
          <w:rFonts w:hint="eastAsia"/>
        </w:rPr>
        <w:t>从以上分析可知，项目具有一定的经济效益，对于促进当地的经济发展起到有利的推动作用。</w:t>
      </w:r>
    </w:p>
    <w:p w14:paraId="3BC8DF00">
      <w:pPr>
        <w:pStyle w:val="47"/>
        <w:bidi w:val="0"/>
        <w:rPr>
          <w:rFonts w:hint="eastAsia"/>
          <w:lang w:eastAsia="zh-CN"/>
        </w:rPr>
      </w:pPr>
      <w:r>
        <w:rPr>
          <w:rFonts w:hint="eastAsia"/>
          <w:lang w:val="en-US" w:eastAsia="zh-CN"/>
        </w:rPr>
        <w:t>（2）</w:t>
      </w:r>
      <w:r>
        <w:rPr>
          <w:rFonts w:hint="eastAsia"/>
          <w:lang w:eastAsia="zh-CN"/>
        </w:rPr>
        <w:t>社会效益</w:t>
      </w:r>
    </w:p>
    <w:p w14:paraId="1744933C">
      <w:pPr>
        <w:pStyle w:val="47"/>
        <w:bidi w:val="0"/>
        <w:rPr>
          <w:rFonts w:hint="eastAsia"/>
        </w:rPr>
      </w:pPr>
      <w:r>
        <w:rPr>
          <w:rFonts w:hint="eastAsia"/>
        </w:rPr>
        <w:t>项目实施后的社会效益主要体现在以下几方面：</w:t>
      </w:r>
    </w:p>
    <w:p w14:paraId="76F045F6">
      <w:pPr>
        <w:pStyle w:val="47"/>
        <w:bidi w:val="0"/>
        <w:rPr>
          <w:rFonts w:hint="eastAsia"/>
        </w:rPr>
      </w:pPr>
      <w:r>
        <w:rPr>
          <w:rFonts w:hint="eastAsia"/>
        </w:rPr>
        <w:t>①项目建成后正常年份可上交税收，带动当地经济发展。</w:t>
      </w:r>
    </w:p>
    <w:p w14:paraId="50F61ECA">
      <w:pPr>
        <w:pStyle w:val="47"/>
        <w:bidi w:val="0"/>
        <w:rPr>
          <w:rFonts w:hint="eastAsia"/>
        </w:rPr>
      </w:pPr>
      <w:r>
        <w:rPr>
          <w:rFonts w:hint="eastAsia"/>
        </w:rPr>
        <w:t>②项目的实施有利于加快项目周边地区塑料产业化进程，生产过程中采用国内外高新技术，尤其是针对关键生产环节，进行改造升级，从而减少原材料、动力及燃料的消耗，减少三废的排放，更好的满足广大消费者的需求。同时通过建立废旧塑料产业，有利于带动当地现代产业的发展，促进产业结构调整和广大农民群众的增收。</w:t>
      </w:r>
    </w:p>
    <w:p w14:paraId="522A1CE4">
      <w:pPr>
        <w:pStyle w:val="47"/>
        <w:bidi w:val="0"/>
        <w:rPr>
          <w:rFonts w:hint="eastAsia"/>
        </w:rPr>
      </w:pPr>
      <w:r>
        <w:rPr>
          <w:rFonts w:hint="eastAsia"/>
        </w:rPr>
        <w:t>③项目新增工人将在当地及周边地区招聘，与项目相关的物流、储运等也会在一定程度繁荣当地经济，同时也将间接地促进厂区及周边地区的工业、服务业、运输业等相关产业的发展，提高居民的整体收入水平。可解决部分闲置劳动力，有利于缓解当地社会就业压力，保持社会稳定。</w:t>
      </w:r>
    </w:p>
    <w:p w14:paraId="5EE3C7BE">
      <w:pPr>
        <w:pStyle w:val="47"/>
        <w:bidi w:val="0"/>
        <w:rPr>
          <w:rFonts w:hint="eastAsia"/>
          <w:lang w:val="en-US" w:eastAsia="zh-CN"/>
        </w:rPr>
      </w:pPr>
      <w:r>
        <w:rPr>
          <w:rFonts w:hint="eastAsia"/>
          <w:lang w:val="en-US" w:eastAsia="zh-CN"/>
        </w:rPr>
        <w:t>（3）主要环境损失</w:t>
      </w:r>
    </w:p>
    <w:p w14:paraId="436775E2">
      <w:pPr>
        <w:pStyle w:val="47"/>
        <w:bidi w:val="0"/>
        <w:rPr>
          <w:rFonts w:hint="eastAsia"/>
        </w:rPr>
      </w:pPr>
      <w:r>
        <w:rPr>
          <w:rFonts w:hint="eastAsia"/>
        </w:rPr>
        <w:t>①环境空气</w:t>
      </w:r>
    </w:p>
    <w:p w14:paraId="169DD452">
      <w:pPr>
        <w:pStyle w:val="47"/>
        <w:bidi w:val="0"/>
        <w:rPr>
          <w:rFonts w:hint="eastAsia"/>
        </w:rPr>
      </w:pPr>
      <w:r>
        <w:rPr>
          <w:rFonts w:hint="eastAsia"/>
        </w:rPr>
        <w:t>建设项目产生废气中的污染物有颗粒物</w:t>
      </w:r>
      <w:r>
        <w:rPr>
          <w:rFonts w:hint="eastAsia"/>
          <w:lang w:eastAsia="zh-CN"/>
        </w:rPr>
        <w:t>、</w:t>
      </w:r>
      <w:r>
        <w:rPr>
          <w:rFonts w:hint="eastAsia"/>
        </w:rPr>
        <w:t>非甲烷总烃</w:t>
      </w:r>
      <w:r>
        <w:rPr>
          <w:rFonts w:hint="eastAsia"/>
          <w:lang w:eastAsia="zh-CN"/>
        </w:rPr>
        <w:t>、</w:t>
      </w:r>
      <w:r>
        <w:rPr>
          <w:rFonts w:hint="eastAsia"/>
        </w:rPr>
        <w:t>氯化氢</w:t>
      </w:r>
      <w:r>
        <w:rPr>
          <w:rFonts w:hint="eastAsia"/>
          <w:lang w:eastAsia="zh-CN"/>
        </w:rPr>
        <w:t>、</w:t>
      </w:r>
      <w:r>
        <w:rPr>
          <w:rFonts w:hint="eastAsia"/>
        </w:rPr>
        <w:t>臭气浓度，对环境造成不同程度的污染，经采取治理措施后，排放将减轻对环境的影响。</w:t>
      </w:r>
    </w:p>
    <w:p w14:paraId="59829D93">
      <w:pPr>
        <w:pStyle w:val="47"/>
        <w:bidi w:val="0"/>
        <w:rPr>
          <w:rFonts w:hint="eastAsia"/>
        </w:rPr>
      </w:pPr>
      <w:r>
        <w:rPr>
          <w:rFonts w:hint="eastAsia"/>
        </w:rPr>
        <w:t>②水环境</w:t>
      </w:r>
    </w:p>
    <w:p w14:paraId="3B4B8F6C">
      <w:pPr>
        <w:pStyle w:val="47"/>
        <w:bidi w:val="0"/>
        <w:rPr>
          <w:rFonts w:hint="eastAsia"/>
        </w:rPr>
      </w:pPr>
      <w:r>
        <w:rPr>
          <w:rFonts w:hint="eastAsia"/>
        </w:rPr>
        <w:t>项目</w:t>
      </w:r>
      <w:r>
        <w:rPr>
          <w:rFonts w:hint="eastAsia"/>
          <w:lang w:val="en-US" w:eastAsia="zh-CN"/>
        </w:rPr>
        <w:t>生产废水循环使用</w:t>
      </w:r>
      <w:r>
        <w:rPr>
          <w:rFonts w:hint="eastAsia"/>
        </w:rPr>
        <w:t>不外排，既节约了水资源，又减轻了对环境的污染，具有比较明显的环境效益。</w:t>
      </w:r>
    </w:p>
    <w:p w14:paraId="44A8700B">
      <w:pPr>
        <w:pStyle w:val="47"/>
        <w:bidi w:val="0"/>
        <w:rPr>
          <w:rFonts w:hint="eastAsia"/>
        </w:rPr>
      </w:pPr>
      <w:r>
        <w:rPr>
          <w:rFonts w:hint="eastAsia"/>
        </w:rPr>
        <w:t>③噪声</w:t>
      </w:r>
    </w:p>
    <w:p w14:paraId="5A8F637B">
      <w:pPr>
        <w:pStyle w:val="47"/>
        <w:bidi w:val="0"/>
        <w:rPr>
          <w:rFonts w:hint="eastAsia"/>
        </w:rPr>
      </w:pPr>
      <w:r>
        <w:rPr>
          <w:rFonts w:hint="eastAsia"/>
        </w:rPr>
        <w:t>从环境影响预测分析来看，工程建成投产后，厂界东、南、西、北噪声源预测值满足《声环境质量标准》（GB3096-2008）中</w:t>
      </w:r>
      <w:r>
        <w:rPr>
          <w:rFonts w:hint="eastAsia"/>
          <w:lang w:val="en-US" w:eastAsia="zh-CN"/>
        </w:rPr>
        <w:t>2</w:t>
      </w:r>
      <w:r>
        <w:rPr>
          <w:rFonts w:hint="eastAsia"/>
          <w:lang w:eastAsia="zh-CN"/>
        </w:rPr>
        <w:t>类</w:t>
      </w:r>
      <w:r>
        <w:rPr>
          <w:rFonts w:hint="eastAsia"/>
        </w:rPr>
        <w:t>标准要求，对周围环境影响不大。</w:t>
      </w:r>
    </w:p>
    <w:p w14:paraId="111DD899">
      <w:pPr>
        <w:pStyle w:val="47"/>
        <w:bidi w:val="0"/>
        <w:rPr>
          <w:rFonts w:hint="eastAsia"/>
        </w:rPr>
      </w:pPr>
      <w:r>
        <w:rPr>
          <w:rFonts w:hint="eastAsia"/>
          <w:lang w:val="en-US" w:eastAsia="zh-CN"/>
        </w:rPr>
        <w:t>④</w:t>
      </w:r>
      <w:r>
        <w:rPr>
          <w:rFonts w:hint="eastAsia"/>
        </w:rPr>
        <w:t>固体废物</w:t>
      </w:r>
    </w:p>
    <w:p w14:paraId="7590838F">
      <w:pPr>
        <w:pStyle w:val="47"/>
        <w:bidi w:val="0"/>
        <w:rPr>
          <w:rFonts w:hint="eastAsia"/>
        </w:rPr>
      </w:pPr>
      <w:r>
        <w:rPr>
          <w:rFonts w:hint="eastAsia"/>
        </w:rPr>
        <w:t>项目各项固体废物均能得到有效的处理处置，对环境的影响较小，在可接受范围内。</w:t>
      </w:r>
    </w:p>
    <w:p w14:paraId="30D2B739">
      <w:pPr>
        <w:pStyle w:val="47"/>
        <w:bidi w:val="0"/>
        <w:rPr>
          <w:rFonts w:hint="eastAsia"/>
        </w:rPr>
      </w:pPr>
      <w:r>
        <w:rPr>
          <w:rFonts w:hint="eastAsia"/>
          <w:lang w:eastAsia="zh-CN"/>
        </w:rPr>
        <w:t>项目</w:t>
      </w:r>
      <w:r>
        <w:rPr>
          <w:rFonts w:hint="eastAsia"/>
        </w:rPr>
        <w:t>建设不可避免地会给环境带来一些不利影响，但建设方投资</w:t>
      </w:r>
      <w:r>
        <w:rPr>
          <w:rFonts w:hint="eastAsia"/>
          <w:lang w:val="en-US" w:eastAsia="zh-CN"/>
        </w:rPr>
        <w:t>200</w:t>
      </w:r>
      <w:r>
        <w:rPr>
          <w:rFonts w:hint="eastAsia"/>
        </w:rPr>
        <w:t>万元进行污染治理，减少污染、改善区域环境质量，具有较明显的环境效益，为企业的发展创造了有利条件，污染治理后可大幅度削减排放量，污染得到有效的控制，满足项目所在地水体功能和环境空气质量的要求。</w:t>
      </w:r>
    </w:p>
    <w:p w14:paraId="501CE8AA">
      <w:pPr>
        <w:pStyle w:val="47"/>
        <w:bidi w:val="0"/>
        <w:rPr>
          <w:rFonts w:hint="eastAsia"/>
          <w:lang w:val="en-GB" w:eastAsia="zh-CN"/>
        </w:rPr>
      </w:pPr>
      <w:r>
        <w:rPr>
          <w:rFonts w:hint="eastAsia"/>
          <w:lang w:val="en-US" w:eastAsia="zh-CN"/>
        </w:rPr>
        <w:t>（4）</w:t>
      </w:r>
      <w:r>
        <w:rPr>
          <w:rFonts w:hint="eastAsia"/>
          <w:lang w:val="en-GB" w:eastAsia="zh-CN"/>
        </w:rPr>
        <w:t>环境影响经济损益结论</w:t>
      </w:r>
    </w:p>
    <w:p w14:paraId="4F445970">
      <w:pPr>
        <w:pStyle w:val="47"/>
        <w:bidi w:val="0"/>
        <w:rPr>
          <w:rFonts w:hint="eastAsia"/>
        </w:rPr>
      </w:pPr>
      <w:r>
        <w:rPr>
          <w:rFonts w:hint="eastAsia"/>
        </w:rPr>
        <w:t>项目的建设从社会效益、环保经济效益分析均较好，但是在营运过程中对环境产生损害的可能还是存在的，应当引起建设单位的重视。只要加强污染防治的投资与环境管理，把污染物控制在最低限度，可以保证收到良好的环境效益。只要加强环保措施和环境管理，项目可以达到社会效益、经济效益、环保效益同步发展。</w:t>
      </w:r>
    </w:p>
    <w:p w14:paraId="1366C658">
      <w:pPr>
        <w:pStyle w:val="47"/>
        <w:ind w:firstLine="482"/>
        <w:rPr>
          <w:rFonts w:hint="eastAsia"/>
        </w:rPr>
      </w:pPr>
    </w:p>
    <w:p w14:paraId="0A688D39">
      <w:pPr>
        <w:pStyle w:val="47"/>
        <w:ind w:firstLine="482"/>
        <w:rPr>
          <w:rFonts w:hint="eastAsia"/>
        </w:rPr>
      </w:pPr>
    </w:p>
    <w:p w14:paraId="1AD71558">
      <w:pPr>
        <w:pStyle w:val="47"/>
        <w:ind w:left="0" w:leftChars="0" w:firstLine="0" w:firstLineChars="0"/>
        <w:sectPr>
          <w:pgSz w:w="11906" w:h="16838"/>
          <w:pgMar w:top="1417" w:right="1417" w:bottom="1417" w:left="1417" w:header="851" w:footer="992" w:gutter="0"/>
          <w:pgBorders>
            <w:top w:val="none" w:sz="0" w:space="0"/>
            <w:left w:val="none" w:sz="0" w:space="0"/>
            <w:bottom w:val="none" w:sz="0" w:space="0"/>
            <w:right w:val="none" w:sz="0" w:space="0"/>
          </w:pgBorders>
          <w:pgNumType w:fmt="decimal"/>
          <w:cols w:space="425" w:num="1"/>
          <w:docGrid w:type="linesAndChars" w:linePitch="326" w:charSpace="190"/>
        </w:sectPr>
      </w:pPr>
    </w:p>
    <w:p w14:paraId="022ABBFD">
      <w:pPr>
        <w:pStyle w:val="88"/>
        <w:bidi w:val="0"/>
        <w:ind w:left="0" w:leftChars="0" w:hanging="102" w:firstLineChars="0"/>
      </w:pPr>
      <w:bookmarkStart w:id="75" w:name="_Toc12564"/>
      <w:r>
        <w:rPr>
          <w:rFonts w:hint="eastAsia"/>
        </w:rPr>
        <w:t>环境管理</w:t>
      </w:r>
      <w:r>
        <w:t>与监测计划</w:t>
      </w:r>
      <w:bookmarkEnd w:id="75"/>
    </w:p>
    <w:p w14:paraId="5D780BB5">
      <w:pPr>
        <w:pStyle w:val="47"/>
      </w:pPr>
      <w:r>
        <w:rPr>
          <w:rFonts w:hint="eastAsia"/>
        </w:rPr>
        <w:t>环境管理是企业管理中一项重要的专业管理。加强环境监督、管理力度，是实现社会效益、经济效益、环境效益协调发展和走可持续发展道路的重要措施。环境监测是工业污染防治的依据和环境管理的耳目。加强污染监控工作，是了解和掌握企业排污特征，研究污染发展趋势，开展环保技术研究和综合利用能源的有效途径。随着人民生活水平的不断提高和环保意识的不断增强，对于建设项目所引起的周围生活环境质量影响日益受到普遍关注，这就要求企业领导者能够及时地掌握本企业的生产和排污状况，因此制定严格的环境管理与监控计划，并确保其认真落实，才能最大限度地减少污染物的产生与排放。</w:t>
      </w:r>
    </w:p>
    <w:p w14:paraId="6AC2067D">
      <w:pPr>
        <w:pStyle w:val="90"/>
        <w:bidi w:val="0"/>
        <w:ind w:left="0" w:leftChars="0" w:firstLine="0" w:firstLineChars="0"/>
      </w:pPr>
      <w:bookmarkStart w:id="76" w:name="_Toc4638"/>
      <w:r>
        <w:rPr>
          <w:rFonts w:hint="eastAsia"/>
        </w:rPr>
        <w:t>环境管理</w:t>
      </w:r>
      <w:bookmarkEnd w:id="76"/>
    </w:p>
    <w:p w14:paraId="6D7C77C1">
      <w:pPr>
        <w:pStyle w:val="92"/>
        <w:bidi w:val="0"/>
        <w:ind w:left="0" w:leftChars="0" w:firstLine="0" w:firstLineChars="0"/>
      </w:pPr>
      <w:r>
        <w:rPr>
          <w:rFonts w:hint="eastAsia"/>
        </w:rPr>
        <w:t>环境</w:t>
      </w:r>
      <w:r>
        <w:t>管理</w:t>
      </w:r>
      <w:r>
        <w:rPr>
          <w:rFonts w:hint="eastAsia"/>
          <w:lang w:val="en-US" w:eastAsia="zh-CN"/>
        </w:rPr>
        <w:t>目的</w:t>
      </w:r>
    </w:p>
    <w:p w14:paraId="17A36CD8">
      <w:pPr>
        <w:pStyle w:val="47"/>
        <w:rPr>
          <w:rFonts w:hint="eastAsia"/>
        </w:rPr>
      </w:pPr>
      <w:r>
        <w:rPr>
          <w:rFonts w:hint="eastAsia"/>
        </w:rPr>
        <w:t>环境管理计划可分为可行性研究阶段、初步设计阶段、施工阶段以及营运期环境管理计划，相应的环境管理机构一般包括管理机构、监督机构和监测机构。通过环境管理计划的实施，以达到如下目的：</w:t>
      </w:r>
    </w:p>
    <w:p w14:paraId="60500250">
      <w:pPr>
        <w:pStyle w:val="47"/>
        <w:rPr>
          <w:rFonts w:hint="eastAsia"/>
        </w:rPr>
      </w:pPr>
      <w:r>
        <w:rPr>
          <w:rFonts w:hint="eastAsia"/>
        </w:rPr>
        <w:t>（1）使项目的建设符合国家经济建设和环境建设同时设计、同时施工和同时投产的“三同时”原则，为环保措施的落实及监督、为项目环境保护审批及环境保护竣工验收提供依据。</w:t>
      </w:r>
    </w:p>
    <w:p w14:paraId="62A37B3D">
      <w:pPr>
        <w:pStyle w:val="47"/>
        <w:rPr>
          <w:rFonts w:hint="eastAsia"/>
        </w:rPr>
      </w:pPr>
      <w:r>
        <w:rPr>
          <w:rFonts w:hint="eastAsia"/>
        </w:rPr>
        <w:t>（2）通过环境管理计划的实施，将项目对周围环境带来的不利影响减少至最低程度，使项目的经济效益和环境效益得以协调发展。</w:t>
      </w:r>
    </w:p>
    <w:p w14:paraId="66BA7B95">
      <w:pPr>
        <w:pStyle w:val="92"/>
        <w:bidi w:val="0"/>
        <w:ind w:left="0" w:leftChars="0" w:firstLine="0" w:firstLineChars="0"/>
      </w:pPr>
      <w:r>
        <w:rPr>
          <w:rFonts w:hint="eastAsia"/>
        </w:rPr>
        <w:t>环境</w:t>
      </w:r>
      <w:r>
        <w:t>管理机构</w:t>
      </w:r>
      <w:r>
        <w:rPr>
          <w:rFonts w:hint="eastAsia"/>
        </w:rPr>
        <w:t>的设置及职责</w:t>
      </w:r>
    </w:p>
    <w:p w14:paraId="1E9BDBB2">
      <w:pPr>
        <w:pStyle w:val="47"/>
        <w:ind w:firstLine="482"/>
        <w:rPr>
          <w:rFonts w:hint="eastAsia"/>
        </w:rPr>
      </w:pPr>
      <w:r>
        <w:rPr>
          <w:rFonts w:hint="eastAsia"/>
        </w:rPr>
        <w:t>据国家和地方有关环保法规和建设项目环境管理的要求，为加强该工程施工期及运行期的环境保护工作，</w:t>
      </w:r>
      <w:r>
        <w:rPr>
          <w:rFonts w:hint="eastAsia"/>
          <w:lang w:eastAsia="zh-CN"/>
        </w:rPr>
        <w:t>应</w:t>
      </w:r>
      <w:r>
        <w:rPr>
          <w:rFonts w:hint="eastAsia"/>
        </w:rPr>
        <w:t>设置环境保护管理机构，该机构主要负责日常环境保护管理、环境污染防治设施运行和污染物达标排放、污染物排放日常监测等工作的监督考核工作。环境管理机构（安技环保部）中，有专职人员负责厂内废气、废水、噪声、固体废弃物以及其他环境管理工作；该人员是专业环保工作人员，有较强的环保知识和管理水平。项目设置环境管理机构由专职人员进行管理。</w:t>
      </w:r>
    </w:p>
    <w:p w14:paraId="18282208">
      <w:pPr>
        <w:pStyle w:val="47"/>
        <w:ind w:firstLine="482"/>
        <w:rPr>
          <w:rFonts w:hint="eastAsia"/>
        </w:rPr>
      </w:pPr>
      <w:r>
        <w:rPr>
          <w:rFonts w:hint="eastAsia"/>
        </w:rPr>
        <w:t>（1）施工期环境管理机构职责</w:t>
      </w:r>
    </w:p>
    <w:p w14:paraId="16A6E86D">
      <w:pPr>
        <w:pStyle w:val="47"/>
        <w:ind w:firstLine="482"/>
        <w:rPr>
          <w:rFonts w:hint="eastAsia"/>
        </w:rPr>
      </w:pPr>
      <w:r>
        <w:rPr>
          <w:rFonts w:hint="eastAsia"/>
        </w:rPr>
        <w:t>①根据国家有关的施工管理条例和操作规范，结合拟建工程的具体施工计划和本报告提出的污染防治措施，制定有针对性的环境保护管理办法和详细的环保管理计划，特别是制定和实施工程承包商、环保监理工程师的环境知识及环境监测培训。</w:t>
      </w:r>
    </w:p>
    <w:p w14:paraId="619AFBC0">
      <w:pPr>
        <w:pStyle w:val="47"/>
        <w:ind w:firstLine="482"/>
        <w:rPr>
          <w:rFonts w:hint="eastAsia"/>
        </w:rPr>
      </w:pPr>
      <w:r>
        <w:rPr>
          <w:rFonts w:hint="eastAsia"/>
        </w:rPr>
        <w:t>②定期对施工现场进行检查，监督施工单位对环境保护管理办法的执行情况，及时制止和纠正不符合管理办法的施工行为。</w:t>
      </w:r>
    </w:p>
    <w:p w14:paraId="18BC07E2">
      <w:pPr>
        <w:pStyle w:val="47"/>
        <w:ind w:firstLine="482"/>
        <w:rPr>
          <w:rFonts w:hint="eastAsia"/>
        </w:rPr>
      </w:pPr>
      <w:r>
        <w:rPr>
          <w:rFonts w:hint="eastAsia"/>
        </w:rPr>
        <w:t>③调查、处理施工过程中出现的扰民或污染问题。</w:t>
      </w:r>
    </w:p>
    <w:p w14:paraId="2BC17BD7">
      <w:pPr>
        <w:pStyle w:val="47"/>
        <w:ind w:firstLine="482"/>
        <w:rPr>
          <w:rFonts w:hint="eastAsia"/>
        </w:rPr>
      </w:pPr>
      <w:r>
        <w:rPr>
          <w:rFonts w:hint="eastAsia"/>
        </w:rPr>
        <w:t>④为有效地控制工程施工期间的环境污染，项目在建设施工阶段，不但要对工程的施工质量、进度进行管理，同时必须对施工的文明程、环境影响减缓措施的落实情况，以及环境保护方面合同条款的执行情况进行监督检查。</w:t>
      </w:r>
    </w:p>
    <w:p w14:paraId="14898A43">
      <w:pPr>
        <w:pStyle w:val="47"/>
        <w:ind w:firstLine="482"/>
        <w:rPr>
          <w:rFonts w:hint="eastAsia"/>
        </w:rPr>
      </w:pPr>
      <w:r>
        <w:rPr>
          <w:rFonts w:hint="eastAsia"/>
        </w:rPr>
        <w:t>（2）营运期环境管理机构职责</w:t>
      </w:r>
    </w:p>
    <w:p w14:paraId="0A562901">
      <w:pPr>
        <w:pStyle w:val="47"/>
        <w:ind w:firstLine="482"/>
        <w:rPr>
          <w:rFonts w:hint="eastAsia"/>
        </w:rPr>
      </w:pPr>
      <w:r>
        <w:rPr>
          <w:rFonts w:hint="eastAsia"/>
        </w:rPr>
        <w:t>为防治项目建成后运行过程中的污染问题，环境管理机构的职责，具体应包括以下方面：</w:t>
      </w:r>
    </w:p>
    <w:p w14:paraId="5AE0346D">
      <w:pPr>
        <w:pStyle w:val="47"/>
        <w:ind w:firstLine="482"/>
        <w:rPr>
          <w:rFonts w:hint="eastAsia"/>
        </w:rPr>
      </w:pPr>
      <w:r>
        <w:rPr>
          <w:rFonts w:hint="eastAsia"/>
        </w:rPr>
        <w:t>①组织贯彻国家、自治区以及行业主管部门有关环境保护的法律法规、方针政策，配合当地环保部门做好本项目的环境管理工作。</w:t>
      </w:r>
    </w:p>
    <w:p w14:paraId="7FA68E13">
      <w:pPr>
        <w:pStyle w:val="47"/>
        <w:ind w:firstLine="482"/>
        <w:rPr>
          <w:rFonts w:hint="eastAsia"/>
        </w:rPr>
      </w:pPr>
      <w:r>
        <w:rPr>
          <w:rFonts w:hint="eastAsia"/>
        </w:rPr>
        <w:t>②执行上级主管部门建立的各种环境管理制度，制定相关的管理计划并切实实施。</w:t>
      </w:r>
    </w:p>
    <w:p w14:paraId="3867CAFA">
      <w:pPr>
        <w:pStyle w:val="47"/>
        <w:ind w:firstLine="482"/>
        <w:rPr>
          <w:rFonts w:hint="eastAsia"/>
        </w:rPr>
      </w:pPr>
      <w:r>
        <w:rPr>
          <w:rFonts w:hint="eastAsia"/>
        </w:rPr>
        <w:t>③定期检查、维护和保养环保设备，确保其正常通行，采取积极有效的环保措施防治污染，并对环保措施的执行情况和效果进行监督检查。</w:t>
      </w:r>
    </w:p>
    <w:p w14:paraId="4039A8AA">
      <w:pPr>
        <w:pStyle w:val="47"/>
        <w:ind w:firstLine="482"/>
        <w:rPr>
          <w:rFonts w:hint="eastAsia"/>
        </w:rPr>
      </w:pPr>
      <w:r>
        <w:rPr>
          <w:rFonts w:hint="eastAsia"/>
        </w:rPr>
        <w:t>④组织有关单位或人员进行环境监测工作，建立污染源档案管理制度及监控档案制度。</w:t>
      </w:r>
    </w:p>
    <w:p w14:paraId="23F88DC8">
      <w:pPr>
        <w:pStyle w:val="47"/>
        <w:ind w:firstLine="482"/>
        <w:rPr>
          <w:rFonts w:hint="eastAsia"/>
        </w:rPr>
      </w:pPr>
      <w:r>
        <w:rPr>
          <w:rFonts w:hint="eastAsia"/>
        </w:rPr>
        <w:t>⑤与环保部门配合，调查、处理与项目有关的污染事故和扰民纠纷。</w:t>
      </w:r>
    </w:p>
    <w:p w14:paraId="373B2930">
      <w:pPr>
        <w:pStyle w:val="47"/>
        <w:ind w:firstLine="482"/>
        <w:rPr>
          <w:rFonts w:hint="eastAsia"/>
        </w:rPr>
      </w:pPr>
      <w:r>
        <w:rPr>
          <w:rFonts w:hint="eastAsia"/>
        </w:rPr>
        <w:t>⑥定期对工作人员进行培训，提高他们的能力，同时积极开展技术革新、技术交流活动，推广利用先进技术和经验，进一步改进环境管理工作。</w:t>
      </w:r>
    </w:p>
    <w:p w14:paraId="7510B22A">
      <w:pPr>
        <w:pStyle w:val="47"/>
        <w:ind w:firstLine="482"/>
        <w:rPr>
          <w:rFonts w:hint="eastAsia"/>
        </w:rPr>
      </w:pPr>
      <w:r>
        <w:rPr>
          <w:rFonts w:hint="eastAsia"/>
        </w:rPr>
        <w:t>⑦在企业内部建立强有力的环境管理体系，将环境管理落实到车间与岗位，制定相应的操作规程、监督管理制度和奖惩制度，以保证各项环境保护措施在生产经营的各个环节得到有效执行。</w:t>
      </w:r>
    </w:p>
    <w:p w14:paraId="277B4B5F">
      <w:pPr>
        <w:pStyle w:val="47"/>
        <w:ind w:firstLine="482"/>
        <w:rPr>
          <w:rFonts w:hint="eastAsia"/>
        </w:rPr>
      </w:pPr>
      <w:r>
        <w:rPr>
          <w:rFonts w:hint="eastAsia"/>
        </w:rPr>
        <w:t>⑧企业应建设并完善日常和应急监测系统，配备大气、水环境特征污染物监控设备，编制日常和应急监测方案，建立完备的环境信息平台，定期向社会公布企业环境信息，接受公众监督。企业应制定环境事故应急预案，并将突发环境事件应急预案演练和应急物资管理作为日常工作任务，不断提升环境风险防范应急保障能力并积极配合当地政府建设和完善项目所在集聚区环境风险预警体系、环境风险防控工程、环境应急保障体系。</w:t>
      </w:r>
    </w:p>
    <w:p w14:paraId="61ADD8D7">
      <w:pPr>
        <w:pStyle w:val="92"/>
        <w:bidi w:val="0"/>
        <w:ind w:left="0" w:leftChars="0" w:firstLine="0" w:firstLineChars="0"/>
      </w:pPr>
      <w:r>
        <w:rPr>
          <w:rFonts w:hint="eastAsia"/>
        </w:rPr>
        <w:t>环境保护管理机构的任务</w:t>
      </w:r>
    </w:p>
    <w:p w14:paraId="142B18F4">
      <w:pPr>
        <w:pStyle w:val="47"/>
        <w:ind w:firstLine="482"/>
        <w:rPr>
          <w:rFonts w:hint="eastAsia"/>
        </w:rPr>
      </w:pPr>
      <w:r>
        <w:rPr>
          <w:rFonts w:hint="eastAsia"/>
        </w:rPr>
        <w:t>项目在生产运行过程中为保证环境管理系统的有效运行应制定环境管理方案。企业环境管理方案主要包括下列内容：</w:t>
      </w:r>
    </w:p>
    <w:p w14:paraId="4F33C061">
      <w:pPr>
        <w:pStyle w:val="47"/>
        <w:ind w:firstLine="482"/>
        <w:rPr>
          <w:rFonts w:hint="eastAsia"/>
        </w:rPr>
      </w:pPr>
      <w:r>
        <w:rPr>
          <w:rFonts w:hint="eastAsia"/>
        </w:rPr>
        <w:t>（1）组织贯彻国家及地方的有关环保方针、政策法令和条例，搞好环境教育和技术培训，增强公司职工的环保意识和技术水平，提高污染控制的责任心。</w:t>
      </w:r>
    </w:p>
    <w:p w14:paraId="12F68ADD">
      <w:pPr>
        <w:pStyle w:val="47"/>
        <w:ind w:firstLine="482"/>
        <w:rPr>
          <w:rFonts w:hint="eastAsia"/>
        </w:rPr>
      </w:pPr>
      <w:r>
        <w:rPr>
          <w:rFonts w:hint="eastAsia"/>
        </w:rPr>
        <w:t>（2）制定并实施公司环境保护工作的长期规划及年度污染治理计划，严格控制“三废”的排放。</w:t>
      </w:r>
    </w:p>
    <w:p w14:paraId="36AC2564">
      <w:pPr>
        <w:pStyle w:val="47"/>
        <w:ind w:firstLine="482"/>
        <w:rPr>
          <w:rFonts w:hint="eastAsia"/>
        </w:rPr>
      </w:pPr>
      <w:r>
        <w:rPr>
          <w:rFonts w:hint="eastAsia"/>
        </w:rPr>
        <w:t>（3）负责督促建设项目与环保设施“三同时”的执行情况，检查企业内部各环保设施的运行情况，并定期检查维护环保设施，杜绝不达标排放。</w:t>
      </w:r>
    </w:p>
    <w:p w14:paraId="2DC4D481">
      <w:pPr>
        <w:pStyle w:val="47"/>
        <w:ind w:firstLine="482"/>
        <w:rPr>
          <w:rFonts w:hint="eastAsia"/>
        </w:rPr>
      </w:pPr>
      <w:r>
        <w:rPr>
          <w:rFonts w:hint="eastAsia"/>
        </w:rPr>
        <w:t>（4）负责公司的所有环保设施操作规程的制定，监督环保设施的运转，对于违反操作规程而造成的环境污染事故及时进行处理，消除污染，调查事故发生原因，并对有关负责人及操作人员进行处罚，同时提出整治措施，杜绝事故再次发生。</w:t>
      </w:r>
    </w:p>
    <w:p w14:paraId="02DB64CE">
      <w:pPr>
        <w:pStyle w:val="47"/>
        <w:ind w:firstLine="482"/>
        <w:rPr>
          <w:rFonts w:hint="eastAsia"/>
        </w:rPr>
      </w:pPr>
      <w:r>
        <w:rPr>
          <w:rFonts w:hint="eastAsia"/>
        </w:rPr>
        <w:t>（5）领导并组织项目运行期间的环境监测工作，掌握污染动态，做好环境统计工作，建立环境监控档案。</w:t>
      </w:r>
    </w:p>
    <w:p w14:paraId="5428D92F">
      <w:pPr>
        <w:pStyle w:val="47"/>
        <w:ind w:firstLine="482"/>
        <w:rPr>
          <w:rFonts w:hint="eastAsia"/>
        </w:rPr>
      </w:pPr>
      <w:r>
        <w:rPr>
          <w:rFonts w:hint="eastAsia"/>
        </w:rPr>
        <w:t>（6）负责提出、审查有关环境保护的技术改造方案和治理方案，负责提出、审查各项清洁生产方案和组织清洁生产方案的实施。</w:t>
      </w:r>
    </w:p>
    <w:p w14:paraId="40827D4A">
      <w:pPr>
        <w:pStyle w:val="47"/>
        <w:ind w:firstLine="482"/>
        <w:rPr>
          <w:rFonts w:hint="eastAsia"/>
        </w:rPr>
      </w:pPr>
      <w:r>
        <w:rPr>
          <w:rFonts w:hint="eastAsia"/>
        </w:rPr>
        <w:t>（7）负责对企业废水、废气排污口的规范化管理工作。建立完善的污染源档案管理制度，在排放口处设置标志牌，并注明污染物名称以警示周围群众；如实填写《中华人民共和国规范化排污口登记证》的有关内容，由环保主管部门签发登记证；</w:t>
      </w:r>
    </w:p>
    <w:p w14:paraId="0596EB35">
      <w:pPr>
        <w:pStyle w:val="47"/>
        <w:ind w:firstLine="482"/>
        <w:rPr>
          <w:rFonts w:hint="eastAsia"/>
        </w:rPr>
      </w:pPr>
      <w:r>
        <w:rPr>
          <w:rFonts w:hint="eastAsia"/>
        </w:rPr>
        <w:t>把有关排污情况（如排污口的性质、编号、排污口位置及排放的主要污染物种类、数量、浓度、排放规律、排放走向、污染治理措施的运行情况）建档管理，并报送环保主管部门备案。</w:t>
      </w:r>
    </w:p>
    <w:p w14:paraId="6D852B4A">
      <w:pPr>
        <w:pStyle w:val="47"/>
        <w:ind w:firstLine="482"/>
        <w:rPr>
          <w:rFonts w:hint="eastAsia"/>
        </w:rPr>
      </w:pPr>
    </w:p>
    <w:p w14:paraId="183C6BF3">
      <w:pPr>
        <w:pStyle w:val="92"/>
        <w:bidi w:val="0"/>
        <w:ind w:left="0" w:leftChars="0" w:firstLine="0" w:firstLineChars="0"/>
      </w:pPr>
      <w:r>
        <w:rPr>
          <w:rFonts w:hint="eastAsia"/>
        </w:rPr>
        <w:t>环境管理</w:t>
      </w:r>
      <w:r>
        <w:rPr>
          <w:rFonts w:hint="eastAsia"/>
          <w:lang w:val="en-US" w:eastAsia="zh-CN"/>
        </w:rPr>
        <w:t>的原则</w:t>
      </w:r>
    </w:p>
    <w:p w14:paraId="670FEFAA">
      <w:pPr>
        <w:pStyle w:val="47"/>
        <w:ind w:firstLine="482"/>
        <w:rPr>
          <w:rFonts w:hint="eastAsia"/>
        </w:rPr>
      </w:pPr>
      <w:r>
        <w:rPr>
          <w:rFonts w:hint="eastAsia"/>
        </w:rPr>
        <w:t>根据</w:t>
      </w:r>
      <w:r>
        <w:rPr>
          <w:rFonts w:hint="eastAsia"/>
          <w:lang w:eastAsia="zh-CN"/>
        </w:rPr>
        <w:t>项目</w:t>
      </w:r>
      <w:r>
        <w:rPr>
          <w:rFonts w:hint="eastAsia"/>
        </w:rPr>
        <w:t>自身特点和国家环境保护发展的要求，其遵循的环境管理原则是：</w:t>
      </w:r>
    </w:p>
    <w:p w14:paraId="21EAABC2">
      <w:pPr>
        <w:pStyle w:val="47"/>
        <w:ind w:firstLine="482"/>
        <w:rPr>
          <w:rFonts w:hint="eastAsia"/>
        </w:rPr>
      </w:pPr>
      <w:r>
        <w:rPr>
          <w:rFonts w:hint="eastAsia"/>
        </w:rPr>
        <w:t>（1）经济效益、社会效益和环境效益高度统一，坚持可持续发展的原则。</w:t>
      </w:r>
    </w:p>
    <w:p w14:paraId="4ED6A9FC">
      <w:pPr>
        <w:pStyle w:val="47"/>
        <w:ind w:firstLine="482"/>
        <w:rPr>
          <w:rFonts w:hint="eastAsia"/>
        </w:rPr>
      </w:pPr>
      <w:r>
        <w:rPr>
          <w:rFonts w:hint="eastAsia"/>
        </w:rPr>
        <w:t>（2）预防为主，管治结合的原则。</w:t>
      </w:r>
    </w:p>
    <w:p w14:paraId="21A51D8B">
      <w:pPr>
        <w:pStyle w:val="47"/>
        <w:ind w:firstLine="482"/>
        <w:rPr>
          <w:rFonts w:hint="eastAsia"/>
        </w:rPr>
      </w:pPr>
      <w:r>
        <w:rPr>
          <w:rFonts w:hint="eastAsia"/>
        </w:rPr>
        <w:t>（3）环保优先的原则。主要工艺设施的改造，新工艺、新技术的采用，企业发展规划的制定，坚持统筹规划、合理布局、清洁生产、集中控制和治理污染。</w:t>
      </w:r>
    </w:p>
    <w:p w14:paraId="7C7FE5C2">
      <w:pPr>
        <w:pStyle w:val="47"/>
        <w:ind w:firstLine="482"/>
        <w:rPr>
          <w:rFonts w:hint="eastAsia"/>
        </w:rPr>
      </w:pPr>
      <w:r>
        <w:rPr>
          <w:rFonts w:hint="eastAsia"/>
        </w:rPr>
        <w:t>（4）依靠科技进步，推进清洁生产，节能降耗，降低污染的原则。</w:t>
      </w:r>
    </w:p>
    <w:p w14:paraId="0C56D1A3">
      <w:pPr>
        <w:pStyle w:val="47"/>
        <w:ind w:firstLine="482"/>
      </w:pPr>
      <w:r>
        <w:rPr>
          <w:rFonts w:hint="eastAsia"/>
        </w:rPr>
        <w:t>（5）专业环保管理与公众参与相结合的原则。加强环保宣传，增强全体员工的环境保护意识，领导重视、公众参与、齐抓共管，推动公司的环境保护工作。</w:t>
      </w:r>
    </w:p>
    <w:p w14:paraId="3CCA2FB3">
      <w:pPr>
        <w:pStyle w:val="94"/>
        <w:bidi w:val="0"/>
        <w:ind w:left="0" w:leftChars="0" w:firstLine="0" w:firstLineChars="0"/>
      </w:pPr>
      <w:r>
        <w:rPr>
          <w:rFonts w:hint="eastAsia"/>
        </w:rPr>
        <w:t>项目全过程环境管理计划一览表</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9"/>
        <w:gridCol w:w="7929"/>
      </w:tblGrid>
      <w:tr w14:paraId="7DDD7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9" w:type="dxa"/>
            <w:vAlign w:val="center"/>
          </w:tcPr>
          <w:p w14:paraId="7182DB5D">
            <w:pPr>
              <w:pStyle w:val="55"/>
              <w:bidi w:val="0"/>
              <w:rPr>
                <w:rFonts w:hint="default"/>
                <w:lang w:val="en-US" w:eastAsia="zh-CN"/>
              </w:rPr>
            </w:pPr>
            <w:r>
              <w:rPr>
                <w:rFonts w:hint="default"/>
                <w:lang w:val="en-US" w:eastAsia="zh-CN"/>
              </w:rPr>
              <w:t>运行时段</w:t>
            </w:r>
          </w:p>
        </w:tc>
        <w:tc>
          <w:tcPr>
            <w:tcW w:w="7929" w:type="dxa"/>
            <w:vAlign w:val="center"/>
          </w:tcPr>
          <w:p w14:paraId="55CBAC22">
            <w:pPr>
              <w:pStyle w:val="55"/>
              <w:bidi w:val="0"/>
              <w:rPr>
                <w:rFonts w:hint="default"/>
                <w:lang w:val="en-US" w:eastAsia="zh-CN"/>
              </w:rPr>
            </w:pPr>
            <w:r>
              <w:rPr>
                <w:rFonts w:hint="default"/>
                <w:lang w:val="en-US" w:eastAsia="zh-CN"/>
              </w:rPr>
              <w:t>管理计划</w:t>
            </w:r>
          </w:p>
        </w:tc>
      </w:tr>
      <w:tr w14:paraId="23649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9" w:type="dxa"/>
            <w:vAlign w:val="center"/>
          </w:tcPr>
          <w:p w14:paraId="7A7B838C">
            <w:pPr>
              <w:pStyle w:val="55"/>
              <w:bidi w:val="0"/>
              <w:rPr>
                <w:rFonts w:hint="default"/>
                <w:lang w:val="en-US" w:eastAsia="zh-CN"/>
              </w:rPr>
            </w:pPr>
            <w:r>
              <w:rPr>
                <w:rFonts w:hint="default"/>
                <w:lang w:val="en-US" w:eastAsia="zh-CN"/>
              </w:rPr>
              <w:t>筹备期</w:t>
            </w:r>
          </w:p>
        </w:tc>
        <w:tc>
          <w:tcPr>
            <w:tcW w:w="7929" w:type="dxa"/>
            <w:vAlign w:val="center"/>
          </w:tcPr>
          <w:p w14:paraId="26BE4F06">
            <w:pPr>
              <w:pStyle w:val="55"/>
              <w:bidi w:val="0"/>
              <w:jc w:val="both"/>
              <w:rPr>
                <w:rFonts w:hint="default"/>
              </w:rPr>
            </w:pPr>
            <w:r>
              <w:rPr>
                <w:rFonts w:hint="default"/>
                <w:lang w:val="en-US" w:eastAsia="zh-CN"/>
              </w:rPr>
              <w:t>熟悉环保法律法规。</w:t>
            </w:r>
          </w:p>
          <w:p w14:paraId="61F212CC">
            <w:pPr>
              <w:pStyle w:val="55"/>
              <w:bidi w:val="0"/>
              <w:jc w:val="both"/>
              <w:rPr>
                <w:rFonts w:hint="default"/>
                <w:lang w:val="en-US" w:eastAsia="zh-CN"/>
              </w:rPr>
            </w:pPr>
            <w:r>
              <w:rPr>
                <w:rFonts w:hint="default"/>
                <w:lang w:val="en-US" w:eastAsia="zh-CN"/>
              </w:rPr>
              <w:t>审核项目准入条件，确定项目是否符合国家产业政策和环保准入条件。向环保管理部门申报建设项目，内容包括产品规模、生产工艺、采用设备，建设地点等。请有资质的正规单位进行可行性研究和初步设计，进行建设项目环境影响评价，待管理部门批准后进行建设。</w:t>
            </w:r>
          </w:p>
        </w:tc>
      </w:tr>
      <w:tr w14:paraId="5BEE2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9" w:type="dxa"/>
            <w:vAlign w:val="center"/>
          </w:tcPr>
          <w:p w14:paraId="3FAF73D4">
            <w:pPr>
              <w:pStyle w:val="55"/>
              <w:bidi w:val="0"/>
              <w:rPr>
                <w:rFonts w:hint="default"/>
                <w:lang w:val="en-US" w:eastAsia="zh-CN"/>
              </w:rPr>
            </w:pPr>
            <w:r>
              <w:rPr>
                <w:rFonts w:hint="default"/>
                <w:lang w:val="en-US" w:eastAsia="zh-CN"/>
              </w:rPr>
              <w:t>建设期</w:t>
            </w:r>
          </w:p>
        </w:tc>
        <w:tc>
          <w:tcPr>
            <w:tcW w:w="7929" w:type="dxa"/>
            <w:vAlign w:val="center"/>
          </w:tcPr>
          <w:p w14:paraId="6C82EDE0">
            <w:pPr>
              <w:pStyle w:val="55"/>
              <w:bidi w:val="0"/>
              <w:jc w:val="both"/>
              <w:rPr>
                <w:rFonts w:hint="default"/>
                <w:lang w:val="en-US" w:eastAsia="zh-CN"/>
              </w:rPr>
            </w:pPr>
            <w:r>
              <w:rPr>
                <w:rFonts w:hint="default"/>
                <w:lang w:val="en-US" w:eastAsia="zh-CN"/>
              </w:rPr>
              <w:t>请有资质的正规单位按照设计图纸进行规范施工和全过程的施工监理、环境监理，认真执行环评提出的</w:t>
            </w:r>
            <w:r>
              <w:rPr>
                <w:rFonts w:hint="eastAsia"/>
                <w:lang w:val="en-US" w:eastAsia="zh-CN"/>
              </w:rPr>
              <w:t>运营期</w:t>
            </w:r>
            <w:r>
              <w:rPr>
                <w:rFonts w:hint="default"/>
                <w:lang w:val="en-US" w:eastAsia="zh-CN"/>
              </w:rPr>
              <w:t>污染治理措施。根据环评及批复的污染防治措施和“三同时”原则落实环保设施的建设。在工程投入试运行前，检查施工现场恢复情况，未恢复的及时恢复。</w:t>
            </w:r>
          </w:p>
        </w:tc>
      </w:tr>
      <w:tr w14:paraId="2FEF8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9" w:type="dxa"/>
            <w:vAlign w:val="center"/>
          </w:tcPr>
          <w:p w14:paraId="366C2846">
            <w:pPr>
              <w:pStyle w:val="55"/>
              <w:bidi w:val="0"/>
              <w:rPr>
                <w:rFonts w:hint="default"/>
                <w:lang w:val="en-US" w:eastAsia="zh-CN"/>
              </w:rPr>
            </w:pPr>
            <w:r>
              <w:rPr>
                <w:rFonts w:hint="default"/>
                <w:lang w:val="en-US" w:eastAsia="zh-CN"/>
              </w:rPr>
              <w:t>竣工验收期</w:t>
            </w:r>
          </w:p>
        </w:tc>
        <w:tc>
          <w:tcPr>
            <w:tcW w:w="7929" w:type="dxa"/>
            <w:vAlign w:val="center"/>
          </w:tcPr>
          <w:p w14:paraId="6A94F6F0">
            <w:pPr>
              <w:pStyle w:val="55"/>
              <w:bidi w:val="0"/>
              <w:jc w:val="both"/>
              <w:rPr>
                <w:rFonts w:hint="default"/>
                <w:lang w:val="en-US" w:eastAsia="zh-CN"/>
              </w:rPr>
            </w:pPr>
            <w:r>
              <w:rPr>
                <w:rFonts w:hint="default"/>
                <w:lang w:val="en-US" w:eastAsia="zh-CN"/>
              </w:rPr>
              <w:t>项目建成后，建设单位向当地环境主管部门申请建设项目排污许可证，方可进行开工作业。建设项目开车运行后，会同施工单位、设计单位、环评单位检查环保设施是否符合“三同时”原则，然后由建设单位组织建设项目竣工环保验收工作，并将建设项目竣工环保验收监测报告提交当地环境保护行政管理部门进行备案。</w:t>
            </w:r>
          </w:p>
        </w:tc>
      </w:tr>
      <w:tr w14:paraId="5E0C0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9" w:type="dxa"/>
            <w:vAlign w:val="center"/>
          </w:tcPr>
          <w:p w14:paraId="70585110">
            <w:pPr>
              <w:pStyle w:val="55"/>
              <w:bidi w:val="0"/>
              <w:rPr>
                <w:rFonts w:hint="default"/>
                <w:lang w:val="en-US" w:eastAsia="zh-CN"/>
              </w:rPr>
            </w:pPr>
            <w:r>
              <w:rPr>
                <w:rFonts w:hint="eastAsia"/>
                <w:lang w:val="en-US" w:eastAsia="zh-CN"/>
              </w:rPr>
              <w:t>运营</w:t>
            </w:r>
            <w:r>
              <w:rPr>
                <w:rFonts w:hint="default"/>
                <w:lang w:val="en-US" w:eastAsia="zh-CN"/>
              </w:rPr>
              <w:t>期</w:t>
            </w:r>
          </w:p>
        </w:tc>
        <w:tc>
          <w:tcPr>
            <w:tcW w:w="7929" w:type="dxa"/>
            <w:vAlign w:val="center"/>
          </w:tcPr>
          <w:p w14:paraId="1E010F4A">
            <w:pPr>
              <w:pStyle w:val="55"/>
              <w:bidi w:val="0"/>
              <w:jc w:val="both"/>
              <w:rPr>
                <w:rFonts w:hint="default"/>
                <w:lang w:val="en-US" w:eastAsia="zh-CN"/>
              </w:rPr>
            </w:pPr>
            <w:r>
              <w:rPr>
                <w:rFonts w:hint="default"/>
                <w:lang w:val="en-US" w:eastAsia="zh-CN"/>
              </w:rPr>
              <w:t>制定切实可行的环保管理制度和条例。组织开展环保宣传教育培训。把污染源监督和“三废”排放纳入日常管理工作，并落实到车间班组和岗位，进行全方位管理。实施有效的“三废”综合利用开发措施。收集整理和推广环保技术经验，及时解决运行中出现的环保问题。按照责、权、利实施奖罚制度，对违反法规和制度的行为根据情节给予处罚，对有功者给予奖励。配合当地和上级环保主管部门，认真落实国家环保法规和行政主管部门的规定。接受环保管理部门的监督监测。经常性地组织对企业职工的清洁生产教育和培训，根据企业发展状况，推进清洁生产审计按照环评及批复要求制订全厂环境监测计划，定期进行污染源和环境监测，整理分析各项监测资料，填报环境监测统计报表、环境指标考核资料，建立环保档案，掌握污染排放情况，分析变化规律。</w:t>
            </w:r>
          </w:p>
        </w:tc>
      </w:tr>
    </w:tbl>
    <w:p w14:paraId="726FC37B">
      <w:pPr>
        <w:pStyle w:val="55"/>
      </w:pPr>
    </w:p>
    <w:p w14:paraId="666667FF">
      <w:pPr>
        <w:pStyle w:val="92"/>
        <w:bidi w:val="0"/>
        <w:ind w:left="0" w:leftChars="0" w:firstLine="0" w:firstLineChars="0"/>
      </w:pPr>
      <w:r>
        <w:rPr>
          <w:rFonts w:hint="eastAsia"/>
        </w:rPr>
        <w:t>排污许可</w:t>
      </w:r>
      <w:r>
        <w:t>制度</w:t>
      </w:r>
    </w:p>
    <w:p w14:paraId="70B6E73A">
      <w:pPr>
        <w:pStyle w:val="47"/>
        <w:ind w:firstLine="482"/>
        <w:rPr>
          <w:rFonts w:hint="eastAsia"/>
        </w:rPr>
      </w:pPr>
      <w:r>
        <w:rPr>
          <w:rFonts w:hint="eastAsia"/>
          <w:lang w:eastAsia="zh-CN"/>
        </w:rPr>
        <w:t>（</w:t>
      </w:r>
      <w:r>
        <w:rPr>
          <w:rFonts w:hint="eastAsia"/>
          <w:lang w:val="en-US" w:eastAsia="zh-CN"/>
        </w:rPr>
        <w:t>1</w:t>
      </w:r>
      <w:r>
        <w:rPr>
          <w:rFonts w:hint="eastAsia"/>
          <w:lang w:eastAsia="zh-CN"/>
        </w:rPr>
        <w:t>）</w:t>
      </w:r>
      <w:r>
        <w:rPr>
          <w:rFonts w:hint="eastAsia"/>
        </w:rPr>
        <w:t>完善企业环境管理机构，制定相关环境管理制度。环境管理机构制定环保管理规章制度、各种污染物排放控制指标；负责所有环保设施的日常运行管理，保障各环保设施的正常运行，并对环保设施的改进提出积极的建议；建立健全环境档案管理、污染防治设施设计技术改进及运行资料、污染源调查技术档案、环境监测及评价资料、平面图和给排水管网图等。</w:t>
      </w:r>
    </w:p>
    <w:p w14:paraId="43CBF2AE">
      <w:pPr>
        <w:pStyle w:val="47"/>
        <w:ind w:firstLine="482"/>
        <w:rPr>
          <w:rFonts w:hint="eastAsia"/>
        </w:rPr>
      </w:pPr>
      <w:r>
        <w:rPr>
          <w:rFonts w:hint="eastAsia"/>
          <w:lang w:eastAsia="zh-CN"/>
        </w:rPr>
        <w:t>（</w:t>
      </w:r>
      <w:r>
        <w:rPr>
          <w:rFonts w:hint="eastAsia"/>
          <w:lang w:val="en-US" w:eastAsia="zh-CN"/>
        </w:rPr>
        <w:t>2</w:t>
      </w:r>
      <w:r>
        <w:rPr>
          <w:rFonts w:hint="eastAsia"/>
          <w:lang w:eastAsia="zh-CN"/>
        </w:rPr>
        <w:t>）</w:t>
      </w:r>
      <w:r>
        <w:rPr>
          <w:rFonts w:hint="eastAsia"/>
        </w:rPr>
        <w:t>按照《排污口规范化整治技术要求（试行）》（环监〔1996〕470号）开展排污口规范化建设。所有的废气排放口均应筒壁完好无泄漏，采样孔设置应满足《污染源监测技术规范》要求并设置便于采样、符合安全规定的平台，厂区废气及噪声排放点，设置明显标志，标志的设置应执行《环境保护图形标志 排放口》（GB15562.1-1995）中有关规定。图形标志和标志牌参考样式见下表。</w:t>
      </w:r>
    </w:p>
    <w:p w14:paraId="14B04168">
      <w:pPr>
        <w:pStyle w:val="94"/>
        <w:bidi w:val="0"/>
        <w:ind w:left="0" w:leftChars="0" w:firstLine="0" w:firstLineChars="0"/>
        <w:rPr>
          <w:rFonts w:hint="default"/>
        </w:rPr>
      </w:pPr>
      <w:r>
        <w:rPr>
          <w:rFonts w:hint="default"/>
        </w:rPr>
        <w:t>排放口图形标志牌</w:t>
      </w:r>
    </w:p>
    <w:tbl>
      <w:tblPr>
        <w:tblStyle w:val="3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54"/>
        <w:gridCol w:w="3026"/>
        <w:gridCol w:w="3104"/>
      </w:tblGrid>
      <w:tr w14:paraId="7FC2C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698" w:type="pct"/>
            <w:tcBorders>
              <w:top w:val="single" w:color="auto" w:sz="4" w:space="0"/>
              <w:left w:val="single" w:color="auto" w:sz="4" w:space="0"/>
              <w:bottom w:val="single" w:color="auto" w:sz="4" w:space="0"/>
              <w:right w:val="single" w:color="auto" w:sz="4" w:space="0"/>
            </w:tcBorders>
            <w:noWrap w:val="0"/>
            <w:vAlign w:val="center"/>
          </w:tcPr>
          <w:p w14:paraId="6AD7C045">
            <w:pPr>
              <w:pStyle w:val="55"/>
              <w:bidi w:val="0"/>
              <w:rPr>
                <w:rFonts w:hint="default"/>
              </w:rPr>
            </w:pPr>
            <w:r>
              <w:rPr>
                <w:rFonts w:hint="default"/>
              </w:rPr>
              <w:t>废气排放口</w:t>
            </w:r>
          </w:p>
        </w:tc>
        <w:tc>
          <w:tcPr>
            <w:tcW w:w="1629" w:type="pct"/>
            <w:tcBorders>
              <w:top w:val="single" w:color="auto" w:sz="4" w:space="0"/>
              <w:left w:val="single" w:color="auto" w:sz="4" w:space="0"/>
              <w:bottom w:val="single" w:color="auto" w:sz="4" w:space="0"/>
              <w:right w:val="single" w:color="auto" w:sz="4" w:space="0"/>
            </w:tcBorders>
            <w:noWrap w:val="0"/>
            <w:vAlign w:val="center"/>
          </w:tcPr>
          <w:p w14:paraId="6A181841">
            <w:pPr>
              <w:pStyle w:val="55"/>
              <w:bidi w:val="0"/>
              <w:rPr>
                <w:rFonts w:hint="default"/>
                <w:lang w:val="en-US" w:eastAsia="zh-CN"/>
              </w:rPr>
            </w:pPr>
            <w:r>
              <w:rPr>
                <w:rFonts w:hint="default"/>
              </w:rPr>
              <w:t>噪声源</w:t>
            </w:r>
          </w:p>
        </w:tc>
        <w:tc>
          <w:tcPr>
            <w:tcW w:w="1671" w:type="pct"/>
            <w:tcBorders>
              <w:top w:val="single" w:color="auto" w:sz="4" w:space="0"/>
              <w:left w:val="single" w:color="auto" w:sz="4" w:space="0"/>
              <w:bottom w:val="single" w:color="auto" w:sz="4" w:space="0"/>
              <w:right w:val="single" w:color="auto" w:sz="4" w:space="0"/>
            </w:tcBorders>
            <w:noWrap w:val="0"/>
            <w:vAlign w:val="center"/>
          </w:tcPr>
          <w:p w14:paraId="20E31A30">
            <w:pPr>
              <w:pStyle w:val="55"/>
              <w:bidi w:val="0"/>
              <w:rPr>
                <w:rFonts w:hint="default"/>
              </w:rPr>
            </w:pPr>
            <w:r>
              <w:rPr>
                <w:rFonts w:hint="eastAsia"/>
                <w:lang w:val="en-US" w:eastAsia="zh-CN"/>
              </w:rPr>
              <w:t>一般固废暂存处</w:t>
            </w:r>
          </w:p>
        </w:tc>
      </w:tr>
      <w:tr w14:paraId="778F5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2" w:hRule="atLeast"/>
          <w:jc w:val="center"/>
        </w:trPr>
        <w:tc>
          <w:tcPr>
            <w:tcW w:w="1698" w:type="pct"/>
            <w:tcBorders>
              <w:top w:val="single" w:color="auto" w:sz="4" w:space="0"/>
              <w:left w:val="single" w:color="auto" w:sz="4" w:space="0"/>
              <w:bottom w:val="single" w:color="auto" w:sz="4" w:space="0"/>
              <w:right w:val="single" w:color="auto" w:sz="4" w:space="0"/>
            </w:tcBorders>
            <w:noWrap w:val="0"/>
            <w:vAlign w:val="center"/>
          </w:tcPr>
          <w:p w14:paraId="56AEA76E">
            <w:pPr>
              <w:pStyle w:val="55"/>
              <w:keepNext w:val="0"/>
              <w:keepLines w:val="0"/>
              <w:pageBreakBefore w:val="0"/>
              <w:widowControl/>
              <w:kinsoku/>
              <w:wordWrap/>
              <w:overflowPunct/>
              <w:topLinePunct w:val="0"/>
              <w:autoSpaceDE/>
              <w:autoSpaceDN/>
              <w:bidi w:val="0"/>
              <w:adjustRightInd w:val="0"/>
              <w:snapToGrid w:val="0"/>
              <w:spacing w:line="240" w:lineRule="auto"/>
              <w:textAlignment w:val="auto"/>
              <w:rPr>
                <w:rFonts w:hint="default"/>
              </w:rPr>
            </w:pPr>
            <w:r>
              <w:fldChar w:fldCharType="begin"/>
            </w:r>
            <w:r>
              <w:instrText xml:space="preserve">INCLUDEPICTURE \d "https://img20.360buyimg.com/imgzone/jfs/t1/96592/30/23109/55665/621893fbEa2167575/6aaef92d8ce53b74.jpg" \* MERGEFORMATINET </w:instrText>
            </w:r>
            <w:r>
              <w:fldChar w:fldCharType="separate"/>
            </w:r>
            <w:r>
              <w:drawing>
                <wp:inline distT="0" distB="0" distL="114300" distR="114300">
                  <wp:extent cx="1593215" cy="1157605"/>
                  <wp:effectExtent l="0" t="0" r="6985" b="4445"/>
                  <wp:docPr id="54" name="图片 10" descr="点击查看图片来源"/>
                  <wp:cNvGraphicFramePr/>
                  <a:graphic xmlns:a="http://schemas.openxmlformats.org/drawingml/2006/main">
                    <a:graphicData uri="http://schemas.openxmlformats.org/drawingml/2006/picture">
                      <pic:pic xmlns:pic="http://schemas.openxmlformats.org/drawingml/2006/picture">
                        <pic:nvPicPr>
                          <pic:cNvPr id="54" name="图片 10" descr="点击查看图片来源"/>
                          <pic:cNvPicPr/>
                        </pic:nvPicPr>
                        <pic:blipFill>
                          <a:blip r:embed="rId44">
                            <a:lum bright="6000" contrast="12000"/>
                          </a:blip>
                          <a:srcRect l="4749" t="19357" r="5789" b="22156"/>
                          <a:stretch>
                            <a:fillRect/>
                          </a:stretch>
                        </pic:blipFill>
                        <pic:spPr>
                          <a:xfrm>
                            <a:off x="0" y="0"/>
                            <a:ext cx="1593215" cy="1157605"/>
                          </a:xfrm>
                          <a:prstGeom prst="rect">
                            <a:avLst/>
                          </a:prstGeom>
                          <a:noFill/>
                          <a:ln>
                            <a:noFill/>
                          </a:ln>
                        </pic:spPr>
                      </pic:pic>
                    </a:graphicData>
                  </a:graphic>
                </wp:inline>
              </w:drawing>
            </w:r>
            <w:r>
              <w:fldChar w:fldCharType="end"/>
            </w:r>
          </w:p>
        </w:tc>
        <w:tc>
          <w:tcPr>
            <w:tcW w:w="1629" w:type="pct"/>
            <w:tcBorders>
              <w:top w:val="single" w:color="auto" w:sz="4" w:space="0"/>
              <w:left w:val="single" w:color="auto" w:sz="4" w:space="0"/>
              <w:bottom w:val="single" w:color="auto" w:sz="4" w:space="0"/>
              <w:right w:val="single" w:color="auto" w:sz="4" w:space="0"/>
            </w:tcBorders>
            <w:noWrap w:val="0"/>
            <w:vAlign w:val="center"/>
          </w:tcPr>
          <w:p w14:paraId="352482E1">
            <w:pPr>
              <w:pStyle w:val="55"/>
              <w:keepNext w:val="0"/>
              <w:keepLines w:val="0"/>
              <w:pageBreakBefore w:val="0"/>
              <w:widowControl/>
              <w:kinsoku/>
              <w:wordWrap/>
              <w:overflowPunct/>
              <w:topLinePunct w:val="0"/>
              <w:autoSpaceDE/>
              <w:autoSpaceDN/>
              <w:bidi w:val="0"/>
              <w:adjustRightInd w:val="0"/>
              <w:snapToGrid w:val="0"/>
              <w:spacing w:line="240" w:lineRule="auto"/>
              <w:textAlignment w:val="auto"/>
              <w:rPr>
                <w:rFonts w:hint="default"/>
              </w:rPr>
            </w:pPr>
            <w:r>
              <w:fldChar w:fldCharType="begin"/>
            </w:r>
            <w:r>
              <w:instrText xml:space="preserve">INCLUDEPICTURE \d "https://m.360buyimg.com/mobilecms/s750x750_jfs/t1/151100/23/13074/59572/5feaa0deEedca2d0a/dbf96ca27105a9e8.png!q80.dpg" \* MERGEFORMATINET </w:instrText>
            </w:r>
            <w:r>
              <w:fldChar w:fldCharType="separate"/>
            </w:r>
            <w:r>
              <w:drawing>
                <wp:inline distT="0" distB="0" distL="114300" distR="114300">
                  <wp:extent cx="1600835" cy="1178560"/>
                  <wp:effectExtent l="0" t="0" r="18415" b="2540"/>
                  <wp:docPr id="56" name="图片 1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11" descr="IMG_256"/>
                          <pic:cNvPicPr>
                            <a:picLocks noChangeAspect="1"/>
                          </pic:cNvPicPr>
                        </pic:nvPicPr>
                        <pic:blipFill>
                          <a:blip r:embed="rId45"/>
                          <a:srcRect l="11920" t="22293" r="12314" b="21912"/>
                          <a:stretch>
                            <a:fillRect/>
                          </a:stretch>
                        </pic:blipFill>
                        <pic:spPr>
                          <a:xfrm>
                            <a:off x="0" y="0"/>
                            <a:ext cx="1600835" cy="1178560"/>
                          </a:xfrm>
                          <a:prstGeom prst="rect">
                            <a:avLst/>
                          </a:prstGeom>
                          <a:noFill/>
                          <a:ln>
                            <a:noFill/>
                          </a:ln>
                        </pic:spPr>
                      </pic:pic>
                    </a:graphicData>
                  </a:graphic>
                </wp:inline>
              </w:drawing>
            </w:r>
            <w:r>
              <w:fldChar w:fldCharType="end"/>
            </w:r>
          </w:p>
        </w:tc>
        <w:tc>
          <w:tcPr>
            <w:tcW w:w="1671" w:type="pct"/>
            <w:tcBorders>
              <w:top w:val="single" w:color="auto" w:sz="4" w:space="0"/>
              <w:left w:val="single" w:color="auto" w:sz="4" w:space="0"/>
              <w:bottom w:val="single" w:color="auto" w:sz="4" w:space="0"/>
              <w:right w:val="single" w:color="auto" w:sz="4" w:space="0"/>
            </w:tcBorders>
            <w:noWrap w:val="0"/>
            <w:vAlign w:val="center"/>
          </w:tcPr>
          <w:p w14:paraId="13EF789D">
            <w:pPr>
              <w:pStyle w:val="55"/>
              <w:keepNext w:val="0"/>
              <w:keepLines w:val="0"/>
              <w:pageBreakBefore w:val="0"/>
              <w:widowControl/>
              <w:kinsoku/>
              <w:wordWrap/>
              <w:overflowPunct/>
              <w:topLinePunct w:val="0"/>
              <w:autoSpaceDE/>
              <w:autoSpaceDN/>
              <w:bidi w:val="0"/>
              <w:adjustRightInd w:val="0"/>
              <w:snapToGrid w:val="0"/>
              <w:spacing w:line="240" w:lineRule="auto"/>
              <w:textAlignment w:val="auto"/>
            </w:pPr>
            <w:r>
              <w:drawing>
                <wp:inline distT="0" distB="0" distL="114300" distR="114300">
                  <wp:extent cx="1633855" cy="1197610"/>
                  <wp:effectExtent l="0" t="0" r="4445" b="2540"/>
                  <wp:docPr id="57"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1" descr="IMG_256"/>
                          <pic:cNvPicPr>
                            <a:picLocks noChangeAspect="1"/>
                          </pic:cNvPicPr>
                        </pic:nvPicPr>
                        <pic:blipFill>
                          <a:blip r:embed="rId46"/>
                          <a:srcRect l="5347" t="8444" r="12239" b="9778"/>
                          <a:stretch>
                            <a:fillRect/>
                          </a:stretch>
                        </pic:blipFill>
                        <pic:spPr>
                          <a:xfrm>
                            <a:off x="0" y="0"/>
                            <a:ext cx="1633855" cy="1197610"/>
                          </a:xfrm>
                          <a:prstGeom prst="rect">
                            <a:avLst/>
                          </a:prstGeom>
                          <a:noFill/>
                          <a:ln w="9525">
                            <a:noFill/>
                          </a:ln>
                        </pic:spPr>
                      </pic:pic>
                    </a:graphicData>
                  </a:graphic>
                </wp:inline>
              </w:drawing>
            </w:r>
          </w:p>
        </w:tc>
      </w:tr>
    </w:tbl>
    <w:p w14:paraId="34F1082B">
      <w:pPr>
        <w:pStyle w:val="94"/>
        <w:bidi w:val="0"/>
        <w:ind w:left="0" w:leftChars="0" w:firstLine="0" w:firstLineChars="0"/>
        <w:rPr>
          <w:rFonts w:hint="default"/>
          <w:lang w:eastAsia="zh-CN"/>
        </w:rPr>
      </w:pPr>
      <w:r>
        <w:rPr>
          <w:rFonts w:hint="default"/>
          <w:lang w:eastAsia="zh-CN"/>
        </w:rPr>
        <w:t>危废间及危险废物储存容器标签示例</w:t>
      </w:r>
    </w:p>
    <w:tbl>
      <w:tblPr>
        <w:tblStyle w:val="3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9"/>
        <w:gridCol w:w="2514"/>
        <w:gridCol w:w="5875"/>
      </w:tblGrid>
      <w:tr w14:paraId="1A2EC2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483" w:type="pct"/>
            <w:noWrap w:val="0"/>
            <w:vAlign w:val="top"/>
          </w:tcPr>
          <w:p w14:paraId="4B015F5F">
            <w:pPr>
              <w:keepNext w:val="0"/>
              <w:keepLines w:val="0"/>
              <w:pageBreakBefore w:val="0"/>
              <w:widowControl w:val="0"/>
              <w:kinsoku/>
              <w:wordWrap/>
              <w:overflowPunct/>
              <w:topLinePunct w:val="0"/>
              <w:autoSpaceDE/>
              <w:autoSpaceDN/>
              <w:bidi w:val="0"/>
              <w:adjustRightInd w:val="0"/>
              <w:snapToGrid w:val="0"/>
              <w:spacing w:line="300" w:lineRule="exact"/>
              <w:ind w:left="0" w:leftChars="0" w:firstLine="0" w:firstLineChars="0"/>
              <w:jc w:val="both"/>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场合</w:t>
            </w:r>
          </w:p>
        </w:tc>
        <w:tc>
          <w:tcPr>
            <w:tcW w:w="1353" w:type="pct"/>
            <w:noWrap w:val="0"/>
            <w:vAlign w:val="top"/>
          </w:tcPr>
          <w:p w14:paraId="346AEEFF">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样式</w:t>
            </w:r>
          </w:p>
        </w:tc>
        <w:tc>
          <w:tcPr>
            <w:tcW w:w="3162" w:type="pct"/>
            <w:noWrap w:val="0"/>
            <w:vAlign w:val="top"/>
          </w:tcPr>
          <w:p w14:paraId="5A862718">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要求</w:t>
            </w:r>
          </w:p>
        </w:tc>
      </w:tr>
      <w:tr w14:paraId="1877BF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483" w:type="pct"/>
            <w:vMerge w:val="restart"/>
            <w:noWrap w:val="0"/>
            <w:vAlign w:val="center"/>
          </w:tcPr>
          <w:p w14:paraId="2050D8D9">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室外（粘贴于门上或悬挂）</w:t>
            </w:r>
          </w:p>
        </w:tc>
        <w:tc>
          <w:tcPr>
            <w:tcW w:w="1353" w:type="pct"/>
            <w:noWrap w:val="0"/>
            <w:vAlign w:val="top"/>
          </w:tcPr>
          <w:p w14:paraId="1A8C7D0D">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drawing>
                <wp:anchor distT="0" distB="0" distL="114300" distR="114300" simplePos="0" relativeHeight="251667456" behindDoc="0" locked="0" layoutInCell="1" allowOverlap="1">
                  <wp:simplePos x="0" y="0"/>
                  <wp:positionH relativeFrom="column">
                    <wp:posOffset>24130</wp:posOffset>
                  </wp:positionH>
                  <wp:positionV relativeFrom="paragraph">
                    <wp:posOffset>197485</wp:posOffset>
                  </wp:positionV>
                  <wp:extent cx="1412240" cy="899160"/>
                  <wp:effectExtent l="0" t="0" r="16510" b="15240"/>
                  <wp:wrapNone/>
                  <wp:docPr id="5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3"/>
                          <pic:cNvPicPr>
                            <a:picLocks noChangeAspect="1"/>
                          </pic:cNvPicPr>
                        </pic:nvPicPr>
                        <pic:blipFill>
                          <a:blip r:embed="rId47"/>
                          <a:stretch>
                            <a:fillRect/>
                          </a:stretch>
                        </pic:blipFill>
                        <pic:spPr>
                          <a:xfrm>
                            <a:off x="0" y="0"/>
                            <a:ext cx="1412240" cy="899160"/>
                          </a:xfrm>
                          <a:prstGeom prst="rect">
                            <a:avLst/>
                          </a:prstGeom>
                          <a:noFill/>
                          <a:ln>
                            <a:noFill/>
                          </a:ln>
                        </pic:spPr>
                      </pic:pic>
                    </a:graphicData>
                  </a:graphic>
                </wp:anchor>
              </w:drawing>
            </w:r>
          </w:p>
        </w:tc>
        <w:tc>
          <w:tcPr>
            <w:tcW w:w="3162" w:type="pct"/>
            <w:noWrap w:val="0"/>
            <w:vAlign w:val="top"/>
          </w:tcPr>
          <w:p w14:paraId="0AEFC863">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危险废物警告标志</w:t>
            </w:r>
          </w:p>
          <w:p w14:paraId="7EAB6D09">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尺寸：90×55.8cm（露天/室外入口，观察距离大于10m）</w:t>
            </w:r>
          </w:p>
          <w:p w14:paraId="003BC32A">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颜色：危险废物设施标志背景颜色为黄色，RGB颜色值为（255</w:t>
            </w:r>
            <w:r>
              <w:rPr>
                <w:rFonts w:hint="eastAsia" w:ascii="Times New Roman" w:hAnsi="Times New Roman" w:eastAsia="楷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楷体" w:cs="Times New Roman"/>
                <w:color w:val="000000" w:themeColor="text1"/>
                <w:sz w:val="24"/>
                <w:szCs w:val="24"/>
                <w:highlight w:val="none"/>
                <w14:textFill>
                  <w14:solidFill>
                    <w14:schemeClr w14:val="tx1"/>
                  </w14:solidFill>
                </w14:textFill>
              </w:rPr>
              <w:t>255</w:t>
            </w:r>
            <w:r>
              <w:rPr>
                <w:rFonts w:hint="eastAsia" w:ascii="Times New Roman" w:hAnsi="Times New Roman" w:eastAsia="楷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楷体" w:cs="Times New Roman"/>
                <w:color w:val="000000" w:themeColor="text1"/>
                <w:sz w:val="24"/>
                <w:szCs w:val="24"/>
                <w:highlight w:val="none"/>
                <w14:textFill>
                  <w14:solidFill>
                    <w14:schemeClr w14:val="tx1"/>
                  </w14:solidFill>
                </w14:textFill>
              </w:rPr>
              <w:t>0）。字体和边框颜色为黑色，RGB颜色值为（0</w:t>
            </w:r>
            <w:r>
              <w:rPr>
                <w:rFonts w:hint="eastAsia" w:ascii="Times New Roman" w:hAnsi="Times New Roman" w:eastAsia="楷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楷体" w:cs="Times New Roman"/>
                <w:color w:val="000000" w:themeColor="text1"/>
                <w:sz w:val="24"/>
                <w:szCs w:val="24"/>
                <w:highlight w:val="none"/>
                <w14:textFill>
                  <w14:solidFill>
                    <w14:schemeClr w14:val="tx1"/>
                  </w14:solidFill>
                </w14:textFill>
              </w:rPr>
              <w:t>0</w:t>
            </w:r>
            <w:r>
              <w:rPr>
                <w:rFonts w:hint="eastAsia" w:ascii="Times New Roman" w:hAnsi="Times New Roman" w:eastAsia="楷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楷体" w:cs="Times New Roman"/>
                <w:color w:val="000000" w:themeColor="text1"/>
                <w:sz w:val="24"/>
                <w:szCs w:val="24"/>
                <w:highlight w:val="none"/>
                <w14:textFill>
                  <w14:solidFill>
                    <w14:schemeClr w14:val="tx1"/>
                  </w14:solidFill>
                </w14:textFill>
              </w:rPr>
              <w:t>0）。</w:t>
            </w:r>
          </w:p>
          <w:p w14:paraId="2C08867A">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字体：危险废物设施标志字体应采用黑体字，其中危险废物设施类型的字样应加粗放大并居中显示。</w:t>
            </w:r>
          </w:p>
        </w:tc>
      </w:tr>
      <w:tr w14:paraId="7FA621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483" w:type="pct"/>
            <w:vMerge w:val="continue"/>
            <w:noWrap w:val="0"/>
            <w:vAlign w:val="center"/>
          </w:tcPr>
          <w:p w14:paraId="148DA7B3">
            <w:pPr>
              <w:keepNext w:val="0"/>
              <w:keepLines w:val="0"/>
              <w:pageBreakBefore w:val="0"/>
              <w:widowControl/>
              <w:kinsoku/>
              <w:wordWrap/>
              <w:overflowPunct/>
              <w:topLinePunct w:val="0"/>
              <w:autoSpaceDE/>
              <w:autoSpaceDN/>
              <w:bidi w:val="0"/>
              <w:spacing w:line="300" w:lineRule="exact"/>
              <w:jc w:val="lef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p>
        </w:tc>
        <w:tc>
          <w:tcPr>
            <w:tcW w:w="1353" w:type="pct"/>
            <w:noWrap w:val="0"/>
            <w:vAlign w:val="top"/>
          </w:tcPr>
          <w:p w14:paraId="2DD128DC">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楷体" w:cs="Times New Roman"/>
                <w:color w:val="000000" w:themeColor="text1"/>
                <w:sz w:val="24"/>
                <w:szCs w:val="24"/>
                <w:highlight w:val="none"/>
                <w:lang w:eastAsia="zh-CN"/>
                <w14:textFill>
                  <w14:solidFill>
                    <w14:schemeClr w14:val="tx1"/>
                  </w14:solidFill>
                </w14:textFill>
              </w:rPr>
            </w:pPr>
          </w:p>
          <w:p w14:paraId="6BD45410">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楷体" w:cs="Times New Roman"/>
                <w:color w:val="000000" w:themeColor="text1"/>
                <w:sz w:val="24"/>
                <w:szCs w:val="24"/>
                <w:highlight w:val="none"/>
                <w:lang w:eastAsia="zh-CN"/>
                <w14:textFill>
                  <w14:solidFill>
                    <w14:schemeClr w14:val="tx1"/>
                  </w14:solidFill>
                </w14:textFill>
              </w:rPr>
            </w:pPr>
            <w:r>
              <w:rPr>
                <w:rFonts w:hint="eastAsia" w:ascii="Times New Roman" w:hAnsi="Times New Roman" w:eastAsia="楷体" w:cs="Times New Roman"/>
                <w:color w:val="000000" w:themeColor="text1"/>
                <w:sz w:val="24"/>
                <w:szCs w:val="24"/>
                <w:highlight w:val="none"/>
                <w:lang w:eastAsia="zh-CN"/>
                <w14:textFill>
                  <w14:solidFill>
                    <w14:schemeClr w14:val="tx1"/>
                  </w14:solidFill>
                </w14:textFill>
              </w:rPr>
              <w:drawing>
                <wp:inline distT="0" distB="0" distL="114300" distR="114300">
                  <wp:extent cx="1322070" cy="1136650"/>
                  <wp:effectExtent l="0" t="0" r="11430" b="6350"/>
                  <wp:docPr id="60" name="图片 60"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图片1"/>
                          <pic:cNvPicPr>
                            <a:picLocks noChangeAspect="1"/>
                          </pic:cNvPicPr>
                        </pic:nvPicPr>
                        <pic:blipFill>
                          <a:blip r:embed="rId48"/>
                          <a:stretch>
                            <a:fillRect/>
                          </a:stretch>
                        </pic:blipFill>
                        <pic:spPr>
                          <a:xfrm>
                            <a:off x="0" y="0"/>
                            <a:ext cx="1322070" cy="1136650"/>
                          </a:xfrm>
                          <a:prstGeom prst="rect">
                            <a:avLst/>
                          </a:prstGeom>
                        </pic:spPr>
                      </pic:pic>
                    </a:graphicData>
                  </a:graphic>
                </wp:inline>
              </w:drawing>
            </w:r>
          </w:p>
        </w:tc>
        <w:tc>
          <w:tcPr>
            <w:tcW w:w="3162" w:type="pct"/>
            <w:noWrap w:val="0"/>
            <w:vAlign w:val="top"/>
          </w:tcPr>
          <w:p w14:paraId="60220279">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1、危险废物标签</w:t>
            </w:r>
          </w:p>
          <w:p w14:paraId="080E3559">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尺寸：60×60cm（观察距离大于4m）</w:t>
            </w:r>
          </w:p>
          <w:p w14:paraId="3D74020E">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颜色：危险废物标签背景色应采用醒目的橘黄色，RGB颜色值为（255</w:t>
            </w:r>
            <w:r>
              <w:rPr>
                <w:rFonts w:hint="eastAsia" w:ascii="Times New Roman" w:hAnsi="Times New Roman" w:eastAsia="楷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楷体" w:cs="Times New Roman"/>
                <w:color w:val="000000" w:themeColor="text1"/>
                <w:sz w:val="24"/>
                <w:szCs w:val="24"/>
                <w:highlight w:val="none"/>
                <w14:textFill>
                  <w14:solidFill>
                    <w14:schemeClr w14:val="tx1"/>
                  </w14:solidFill>
                </w14:textFill>
              </w:rPr>
              <w:t>150</w:t>
            </w:r>
            <w:r>
              <w:rPr>
                <w:rFonts w:hint="eastAsia" w:ascii="Times New Roman" w:hAnsi="Times New Roman" w:eastAsia="楷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楷体" w:cs="Times New Roman"/>
                <w:color w:val="000000" w:themeColor="text1"/>
                <w:sz w:val="24"/>
                <w:szCs w:val="24"/>
                <w:highlight w:val="none"/>
                <w14:textFill>
                  <w14:solidFill>
                    <w14:schemeClr w14:val="tx1"/>
                  </w14:solidFill>
                </w14:textFill>
              </w:rPr>
              <w:t>0）。标签边框和字体颜色为黑色，RGB颜色值为（0</w:t>
            </w:r>
            <w:r>
              <w:rPr>
                <w:rFonts w:hint="eastAsia" w:ascii="Times New Roman" w:hAnsi="Times New Roman" w:eastAsia="楷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楷体" w:cs="Times New Roman"/>
                <w:color w:val="000000" w:themeColor="text1"/>
                <w:sz w:val="24"/>
                <w:szCs w:val="24"/>
                <w:highlight w:val="none"/>
                <w14:textFill>
                  <w14:solidFill>
                    <w14:schemeClr w14:val="tx1"/>
                  </w14:solidFill>
                </w14:textFill>
              </w:rPr>
              <w:t>0</w:t>
            </w:r>
            <w:r>
              <w:rPr>
                <w:rFonts w:hint="eastAsia" w:ascii="Times New Roman" w:hAnsi="Times New Roman" w:eastAsia="楷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楷体" w:cs="Times New Roman"/>
                <w:color w:val="000000" w:themeColor="text1"/>
                <w:sz w:val="24"/>
                <w:szCs w:val="24"/>
                <w:highlight w:val="none"/>
                <w14:textFill>
                  <w14:solidFill>
                    <w14:schemeClr w14:val="tx1"/>
                  </w14:solidFill>
                </w14:textFill>
              </w:rPr>
              <w:t>0）</w:t>
            </w:r>
          </w:p>
          <w:p w14:paraId="48356239">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字体：危险废物标签字体宜采用黑体字，其中“危险废物”字样应加粗放大。</w:t>
            </w:r>
          </w:p>
          <w:p w14:paraId="23751669">
            <w:pPr>
              <w:keepNext w:val="0"/>
              <w:keepLines w:val="0"/>
              <w:pageBreakBefore w:val="0"/>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2、危险类别：按危险废物种类选择</w:t>
            </w:r>
          </w:p>
        </w:tc>
      </w:tr>
      <w:tr w14:paraId="2D783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483" w:type="pct"/>
            <w:noWrap w:val="0"/>
            <w:vAlign w:val="center"/>
          </w:tcPr>
          <w:p w14:paraId="3D5E6474">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粘贴于危险废物储存容器或墙上</w:t>
            </w:r>
          </w:p>
        </w:tc>
        <w:tc>
          <w:tcPr>
            <w:tcW w:w="1353" w:type="pct"/>
            <w:noWrap w:val="0"/>
            <w:vAlign w:val="top"/>
          </w:tcPr>
          <w:p w14:paraId="7D2B8884">
            <w:pPr>
              <w:keepNext w:val="0"/>
              <w:keepLines w:val="0"/>
              <w:pageBreakBefore w:val="0"/>
              <w:kinsoku/>
              <w:wordWrap/>
              <w:overflowPunct/>
              <w:topLinePunct w:val="0"/>
              <w:autoSpaceDE/>
              <w:autoSpaceDN/>
              <w:bidi w:val="0"/>
              <w:adjustRightInd w:val="0"/>
              <w:snapToGrid w:val="0"/>
              <w:spacing w:line="300" w:lineRule="exact"/>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drawing>
                <wp:anchor distT="0" distB="0" distL="114300" distR="114300" simplePos="0" relativeHeight="251666432" behindDoc="0" locked="0" layoutInCell="1" allowOverlap="1">
                  <wp:simplePos x="0" y="0"/>
                  <wp:positionH relativeFrom="column">
                    <wp:posOffset>97155</wp:posOffset>
                  </wp:positionH>
                  <wp:positionV relativeFrom="paragraph">
                    <wp:posOffset>422910</wp:posOffset>
                  </wp:positionV>
                  <wp:extent cx="1240155" cy="1230630"/>
                  <wp:effectExtent l="0" t="0" r="17145" b="7620"/>
                  <wp:wrapNone/>
                  <wp:docPr id="6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1"/>
                          <pic:cNvPicPr>
                            <a:picLocks noChangeAspect="1"/>
                          </pic:cNvPicPr>
                        </pic:nvPicPr>
                        <pic:blipFill>
                          <a:blip r:embed="rId49"/>
                          <a:stretch>
                            <a:fillRect/>
                          </a:stretch>
                        </pic:blipFill>
                        <pic:spPr>
                          <a:xfrm>
                            <a:off x="0" y="0"/>
                            <a:ext cx="1240155" cy="1230630"/>
                          </a:xfrm>
                          <a:prstGeom prst="rect">
                            <a:avLst/>
                          </a:prstGeom>
                          <a:noFill/>
                          <a:ln>
                            <a:noFill/>
                          </a:ln>
                        </pic:spPr>
                      </pic:pic>
                    </a:graphicData>
                  </a:graphic>
                </wp:anchor>
              </w:drawing>
            </w:r>
          </w:p>
        </w:tc>
        <w:tc>
          <w:tcPr>
            <w:tcW w:w="3162" w:type="pct"/>
            <w:noWrap w:val="0"/>
            <w:vAlign w:val="top"/>
          </w:tcPr>
          <w:p w14:paraId="03E6B0AC">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1、危险废物标签</w:t>
            </w:r>
          </w:p>
          <w:p w14:paraId="142D447D">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尺寸：10×10cm（容器或包装物容积≤50L）</w:t>
            </w:r>
          </w:p>
          <w:p w14:paraId="1D51667D">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15×15cm（容器或包装物容积＞50～≤450L）20×20cm（容器或包装物容积＞450L）</w:t>
            </w:r>
          </w:p>
          <w:p w14:paraId="3FC81775">
            <w:pPr>
              <w:keepNext w:val="0"/>
              <w:keepLines w:val="0"/>
              <w:pageBreakBefore w:val="0"/>
              <w:widowControl w:val="0"/>
              <w:kinsoku/>
              <w:wordWrap/>
              <w:overflowPunct/>
              <w:topLinePunct w:val="0"/>
              <w:autoSpaceDE/>
              <w:autoSpaceDN/>
              <w:bidi w:val="0"/>
              <w:spacing w:line="300" w:lineRule="exact"/>
              <w:ind w:firstLine="0" w:firstLineChars="0"/>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颜色：危险废物分区标志背景色应采用黄色，RGB颜色值为（255</w:t>
            </w:r>
            <w:r>
              <w:rPr>
                <w:rFonts w:hint="eastAsia" w:ascii="Times New Roman" w:hAnsi="Times New Roman" w:eastAsia="楷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楷体" w:cs="Times New Roman"/>
                <w:color w:val="000000" w:themeColor="text1"/>
                <w:sz w:val="24"/>
                <w:szCs w:val="24"/>
                <w:highlight w:val="none"/>
                <w14:textFill>
                  <w14:solidFill>
                    <w14:schemeClr w14:val="tx1"/>
                  </w14:solidFill>
                </w14:textFill>
              </w:rPr>
              <w:t>255</w:t>
            </w:r>
            <w:r>
              <w:rPr>
                <w:rFonts w:hint="eastAsia" w:ascii="Times New Roman" w:hAnsi="Times New Roman" w:eastAsia="楷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楷体" w:cs="Times New Roman"/>
                <w:color w:val="000000" w:themeColor="text1"/>
                <w:sz w:val="24"/>
                <w:szCs w:val="24"/>
                <w:highlight w:val="none"/>
                <w14:textFill>
                  <w14:solidFill>
                    <w14:schemeClr w14:val="tx1"/>
                  </w14:solidFill>
                </w14:textFill>
              </w:rPr>
              <w:t>0）。废物种类信息应采用醒目的橘黄色，RGB颜色值为（255</w:t>
            </w:r>
            <w:r>
              <w:rPr>
                <w:rFonts w:hint="eastAsia" w:ascii="Times New Roman" w:hAnsi="Times New Roman" w:eastAsia="楷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楷体" w:cs="Times New Roman"/>
                <w:color w:val="000000" w:themeColor="text1"/>
                <w:sz w:val="24"/>
                <w:szCs w:val="24"/>
                <w:highlight w:val="none"/>
                <w14:textFill>
                  <w14:solidFill>
                    <w14:schemeClr w14:val="tx1"/>
                  </w14:solidFill>
                </w14:textFill>
              </w:rPr>
              <w:t>150</w:t>
            </w:r>
            <w:r>
              <w:rPr>
                <w:rFonts w:hint="eastAsia" w:ascii="Times New Roman" w:hAnsi="Times New Roman" w:eastAsia="楷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楷体" w:cs="Times New Roman"/>
                <w:color w:val="000000" w:themeColor="text1"/>
                <w:sz w:val="24"/>
                <w:szCs w:val="24"/>
                <w:highlight w:val="none"/>
                <w14:textFill>
                  <w14:solidFill>
                    <w14:schemeClr w14:val="tx1"/>
                  </w14:solidFill>
                </w14:textFill>
              </w:rPr>
              <w:t>0）。字体颜色为黑色，RGB颜色值为（0</w:t>
            </w:r>
            <w:r>
              <w:rPr>
                <w:rFonts w:hint="eastAsia" w:ascii="Times New Roman" w:hAnsi="Times New Roman" w:eastAsia="楷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楷体" w:cs="Times New Roman"/>
                <w:color w:val="000000" w:themeColor="text1"/>
                <w:sz w:val="24"/>
                <w:szCs w:val="24"/>
                <w:highlight w:val="none"/>
                <w14:textFill>
                  <w14:solidFill>
                    <w14:schemeClr w14:val="tx1"/>
                  </w14:solidFill>
                </w14:textFill>
              </w:rPr>
              <w:t>0</w:t>
            </w:r>
            <w:r>
              <w:rPr>
                <w:rFonts w:hint="eastAsia" w:ascii="Times New Roman" w:hAnsi="Times New Roman" w:eastAsia="楷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楷体" w:cs="Times New Roman"/>
                <w:color w:val="000000" w:themeColor="text1"/>
                <w:sz w:val="24"/>
                <w:szCs w:val="24"/>
                <w:highlight w:val="none"/>
                <w14:textFill>
                  <w14:solidFill>
                    <w14:schemeClr w14:val="tx1"/>
                  </w14:solidFill>
                </w14:textFill>
              </w:rPr>
              <w:t>0）</w:t>
            </w:r>
          </w:p>
          <w:p w14:paraId="543A4640">
            <w:pPr>
              <w:keepNext w:val="0"/>
              <w:keepLines w:val="0"/>
              <w:pageBreakBefore w:val="0"/>
              <w:widowControl w:val="0"/>
              <w:kinsoku/>
              <w:wordWrap/>
              <w:overflowPunct/>
              <w:topLinePunct w:val="0"/>
              <w:autoSpaceDE/>
              <w:autoSpaceDN/>
              <w:bidi w:val="0"/>
              <w:spacing w:line="300" w:lineRule="exact"/>
              <w:ind w:firstLine="0" w:firstLineChars="0"/>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字体：危险废物分区标志的字体宜采用黑体字，其中“危险废物贮存分区标志”字样应加粗放大并居中显示。</w:t>
            </w:r>
          </w:p>
          <w:p w14:paraId="38973DC5">
            <w:pPr>
              <w:keepNext w:val="0"/>
              <w:keepLines w:val="0"/>
              <w:pageBreakBefore w:val="0"/>
              <w:widowControl w:val="0"/>
              <w:kinsoku/>
              <w:wordWrap/>
              <w:overflowPunct/>
              <w:topLinePunct w:val="0"/>
              <w:autoSpaceDE/>
              <w:autoSpaceDN/>
              <w:bidi w:val="0"/>
              <w:spacing w:line="300" w:lineRule="exact"/>
              <w:ind w:firstLine="0" w:firstLineChars="0"/>
              <w:textAlignment w:val="auto"/>
              <w:rPr>
                <w:rFonts w:hint="default" w:ascii="Times New Roman" w:hAnsi="Times New Roman" w:eastAsia="楷体" w:cs="Times New Roman"/>
                <w:color w:val="000000" w:themeColor="text1"/>
                <w:sz w:val="24"/>
                <w:szCs w:val="24"/>
                <w:highlight w:val="none"/>
                <w14:textFill>
                  <w14:solidFill>
                    <w14:schemeClr w14:val="tx1"/>
                  </w14:solidFill>
                </w14:textFill>
              </w:rPr>
            </w:pPr>
            <w:r>
              <w:rPr>
                <w:rFonts w:hint="default" w:ascii="Times New Roman" w:hAnsi="Times New Roman" w:eastAsia="楷体" w:cs="Times New Roman"/>
                <w:color w:val="000000" w:themeColor="text1"/>
                <w:sz w:val="24"/>
                <w:szCs w:val="24"/>
                <w:highlight w:val="none"/>
                <w14:textFill>
                  <w14:solidFill>
                    <w14:schemeClr w14:val="tx1"/>
                  </w14:solidFill>
                </w14:textFill>
              </w:rPr>
              <w:t>2、危险类别：按危险废物种类选择</w:t>
            </w:r>
          </w:p>
        </w:tc>
      </w:tr>
    </w:tbl>
    <w:p w14:paraId="1EE9ED48">
      <w:pPr>
        <w:pStyle w:val="47"/>
        <w:rPr>
          <w:rFonts w:hint="eastAsia"/>
        </w:rPr>
      </w:pPr>
      <w:r>
        <w:rPr>
          <w:rFonts w:hint="eastAsia"/>
          <w:lang w:eastAsia="zh-CN"/>
        </w:rPr>
        <w:t>（</w:t>
      </w:r>
      <w:r>
        <w:rPr>
          <w:rFonts w:hint="eastAsia"/>
          <w:lang w:val="en-US" w:eastAsia="zh-CN"/>
        </w:rPr>
        <w:t>3</w:t>
      </w:r>
      <w:r>
        <w:rPr>
          <w:rFonts w:hint="eastAsia"/>
          <w:lang w:eastAsia="zh-CN"/>
        </w:rPr>
        <w:t>）</w:t>
      </w:r>
      <w:r>
        <w:rPr>
          <w:rFonts w:hint="eastAsia"/>
        </w:rPr>
        <w:t>建设单位应按照《排污许可管理条例》、《固定污染源排污许可分类管理名录》等排污许可证相关管理要求，在规定时限内对进行排污许可申报。</w:t>
      </w:r>
    </w:p>
    <w:p w14:paraId="0B758A79">
      <w:pPr>
        <w:pStyle w:val="47"/>
        <w:rPr>
          <w:rFonts w:hint="eastAsia"/>
        </w:rPr>
      </w:pPr>
      <w:r>
        <w:rPr>
          <w:rFonts w:hint="eastAsia"/>
          <w:lang w:eastAsia="zh-CN"/>
        </w:rPr>
        <w:t>（</w:t>
      </w:r>
      <w:r>
        <w:rPr>
          <w:rFonts w:hint="eastAsia"/>
          <w:lang w:val="en-US" w:eastAsia="zh-CN"/>
        </w:rPr>
        <w:t>4</w:t>
      </w:r>
      <w:r>
        <w:rPr>
          <w:rFonts w:hint="eastAsia"/>
          <w:lang w:eastAsia="zh-CN"/>
        </w:rPr>
        <w:t>）</w:t>
      </w:r>
      <w:r>
        <w:rPr>
          <w:rFonts w:hint="eastAsia"/>
        </w:rPr>
        <w:t>建设单位应依法开展竣工环境保护验收，按照《企业环境信息依法披露管理办法》进行相关信息的公开。</w:t>
      </w:r>
    </w:p>
    <w:p w14:paraId="625DB55C">
      <w:pPr>
        <w:pStyle w:val="47"/>
      </w:pPr>
      <w:r>
        <w:rPr>
          <w:rFonts w:hint="eastAsia"/>
          <w:lang w:eastAsia="zh-CN"/>
        </w:rPr>
        <w:t>（</w:t>
      </w:r>
      <w:r>
        <w:rPr>
          <w:rFonts w:hint="eastAsia"/>
          <w:lang w:val="en-US" w:eastAsia="zh-CN"/>
        </w:rPr>
        <w:t>5</w:t>
      </w:r>
      <w:r>
        <w:rPr>
          <w:rFonts w:hint="eastAsia"/>
          <w:lang w:eastAsia="zh-CN"/>
        </w:rPr>
        <w:t>）</w:t>
      </w:r>
      <w:r>
        <w:rPr>
          <w:rFonts w:hint="eastAsia"/>
        </w:rPr>
        <w:t>排污单位应按照最新的自行监测要求开展监测活动，依据《排污单位自行监测技术指南 总则》（HJ819-2017）及《排污单位自行监测技术指南 橡胶和塑料制品》（HJ1207-2021）要求开展自行监测。污染源监测数据按规定上报当地生态环境主管部门，所有监测数据一律归档保存。</w:t>
      </w:r>
    </w:p>
    <w:p w14:paraId="65E22569">
      <w:pPr>
        <w:pStyle w:val="92"/>
        <w:bidi w:val="0"/>
        <w:ind w:left="0" w:leftChars="0" w:firstLine="0" w:firstLineChars="0"/>
      </w:pPr>
      <w:r>
        <w:rPr>
          <w:rFonts w:hint="eastAsia"/>
        </w:rPr>
        <w:t>环境</w:t>
      </w:r>
      <w:r>
        <w:t>保护设施验收</w:t>
      </w:r>
    </w:p>
    <w:p w14:paraId="01880675">
      <w:pPr>
        <w:pStyle w:val="47"/>
        <w:ind w:firstLine="482"/>
        <w:rPr>
          <w:rFonts w:hint="eastAsia"/>
        </w:rPr>
      </w:pPr>
      <w:r>
        <w:rPr>
          <w:rFonts w:hint="eastAsia"/>
          <w:lang w:eastAsia="zh-CN"/>
        </w:rPr>
        <w:t>（</w:t>
      </w:r>
      <w:r>
        <w:rPr>
          <w:rFonts w:hint="eastAsia"/>
          <w:lang w:val="en-US" w:eastAsia="zh-CN"/>
        </w:rPr>
        <w:t>1</w:t>
      </w:r>
      <w:r>
        <w:rPr>
          <w:rFonts w:hint="eastAsia"/>
          <w:lang w:eastAsia="zh-CN"/>
        </w:rPr>
        <w:t>）</w:t>
      </w:r>
      <w:r>
        <w:rPr>
          <w:rFonts w:hint="eastAsia"/>
        </w:rPr>
        <w:t>竣工环境保护验收管理及要求</w:t>
      </w:r>
    </w:p>
    <w:p w14:paraId="1BB98E89">
      <w:pPr>
        <w:pStyle w:val="47"/>
        <w:ind w:firstLine="482"/>
        <w:rPr>
          <w:rFonts w:hint="eastAsia"/>
        </w:rPr>
      </w:pPr>
      <w:r>
        <w:rPr>
          <w:rFonts w:hint="eastAsia"/>
        </w:rPr>
        <w:t>根据《建设项目环境保护管理条例》、《建设项目竣工环境保护验收暂行办法》及《建设项目竣工环境保护验收技术规范》的规定，在建设项目正式投入生产或使用之前，建设单位必须组织环境保护竣工验收，提交环境保护验收监测报告。</w:t>
      </w:r>
    </w:p>
    <w:p w14:paraId="2B8C34E1">
      <w:pPr>
        <w:pStyle w:val="47"/>
        <w:ind w:firstLine="482"/>
        <w:rPr>
          <w:rFonts w:hint="eastAsia"/>
        </w:rPr>
      </w:pPr>
      <w:r>
        <w:rPr>
          <w:rFonts w:hint="eastAsia"/>
          <w:lang w:eastAsia="zh-CN"/>
        </w:rPr>
        <w:t>（</w:t>
      </w:r>
      <w:r>
        <w:rPr>
          <w:rFonts w:hint="eastAsia"/>
          <w:lang w:val="en-US" w:eastAsia="zh-CN"/>
        </w:rPr>
        <w:t>2</w:t>
      </w:r>
      <w:r>
        <w:rPr>
          <w:rFonts w:hint="eastAsia"/>
          <w:lang w:eastAsia="zh-CN"/>
        </w:rPr>
        <w:t>）</w:t>
      </w:r>
      <w:r>
        <w:rPr>
          <w:rFonts w:hint="eastAsia"/>
        </w:rPr>
        <w:t>环境保护“三同时”验收</w:t>
      </w:r>
    </w:p>
    <w:p w14:paraId="33847C7B">
      <w:pPr>
        <w:pStyle w:val="47"/>
        <w:ind w:firstLine="482"/>
        <w:rPr>
          <w:rFonts w:hint="eastAsia"/>
        </w:rPr>
      </w:pPr>
      <w:r>
        <w:rPr>
          <w:rFonts w:hint="eastAsia"/>
        </w:rPr>
        <w:t>根据《中华人民共和国环境保护法》规定，建设单位尽快落实各项环保措施，建设完成后，应全面检查项目对周围环境的改变及环保设施“三同时”情况。项目试运行一段时间，达到生产正常、稳定后，由建设单位成立验收组进行自主验收。项目环保设施“三同时”竣工验收内容见</w:t>
      </w:r>
      <w:r>
        <w:rPr>
          <w:rFonts w:hint="eastAsia"/>
          <w:lang w:val="en-US" w:eastAsia="zh-CN"/>
        </w:rPr>
        <w:t>下</w:t>
      </w:r>
      <w:r>
        <w:rPr>
          <w:rFonts w:hint="eastAsia"/>
        </w:rPr>
        <w:t>表。</w:t>
      </w:r>
    </w:p>
    <w:p w14:paraId="12C67BDA">
      <w:pPr>
        <w:pStyle w:val="47"/>
        <w:ind w:left="0" w:leftChars="0" w:firstLine="0" w:firstLineChars="0"/>
        <w:rPr>
          <w:rFonts w:hint="eastAsia"/>
        </w:rPr>
      </w:pPr>
    </w:p>
    <w:p w14:paraId="37C6B54F">
      <w:pPr>
        <w:pStyle w:val="47"/>
        <w:ind w:left="0" w:leftChars="0" w:firstLine="0" w:firstLineChars="0"/>
        <w:rPr>
          <w:rFonts w:hint="eastAsia"/>
        </w:rPr>
      </w:pPr>
    </w:p>
    <w:p w14:paraId="72DF43C0">
      <w:pPr>
        <w:pStyle w:val="47"/>
        <w:ind w:left="0" w:leftChars="0" w:firstLine="0" w:firstLineChars="0"/>
        <w:rPr>
          <w:rFonts w:hint="eastAsia"/>
        </w:rPr>
      </w:pPr>
    </w:p>
    <w:p w14:paraId="699F3A33">
      <w:pPr>
        <w:pStyle w:val="47"/>
        <w:ind w:left="0" w:leftChars="0" w:firstLine="0" w:firstLineChars="0"/>
        <w:rPr>
          <w:rFonts w:hint="eastAsia"/>
        </w:rPr>
      </w:pPr>
    </w:p>
    <w:p w14:paraId="3DE8C048">
      <w:pPr>
        <w:pStyle w:val="47"/>
        <w:ind w:left="0" w:leftChars="0" w:firstLine="0" w:firstLineChars="0"/>
        <w:rPr>
          <w:rFonts w:hint="eastAsia"/>
        </w:rPr>
      </w:pPr>
    </w:p>
    <w:p w14:paraId="282FFBC2">
      <w:pPr>
        <w:pStyle w:val="47"/>
        <w:ind w:left="0" w:leftChars="0" w:firstLine="0" w:firstLineChars="0"/>
        <w:rPr>
          <w:rFonts w:hint="eastAsia"/>
        </w:rPr>
      </w:pPr>
    </w:p>
    <w:p w14:paraId="2392EB55">
      <w:pPr>
        <w:pStyle w:val="94"/>
        <w:bidi w:val="0"/>
        <w:ind w:left="0" w:leftChars="0" w:firstLine="0" w:firstLineChars="0"/>
      </w:pPr>
      <w:r>
        <w:rPr>
          <w:rFonts w:hint="eastAsia"/>
        </w:rPr>
        <w:t>环境保护设施 “三同时”验收一览表</w:t>
      </w:r>
    </w:p>
    <w:tbl>
      <w:tblPr>
        <w:tblStyle w:val="3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3"/>
        <w:gridCol w:w="490"/>
        <w:gridCol w:w="1242"/>
        <w:gridCol w:w="1455"/>
        <w:gridCol w:w="2273"/>
        <w:gridCol w:w="3039"/>
      </w:tblGrid>
      <w:tr w14:paraId="5A78F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421" w:type="pct"/>
            <w:vAlign w:val="center"/>
          </w:tcPr>
          <w:p w14:paraId="713C3EBA">
            <w:pPr>
              <w:pStyle w:val="55"/>
              <w:bidi w:val="0"/>
              <w:rPr>
                <w:rFonts w:hint="eastAsia"/>
                <w:lang w:val="en-US" w:eastAsia="zh-CN"/>
              </w:rPr>
            </w:pPr>
            <w:r>
              <w:rPr>
                <w:rFonts w:hint="eastAsia"/>
                <w:lang w:val="en-US" w:eastAsia="zh-CN"/>
              </w:rPr>
              <w:t>项目</w:t>
            </w:r>
          </w:p>
        </w:tc>
        <w:tc>
          <w:tcPr>
            <w:tcW w:w="932" w:type="pct"/>
            <w:gridSpan w:val="2"/>
            <w:vAlign w:val="center"/>
          </w:tcPr>
          <w:p w14:paraId="1257422D">
            <w:pPr>
              <w:pStyle w:val="55"/>
              <w:bidi w:val="0"/>
              <w:rPr>
                <w:rFonts w:hint="eastAsia"/>
              </w:rPr>
            </w:pPr>
            <w:r>
              <w:rPr>
                <w:rFonts w:hint="eastAsia"/>
              </w:rPr>
              <w:t>污染源名称</w:t>
            </w:r>
          </w:p>
        </w:tc>
        <w:tc>
          <w:tcPr>
            <w:tcW w:w="783" w:type="pct"/>
            <w:vAlign w:val="center"/>
          </w:tcPr>
          <w:p w14:paraId="738A2189">
            <w:pPr>
              <w:pStyle w:val="55"/>
              <w:bidi w:val="0"/>
            </w:pPr>
            <w:r>
              <w:rPr>
                <w:rFonts w:hint="eastAsia"/>
              </w:rPr>
              <w:t>监测因子</w:t>
            </w:r>
          </w:p>
        </w:tc>
        <w:tc>
          <w:tcPr>
            <w:tcW w:w="1224" w:type="pct"/>
            <w:vAlign w:val="center"/>
          </w:tcPr>
          <w:p w14:paraId="7545BDA6">
            <w:pPr>
              <w:pStyle w:val="55"/>
              <w:bidi w:val="0"/>
            </w:pPr>
            <w:r>
              <w:rPr>
                <w:rFonts w:hint="eastAsia"/>
              </w:rPr>
              <w:t>环保措施</w:t>
            </w:r>
          </w:p>
        </w:tc>
        <w:tc>
          <w:tcPr>
            <w:tcW w:w="1637" w:type="pct"/>
            <w:vAlign w:val="center"/>
          </w:tcPr>
          <w:p w14:paraId="53FC6EE6">
            <w:pPr>
              <w:pStyle w:val="55"/>
              <w:bidi w:val="0"/>
            </w:pPr>
            <w:r>
              <w:rPr>
                <w:rFonts w:hint="eastAsia"/>
              </w:rPr>
              <w:t>执行标准</w:t>
            </w:r>
          </w:p>
        </w:tc>
      </w:tr>
      <w:tr w14:paraId="1E84C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1" w:type="pct"/>
            <w:vMerge w:val="restart"/>
            <w:vAlign w:val="center"/>
          </w:tcPr>
          <w:p w14:paraId="60B87C66">
            <w:pPr>
              <w:pStyle w:val="55"/>
              <w:bidi w:val="0"/>
            </w:pPr>
            <w:r>
              <w:rPr>
                <w:rFonts w:hint="eastAsia"/>
              </w:rPr>
              <w:t>废气</w:t>
            </w:r>
          </w:p>
        </w:tc>
        <w:tc>
          <w:tcPr>
            <w:tcW w:w="263" w:type="pct"/>
            <w:vMerge w:val="restart"/>
            <w:vAlign w:val="center"/>
          </w:tcPr>
          <w:p w14:paraId="271F7B4A">
            <w:pPr>
              <w:pStyle w:val="55"/>
              <w:bidi w:val="0"/>
            </w:pPr>
            <w:r>
              <w:rPr>
                <w:rFonts w:hint="eastAsia"/>
              </w:rPr>
              <w:t>有组织</w:t>
            </w:r>
          </w:p>
        </w:tc>
        <w:tc>
          <w:tcPr>
            <w:tcW w:w="669" w:type="pct"/>
            <w:vMerge w:val="restart"/>
            <w:vAlign w:val="center"/>
          </w:tcPr>
          <w:p w14:paraId="3A2F7058">
            <w:pPr>
              <w:pStyle w:val="55"/>
              <w:bidi w:val="0"/>
              <w:rPr>
                <w:rFonts w:hint="eastAsia"/>
                <w:lang w:eastAsia="zh-CN"/>
              </w:rPr>
            </w:pPr>
            <w:r>
              <w:rPr>
                <w:rFonts w:hint="eastAsia"/>
                <w:lang w:val="en-US" w:eastAsia="zh-CN"/>
              </w:rPr>
              <w:t>1</w:t>
            </w:r>
            <w:r>
              <w:rPr>
                <w:rFonts w:hint="eastAsia"/>
              </w:rPr>
              <w:t>#生产车间</w:t>
            </w:r>
            <w:r>
              <w:rPr>
                <w:rFonts w:hint="eastAsia"/>
                <w:lang w:eastAsia="zh-CN"/>
              </w:rPr>
              <w:t>（投料、搅拌、</w:t>
            </w:r>
            <w:r>
              <w:rPr>
                <w:rFonts w:hint="eastAsia"/>
                <w:lang w:val="en-US" w:eastAsia="zh-CN"/>
              </w:rPr>
              <w:t>挤出</w:t>
            </w:r>
            <w:r>
              <w:rPr>
                <w:rFonts w:hint="eastAsia"/>
                <w:lang w:eastAsia="zh-CN"/>
              </w:rPr>
              <w:t>工序）</w:t>
            </w:r>
          </w:p>
        </w:tc>
        <w:tc>
          <w:tcPr>
            <w:tcW w:w="783" w:type="pct"/>
            <w:vAlign w:val="center"/>
          </w:tcPr>
          <w:p w14:paraId="0ADF20B4">
            <w:pPr>
              <w:pStyle w:val="55"/>
              <w:bidi w:val="0"/>
            </w:pPr>
            <w:r>
              <w:rPr>
                <w:rFonts w:hint="default"/>
                <w:lang w:val="en-US" w:eastAsia="zh-CN"/>
              </w:rPr>
              <w:t>颗粒物</w:t>
            </w:r>
          </w:p>
        </w:tc>
        <w:tc>
          <w:tcPr>
            <w:tcW w:w="1224" w:type="pct"/>
            <w:vMerge w:val="restart"/>
            <w:vAlign w:val="center"/>
          </w:tcPr>
          <w:p w14:paraId="2C7D5F4A">
            <w:pPr>
              <w:pStyle w:val="55"/>
              <w:bidi w:val="0"/>
            </w:pPr>
            <w:r>
              <w:rPr>
                <w:rFonts w:hint="eastAsia"/>
                <w:lang w:val="en-US" w:eastAsia="zh-CN"/>
              </w:rPr>
              <w:t>分别经集气罩收集，引入1套“布袋除尘器+两级活性炭吸附装置”处理后，由15m高排气筒（DA001）排放</w:t>
            </w:r>
          </w:p>
        </w:tc>
        <w:tc>
          <w:tcPr>
            <w:tcW w:w="1637" w:type="pct"/>
            <w:vMerge w:val="restart"/>
            <w:vAlign w:val="center"/>
          </w:tcPr>
          <w:p w14:paraId="480F2529">
            <w:pPr>
              <w:pStyle w:val="55"/>
              <w:bidi w:val="0"/>
              <w:rPr>
                <w:rFonts w:hint="default"/>
              </w:rPr>
            </w:pPr>
            <w:r>
              <w:rPr>
                <w:rFonts w:hint="eastAsia"/>
                <w:lang w:val="en-US" w:eastAsia="zh-CN"/>
              </w:rPr>
              <w:t>颗粒物执行《合成树脂工业污染物排放标准》（GB31572-2015）及修改单表5大气污染物特别排放限值；非甲烷总烃执行河北省地方标准</w:t>
            </w:r>
            <w:r>
              <w:rPr>
                <w:rFonts w:hint="eastAsia"/>
              </w:rPr>
              <w:t>《工业企业挥发性有机物排放控制标准》（DB13/2322-2016）原排放限值的50%</w:t>
            </w:r>
            <w:r>
              <w:rPr>
                <w:rFonts w:hint="eastAsia"/>
                <w:lang w:eastAsia="zh-CN"/>
              </w:rPr>
              <w:t>；</w:t>
            </w:r>
            <w:r>
              <w:rPr>
                <w:rFonts w:hint="eastAsia"/>
                <w:lang w:val="en-US" w:eastAsia="zh-CN"/>
              </w:rPr>
              <w:t>HCl执行</w:t>
            </w:r>
            <w:r>
              <w:rPr>
                <w:rFonts w:hint="default"/>
              </w:rPr>
              <w:t>《大气污染物综合排放标准》</w:t>
            </w:r>
          </w:p>
          <w:p w14:paraId="7ABBBC14">
            <w:pPr>
              <w:pStyle w:val="55"/>
              <w:bidi w:val="0"/>
              <w:rPr>
                <w:rFonts w:hint="default"/>
              </w:rPr>
            </w:pPr>
            <w:r>
              <w:rPr>
                <w:rFonts w:hint="default"/>
              </w:rPr>
              <w:t>（GB16297-1996）表2中的二级标准</w:t>
            </w:r>
            <w:r>
              <w:rPr>
                <w:rFonts w:hint="eastAsia"/>
                <w:lang w:eastAsia="zh-CN"/>
              </w:rPr>
              <w:t>；</w:t>
            </w:r>
            <w:r>
              <w:rPr>
                <w:rFonts w:hint="eastAsia"/>
                <w:lang w:val="en-US" w:eastAsia="zh-CN"/>
              </w:rPr>
              <w:t>臭气浓度执行</w:t>
            </w:r>
            <w:r>
              <w:rPr>
                <w:rFonts w:hint="default"/>
              </w:rPr>
              <w:t>《恶臭污染物排放标准》（GB14554-1993）</w:t>
            </w:r>
          </w:p>
          <w:p w14:paraId="6BE12C5F">
            <w:pPr>
              <w:pStyle w:val="55"/>
              <w:bidi w:val="0"/>
              <w:rPr>
                <w:rFonts w:hint="default"/>
                <w:lang w:val="en-US" w:eastAsia="zh-CN"/>
              </w:rPr>
            </w:pPr>
            <w:r>
              <w:rPr>
                <w:rFonts w:hint="default"/>
                <w:lang w:val="en-US" w:eastAsia="zh-CN"/>
              </w:rPr>
              <w:t>表2恶臭污染物排放标准值</w:t>
            </w:r>
          </w:p>
        </w:tc>
      </w:tr>
      <w:tr w14:paraId="5FBAA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1" w:type="pct"/>
            <w:vMerge w:val="continue"/>
            <w:vAlign w:val="center"/>
          </w:tcPr>
          <w:p w14:paraId="5D8272D8">
            <w:pPr>
              <w:pStyle w:val="55"/>
              <w:bidi w:val="0"/>
              <w:rPr>
                <w:rFonts w:hint="eastAsia"/>
              </w:rPr>
            </w:pPr>
          </w:p>
        </w:tc>
        <w:tc>
          <w:tcPr>
            <w:tcW w:w="263" w:type="pct"/>
            <w:vMerge w:val="continue"/>
            <w:vAlign w:val="center"/>
          </w:tcPr>
          <w:p w14:paraId="6F7D3CC4">
            <w:pPr>
              <w:pStyle w:val="55"/>
              <w:bidi w:val="0"/>
              <w:rPr>
                <w:rFonts w:hint="eastAsia"/>
              </w:rPr>
            </w:pPr>
          </w:p>
        </w:tc>
        <w:tc>
          <w:tcPr>
            <w:tcW w:w="669" w:type="pct"/>
            <w:vMerge w:val="continue"/>
            <w:vAlign w:val="center"/>
          </w:tcPr>
          <w:p w14:paraId="5BFEEA18">
            <w:pPr>
              <w:pStyle w:val="55"/>
              <w:bidi w:val="0"/>
            </w:pPr>
          </w:p>
        </w:tc>
        <w:tc>
          <w:tcPr>
            <w:tcW w:w="783" w:type="pct"/>
            <w:vAlign w:val="center"/>
          </w:tcPr>
          <w:p w14:paraId="6097615F">
            <w:pPr>
              <w:pStyle w:val="55"/>
              <w:bidi w:val="0"/>
            </w:pPr>
            <w:r>
              <w:rPr>
                <w:rFonts w:hint="eastAsia"/>
                <w:lang w:val="en-US" w:eastAsia="zh-CN"/>
              </w:rPr>
              <w:t>非甲烷总烃</w:t>
            </w:r>
          </w:p>
        </w:tc>
        <w:tc>
          <w:tcPr>
            <w:tcW w:w="1224" w:type="pct"/>
            <w:vMerge w:val="continue"/>
            <w:vAlign w:val="center"/>
          </w:tcPr>
          <w:p w14:paraId="4551A649">
            <w:pPr>
              <w:pStyle w:val="55"/>
              <w:bidi w:val="0"/>
            </w:pPr>
          </w:p>
        </w:tc>
        <w:tc>
          <w:tcPr>
            <w:tcW w:w="1637" w:type="pct"/>
            <w:vMerge w:val="continue"/>
            <w:vAlign w:val="center"/>
          </w:tcPr>
          <w:p w14:paraId="67F8E547">
            <w:pPr>
              <w:pStyle w:val="55"/>
              <w:bidi w:val="0"/>
            </w:pPr>
          </w:p>
        </w:tc>
      </w:tr>
      <w:tr w14:paraId="60039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1" w:type="pct"/>
            <w:vMerge w:val="continue"/>
            <w:vAlign w:val="center"/>
          </w:tcPr>
          <w:p w14:paraId="0B4F97CF">
            <w:pPr>
              <w:pStyle w:val="55"/>
              <w:bidi w:val="0"/>
              <w:rPr>
                <w:rFonts w:hint="eastAsia"/>
              </w:rPr>
            </w:pPr>
          </w:p>
        </w:tc>
        <w:tc>
          <w:tcPr>
            <w:tcW w:w="263" w:type="pct"/>
            <w:vMerge w:val="continue"/>
            <w:vAlign w:val="center"/>
          </w:tcPr>
          <w:p w14:paraId="3A1D9103">
            <w:pPr>
              <w:pStyle w:val="55"/>
              <w:bidi w:val="0"/>
              <w:rPr>
                <w:rFonts w:hint="eastAsia"/>
              </w:rPr>
            </w:pPr>
          </w:p>
        </w:tc>
        <w:tc>
          <w:tcPr>
            <w:tcW w:w="669" w:type="pct"/>
            <w:vMerge w:val="continue"/>
            <w:vAlign w:val="center"/>
          </w:tcPr>
          <w:p w14:paraId="6EF1748D">
            <w:pPr>
              <w:pStyle w:val="55"/>
              <w:bidi w:val="0"/>
            </w:pPr>
          </w:p>
        </w:tc>
        <w:tc>
          <w:tcPr>
            <w:tcW w:w="783" w:type="pct"/>
            <w:vAlign w:val="center"/>
          </w:tcPr>
          <w:p w14:paraId="44A1C14F">
            <w:pPr>
              <w:pStyle w:val="55"/>
              <w:bidi w:val="0"/>
            </w:pPr>
            <w:r>
              <w:rPr>
                <w:rFonts w:hint="default"/>
                <w:lang w:val="en-US" w:eastAsia="zh-CN"/>
              </w:rPr>
              <w:t>氯化氢</w:t>
            </w:r>
          </w:p>
        </w:tc>
        <w:tc>
          <w:tcPr>
            <w:tcW w:w="1224" w:type="pct"/>
            <w:vMerge w:val="continue"/>
            <w:vAlign w:val="center"/>
          </w:tcPr>
          <w:p w14:paraId="53003BDB">
            <w:pPr>
              <w:pStyle w:val="55"/>
              <w:bidi w:val="0"/>
            </w:pPr>
          </w:p>
        </w:tc>
        <w:tc>
          <w:tcPr>
            <w:tcW w:w="1637" w:type="pct"/>
            <w:vMerge w:val="continue"/>
            <w:vAlign w:val="center"/>
          </w:tcPr>
          <w:p w14:paraId="6CAEA2C0">
            <w:pPr>
              <w:pStyle w:val="55"/>
              <w:bidi w:val="0"/>
            </w:pPr>
          </w:p>
        </w:tc>
      </w:tr>
      <w:tr w14:paraId="0E0FE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1" w:type="pct"/>
            <w:vMerge w:val="continue"/>
            <w:vAlign w:val="center"/>
          </w:tcPr>
          <w:p w14:paraId="5776AF0E">
            <w:pPr>
              <w:pStyle w:val="55"/>
              <w:bidi w:val="0"/>
              <w:rPr>
                <w:rFonts w:hint="eastAsia"/>
              </w:rPr>
            </w:pPr>
          </w:p>
        </w:tc>
        <w:tc>
          <w:tcPr>
            <w:tcW w:w="263" w:type="pct"/>
            <w:vMerge w:val="continue"/>
            <w:vAlign w:val="center"/>
          </w:tcPr>
          <w:p w14:paraId="346F0782">
            <w:pPr>
              <w:pStyle w:val="55"/>
              <w:bidi w:val="0"/>
              <w:rPr>
                <w:rFonts w:hint="eastAsia"/>
              </w:rPr>
            </w:pPr>
          </w:p>
        </w:tc>
        <w:tc>
          <w:tcPr>
            <w:tcW w:w="669" w:type="pct"/>
            <w:vMerge w:val="continue"/>
            <w:vAlign w:val="center"/>
          </w:tcPr>
          <w:p w14:paraId="7C6A5D3E">
            <w:pPr>
              <w:pStyle w:val="55"/>
              <w:bidi w:val="0"/>
            </w:pPr>
          </w:p>
        </w:tc>
        <w:tc>
          <w:tcPr>
            <w:tcW w:w="783" w:type="pct"/>
            <w:vAlign w:val="center"/>
          </w:tcPr>
          <w:p w14:paraId="2A7E4D1F">
            <w:pPr>
              <w:pStyle w:val="55"/>
              <w:bidi w:val="0"/>
            </w:pPr>
            <w:r>
              <w:rPr>
                <w:rFonts w:hint="eastAsia"/>
                <w:lang w:val="en-US" w:eastAsia="zh-CN"/>
              </w:rPr>
              <w:t>臭气浓度</w:t>
            </w:r>
          </w:p>
        </w:tc>
        <w:tc>
          <w:tcPr>
            <w:tcW w:w="1224" w:type="pct"/>
            <w:vMerge w:val="continue"/>
            <w:vAlign w:val="center"/>
          </w:tcPr>
          <w:p w14:paraId="1638D4E7">
            <w:pPr>
              <w:pStyle w:val="55"/>
              <w:bidi w:val="0"/>
            </w:pPr>
          </w:p>
        </w:tc>
        <w:tc>
          <w:tcPr>
            <w:tcW w:w="1637" w:type="pct"/>
            <w:vMerge w:val="continue"/>
            <w:vAlign w:val="center"/>
          </w:tcPr>
          <w:p w14:paraId="6042CF72">
            <w:pPr>
              <w:pStyle w:val="55"/>
              <w:bidi w:val="0"/>
            </w:pPr>
          </w:p>
        </w:tc>
      </w:tr>
      <w:tr w14:paraId="51036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1" w:type="pct"/>
            <w:vMerge w:val="continue"/>
            <w:vAlign w:val="center"/>
          </w:tcPr>
          <w:p w14:paraId="10CE1774">
            <w:pPr>
              <w:pStyle w:val="55"/>
              <w:bidi w:val="0"/>
              <w:rPr>
                <w:rFonts w:hint="eastAsia"/>
              </w:rPr>
            </w:pPr>
          </w:p>
        </w:tc>
        <w:tc>
          <w:tcPr>
            <w:tcW w:w="263" w:type="pct"/>
            <w:vMerge w:val="continue"/>
            <w:vAlign w:val="center"/>
          </w:tcPr>
          <w:p w14:paraId="1D68A143">
            <w:pPr>
              <w:pStyle w:val="55"/>
              <w:bidi w:val="0"/>
              <w:rPr>
                <w:rFonts w:hint="eastAsia"/>
              </w:rPr>
            </w:pPr>
          </w:p>
        </w:tc>
        <w:tc>
          <w:tcPr>
            <w:tcW w:w="669" w:type="pct"/>
            <w:vMerge w:val="restart"/>
            <w:vAlign w:val="center"/>
          </w:tcPr>
          <w:p w14:paraId="4ABE09DB">
            <w:pPr>
              <w:pStyle w:val="55"/>
              <w:bidi w:val="0"/>
            </w:pPr>
            <w:r>
              <w:rPr>
                <w:rFonts w:hint="eastAsia"/>
                <w:lang w:val="en-US" w:eastAsia="zh-CN"/>
              </w:rPr>
              <w:t>2</w:t>
            </w:r>
            <w:r>
              <w:rPr>
                <w:rFonts w:hint="eastAsia"/>
              </w:rPr>
              <w:t>#生产车间</w:t>
            </w:r>
            <w:r>
              <w:rPr>
                <w:rFonts w:hint="eastAsia"/>
                <w:lang w:eastAsia="zh-CN"/>
              </w:rPr>
              <w:t>（投料、搅拌、</w:t>
            </w:r>
            <w:r>
              <w:rPr>
                <w:rFonts w:hint="eastAsia"/>
                <w:lang w:val="en-US" w:eastAsia="zh-CN"/>
              </w:rPr>
              <w:t>挤出</w:t>
            </w:r>
            <w:r>
              <w:rPr>
                <w:rFonts w:hint="eastAsia"/>
                <w:lang w:eastAsia="zh-CN"/>
              </w:rPr>
              <w:t>工序）</w:t>
            </w:r>
          </w:p>
        </w:tc>
        <w:tc>
          <w:tcPr>
            <w:tcW w:w="783" w:type="pct"/>
            <w:vAlign w:val="center"/>
          </w:tcPr>
          <w:p w14:paraId="03301B6A">
            <w:pPr>
              <w:pStyle w:val="55"/>
              <w:bidi w:val="0"/>
            </w:pPr>
            <w:r>
              <w:rPr>
                <w:rFonts w:hint="default"/>
                <w:lang w:val="en-US" w:eastAsia="zh-CN"/>
              </w:rPr>
              <w:t>颗粒物</w:t>
            </w:r>
          </w:p>
        </w:tc>
        <w:tc>
          <w:tcPr>
            <w:tcW w:w="1224" w:type="pct"/>
            <w:vMerge w:val="restart"/>
            <w:vAlign w:val="center"/>
          </w:tcPr>
          <w:p w14:paraId="66F7B6FE">
            <w:pPr>
              <w:pStyle w:val="55"/>
              <w:bidi w:val="0"/>
            </w:pPr>
            <w:r>
              <w:rPr>
                <w:rFonts w:hint="eastAsia"/>
                <w:lang w:val="en-US" w:eastAsia="zh-CN"/>
              </w:rPr>
              <w:t>分别经集气罩收集，引入1套“布袋除尘器+两级活性炭吸附装置”处理后，由15m高排气筒（DA002）排放</w:t>
            </w:r>
          </w:p>
        </w:tc>
        <w:tc>
          <w:tcPr>
            <w:tcW w:w="1637" w:type="pct"/>
            <w:vMerge w:val="continue"/>
            <w:vAlign w:val="center"/>
          </w:tcPr>
          <w:p w14:paraId="0D8168FC">
            <w:pPr>
              <w:pStyle w:val="55"/>
              <w:bidi w:val="0"/>
            </w:pPr>
          </w:p>
        </w:tc>
      </w:tr>
      <w:tr w14:paraId="36170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1" w:type="pct"/>
            <w:vMerge w:val="continue"/>
            <w:vAlign w:val="center"/>
          </w:tcPr>
          <w:p w14:paraId="09052F7F">
            <w:pPr>
              <w:pStyle w:val="55"/>
              <w:bidi w:val="0"/>
              <w:rPr>
                <w:rFonts w:hint="eastAsia"/>
              </w:rPr>
            </w:pPr>
          </w:p>
        </w:tc>
        <w:tc>
          <w:tcPr>
            <w:tcW w:w="263" w:type="pct"/>
            <w:vMerge w:val="continue"/>
            <w:vAlign w:val="center"/>
          </w:tcPr>
          <w:p w14:paraId="4E3AEF05">
            <w:pPr>
              <w:pStyle w:val="55"/>
              <w:bidi w:val="0"/>
              <w:rPr>
                <w:rFonts w:hint="eastAsia"/>
              </w:rPr>
            </w:pPr>
          </w:p>
        </w:tc>
        <w:tc>
          <w:tcPr>
            <w:tcW w:w="669" w:type="pct"/>
            <w:vMerge w:val="continue"/>
            <w:vAlign w:val="center"/>
          </w:tcPr>
          <w:p w14:paraId="655779AA">
            <w:pPr>
              <w:pStyle w:val="55"/>
              <w:bidi w:val="0"/>
            </w:pPr>
          </w:p>
        </w:tc>
        <w:tc>
          <w:tcPr>
            <w:tcW w:w="783" w:type="pct"/>
            <w:vAlign w:val="center"/>
          </w:tcPr>
          <w:p w14:paraId="50876622">
            <w:pPr>
              <w:pStyle w:val="55"/>
              <w:bidi w:val="0"/>
            </w:pPr>
            <w:r>
              <w:rPr>
                <w:rFonts w:hint="eastAsia"/>
                <w:lang w:val="en-US" w:eastAsia="zh-CN"/>
              </w:rPr>
              <w:t>非甲烷总烃</w:t>
            </w:r>
          </w:p>
        </w:tc>
        <w:tc>
          <w:tcPr>
            <w:tcW w:w="1224" w:type="pct"/>
            <w:vMerge w:val="continue"/>
            <w:vAlign w:val="center"/>
          </w:tcPr>
          <w:p w14:paraId="40EBEB98">
            <w:pPr>
              <w:pStyle w:val="55"/>
              <w:bidi w:val="0"/>
            </w:pPr>
          </w:p>
        </w:tc>
        <w:tc>
          <w:tcPr>
            <w:tcW w:w="1637" w:type="pct"/>
            <w:vMerge w:val="continue"/>
            <w:vAlign w:val="center"/>
          </w:tcPr>
          <w:p w14:paraId="0AF539F9">
            <w:pPr>
              <w:pStyle w:val="55"/>
              <w:bidi w:val="0"/>
            </w:pPr>
          </w:p>
        </w:tc>
      </w:tr>
      <w:tr w14:paraId="317FA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1" w:type="pct"/>
            <w:vMerge w:val="continue"/>
            <w:vAlign w:val="center"/>
          </w:tcPr>
          <w:p w14:paraId="6341B88F">
            <w:pPr>
              <w:pStyle w:val="55"/>
              <w:bidi w:val="0"/>
              <w:rPr>
                <w:rFonts w:hint="eastAsia"/>
              </w:rPr>
            </w:pPr>
          </w:p>
        </w:tc>
        <w:tc>
          <w:tcPr>
            <w:tcW w:w="263" w:type="pct"/>
            <w:vMerge w:val="continue"/>
            <w:vAlign w:val="center"/>
          </w:tcPr>
          <w:p w14:paraId="64561E38">
            <w:pPr>
              <w:pStyle w:val="55"/>
              <w:bidi w:val="0"/>
              <w:rPr>
                <w:rFonts w:hint="eastAsia"/>
              </w:rPr>
            </w:pPr>
          </w:p>
        </w:tc>
        <w:tc>
          <w:tcPr>
            <w:tcW w:w="669" w:type="pct"/>
            <w:vMerge w:val="continue"/>
            <w:vAlign w:val="center"/>
          </w:tcPr>
          <w:p w14:paraId="0CFADDEC">
            <w:pPr>
              <w:pStyle w:val="55"/>
              <w:bidi w:val="0"/>
            </w:pPr>
          </w:p>
        </w:tc>
        <w:tc>
          <w:tcPr>
            <w:tcW w:w="783" w:type="pct"/>
            <w:vAlign w:val="center"/>
          </w:tcPr>
          <w:p w14:paraId="48A8FE18">
            <w:pPr>
              <w:pStyle w:val="55"/>
              <w:bidi w:val="0"/>
            </w:pPr>
            <w:r>
              <w:rPr>
                <w:rFonts w:hint="default"/>
                <w:lang w:val="en-US" w:eastAsia="zh-CN"/>
              </w:rPr>
              <w:t>氯化氢</w:t>
            </w:r>
          </w:p>
        </w:tc>
        <w:tc>
          <w:tcPr>
            <w:tcW w:w="1224" w:type="pct"/>
            <w:vMerge w:val="continue"/>
            <w:vAlign w:val="center"/>
          </w:tcPr>
          <w:p w14:paraId="1CD628B3">
            <w:pPr>
              <w:pStyle w:val="55"/>
              <w:bidi w:val="0"/>
            </w:pPr>
          </w:p>
        </w:tc>
        <w:tc>
          <w:tcPr>
            <w:tcW w:w="1637" w:type="pct"/>
            <w:vMerge w:val="continue"/>
            <w:vAlign w:val="center"/>
          </w:tcPr>
          <w:p w14:paraId="621252DA">
            <w:pPr>
              <w:pStyle w:val="55"/>
              <w:bidi w:val="0"/>
            </w:pPr>
          </w:p>
        </w:tc>
      </w:tr>
      <w:tr w14:paraId="67C1A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1" w:type="pct"/>
            <w:vMerge w:val="continue"/>
            <w:vAlign w:val="center"/>
          </w:tcPr>
          <w:p w14:paraId="619E4955">
            <w:pPr>
              <w:pStyle w:val="55"/>
              <w:bidi w:val="0"/>
              <w:rPr>
                <w:rFonts w:hint="eastAsia"/>
              </w:rPr>
            </w:pPr>
          </w:p>
        </w:tc>
        <w:tc>
          <w:tcPr>
            <w:tcW w:w="263" w:type="pct"/>
            <w:vMerge w:val="continue"/>
            <w:vAlign w:val="center"/>
          </w:tcPr>
          <w:p w14:paraId="51BAE91D">
            <w:pPr>
              <w:pStyle w:val="55"/>
              <w:bidi w:val="0"/>
              <w:rPr>
                <w:rFonts w:hint="eastAsia"/>
              </w:rPr>
            </w:pPr>
          </w:p>
        </w:tc>
        <w:tc>
          <w:tcPr>
            <w:tcW w:w="669" w:type="pct"/>
            <w:vMerge w:val="continue"/>
            <w:vAlign w:val="center"/>
          </w:tcPr>
          <w:p w14:paraId="206CF6F8">
            <w:pPr>
              <w:pStyle w:val="55"/>
              <w:bidi w:val="0"/>
            </w:pPr>
          </w:p>
        </w:tc>
        <w:tc>
          <w:tcPr>
            <w:tcW w:w="783" w:type="pct"/>
            <w:vAlign w:val="center"/>
          </w:tcPr>
          <w:p w14:paraId="2AEF63FD">
            <w:pPr>
              <w:pStyle w:val="55"/>
              <w:bidi w:val="0"/>
            </w:pPr>
            <w:r>
              <w:rPr>
                <w:rFonts w:hint="eastAsia"/>
                <w:lang w:val="en-US" w:eastAsia="zh-CN"/>
              </w:rPr>
              <w:t>臭气浓度</w:t>
            </w:r>
          </w:p>
        </w:tc>
        <w:tc>
          <w:tcPr>
            <w:tcW w:w="1224" w:type="pct"/>
            <w:vMerge w:val="continue"/>
            <w:vAlign w:val="center"/>
          </w:tcPr>
          <w:p w14:paraId="03A73D44">
            <w:pPr>
              <w:pStyle w:val="55"/>
              <w:bidi w:val="0"/>
            </w:pPr>
          </w:p>
        </w:tc>
        <w:tc>
          <w:tcPr>
            <w:tcW w:w="1637" w:type="pct"/>
            <w:vMerge w:val="continue"/>
            <w:vAlign w:val="center"/>
          </w:tcPr>
          <w:p w14:paraId="5878E96E">
            <w:pPr>
              <w:pStyle w:val="55"/>
              <w:bidi w:val="0"/>
            </w:pPr>
          </w:p>
        </w:tc>
      </w:tr>
      <w:tr w14:paraId="665E0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421" w:type="pct"/>
            <w:vMerge w:val="continue"/>
            <w:vAlign w:val="center"/>
          </w:tcPr>
          <w:p w14:paraId="6A066DCA">
            <w:pPr>
              <w:pStyle w:val="55"/>
              <w:bidi w:val="0"/>
              <w:rPr>
                <w:rFonts w:hint="eastAsia"/>
              </w:rPr>
            </w:pPr>
          </w:p>
        </w:tc>
        <w:tc>
          <w:tcPr>
            <w:tcW w:w="263" w:type="pct"/>
            <w:vMerge w:val="continue"/>
            <w:vAlign w:val="center"/>
          </w:tcPr>
          <w:p w14:paraId="69A7B753">
            <w:pPr>
              <w:pStyle w:val="55"/>
              <w:bidi w:val="0"/>
              <w:rPr>
                <w:rFonts w:hint="eastAsia"/>
              </w:rPr>
            </w:pPr>
          </w:p>
        </w:tc>
        <w:tc>
          <w:tcPr>
            <w:tcW w:w="669" w:type="pct"/>
            <w:vMerge w:val="restart"/>
            <w:vAlign w:val="center"/>
          </w:tcPr>
          <w:p w14:paraId="350281FB">
            <w:pPr>
              <w:pStyle w:val="55"/>
              <w:bidi w:val="0"/>
            </w:pPr>
            <w:r>
              <w:rPr>
                <w:rFonts w:hint="eastAsia"/>
                <w:lang w:val="en-US" w:eastAsia="zh-CN"/>
              </w:rPr>
              <w:t>3</w:t>
            </w:r>
            <w:r>
              <w:rPr>
                <w:rFonts w:hint="eastAsia"/>
              </w:rPr>
              <w:t>#生产车间</w:t>
            </w:r>
            <w:r>
              <w:rPr>
                <w:rFonts w:hint="eastAsia"/>
                <w:lang w:eastAsia="zh-CN"/>
              </w:rPr>
              <w:t>（投料、搅拌、</w:t>
            </w:r>
            <w:r>
              <w:rPr>
                <w:rFonts w:hint="eastAsia"/>
                <w:lang w:val="en-US" w:eastAsia="zh-CN"/>
              </w:rPr>
              <w:t>挤出</w:t>
            </w:r>
            <w:r>
              <w:rPr>
                <w:rFonts w:hint="eastAsia"/>
                <w:lang w:eastAsia="zh-CN"/>
              </w:rPr>
              <w:t>工序）</w:t>
            </w:r>
          </w:p>
        </w:tc>
        <w:tc>
          <w:tcPr>
            <w:tcW w:w="783" w:type="pct"/>
            <w:vAlign w:val="center"/>
          </w:tcPr>
          <w:p w14:paraId="0D2CBCF2">
            <w:pPr>
              <w:pStyle w:val="55"/>
              <w:bidi w:val="0"/>
            </w:pPr>
            <w:r>
              <w:rPr>
                <w:rFonts w:hint="default"/>
                <w:lang w:val="en-US" w:eastAsia="zh-CN"/>
              </w:rPr>
              <w:t>颗粒物</w:t>
            </w:r>
          </w:p>
        </w:tc>
        <w:tc>
          <w:tcPr>
            <w:tcW w:w="1224" w:type="pct"/>
            <w:vMerge w:val="restart"/>
            <w:vAlign w:val="center"/>
          </w:tcPr>
          <w:p w14:paraId="04A00005">
            <w:pPr>
              <w:pStyle w:val="55"/>
              <w:bidi w:val="0"/>
            </w:pPr>
            <w:r>
              <w:rPr>
                <w:rFonts w:hint="eastAsia"/>
                <w:lang w:val="en-US" w:eastAsia="zh-CN"/>
              </w:rPr>
              <w:t>分别经集气罩收集，引入1套“布袋除尘器+两级活性炭吸附装置”处理后，由15m高排气筒（DA003）排放</w:t>
            </w:r>
          </w:p>
        </w:tc>
        <w:tc>
          <w:tcPr>
            <w:tcW w:w="1637" w:type="pct"/>
            <w:vMerge w:val="continue"/>
            <w:vAlign w:val="center"/>
          </w:tcPr>
          <w:p w14:paraId="23DF9C47">
            <w:pPr>
              <w:pStyle w:val="55"/>
              <w:bidi w:val="0"/>
            </w:pPr>
          </w:p>
        </w:tc>
      </w:tr>
      <w:tr w14:paraId="41A37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1" w:type="pct"/>
            <w:vMerge w:val="continue"/>
            <w:vAlign w:val="center"/>
          </w:tcPr>
          <w:p w14:paraId="10C02705">
            <w:pPr>
              <w:pStyle w:val="55"/>
              <w:bidi w:val="0"/>
              <w:rPr>
                <w:rFonts w:hint="eastAsia"/>
              </w:rPr>
            </w:pPr>
          </w:p>
        </w:tc>
        <w:tc>
          <w:tcPr>
            <w:tcW w:w="263" w:type="pct"/>
            <w:vMerge w:val="continue"/>
            <w:vAlign w:val="center"/>
          </w:tcPr>
          <w:p w14:paraId="6C3B40E6">
            <w:pPr>
              <w:pStyle w:val="55"/>
              <w:bidi w:val="0"/>
              <w:rPr>
                <w:rFonts w:hint="eastAsia"/>
              </w:rPr>
            </w:pPr>
          </w:p>
        </w:tc>
        <w:tc>
          <w:tcPr>
            <w:tcW w:w="669" w:type="pct"/>
            <w:vMerge w:val="continue"/>
            <w:vAlign w:val="center"/>
          </w:tcPr>
          <w:p w14:paraId="18FF1E1E">
            <w:pPr>
              <w:pStyle w:val="55"/>
              <w:bidi w:val="0"/>
            </w:pPr>
          </w:p>
        </w:tc>
        <w:tc>
          <w:tcPr>
            <w:tcW w:w="783" w:type="pct"/>
            <w:vAlign w:val="center"/>
          </w:tcPr>
          <w:p w14:paraId="5D1E7F79">
            <w:pPr>
              <w:pStyle w:val="55"/>
              <w:bidi w:val="0"/>
            </w:pPr>
            <w:r>
              <w:rPr>
                <w:rFonts w:hint="eastAsia"/>
                <w:lang w:val="en-US" w:eastAsia="zh-CN"/>
              </w:rPr>
              <w:t>非甲烷总烃</w:t>
            </w:r>
          </w:p>
        </w:tc>
        <w:tc>
          <w:tcPr>
            <w:tcW w:w="1224" w:type="pct"/>
            <w:vMerge w:val="continue"/>
            <w:vAlign w:val="center"/>
          </w:tcPr>
          <w:p w14:paraId="32A9C49C">
            <w:pPr>
              <w:pStyle w:val="55"/>
              <w:bidi w:val="0"/>
            </w:pPr>
          </w:p>
        </w:tc>
        <w:tc>
          <w:tcPr>
            <w:tcW w:w="1637" w:type="pct"/>
            <w:vMerge w:val="continue"/>
            <w:vAlign w:val="center"/>
          </w:tcPr>
          <w:p w14:paraId="2CDF600C">
            <w:pPr>
              <w:pStyle w:val="55"/>
              <w:bidi w:val="0"/>
            </w:pPr>
          </w:p>
        </w:tc>
      </w:tr>
      <w:tr w14:paraId="06EFB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1" w:type="pct"/>
            <w:vMerge w:val="continue"/>
            <w:vAlign w:val="center"/>
          </w:tcPr>
          <w:p w14:paraId="1E7869DF">
            <w:pPr>
              <w:pStyle w:val="55"/>
              <w:bidi w:val="0"/>
              <w:rPr>
                <w:rFonts w:hint="eastAsia"/>
              </w:rPr>
            </w:pPr>
          </w:p>
        </w:tc>
        <w:tc>
          <w:tcPr>
            <w:tcW w:w="263" w:type="pct"/>
            <w:vMerge w:val="continue"/>
            <w:vAlign w:val="center"/>
          </w:tcPr>
          <w:p w14:paraId="21A09AF8">
            <w:pPr>
              <w:pStyle w:val="55"/>
              <w:bidi w:val="0"/>
              <w:rPr>
                <w:rFonts w:hint="eastAsia"/>
              </w:rPr>
            </w:pPr>
          </w:p>
        </w:tc>
        <w:tc>
          <w:tcPr>
            <w:tcW w:w="669" w:type="pct"/>
            <w:vMerge w:val="continue"/>
            <w:vAlign w:val="center"/>
          </w:tcPr>
          <w:p w14:paraId="6AD0EA2C">
            <w:pPr>
              <w:pStyle w:val="55"/>
              <w:bidi w:val="0"/>
            </w:pPr>
          </w:p>
        </w:tc>
        <w:tc>
          <w:tcPr>
            <w:tcW w:w="783" w:type="pct"/>
            <w:vAlign w:val="center"/>
          </w:tcPr>
          <w:p w14:paraId="07D3F770">
            <w:pPr>
              <w:pStyle w:val="55"/>
              <w:bidi w:val="0"/>
            </w:pPr>
            <w:r>
              <w:rPr>
                <w:rFonts w:hint="default"/>
                <w:lang w:val="en-US" w:eastAsia="zh-CN"/>
              </w:rPr>
              <w:t>氯化氢</w:t>
            </w:r>
          </w:p>
        </w:tc>
        <w:tc>
          <w:tcPr>
            <w:tcW w:w="1224" w:type="pct"/>
            <w:vMerge w:val="continue"/>
            <w:vAlign w:val="center"/>
          </w:tcPr>
          <w:p w14:paraId="2644AA90">
            <w:pPr>
              <w:pStyle w:val="55"/>
              <w:bidi w:val="0"/>
            </w:pPr>
          </w:p>
        </w:tc>
        <w:tc>
          <w:tcPr>
            <w:tcW w:w="1637" w:type="pct"/>
            <w:vMerge w:val="continue"/>
            <w:vAlign w:val="center"/>
          </w:tcPr>
          <w:p w14:paraId="1D542EEF">
            <w:pPr>
              <w:pStyle w:val="55"/>
              <w:bidi w:val="0"/>
            </w:pPr>
          </w:p>
        </w:tc>
      </w:tr>
      <w:tr w14:paraId="3C541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1" w:type="pct"/>
            <w:vMerge w:val="continue"/>
            <w:vAlign w:val="center"/>
          </w:tcPr>
          <w:p w14:paraId="16E64DBF">
            <w:pPr>
              <w:pStyle w:val="55"/>
              <w:bidi w:val="0"/>
            </w:pPr>
          </w:p>
        </w:tc>
        <w:tc>
          <w:tcPr>
            <w:tcW w:w="263" w:type="pct"/>
            <w:vMerge w:val="continue"/>
            <w:vAlign w:val="center"/>
          </w:tcPr>
          <w:p w14:paraId="4B9CA969">
            <w:pPr>
              <w:pStyle w:val="55"/>
              <w:bidi w:val="0"/>
            </w:pPr>
          </w:p>
        </w:tc>
        <w:tc>
          <w:tcPr>
            <w:tcW w:w="669" w:type="pct"/>
            <w:vMerge w:val="continue"/>
            <w:vAlign w:val="center"/>
          </w:tcPr>
          <w:p w14:paraId="769366B6">
            <w:pPr>
              <w:pStyle w:val="55"/>
              <w:bidi w:val="0"/>
            </w:pPr>
          </w:p>
        </w:tc>
        <w:tc>
          <w:tcPr>
            <w:tcW w:w="783" w:type="pct"/>
            <w:vAlign w:val="center"/>
          </w:tcPr>
          <w:p w14:paraId="37FFBAF1">
            <w:pPr>
              <w:pStyle w:val="55"/>
              <w:bidi w:val="0"/>
            </w:pPr>
            <w:r>
              <w:rPr>
                <w:rFonts w:hint="eastAsia"/>
                <w:lang w:val="en-US" w:eastAsia="zh-CN"/>
              </w:rPr>
              <w:t>臭气浓度</w:t>
            </w:r>
          </w:p>
        </w:tc>
        <w:tc>
          <w:tcPr>
            <w:tcW w:w="1224" w:type="pct"/>
            <w:vMerge w:val="continue"/>
            <w:vAlign w:val="center"/>
          </w:tcPr>
          <w:p w14:paraId="73DDCE34">
            <w:pPr>
              <w:pStyle w:val="55"/>
              <w:bidi w:val="0"/>
            </w:pPr>
          </w:p>
        </w:tc>
        <w:tc>
          <w:tcPr>
            <w:tcW w:w="1637" w:type="pct"/>
            <w:vMerge w:val="continue"/>
            <w:vAlign w:val="center"/>
          </w:tcPr>
          <w:p w14:paraId="1AF5D490">
            <w:pPr>
              <w:pStyle w:val="55"/>
              <w:bidi w:val="0"/>
            </w:pPr>
          </w:p>
        </w:tc>
      </w:tr>
      <w:tr w14:paraId="20951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1" w:type="pct"/>
            <w:vMerge w:val="continue"/>
            <w:vAlign w:val="center"/>
          </w:tcPr>
          <w:p w14:paraId="3706FD2F">
            <w:pPr>
              <w:pStyle w:val="55"/>
              <w:bidi w:val="0"/>
            </w:pPr>
          </w:p>
        </w:tc>
        <w:tc>
          <w:tcPr>
            <w:tcW w:w="263" w:type="pct"/>
            <w:vMerge w:val="restart"/>
            <w:vAlign w:val="center"/>
          </w:tcPr>
          <w:p w14:paraId="325FFABB">
            <w:pPr>
              <w:pStyle w:val="55"/>
              <w:bidi w:val="0"/>
            </w:pPr>
            <w:r>
              <w:rPr>
                <w:rFonts w:hint="eastAsia"/>
              </w:rPr>
              <w:t>无组织</w:t>
            </w:r>
          </w:p>
        </w:tc>
        <w:tc>
          <w:tcPr>
            <w:tcW w:w="669" w:type="pct"/>
            <w:vMerge w:val="restart"/>
            <w:vAlign w:val="center"/>
          </w:tcPr>
          <w:p w14:paraId="3E63F5B9">
            <w:pPr>
              <w:pStyle w:val="55"/>
              <w:bidi w:val="0"/>
            </w:pPr>
            <w:r>
              <w:rPr>
                <w:rFonts w:hint="eastAsia"/>
              </w:rPr>
              <w:t>厂界</w:t>
            </w:r>
          </w:p>
        </w:tc>
        <w:tc>
          <w:tcPr>
            <w:tcW w:w="783" w:type="pct"/>
            <w:vAlign w:val="center"/>
          </w:tcPr>
          <w:p w14:paraId="53A07025">
            <w:pPr>
              <w:pStyle w:val="55"/>
              <w:bidi w:val="0"/>
            </w:pPr>
            <w:r>
              <w:rPr>
                <w:rFonts w:hint="default"/>
                <w:lang w:val="en-US" w:eastAsia="zh-CN"/>
              </w:rPr>
              <w:t>颗粒物</w:t>
            </w:r>
          </w:p>
        </w:tc>
        <w:tc>
          <w:tcPr>
            <w:tcW w:w="1224" w:type="pct"/>
            <w:vMerge w:val="restart"/>
            <w:vAlign w:val="center"/>
          </w:tcPr>
          <w:p w14:paraId="79570017">
            <w:pPr>
              <w:pStyle w:val="55"/>
              <w:bidi w:val="0"/>
              <w:rPr>
                <w:rFonts w:hint="eastAsia"/>
                <w:lang w:val="en-US" w:eastAsia="zh-CN"/>
              </w:rPr>
            </w:pPr>
            <w:r>
              <w:rPr>
                <w:rFonts w:hint="eastAsia"/>
                <w:lang w:val="en-US" w:eastAsia="zh-CN"/>
              </w:rPr>
              <w:t>/</w:t>
            </w:r>
          </w:p>
        </w:tc>
        <w:tc>
          <w:tcPr>
            <w:tcW w:w="1637" w:type="pct"/>
            <w:vAlign w:val="center"/>
          </w:tcPr>
          <w:p w14:paraId="69CDF582">
            <w:pPr>
              <w:pStyle w:val="55"/>
              <w:bidi w:val="0"/>
            </w:pPr>
            <w:r>
              <w:rPr>
                <w:rFonts w:hint="eastAsia"/>
              </w:rPr>
              <w:t>《合成树脂工业污染物排放标准》（GB31572-2015）</w:t>
            </w:r>
            <w:r>
              <w:rPr>
                <w:rFonts w:hint="eastAsia"/>
                <w:lang w:val="en-US" w:eastAsia="zh-CN"/>
              </w:rPr>
              <w:t>及修改单</w:t>
            </w:r>
            <w:r>
              <w:rPr>
                <w:rFonts w:hint="eastAsia"/>
              </w:rPr>
              <w:t>表9</w:t>
            </w:r>
            <w:r>
              <w:rPr>
                <w:rFonts w:hint="eastAsia"/>
                <w:lang w:val="en-US" w:eastAsia="zh-CN"/>
              </w:rPr>
              <w:t>限值要求</w:t>
            </w:r>
          </w:p>
        </w:tc>
      </w:tr>
      <w:tr w14:paraId="2CFA3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1" w:type="pct"/>
            <w:vMerge w:val="continue"/>
            <w:vAlign w:val="center"/>
          </w:tcPr>
          <w:p w14:paraId="7041507C">
            <w:pPr>
              <w:pStyle w:val="55"/>
              <w:bidi w:val="0"/>
            </w:pPr>
          </w:p>
        </w:tc>
        <w:tc>
          <w:tcPr>
            <w:tcW w:w="263" w:type="pct"/>
            <w:vMerge w:val="continue"/>
            <w:vAlign w:val="center"/>
          </w:tcPr>
          <w:p w14:paraId="2CE1E347">
            <w:pPr>
              <w:pStyle w:val="55"/>
              <w:bidi w:val="0"/>
              <w:rPr>
                <w:rFonts w:hint="eastAsia"/>
              </w:rPr>
            </w:pPr>
          </w:p>
        </w:tc>
        <w:tc>
          <w:tcPr>
            <w:tcW w:w="669" w:type="pct"/>
            <w:vMerge w:val="continue"/>
            <w:vAlign w:val="center"/>
          </w:tcPr>
          <w:p w14:paraId="6BC871A8">
            <w:pPr>
              <w:pStyle w:val="55"/>
              <w:bidi w:val="0"/>
              <w:rPr>
                <w:rFonts w:hint="eastAsia"/>
              </w:rPr>
            </w:pPr>
          </w:p>
        </w:tc>
        <w:tc>
          <w:tcPr>
            <w:tcW w:w="783" w:type="pct"/>
            <w:vMerge w:val="restart"/>
            <w:vAlign w:val="center"/>
          </w:tcPr>
          <w:p w14:paraId="2F9D832A">
            <w:pPr>
              <w:pStyle w:val="55"/>
              <w:bidi w:val="0"/>
            </w:pPr>
            <w:r>
              <w:rPr>
                <w:rFonts w:hint="eastAsia"/>
                <w:lang w:val="en-US" w:eastAsia="zh-CN"/>
              </w:rPr>
              <w:t>非甲烷总烃</w:t>
            </w:r>
          </w:p>
        </w:tc>
        <w:tc>
          <w:tcPr>
            <w:tcW w:w="1224" w:type="pct"/>
            <w:vMerge w:val="continue"/>
            <w:vAlign w:val="center"/>
          </w:tcPr>
          <w:p w14:paraId="43D2116A">
            <w:pPr>
              <w:pStyle w:val="55"/>
              <w:bidi w:val="0"/>
            </w:pPr>
          </w:p>
        </w:tc>
        <w:tc>
          <w:tcPr>
            <w:tcW w:w="1637" w:type="pct"/>
            <w:vAlign w:val="center"/>
          </w:tcPr>
          <w:p w14:paraId="1F25CEC8">
            <w:pPr>
              <w:pStyle w:val="55"/>
              <w:bidi w:val="0"/>
            </w:pPr>
            <w:r>
              <w:rPr>
                <w:rFonts w:hint="eastAsia"/>
                <w:lang w:val="en-US" w:eastAsia="zh-CN"/>
              </w:rPr>
              <w:t>河北省地方标准</w:t>
            </w:r>
            <w:r>
              <w:rPr>
                <w:rFonts w:hint="default"/>
                <w:lang w:val="en-US" w:eastAsia="zh-CN"/>
              </w:rPr>
              <w:t>《工业企业挥发性有机物排放控制标准》（DB13/2322-2016）表2</w:t>
            </w:r>
            <w:r>
              <w:rPr>
                <w:rFonts w:hint="default"/>
              </w:rPr>
              <w:t>企业边界大气污染物浓度限值</w:t>
            </w:r>
            <w:r>
              <w:rPr>
                <w:rFonts w:hint="default"/>
                <w:lang w:val="en-US" w:eastAsia="zh-CN"/>
              </w:rPr>
              <w:t>中其他企业</w:t>
            </w:r>
          </w:p>
        </w:tc>
      </w:tr>
      <w:tr w14:paraId="3D0E7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1" w:type="pct"/>
            <w:vMerge w:val="continue"/>
            <w:vAlign w:val="center"/>
          </w:tcPr>
          <w:p w14:paraId="4CDE299E">
            <w:pPr>
              <w:pStyle w:val="55"/>
              <w:bidi w:val="0"/>
            </w:pPr>
          </w:p>
        </w:tc>
        <w:tc>
          <w:tcPr>
            <w:tcW w:w="263" w:type="pct"/>
            <w:vMerge w:val="continue"/>
            <w:vAlign w:val="center"/>
          </w:tcPr>
          <w:p w14:paraId="2B9460FF">
            <w:pPr>
              <w:pStyle w:val="55"/>
              <w:bidi w:val="0"/>
              <w:rPr>
                <w:rFonts w:hint="eastAsia"/>
              </w:rPr>
            </w:pPr>
          </w:p>
        </w:tc>
        <w:tc>
          <w:tcPr>
            <w:tcW w:w="669" w:type="pct"/>
            <w:vMerge w:val="continue"/>
            <w:vAlign w:val="center"/>
          </w:tcPr>
          <w:p w14:paraId="37F0397B">
            <w:pPr>
              <w:pStyle w:val="55"/>
              <w:bidi w:val="0"/>
              <w:rPr>
                <w:rFonts w:hint="eastAsia"/>
              </w:rPr>
            </w:pPr>
          </w:p>
        </w:tc>
        <w:tc>
          <w:tcPr>
            <w:tcW w:w="783" w:type="pct"/>
            <w:vMerge w:val="continue"/>
            <w:vAlign w:val="center"/>
          </w:tcPr>
          <w:p w14:paraId="1F021FB1">
            <w:pPr>
              <w:pStyle w:val="55"/>
              <w:bidi w:val="0"/>
              <w:rPr>
                <w:rFonts w:hint="eastAsia"/>
                <w:lang w:val="en-US" w:eastAsia="zh-CN"/>
              </w:rPr>
            </w:pPr>
          </w:p>
        </w:tc>
        <w:tc>
          <w:tcPr>
            <w:tcW w:w="1224" w:type="pct"/>
            <w:vMerge w:val="continue"/>
            <w:vAlign w:val="center"/>
          </w:tcPr>
          <w:p w14:paraId="396B6524">
            <w:pPr>
              <w:pStyle w:val="55"/>
              <w:bidi w:val="0"/>
            </w:pPr>
          </w:p>
        </w:tc>
        <w:tc>
          <w:tcPr>
            <w:tcW w:w="1637" w:type="pct"/>
            <w:vAlign w:val="center"/>
          </w:tcPr>
          <w:p w14:paraId="25064358">
            <w:pPr>
              <w:pStyle w:val="55"/>
              <w:bidi w:val="0"/>
            </w:pPr>
            <w:r>
              <w:rPr>
                <w:rFonts w:hint="eastAsia"/>
                <w:lang w:val="en-US" w:eastAsia="zh-CN"/>
              </w:rPr>
              <w:t>厂房外监测点执行</w:t>
            </w:r>
            <w:r>
              <w:rPr>
                <w:rFonts w:hint="default"/>
                <w:lang w:val="en-US" w:eastAsia="zh-CN"/>
              </w:rPr>
              <w:t>《挥发性有机物无组织排放控制标准》（GB37288-2019）附录A 表A.1无组织排放限值要求</w:t>
            </w:r>
          </w:p>
        </w:tc>
      </w:tr>
      <w:tr w14:paraId="4C888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1" w:type="pct"/>
            <w:vMerge w:val="continue"/>
            <w:vAlign w:val="center"/>
          </w:tcPr>
          <w:p w14:paraId="18B9D947">
            <w:pPr>
              <w:pStyle w:val="55"/>
              <w:bidi w:val="0"/>
            </w:pPr>
          </w:p>
        </w:tc>
        <w:tc>
          <w:tcPr>
            <w:tcW w:w="263" w:type="pct"/>
            <w:vMerge w:val="continue"/>
            <w:vAlign w:val="center"/>
          </w:tcPr>
          <w:p w14:paraId="49F1355C">
            <w:pPr>
              <w:pStyle w:val="55"/>
              <w:bidi w:val="0"/>
              <w:rPr>
                <w:rFonts w:hint="eastAsia"/>
              </w:rPr>
            </w:pPr>
          </w:p>
        </w:tc>
        <w:tc>
          <w:tcPr>
            <w:tcW w:w="669" w:type="pct"/>
            <w:vMerge w:val="continue"/>
            <w:vAlign w:val="center"/>
          </w:tcPr>
          <w:p w14:paraId="29E14C7E">
            <w:pPr>
              <w:pStyle w:val="55"/>
              <w:bidi w:val="0"/>
              <w:rPr>
                <w:rFonts w:hint="eastAsia"/>
              </w:rPr>
            </w:pPr>
          </w:p>
        </w:tc>
        <w:tc>
          <w:tcPr>
            <w:tcW w:w="783" w:type="pct"/>
            <w:vAlign w:val="center"/>
          </w:tcPr>
          <w:p w14:paraId="639B7461">
            <w:pPr>
              <w:pStyle w:val="55"/>
              <w:bidi w:val="0"/>
            </w:pPr>
            <w:r>
              <w:rPr>
                <w:rFonts w:hint="default"/>
                <w:lang w:val="en-US" w:eastAsia="zh-CN"/>
              </w:rPr>
              <w:t>氯化氢</w:t>
            </w:r>
          </w:p>
        </w:tc>
        <w:tc>
          <w:tcPr>
            <w:tcW w:w="1224" w:type="pct"/>
            <w:vMerge w:val="continue"/>
            <w:vAlign w:val="center"/>
          </w:tcPr>
          <w:p w14:paraId="235C2BBC">
            <w:pPr>
              <w:pStyle w:val="55"/>
              <w:bidi w:val="0"/>
            </w:pPr>
          </w:p>
        </w:tc>
        <w:tc>
          <w:tcPr>
            <w:tcW w:w="1637" w:type="pct"/>
            <w:vAlign w:val="center"/>
          </w:tcPr>
          <w:p w14:paraId="1DDEA81A">
            <w:pPr>
              <w:pStyle w:val="55"/>
              <w:bidi w:val="0"/>
            </w:pPr>
            <w:r>
              <w:rPr>
                <w:rFonts w:hint="default"/>
              </w:rPr>
              <w:t>《大气污染物综合排放标准》（GB16297-1996）表2无组织排放监控浓度限值</w:t>
            </w:r>
          </w:p>
        </w:tc>
      </w:tr>
      <w:tr w14:paraId="0403E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1" w:type="pct"/>
            <w:vMerge w:val="continue"/>
            <w:vAlign w:val="center"/>
          </w:tcPr>
          <w:p w14:paraId="67EDD82B">
            <w:pPr>
              <w:pStyle w:val="55"/>
              <w:bidi w:val="0"/>
            </w:pPr>
          </w:p>
        </w:tc>
        <w:tc>
          <w:tcPr>
            <w:tcW w:w="263" w:type="pct"/>
            <w:vMerge w:val="continue"/>
            <w:vAlign w:val="center"/>
          </w:tcPr>
          <w:p w14:paraId="0F821167">
            <w:pPr>
              <w:pStyle w:val="55"/>
              <w:bidi w:val="0"/>
              <w:rPr>
                <w:rFonts w:hint="eastAsia"/>
              </w:rPr>
            </w:pPr>
          </w:p>
        </w:tc>
        <w:tc>
          <w:tcPr>
            <w:tcW w:w="669" w:type="pct"/>
            <w:vMerge w:val="continue"/>
            <w:vAlign w:val="center"/>
          </w:tcPr>
          <w:p w14:paraId="082EA44F">
            <w:pPr>
              <w:pStyle w:val="55"/>
              <w:bidi w:val="0"/>
              <w:rPr>
                <w:rFonts w:hint="eastAsia"/>
              </w:rPr>
            </w:pPr>
          </w:p>
        </w:tc>
        <w:tc>
          <w:tcPr>
            <w:tcW w:w="783" w:type="pct"/>
            <w:vAlign w:val="center"/>
          </w:tcPr>
          <w:p w14:paraId="6C691CE5">
            <w:pPr>
              <w:pStyle w:val="55"/>
              <w:bidi w:val="0"/>
            </w:pPr>
            <w:r>
              <w:rPr>
                <w:rFonts w:hint="eastAsia"/>
                <w:lang w:val="en-US" w:eastAsia="zh-CN"/>
              </w:rPr>
              <w:t>臭气浓度</w:t>
            </w:r>
          </w:p>
        </w:tc>
        <w:tc>
          <w:tcPr>
            <w:tcW w:w="1224" w:type="pct"/>
            <w:vMerge w:val="continue"/>
            <w:vAlign w:val="center"/>
          </w:tcPr>
          <w:p w14:paraId="71E1DED5">
            <w:pPr>
              <w:pStyle w:val="55"/>
              <w:bidi w:val="0"/>
            </w:pPr>
          </w:p>
        </w:tc>
        <w:tc>
          <w:tcPr>
            <w:tcW w:w="1637" w:type="pct"/>
            <w:vAlign w:val="center"/>
          </w:tcPr>
          <w:p w14:paraId="256CD0D1">
            <w:pPr>
              <w:pStyle w:val="55"/>
              <w:bidi w:val="0"/>
            </w:pPr>
            <w:r>
              <w:rPr>
                <w:rFonts w:hint="default"/>
              </w:rPr>
              <w:t>《</w:t>
            </w:r>
            <w:r>
              <w:rPr>
                <w:rFonts w:hint="default"/>
                <w:lang w:eastAsia="zh-CN"/>
              </w:rPr>
              <w:t>恶臭污染物排放标准</w:t>
            </w:r>
            <w:r>
              <w:rPr>
                <w:rFonts w:hint="default"/>
              </w:rPr>
              <w:t>》</w:t>
            </w:r>
            <w:r>
              <w:rPr>
                <w:rFonts w:hint="default"/>
                <w:lang w:eastAsia="zh-CN"/>
              </w:rPr>
              <w:t>（</w:t>
            </w:r>
            <w:r>
              <w:rPr>
                <w:rFonts w:hint="default"/>
                <w:lang w:val="en-US" w:eastAsia="zh-CN"/>
              </w:rPr>
              <w:t>GB14554-93</w:t>
            </w:r>
            <w:r>
              <w:rPr>
                <w:rFonts w:hint="default"/>
                <w:lang w:eastAsia="zh-CN"/>
              </w:rPr>
              <w:t>）</w:t>
            </w:r>
            <w:r>
              <w:rPr>
                <w:rFonts w:hint="default"/>
                <w:lang w:val="en-US" w:eastAsia="zh-CN"/>
              </w:rPr>
              <w:t>表1恶臭污染物厂界标准值中二级新改扩建标准</w:t>
            </w:r>
          </w:p>
        </w:tc>
      </w:tr>
      <w:tr w14:paraId="53DA4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1" w:type="pct"/>
            <w:vMerge w:val="restart"/>
            <w:vAlign w:val="center"/>
          </w:tcPr>
          <w:p w14:paraId="0F7A1310">
            <w:pPr>
              <w:pStyle w:val="55"/>
              <w:bidi w:val="0"/>
            </w:pPr>
            <w:r>
              <w:rPr>
                <w:rFonts w:hint="eastAsia"/>
              </w:rPr>
              <w:t>废水</w:t>
            </w:r>
          </w:p>
        </w:tc>
        <w:tc>
          <w:tcPr>
            <w:tcW w:w="932" w:type="pct"/>
            <w:gridSpan w:val="2"/>
            <w:vAlign w:val="center"/>
          </w:tcPr>
          <w:p w14:paraId="1C120770">
            <w:pPr>
              <w:pStyle w:val="55"/>
              <w:bidi w:val="0"/>
            </w:pPr>
            <w:r>
              <w:rPr>
                <w:rFonts w:hint="eastAsia"/>
                <w:lang w:val="en-US" w:eastAsia="zh-CN"/>
              </w:rPr>
              <w:t>生产废水</w:t>
            </w:r>
          </w:p>
        </w:tc>
        <w:tc>
          <w:tcPr>
            <w:tcW w:w="783" w:type="pct"/>
            <w:vAlign w:val="center"/>
          </w:tcPr>
          <w:p w14:paraId="42D7327E">
            <w:pPr>
              <w:pStyle w:val="55"/>
              <w:bidi w:val="0"/>
            </w:pPr>
            <w:r>
              <w:rPr>
                <w:rFonts w:hint="eastAsia"/>
                <w:lang w:val="en-US" w:eastAsia="zh-CN"/>
              </w:rPr>
              <w:t>SS</w:t>
            </w:r>
          </w:p>
        </w:tc>
        <w:tc>
          <w:tcPr>
            <w:tcW w:w="1224" w:type="pct"/>
            <w:vAlign w:val="center"/>
          </w:tcPr>
          <w:p w14:paraId="657E48BB">
            <w:pPr>
              <w:pStyle w:val="55"/>
              <w:bidi w:val="0"/>
            </w:pPr>
            <w:r>
              <w:rPr>
                <w:rFonts w:hint="default"/>
                <w:lang w:eastAsia="zh-CN"/>
              </w:rPr>
              <w:t>生产废水</w:t>
            </w:r>
            <w:r>
              <w:rPr>
                <w:rFonts w:hint="default"/>
              </w:rPr>
              <w:t>循环使用，不外排</w:t>
            </w:r>
          </w:p>
        </w:tc>
        <w:tc>
          <w:tcPr>
            <w:tcW w:w="1637" w:type="pct"/>
            <w:vMerge w:val="restart"/>
            <w:vAlign w:val="center"/>
          </w:tcPr>
          <w:p w14:paraId="50129ED4">
            <w:pPr>
              <w:pStyle w:val="55"/>
              <w:bidi w:val="0"/>
              <w:rPr>
                <w:rFonts w:hint="eastAsia"/>
                <w:lang w:val="en-US" w:eastAsia="zh-CN"/>
              </w:rPr>
            </w:pPr>
            <w:r>
              <w:rPr>
                <w:rFonts w:hint="eastAsia"/>
                <w:lang w:val="en-US" w:eastAsia="zh-CN"/>
              </w:rPr>
              <w:t>/</w:t>
            </w:r>
          </w:p>
        </w:tc>
      </w:tr>
      <w:tr w14:paraId="335E2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1" w:type="pct"/>
            <w:vMerge w:val="continue"/>
            <w:vAlign w:val="center"/>
          </w:tcPr>
          <w:p w14:paraId="65334850">
            <w:pPr>
              <w:pStyle w:val="55"/>
              <w:bidi w:val="0"/>
              <w:rPr>
                <w:rFonts w:hint="eastAsia"/>
              </w:rPr>
            </w:pPr>
          </w:p>
        </w:tc>
        <w:tc>
          <w:tcPr>
            <w:tcW w:w="932" w:type="pct"/>
            <w:gridSpan w:val="2"/>
            <w:vAlign w:val="center"/>
          </w:tcPr>
          <w:p w14:paraId="4DF64FAA">
            <w:pPr>
              <w:pStyle w:val="55"/>
              <w:bidi w:val="0"/>
              <w:rPr>
                <w:rFonts w:hint="eastAsia"/>
              </w:rPr>
            </w:pPr>
            <w:r>
              <w:rPr>
                <w:rFonts w:hint="eastAsia"/>
                <w:lang w:val="en-US" w:eastAsia="zh-CN"/>
              </w:rPr>
              <w:t>生活污水</w:t>
            </w:r>
          </w:p>
        </w:tc>
        <w:tc>
          <w:tcPr>
            <w:tcW w:w="783" w:type="pct"/>
            <w:vAlign w:val="center"/>
          </w:tcPr>
          <w:p w14:paraId="440C43F0">
            <w:pPr>
              <w:pStyle w:val="55"/>
              <w:bidi w:val="0"/>
            </w:pPr>
            <w:r>
              <w:rPr>
                <w:rFonts w:hint="eastAsia"/>
                <w:lang w:val="en-US" w:eastAsia="zh-CN"/>
              </w:rPr>
              <w:t>COD、氨氮</w:t>
            </w:r>
          </w:p>
        </w:tc>
        <w:tc>
          <w:tcPr>
            <w:tcW w:w="1224" w:type="pct"/>
            <w:vAlign w:val="center"/>
          </w:tcPr>
          <w:p w14:paraId="617AAD8A">
            <w:pPr>
              <w:pStyle w:val="55"/>
              <w:bidi w:val="0"/>
            </w:pPr>
            <w:r>
              <w:rPr>
                <w:rFonts w:hint="eastAsia"/>
              </w:rPr>
              <w:t>泼洒厂区地面抑尘，厂区设防渗旱厕，定期清掏</w:t>
            </w:r>
          </w:p>
        </w:tc>
        <w:tc>
          <w:tcPr>
            <w:tcW w:w="1637" w:type="pct"/>
            <w:vMerge w:val="continue"/>
            <w:vAlign w:val="center"/>
          </w:tcPr>
          <w:p w14:paraId="0B8F1F53">
            <w:pPr>
              <w:pStyle w:val="55"/>
              <w:bidi w:val="0"/>
            </w:pPr>
          </w:p>
        </w:tc>
      </w:tr>
      <w:tr w14:paraId="06C99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1" w:type="pct"/>
            <w:vAlign w:val="center"/>
          </w:tcPr>
          <w:p w14:paraId="01C39461">
            <w:pPr>
              <w:pStyle w:val="55"/>
              <w:bidi w:val="0"/>
            </w:pPr>
            <w:r>
              <w:rPr>
                <w:rFonts w:hint="eastAsia"/>
              </w:rPr>
              <w:t>噪声</w:t>
            </w:r>
          </w:p>
        </w:tc>
        <w:tc>
          <w:tcPr>
            <w:tcW w:w="932" w:type="pct"/>
            <w:gridSpan w:val="2"/>
            <w:vAlign w:val="center"/>
          </w:tcPr>
          <w:p w14:paraId="6DA18919">
            <w:pPr>
              <w:pStyle w:val="55"/>
              <w:bidi w:val="0"/>
            </w:pPr>
            <w:r>
              <w:t>设备噪声</w:t>
            </w:r>
          </w:p>
        </w:tc>
        <w:tc>
          <w:tcPr>
            <w:tcW w:w="783" w:type="pct"/>
            <w:vAlign w:val="center"/>
          </w:tcPr>
          <w:p w14:paraId="1F7082B8">
            <w:pPr>
              <w:pStyle w:val="55"/>
              <w:bidi w:val="0"/>
            </w:pPr>
            <w:r>
              <w:rPr>
                <w:rFonts w:hint="eastAsia"/>
              </w:rPr>
              <w:t>等效声级</w:t>
            </w:r>
          </w:p>
        </w:tc>
        <w:tc>
          <w:tcPr>
            <w:tcW w:w="1224" w:type="pct"/>
            <w:vAlign w:val="center"/>
          </w:tcPr>
          <w:p w14:paraId="4C93E944">
            <w:pPr>
              <w:pStyle w:val="55"/>
              <w:bidi w:val="0"/>
            </w:pPr>
            <w:r>
              <w:rPr>
                <w:rFonts w:hint="eastAsia"/>
              </w:rPr>
              <w:t>采取低噪声设备，采用减振、降噪等措施</w:t>
            </w:r>
          </w:p>
        </w:tc>
        <w:tc>
          <w:tcPr>
            <w:tcW w:w="1637" w:type="pct"/>
            <w:vAlign w:val="center"/>
          </w:tcPr>
          <w:p w14:paraId="27DAAE47">
            <w:pPr>
              <w:pStyle w:val="55"/>
              <w:bidi w:val="0"/>
            </w:pPr>
            <w:r>
              <w:rPr>
                <w:rFonts w:hint="eastAsia"/>
              </w:rPr>
              <w:t>《工业企业厂界环境噪声排放标准》（GB12348-2008）2类标准</w:t>
            </w:r>
          </w:p>
        </w:tc>
      </w:tr>
      <w:tr w14:paraId="0793B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1" w:type="pct"/>
            <w:vMerge w:val="restart"/>
            <w:vAlign w:val="center"/>
          </w:tcPr>
          <w:p w14:paraId="5F4F9264">
            <w:pPr>
              <w:pStyle w:val="55"/>
              <w:bidi w:val="0"/>
            </w:pPr>
            <w:r>
              <w:rPr>
                <w:rFonts w:hint="eastAsia"/>
              </w:rPr>
              <w:t>固体废物</w:t>
            </w:r>
          </w:p>
        </w:tc>
        <w:tc>
          <w:tcPr>
            <w:tcW w:w="932" w:type="pct"/>
            <w:gridSpan w:val="2"/>
            <w:vAlign w:val="center"/>
          </w:tcPr>
          <w:p w14:paraId="43652F89">
            <w:pPr>
              <w:pStyle w:val="55"/>
              <w:bidi w:val="0"/>
            </w:pPr>
            <w:r>
              <w:rPr>
                <w:rFonts w:hint="eastAsia"/>
                <w:lang w:val="en-US" w:eastAsia="zh-CN"/>
              </w:rPr>
              <w:t>分拣工序</w:t>
            </w:r>
          </w:p>
        </w:tc>
        <w:tc>
          <w:tcPr>
            <w:tcW w:w="783" w:type="pct"/>
            <w:vAlign w:val="center"/>
          </w:tcPr>
          <w:p w14:paraId="629988B0">
            <w:pPr>
              <w:pStyle w:val="55"/>
              <w:bidi w:val="0"/>
            </w:pPr>
            <w:r>
              <w:rPr>
                <w:rFonts w:hint="eastAsia"/>
              </w:rPr>
              <w:t>分拣废物</w:t>
            </w:r>
          </w:p>
        </w:tc>
        <w:tc>
          <w:tcPr>
            <w:tcW w:w="1224" w:type="pct"/>
            <w:vAlign w:val="center"/>
          </w:tcPr>
          <w:p w14:paraId="52FAE4A1">
            <w:pPr>
              <w:pStyle w:val="55"/>
              <w:bidi w:val="0"/>
            </w:pPr>
            <w:r>
              <w:rPr>
                <w:rFonts w:hint="eastAsia"/>
              </w:rPr>
              <w:t>定期送往环卫部门指定地点处置</w:t>
            </w:r>
          </w:p>
        </w:tc>
        <w:tc>
          <w:tcPr>
            <w:tcW w:w="1637" w:type="pct"/>
            <w:vMerge w:val="restart"/>
            <w:vAlign w:val="center"/>
          </w:tcPr>
          <w:p w14:paraId="790A94B6">
            <w:pPr>
              <w:pStyle w:val="55"/>
              <w:bidi w:val="0"/>
              <w:rPr>
                <w:rFonts w:hint="default"/>
                <w:lang w:val="en-US" w:eastAsia="zh-CN"/>
              </w:rPr>
            </w:pPr>
            <w:r>
              <w:rPr>
                <w:rFonts w:hint="eastAsia"/>
              </w:rPr>
              <w:t>《一般工业固体废物贮存和填埋污染控制标准》（GB18599-2020）</w:t>
            </w:r>
            <w:r>
              <w:rPr>
                <w:rFonts w:hint="eastAsia"/>
                <w:lang w:val="en-US" w:eastAsia="zh-CN"/>
              </w:rPr>
              <w:t>的相关要求</w:t>
            </w:r>
          </w:p>
        </w:tc>
      </w:tr>
      <w:tr w14:paraId="5E88D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1" w:type="pct"/>
            <w:vMerge w:val="continue"/>
            <w:vAlign w:val="center"/>
          </w:tcPr>
          <w:p w14:paraId="2E5FE34A">
            <w:pPr>
              <w:pStyle w:val="55"/>
              <w:bidi w:val="0"/>
            </w:pPr>
          </w:p>
        </w:tc>
        <w:tc>
          <w:tcPr>
            <w:tcW w:w="932" w:type="pct"/>
            <w:gridSpan w:val="2"/>
            <w:vAlign w:val="center"/>
          </w:tcPr>
          <w:p w14:paraId="6BA1A95F">
            <w:pPr>
              <w:pStyle w:val="55"/>
              <w:bidi w:val="0"/>
            </w:pPr>
            <w:r>
              <w:rPr>
                <w:rFonts w:hint="eastAsia"/>
              </w:rPr>
              <w:t>沉淀池</w:t>
            </w:r>
          </w:p>
        </w:tc>
        <w:tc>
          <w:tcPr>
            <w:tcW w:w="783" w:type="pct"/>
            <w:vAlign w:val="center"/>
          </w:tcPr>
          <w:p w14:paraId="154DC16E">
            <w:pPr>
              <w:pStyle w:val="55"/>
              <w:bidi w:val="0"/>
            </w:pPr>
            <w:r>
              <w:rPr>
                <w:rFonts w:hint="eastAsia"/>
              </w:rPr>
              <w:t>污泥</w:t>
            </w:r>
          </w:p>
        </w:tc>
        <w:tc>
          <w:tcPr>
            <w:tcW w:w="1224" w:type="pct"/>
            <w:vAlign w:val="center"/>
          </w:tcPr>
          <w:p w14:paraId="25F59A0B">
            <w:pPr>
              <w:pStyle w:val="55"/>
              <w:bidi w:val="0"/>
            </w:pPr>
            <w:r>
              <w:rPr>
                <w:rFonts w:hint="eastAsia"/>
              </w:rPr>
              <w:t>定期清掏自然干化后作为生活垃圾交由环卫部门处理</w:t>
            </w:r>
          </w:p>
        </w:tc>
        <w:tc>
          <w:tcPr>
            <w:tcW w:w="1637" w:type="pct"/>
            <w:vMerge w:val="continue"/>
            <w:vAlign w:val="center"/>
          </w:tcPr>
          <w:p w14:paraId="213C0FF3">
            <w:pPr>
              <w:pStyle w:val="55"/>
              <w:bidi w:val="0"/>
            </w:pPr>
          </w:p>
        </w:tc>
      </w:tr>
      <w:tr w14:paraId="01EC0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1" w:type="pct"/>
            <w:vMerge w:val="continue"/>
            <w:vAlign w:val="center"/>
          </w:tcPr>
          <w:p w14:paraId="18E27204">
            <w:pPr>
              <w:pStyle w:val="55"/>
              <w:bidi w:val="0"/>
            </w:pPr>
          </w:p>
        </w:tc>
        <w:tc>
          <w:tcPr>
            <w:tcW w:w="932" w:type="pct"/>
            <w:gridSpan w:val="2"/>
            <w:vAlign w:val="center"/>
          </w:tcPr>
          <w:p w14:paraId="4A7741F1">
            <w:pPr>
              <w:pStyle w:val="55"/>
              <w:bidi w:val="0"/>
            </w:pPr>
            <w:r>
              <w:rPr>
                <w:rFonts w:hint="eastAsia"/>
                <w:lang w:val="en-US" w:eastAsia="zh-CN"/>
              </w:rPr>
              <w:t>挤出工序</w:t>
            </w:r>
          </w:p>
        </w:tc>
        <w:tc>
          <w:tcPr>
            <w:tcW w:w="783" w:type="pct"/>
            <w:vAlign w:val="center"/>
          </w:tcPr>
          <w:p w14:paraId="1B533ABC">
            <w:pPr>
              <w:pStyle w:val="55"/>
              <w:bidi w:val="0"/>
            </w:pPr>
            <w:r>
              <w:rPr>
                <w:rFonts w:hint="eastAsia"/>
              </w:rPr>
              <w:t>废滤网</w:t>
            </w:r>
          </w:p>
        </w:tc>
        <w:tc>
          <w:tcPr>
            <w:tcW w:w="1224" w:type="pct"/>
            <w:vAlign w:val="center"/>
          </w:tcPr>
          <w:p w14:paraId="14DBD451">
            <w:pPr>
              <w:pStyle w:val="55"/>
              <w:bidi w:val="0"/>
            </w:pPr>
            <w:r>
              <w:rPr>
                <w:rFonts w:hint="default"/>
                <w:lang w:val="en-US" w:eastAsia="zh-CN"/>
              </w:rPr>
              <w:t>由原厂家回收</w:t>
            </w:r>
          </w:p>
        </w:tc>
        <w:tc>
          <w:tcPr>
            <w:tcW w:w="1637" w:type="pct"/>
            <w:vMerge w:val="continue"/>
            <w:vAlign w:val="center"/>
          </w:tcPr>
          <w:p w14:paraId="538B014B">
            <w:pPr>
              <w:pStyle w:val="55"/>
              <w:bidi w:val="0"/>
            </w:pPr>
          </w:p>
        </w:tc>
      </w:tr>
      <w:tr w14:paraId="4FF2F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1" w:type="pct"/>
            <w:vMerge w:val="continue"/>
            <w:vAlign w:val="center"/>
          </w:tcPr>
          <w:p w14:paraId="759E70CB">
            <w:pPr>
              <w:pStyle w:val="55"/>
              <w:bidi w:val="0"/>
            </w:pPr>
          </w:p>
        </w:tc>
        <w:tc>
          <w:tcPr>
            <w:tcW w:w="932" w:type="pct"/>
            <w:gridSpan w:val="2"/>
            <w:vAlign w:val="center"/>
          </w:tcPr>
          <w:p w14:paraId="1845C3A1">
            <w:pPr>
              <w:pStyle w:val="55"/>
              <w:bidi w:val="0"/>
            </w:pPr>
            <w:r>
              <w:rPr>
                <w:rFonts w:hint="eastAsia"/>
              </w:rPr>
              <w:t>布袋除尘器</w:t>
            </w:r>
          </w:p>
        </w:tc>
        <w:tc>
          <w:tcPr>
            <w:tcW w:w="783" w:type="pct"/>
            <w:vAlign w:val="center"/>
          </w:tcPr>
          <w:p w14:paraId="1CDFD027">
            <w:pPr>
              <w:pStyle w:val="55"/>
              <w:bidi w:val="0"/>
            </w:pPr>
            <w:r>
              <w:rPr>
                <w:rFonts w:hint="eastAsia"/>
              </w:rPr>
              <w:t>除尘灰</w:t>
            </w:r>
          </w:p>
        </w:tc>
        <w:tc>
          <w:tcPr>
            <w:tcW w:w="1224" w:type="pct"/>
            <w:vAlign w:val="center"/>
          </w:tcPr>
          <w:p w14:paraId="043D510D">
            <w:pPr>
              <w:pStyle w:val="55"/>
              <w:bidi w:val="0"/>
            </w:pPr>
            <w:r>
              <w:rPr>
                <w:rFonts w:hint="eastAsia"/>
                <w:lang w:val="en-US" w:eastAsia="zh-CN"/>
              </w:rPr>
              <w:t>全部回用于生产</w:t>
            </w:r>
          </w:p>
        </w:tc>
        <w:tc>
          <w:tcPr>
            <w:tcW w:w="1637" w:type="pct"/>
            <w:vMerge w:val="continue"/>
            <w:vAlign w:val="center"/>
          </w:tcPr>
          <w:p w14:paraId="5B48643E">
            <w:pPr>
              <w:pStyle w:val="55"/>
              <w:bidi w:val="0"/>
            </w:pPr>
          </w:p>
        </w:tc>
      </w:tr>
      <w:tr w14:paraId="3F1A8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1" w:type="pct"/>
            <w:vMerge w:val="continue"/>
            <w:vAlign w:val="center"/>
          </w:tcPr>
          <w:p w14:paraId="5FDBE392">
            <w:pPr>
              <w:pStyle w:val="55"/>
              <w:bidi w:val="0"/>
            </w:pPr>
          </w:p>
        </w:tc>
        <w:tc>
          <w:tcPr>
            <w:tcW w:w="932" w:type="pct"/>
            <w:gridSpan w:val="2"/>
            <w:vAlign w:val="center"/>
          </w:tcPr>
          <w:p w14:paraId="5FFF9FF4">
            <w:pPr>
              <w:pStyle w:val="55"/>
              <w:bidi w:val="0"/>
              <w:rPr>
                <w:rFonts w:hint="eastAsia" w:eastAsia="楷体"/>
                <w:lang w:eastAsia="zh-CN"/>
              </w:rPr>
            </w:pPr>
            <w:r>
              <w:rPr>
                <w:rFonts w:hint="eastAsia"/>
                <w:lang w:eastAsia="zh-CN"/>
              </w:rPr>
              <w:t>原料包装</w:t>
            </w:r>
          </w:p>
        </w:tc>
        <w:tc>
          <w:tcPr>
            <w:tcW w:w="783" w:type="pct"/>
            <w:vAlign w:val="center"/>
          </w:tcPr>
          <w:p w14:paraId="4F43B1B0">
            <w:pPr>
              <w:pStyle w:val="55"/>
              <w:bidi w:val="0"/>
            </w:pPr>
            <w:r>
              <w:rPr>
                <w:rFonts w:hint="eastAsia"/>
              </w:rPr>
              <w:t>废包装袋</w:t>
            </w:r>
          </w:p>
        </w:tc>
        <w:tc>
          <w:tcPr>
            <w:tcW w:w="1224" w:type="pct"/>
            <w:vAlign w:val="center"/>
          </w:tcPr>
          <w:p w14:paraId="0413403B">
            <w:pPr>
              <w:pStyle w:val="55"/>
              <w:bidi w:val="0"/>
            </w:pPr>
            <w:r>
              <w:rPr>
                <w:rFonts w:hint="eastAsia"/>
              </w:rPr>
              <w:t>定期外售废品收购站</w:t>
            </w:r>
          </w:p>
        </w:tc>
        <w:tc>
          <w:tcPr>
            <w:tcW w:w="1637" w:type="pct"/>
            <w:vMerge w:val="continue"/>
            <w:vAlign w:val="center"/>
          </w:tcPr>
          <w:p w14:paraId="02CA7606">
            <w:pPr>
              <w:pStyle w:val="55"/>
              <w:bidi w:val="0"/>
            </w:pPr>
          </w:p>
        </w:tc>
      </w:tr>
      <w:tr w14:paraId="71394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1" w:type="pct"/>
            <w:vMerge w:val="continue"/>
            <w:vAlign w:val="center"/>
          </w:tcPr>
          <w:p w14:paraId="5AFD4BE1">
            <w:pPr>
              <w:pStyle w:val="55"/>
              <w:bidi w:val="0"/>
            </w:pPr>
          </w:p>
        </w:tc>
        <w:tc>
          <w:tcPr>
            <w:tcW w:w="932" w:type="pct"/>
            <w:gridSpan w:val="2"/>
            <w:vMerge w:val="restart"/>
            <w:vAlign w:val="center"/>
          </w:tcPr>
          <w:p w14:paraId="6E99F026">
            <w:pPr>
              <w:pStyle w:val="55"/>
              <w:bidi w:val="0"/>
              <w:rPr>
                <w:rFonts w:hint="eastAsia" w:eastAsia="楷体"/>
                <w:lang w:eastAsia="zh-CN"/>
              </w:rPr>
            </w:pPr>
            <w:r>
              <w:rPr>
                <w:rFonts w:hint="eastAsia"/>
                <w:lang w:eastAsia="zh-CN"/>
              </w:rPr>
              <w:t>环保装置</w:t>
            </w:r>
          </w:p>
        </w:tc>
        <w:tc>
          <w:tcPr>
            <w:tcW w:w="783" w:type="pct"/>
            <w:vAlign w:val="center"/>
          </w:tcPr>
          <w:p w14:paraId="5AB65D71">
            <w:pPr>
              <w:pStyle w:val="55"/>
              <w:bidi w:val="0"/>
            </w:pPr>
            <w:r>
              <w:rPr>
                <w:rFonts w:hint="default"/>
              </w:rPr>
              <w:t>废活性炭</w:t>
            </w:r>
          </w:p>
        </w:tc>
        <w:tc>
          <w:tcPr>
            <w:tcW w:w="1224" w:type="pct"/>
            <w:vMerge w:val="restart"/>
            <w:vAlign w:val="center"/>
          </w:tcPr>
          <w:p w14:paraId="7C536B4B">
            <w:pPr>
              <w:pStyle w:val="55"/>
              <w:bidi w:val="0"/>
            </w:pPr>
            <w:r>
              <w:rPr>
                <w:rFonts w:hint="default"/>
                <w:lang w:val="en-US" w:eastAsia="zh-CN"/>
              </w:rPr>
              <w:t>暂存于危废暂存间，定期委托有资质单位处置</w:t>
            </w:r>
          </w:p>
        </w:tc>
        <w:tc>
          <w:tcPr>
            <w:tcW w:w="1637" w:type="pct"/>
            <w:vMerge w:val="restart"/>
            <w:vAlign w:val="center"/>
          </w:tcPr>
          <w:p w14:paraId="3A4248F9">
            <w:pPr>
              <w:pStyle w:val="55"/>
              <w:bidi w:val="0"/>
            </w:pPr>
            <w:r>
              <w:rPr>
                <w:rFonts w:hint="eastAsia"/>
              </w:rPr>
              <w:t>《危险废物贮存污染控制标准》（GB 18597-2023）</w:t>
            </w:r>
            <w:r>
              <w:rPr>
                <w:rFonts w:hint="eastAsia"/>
                <w:lang w:val="en-US" w:eastAsia="zh-CN"/>
              </w:rPr>
              <w:t>的相关要求</w:t>
            </w:r>
          </w:p>
        </w:tc>
      </w:tr>
      <w:tr w14:paraId="3A40A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1" w:type="pct"/>
            <w:vMerge w:val="continue"/>
            <w:vAlign w:val="center"/>
          </w:tcPr>
          <w:p w14:paraId="2BBA77A3">
            <w:pPr>
              <w:pStyle w:val="55"/>
              <w:bidi w:val="0"/>
            </w:pPr>
          </w:p>
        </w:tc>
        <w:tc>
          <w:tcPr>
            <w:tcW w:w="932" w:type="pct"/>
            <w:gridSpan w:val="2"/>
            <w:vMerge w:val="continue"/>
            <w:vAlign w:val="center"/>
          </w:tcPr>
          <w:p w14:paraId="0BD6E598">
            <w:pPr>
              <w:pStyle w:val="55"/>
              <w:bidi w:val="0"/>
            </w:pPr>
          </w:p>
        </w:tc>
        <w:tc>
          <w:tcPr>
            <w:tcW w:w="783" w:type="pct"/>
            <w:vAlign w:val="center"/>
          </w:tcPr>
          <w:p w14:paraId="50DFE9E5">
            <w:pPr>
              <w:pStyle w:val="55"/>
              <w:bidi w:val="0"/>
            </w:pPr>
            <w:r>
              <w:rPr>
                <w:rFonts w:hint="eastAsia"/>
                <w:lang w:val="en-US" w:eastAsia="zh-CN"/>
              </w:rPr>
              <w:t>废过滤棉</w:t>
            </w:r>
          </w:p>
        </w:tc>
        <w:tc>
          <w:tcPr>
            <w:tcW w:w="1224" w:type="pct"/>
            <w:vMerge w:val="continue"/>
            <w:vAlign w:val="center"/>
          </w:tcPr>
          <w:p w14:paraId="5325E343">
            <w:pPr>
              <w:pStyle w:val="55"/>
              <w:bidi w:val="0"/>
            </w:pPr>
          </w:p>
        </w:tc>
        <w:tc>
          <w:tcPr>
            <w:tcW w:w="1637" w:type="pct"/>
            <w:vMerge w:val="continue"/>
            <w:vAlign w:val="center"/>
          </w:tcPr>
          <w:p w14:paraId="41BA6BAF">
            <w:pPr>
              <w:pStyle w:val="55"/>
              <w:bidi w:val="0"/>
            </w:pPr>
          </w:p>
        </w:tc>
      </w:tr>
      <w:tr w14:paraId="5F4D3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1" w:type="pct"/>
            <w:vMerge w:val="continue"/>
            <w:vAlign w:val="center"/>
          </w:tcPr>
          <w:p w14:paraId="07728461">
            <w:pPr>
              <w:pStyle w:val="55"/>
              <w:bidi w:val="0"/>
            </w:pPr>
          </w:p>
        </w:tc>
        <w:tc>
          <w:tcPr>
            <w:tcW w:w="932" w:type="pct"/>
            <w:gridSpan w:val="2"/>
            <w:vMerge w:val="restart"/>
            <w:vAlign w:val="center"/>
          </w:tcPr>
          <w:p w14:paraId="44210AF2">
            <w:pPr>
              <w:pStyle w:val="55"/>
              <w:bidi w:val="0"/>
              <w:rPr>
                <w:rFonts w:hint="eastAsia" w:eastAsia="楷体"/>
                <w:lang w:eastAsia="zh-CN"/>
              </w:rPr>
            </w:pPr>
            <w:r>
              <w:rPr>
                <w:rFonts w:hint="eastAsia"/>
                <w:lang w:eastAsia="zh-CN"/>
              </w:rPr>
              <w:t>设备维修</w:t>
            </w:r>
          </w:p>
        </w:tc>
        <w:tc>
          <w:tcPr>
            <w:tcW w:w="783" w:type="pct"/>
            <w:vAlign w:val="center"/>
          </w:tcPr>
          <w:p w14:paraId="03D1EA3B">
            <w:pPr>
              <w:pStyle w:val="55"/>
              <w:bidi w:val="0"/>
            </w:pPr>
            <w:r>
              <w:rPr>
                <w:rFonts w:hint="default"/>
              </w:rPr>
              <w:t>废</w:t>
            </w:r>
            <w:r>
              <w:rPr>
                <w:rFonts w:hint="eastAsia"/>
                <w:lang w:val="en-US" w:eastAsia="zh-CN"/>
              </w:rPr>
              <w:t>润滑油</w:t>
            </w:r>
          </w:p>
        </w:tc>
        <w:tc>
          <w:tcPr>
            <w:tcW w:w="1224" w:type="pct"/>
            <w:vMerge w:val="continue"/>
            <w:vAlign w:val="center"/>
          </w:tcPr>
          <w:p w14:paraId="01C713C0">
            <w:pPr>
              <w:pStyle w:val="55"/>
              <w:bidi w:val="0"/>
            </w:pPr>
          </w:p>
        </w:tc>
        <w:tc>
          <w:tcPr>
            <w:tcW w:w="1637" w:type="pct"/>
            <w:vMerge w:val="continue"/>
            <w:vAlign w:val="center"/>
          </w:tcPr>
          <w:p w14:paraId="366A04ED">
            <w:pPr>
              <w:pStyle w:val="55"/>
              <w:bidi w:val="0"/>
            </w:pPr>
          </w:p>
        </w:tc>
      </w:tr>
      <w:tr w14:paraId="36CDB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1" w:type="pct"/>
            <w:vMerge w:val="continue"/>
            <w:vAlign w:val="center"/>
          </w:tcPr>
          <w:p w14:paraId="31DAC6FE">
            <w:pPr>
              <w:pStyle w:val="55"/>
              <w:bidi w:val="0"/>
            </w:pPr>
          </w:p>
        </w:tc>
        <w:tc>
          <w:tcPr>
            <w:tcW w:w="932" w:type="pct"/>
            <w:gridSpan w:val="2"/>
            <w:vMerge w:val="continue"/>
            <w:vAlign w:val="center"/>
          </w:tcPr>
          <w:p w14:paraId="07C759FB">
            <w:pPr>
              <w:pStyle w:val="55"/>
              <w:bidi w:val="0"/>
            </w:pPr>
          </w:p>
        </w:tc>
        <w:tc>
          <w:tcPr>
            <w:tcW w:w="783" w:type="pct"/>
            <w:vAlign w:val="center"/>
          </w:tcPr>
          <w:p w14:paraId="4B100732">
            <w:pPr>
              <w:pStyle w:val="55"/>
              <w:bidi w:val="0"/>
            </w:pPr>
            <w:r>
              <w:rPr>
                <w:rFonts w:hint="default"/>
              </w:rPr>
              <w:t>废</w:t>
            </w:r>
            <w:r>
              <w:rPr>
                <w:rFonts w:hint="eastAsia" w:ascii="Times New Roman" w:hAnsi="Times New Roman" w:eastAsia="楷体" w:cs="Times New Roman"/>
                <w:color w:val="000000" w:themeColor="text1"/>
                <w:sz w:val="24"/>
                <w:szCs w:val="24"/>
                <w:highlight w:val="none"/>
                <w:lang w:val="en-US" w:eastAsia="zh-CN"/>
                <w14:textFill>
                  <w14:solidFill>
                    <w14:schemeClr w14:val="tx1"/>
                  </w14:solidFill>
                </w14:textFill>
              </w:rPr>
              <w:t>润滑油</w:t>
            </w:r>
            <w:r>
              <w:rPr>
                <w:rFonts w:hint="eastAsia"/>
                <w:lang w:val="en-US" w:eastAsia="zh-CN"/>
              </w:rPr>
              <w:t>桶</w:t>
            </w:r>
          </w:p>
        </w:tc>
        <w:tc>
          <w:tcPr>
            <w:tcW w:w="1224" w:type="pct"/>
            <w:vMerge w:val="continue"/>
            <w:vAlign w:val="center"/>
          </w:tcPr>
          <w:p w14:paraId="60A1EEEE">
            <w:pPr>
              <w:pStyle w:val="55"/>
              <w:bidi w:val="0"/>
            </w:pPr>
          </w:p>
        </w:tc>
        <w:tc>
          <w:tcPr>
            <w:tcW w:w="1637" w:type="pct"/>
            <w:vMerge w:val="continue"/>
            <w:vAlign w:val="center"/>
          </w:tcPr>
          <w:p w14:paraId="4D2FFF43">
            <w:pPr>
              <w:pStyle w:val="55"/>
              <w:bidi w:val="0"/>
            </w:pPr>
          </w:p>
        </w:tc>
      </w:tr>
      <w:tr w14:paraId="6A917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1" w:type="pct"/>
            <w:vMerge w:val="continue"/>
            <w:vAlign w:val="center"/>
          </w:tcPr>
          <w:p w14:paraId="30B88331">
            <w:pPr>
              <w:pStyle w:val="55"/>
              <w:bidi w:val="0"/>
            </w:pPr>
          </w:p>
        </w:tc>
        <w:tc>
          <w:tcPr>
            <w:tcW w:w="932" w:type="pct"/>
            <w:gridSpan w:val="2"/>
            <w:vAlign w:val="center"/>
          </w:tcPr>
          <w:p w14:paraId="79F1ECEB">
            <w:pPr>
              <w:pStyle w:val="55"/>
              <w:bidi w:val="0"/>
            </w:pPr>
            <w:r>
              <w:rPr>
                <w:rFonts w:hint="eastAsia"/>
                <w:lang w:val="en-US" w:eastAsia="zh-CN"/>
              </w:rPr>
              <w:t>职工生活</w:t>
            </w:r>
          </w:p>
        </w:tc>
        <w:tc>
          <w:tcPr>
            <w:tcW w:w="783" w:type="pct"/>
            <w:vAlign w:val="center"/>
          </w:tcPr>
          <w:p w14:paraId="16AC0BE7">
            <w:pPr>
              <w:pStyle w:val="55"/>
              <w:bidi w:val="0"/>
            </w:pPr>
            <w:r>
              <w:rPr>
                <w:rFonts w:hint="default"/>
              </w:rPr>
              <w:t>生活垃圾</w:t>
            </w:r>
          </w:p>
        </w:tc>
        <w:tc>
          <w:tcPr>
            <w:tcW w:w="1224" w:type="pct"/>
            <w:vAlign w:val="center"/>
          </w:tcPr>
          <w:p w14:paraId="7C140BCD">
            <w:pPr>
              <w:pStyle w:val="55"/>
              <w:bidi w:val="0"/>
            </w:pPr>
            <w:r>
              <w:rPr>
                <w:rFonts w:hint="default"/>
                <w:lang w:val="en-US" w:eastAsia="zh-CN"/>
              </w:rPr>
              <w:t>集中收集后交由环卫部门处理</w:t>
            </w:r>
          </w:p>
        </w:tc>
        <w:tc>
          <w:tcPr>
            <w:tcW w:w="1637" w:type="pct"/>
            <w:vAlign w:val="center"/>
          </w:tcPr>
          <w:p w14:paraId="23926812">
            <w:pPr>
              <w:pStyle w:val="55"/>
              <w:bidi w:val="0"/>
              <w:rPr>
                <w:rFonts w:hint="eastAsia"/>
                <w:lang w:val="en-US" w:eastAsia="zh-CN"/>
              </w:rPr>
            </w:pPr>
            <w:r>
              <w:rPr>
                <w:rFonts w:hint="eastAsia"/>
                <w:lang w:val="en-US" w:eastAsia="zh-CN"/>
              </w:rPr>
              <w:t>/</w:t>
            </w:r>
          </w:p>
        </w:tc>
      </w:tr>
    </w:tbl>
    <w:p w14:paraId="34F80BF2">
      <w:pPr>
        <w:pStyle w:val="90"/>
        <w:bidi w:val="0"/>
        <w:ind w:left="0" w:leftChars="0" w:firstLine="0" w:firstLineChars="0"/>
      </w:pPr>
      <w:bookmarkStart w:id="77" w:name="_Toc30671"/>
      <w:r>
        <w:rPr>
          <w:rFonts w:hint="eastAsia"/>
        </w:rPr>
        <w:t>污染物</w:t>
      </w:r>
      <w:r>
        <w:t>排放清单</w:t>
      </w:r>
      <w:bookmarkEnd w:id="77"/>
    </w:p>
    <w:p w14:paraId="19195637">
      <w:pPr>
        <w:pStyle w:val="47"/>
        <w:ind w:firstLine="482"/>
        <w:sectPr>
          <w:pgSz w:w="11906" w:h="16838"/>
          <w:pgMar w:top="1417" w:right="1417" w:bottom="1417" w:left="1417" w:header="964" w:footer="964" w:gutter="0"/>
          <w:pgBorders>
            <w:top w:val="none" w:sz="0" w:space="0"/>
            <w:left w:val="none" w:sz="0" w:space="0"/>
            <w:bottom w:val="none" w:sz="0" w:space="0"/>
            <w:right w:val="none" w:sz="0" w:space="0"/>
          </w:pgBorders>
          <w:pgNumType w:fmt="decimal"/>
          <w:cols w:space="425" w:num="1"/>
          <w:docGrid w:type="linesAndChars" w:linePitch="326" w:charSpace="190"/>
        </w:sectPr>
      </w:pPr>
      <w:r>
        <w:t>根据项目建设内容，污染物排放清单</w:t>
      </w:r>
      <w:r>
        <w:rPr>
          <w:rFonts w:hint="eastAsia"/>
        </w:rPr>
        <w:t>见下表</w:t>
      </w:r>
      <w:r>
        <w:rPr>
          <w:rFonts w:hint="eastAsia"/>
          <w:lang w:val="en-US" w:eastAsia="zh-CN"/>
        </w:rPr>
        <w:t>9.2-1</w:t>
      </w:r>
      <w:r>
        <w:t>。</w:t>
      </w:r>
    </w:p>
    <w:p w14:paraId="4116086D">
      <w:pPr>
        <w:pStyle w:val="94"/>
        <w:bidi w:val="0"/>
        <w:ind w:left="0" w:leftChars="0" w:firstLine="0" w:firstLineChars="0"/>
      </w:pPr>
      <w:r>
        <w:rPr>
          <w:rFonts w:hint="eastAsia"/>
        </w:rPr>
        <w:t>污染物排放</w:t>
      </w:r>
      <w:r>
        <w:t>清单</w:t>
      </w:r>
    </w:p>
    <w:tbl>
      <w:tblPr>
        <w:tblStyle w:val="3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813"/>
        <w:gridCol w:w="1257"/>
        <w:gridCol w:w="1406"/>
        <w:gridCol w:w="2089"/>
        <w:gridCol w:w="1564"/>
        <w:gridCol w:w="2019"/>
        <w:gridCol w:w="1635"/>
        <w:gridCol w:w="3329"/>
      </w:tblGrid>
      <w:tr w14:paraId="5C91C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restart"/>
            <w:vAlign w:val="center"/>
          </w:tcPr>
          <w:p w14:paraId="5014F24D">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类别</w:t>
            </w:r>
          </w:p>
        </w:tc>
        <w:tc>
          <w:tcPr>
            <w:tcW w:w="445" w:type="pct"/>
            <w:vMerge w:val="restart"/>
            <w:vAlign w:val="center"/>
          </w:tcPr>
          <w:p w14:paraId="3FFEBF21">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污染源</w:t>
            </w:r>
          </w:p>
        </w:tc>
        <w:tc>
          <w:tcPr>
            <w:tcW w:w="498" w:type="pct"/>
            <w:vMerge w:val="restart"/>
            <w:vAlign w:val="center"/>
          </w:tcPr>
          <w:p w14:paraId="5970ABF4">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污染物</w:t>
            </w:r>
          </w:p>
        </w:tc>
        <w:tc>
          <w:tcPr>
            <w:tcW w:w="740" w:type="pct"/>
            <w:vMerge w:val="restart"/>
            <w:vAlign w:val="center"/>
          </w:tcPr>
          <w:p w14:paraId="223E3A41">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环保措施</w:t>
            </w:r>
          </w:p>
        </w:tc>
        <w:tc>
          <w:tcPr>
            <w:tcW w:w="1269" w:type="pct"/>
            <w:gridSpan w:val="2"/>
            <w:vAlign w:val="center"/>
          </w:tcPr>
          <w:p w14:paraId="221F4878">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sz w:val="24"/>
                <w:szCs w:val="24"/>
              </w:rPr>
              <w:t>排放情况</w:t>
            </w:r>
          </w:p>
        </w:tc>
        <w:tc>
          <w:tcPr>
            <w:tcW w:w="579" w:type="pct"/>
            <w:vMerge w:val="restart"/>
            <w:vAlign w:val="center"/>
          </w:tcPr>
          <w:p w14:paraId="4E20DDFF">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eastAsia="楷体"/>
                <w:sz w:val="24"/>
                <w:szCs w:val="24"/>
                <w:lang w:eastAsia="zh-CN"/>
              </w:rPr>
            </w:pPr>
            <w:r>
              <w:rPr>
                <w:rFonts w:hint="eastAsia"/>
                <w:sz w:val="24"/>
                <w:szCs w:val="24"/>
                <w:lang w:val="en-US" w:eastAsia="zh-CN"/>
              </w:rPr>
              <w:t>排放限值</w:t>
            </w:r>
          </w:p>
        </w:tc>
        <w:tc>
          <w:tcPr>
            <w:tcW w:w="1179" w:type="pct"/>
            <w:vMerge w:val="restart"/>
            <w:vAlign w:val="center"/>
          </w:tcPr>
          <w:p w14:paraId="74A299F2">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执行标准</w:t>
            </w:r>
          </w:p>
        </w:tc>
      </w:tr>
      <w:tr w14:paraId="53CA2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continue"/>
            <w:vAlign w:val="center"/>
          </w:tcPr>
          <w:p w14:paraId="72731D17">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rPr>
            </w:pPr>
          </w:p>
        </w:tc>
        <w:tc>
          <w:tcPr>
            <w:tcW w:w="445" w:type="pct"/>
            <w:vMerge w:val="continue"/>
            <w:vAlign w:val="center"/>
          </w:tcPr>
          <w:p w14:paraId="36385B95">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rPr>
            </w:pPr>
          </w:p>
        </w:tc>
        <w:tc>
          <w:tcPr>
            <w:tcW w:w="498" w:type="pct"/>
            <w:vMerge w:val="continue"/>
            <w:vAlign w:val="center"/>
          </w:tcPr>
          <w:p w14:paraId="2A246C8C">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rPr>
            </w:pPr>
          </w:p>
        </w:tc>
        <w:tc>
          <w:tcPr>
            <w:tcW w:w="740" w:type="pct"/>
            <w:vMerge w:val="continue"/>
            <w:vAlign w:val="center"/>
          </w:tcPr>
          <w:p w14:paraId="720CEE6F">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rPr>
            </w:pPr>
          </w:p>
        </w:tc>
        <w:tc>
          <w:tcPr>
            <w:tcW w:w="554" w:type="pct"/>
            <w:vAlign w:val="center"/>
          </w:tcPr>
          <w:p w14:paraId="69CDC393">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排放</w:t>
            </w:r>
            <w:r>
              <w:rPr>
                <w:rFonts w:hint="eastAsia"/>
                <w:sz w:val="24"/>
                <w:szCs w:val="24"/>
                <w:lang w:val="en-US" w:eastAsia="zh-CN"/>
              </w:rPr>
              <w:t>量</w:t>
            </w:r>
            <w:r>
              <w:rPr>
                <w:rFonts w:hint="eastAsia"/>
                <w:sz w:val="24"/>
                <w:szCs w:val="24"/>
              </w:rPr>
              <w:t>/（</w:t>
            </w:r>
            <w:r>
              <w:rPr>
                <w:rFonts w:hint="eastAsia"/>
                <w:sz w:val="24"/>
                <w:szCs w:val="24"/>
                <w:lang w:val="en-US" w:eastAsia="zh-CN"/>
              </w:rPr>
              <w:t>t/a</w:t>
            </w:r>
            <w:r>
              <w:rPr>
                <w:rFonts w:hint="eastAsia"/>
                <w:sz w:val="24"/>
                <w:szCs w:val="24"/>
              </w:rPr>
              <w:t>）</w:t>
            </w:r>
          </w:p>
        </w:tc>
        <w:tc>
          <w:tcPr>
            <w:tcW w:w="715" w:type="pct"/>
            <w:vAlign w:val="center"/>
          </w:tcPr>
          <w:p w14:paraId="5D7711EE">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排放浓度/（mg/m</w:t>
            </w:r>
            <w:r>
              <w:rPr>
                <w:sz w:val="24"/>
                <w:szCs w:val="24"/>
                <w:vertAlign w:val="superscript"/>
              </w:rPr>
              <w:t>3</w:t>
            </w:r>
            <w:r>
              <w:rPr>
                <w:rFonts w:hint="eastAsia"/>
                <w:sz w:val="24"/>
                <w:szCs w:val="24"/>
              </w:rPr>
              <w:t>）</w:t>
            </w:r>
          </w:p>
        </w:tc>
        <w:tc>
          <w:tcPr>
            <w:tcW w:w="579" w:type="pct"/>
            <w:vMerge w:val="continue"/>
            <w:vAlign w:val="center"/>
          </w:tcPr>
          <w:p w14:paraId="1F9C950F">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rPr>
            </w:pPr>
          </w:p>
        </w:tc>
        <w:tc>
          <w:tcPr>
            <w:tcW w:w="1179" w:type="pct"/>
            <w:vMerge w:val="continue"/>
            <w:vAlign w:val="center"/>
          </w:tcPr>
          <w:p w14:paraId="157545CA">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rPr>
            </w:pPr>
          </w:p>
        </w:tc>
      </w:tr>
      <w:tr w14:paraId="2EA78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restart"/>
            <w:vAlign w:val="center"/>
          </w:tcPr>
          <w:p w14:paraId="4B8E5498">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有组织</w:t>
            </w:r>
            <w:r>
              <w:rPr>
                <w:rFonts w:hint="eastAsia"/>
                <w:sz w:val="24"/>
                <w:szCs w:val="24"/>
              </w:rPr>
              <w:t>废气</w:t>
            </w:r>
          </w:p>
        </w:tc>
        <w:tc>
          <w:tcPr>
            <w:tcW w:w="445" w:type="pct"/>
            <w:vMerge w:val="restart"/>
            <w:vAlign w:val="center"/>
          </w:tcPr>
          <w:p w14:paraId="4632728D">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1</w:t>
            </w:r>
            <w:r>
              <w:rPr>
                <w:rFonts w:hint="eastAsia"/>
                <w:sz w:val="24"/>
                <w:szCs w:val="24"/>
              </w:rPr>
              <w:t>#生产车间</w:t>
            </w:r>
            <w:r>
              <w:rPr>
                <w:rFonts w:hint="eastAsia"/>
                <w:sz w:val="24"/>
                <w:szCs w:val="24"/>
                <w:lang w:eastAsia="zh-CN"/>
              </w:rPr>
              <w:t>（投料、搅拌、</w:t>
            </w:r>
            <w:r>
              <w:rPr>
                <w:rFonts w:hint="eastAsia"/>
                <w:sz w:val="24"/>
                <w:szCs w:val="24"/>
                <w:lang w:val="en-US" w:eastAsia="zh-CN"/>
              </w:rPr>
              <w:t>挤出</w:t>
            </w:r>
            <w:r>
              <w:rPr>
                <w:rFonts w:hint="eastAsia"/>
                <w:sz w:val="24"/>
                <w:szCs w:val="24"/>
                <w:lang w:eastAsia="zh-CN"/>
              </w:rPr>
              <w:t>工序）</w:t>
            </w:r>
          </w:p>
        </w:tc>
        <w:tc>
          <w:tcPr>
            <w:tcW w:w="498" w:type="pct"/>
            <w:vAlign w:val="center"/>
          </w:tcPr>
          <w:p w14:paraId="2243AC07">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default" w:ascii="Times New Roman" w:hAnsi="Times New Roman" w:eastAsia="楷体" w:cs="Times New Roman"/>
                <w:sz w:val="24"/>
                <w:szCs w:val="24"/>
                <w:lang w:val="en-US" w:eastAsia="zh-CN"/>
              </w:rPr>
              <w:t>颗粒物</w:t>
            </w:r>
          </w:p>
        </w:tc>
        <w:tc>
          <w:tcPr>
            <w:tcW w:w="740" w:type="pct"/>
            <w:vMerge w:val="restart"/>
            <w:vAlign w:val="center"/>
          </w:tcPr>
          <w:p w14:paraId="1971B72A">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分别经集气罩收集，引入1套“布袋除尘器+两级活性炭吸附装置”处理后，由15m高排气筒（DA001）排放</w:t>
            </w:r>
          </w:p>
        </w:tc>
        <w:tc>
          <w:tcPr>
            <w:tcW w:w="554" w:type="pct"/>
            <w:vAlign w:val="center"/>
          </w:tcPr>
          <w:p w14:paraId="4DA325E8">
            <w:pPr>
              <w:pStyle w:val="55"/>
              <w:bidi w:val="0"/>
              <w:rPr>
                <w:sz w:val="24"/>
                <w:szCs w:val="24"/>
              </w:rPr>
            </w:pPr>
            <w:r>
              <w:rPr>
                <w:rFonts w:hint="eastAsia" w:ascii="Times New Roman" w:hAnsi="Times New Roman"/>
                <w:sz w:val="24"/>
                <w:szCs w:val="24"/>
                <w:lang w:val="en-US" w:eastAsia="zh-CN"/>
              </w:rPr>
              <w:t>1.357</w:t>
            </w:r>
          </w:p>
        </w:tc>
        <w:tc>
          <w:tcPr>
            <w:tcW w:w="715" w:type="pct"/>
            <w:vAlign w:val="center"/>
          </w:tcPr>
          <w:p w14:paraId="1A64B968">
            <w:pPr>
              <w:pStyle w:val="55"/>
              <w:bidi w:val="0"/>
              <w:rPr>
                <w:sz w:val="24"/>
                <w:szCs w:val="24"/>
              </w:rPr>
            </w:pPr>
            <w:r>
              <w:rPr>
                <w:rFonts w:hint="eastAsia" w:ascii="Times New Roman" w:hAnsi="Times New Roman"/>
                <w:sz w:val="24"/>
                <w:szCs w:val="24"/>
                <w:lang w:val="en-US" w:eastAsia="zh-CN"/>
              </w:rPr>
              <w:t>6.284</w:t>
            </w:r>
          </w:p>
        </w:tc>
        <w:tc>
          <w:tcPr>
            <w:tcW w:w="579" w:type="pct"/>
            <w:vAlign w:val="center"/>
          </w:tcPr>
          <w:p w14:paraId="23F0C48D">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color w:val="000000" w:themeColor="text1"/>
                <w:sz w:val="24"/>
                <w:szCs w:val="24"/>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20mg/m</w:t>
            </w:r>
            <w:r>
              <w:rPr>
                <w:rFonts w:hint="eastAsia"/>
                <w:color w:val="000000" w:themeColor="text1"/>
                <w:sz w:val="24"/>
                <w:szCs w:val="24"/>
                <w:vertAlign w:val="superscript"/>
                <w:lang w:val="en-US" w:eastAsia="zh-CN"/>
                <w14:textFill>
                  <w14:solidFill>
                    <w14:schemeClr w14:val="tx1"/>
                  </w14:solidFill>
                </w14:textFill>
              </w:rPr>
              <w:t>3</w:t>
            </w:r>
          </w:p>
        </w:tc>
        <w:tc>
          <w:tcPr>
            <w:tcW w:w="1179" w:type="pct"/>
            <w:vAlign w:val="center"/>
          </w:tcPr>
          <w:p w14:paraId="026ACCFA">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《合成树脂工业污染物排放标准》（GB31572-2015）及修改单表5大气污染物特别排放限值</w:t>
            </w:r>
          </w:p>
        </w:tc>
      </w:tr>
      <w:tr w14:paraId="701D4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continue"/>
            <w:vAlign w:val="center"/>
          </w:tcPr>
          <w:p w14:paraId="66485E94">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rPr>
            </w:pPr>
          </w:p>
        </w:tc>
        <w:tc>
          <w:tcPr>
            <w:tcW w:w="445" w:type="pct"/>
            <w:vMerge w:val="continue"/>
            <w:vAlign w:val="center"/>
          </w:tcPr>
          <w:p w14:paraId="054CC332">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498" w:type="pct"/>
            <w:vAlign w:val="center"/>
          </w:tcPr>
          <w:p w14:paraId="538AC9FE">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lang w:val="en-US" w:eastAsia="zh-CN"/>
              </w:rPr>
              <w:t>非甲烷总烃</w:t>
            </w:r>
          </w:p>
        </w:tc>
        <w:tc>
          <w:tcPr>
            <w:tcW w:w="740" w:type="pct"/>
            <w:vMerge w:val="continue"/>
            <w:vAlign w:val="center"/>
          </w:tcPr>
          <w:p w14:paraId="01918FDF">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54" w:type="pct"/>
            <w:vAlign w:val="center"/>
          </w:tcPr>
          <w:p w14:paraId="21509CB1">
            <w:pPr>
              <w:pStyle w:val="55"/>
              <w:bidi w:val="0"/>
              <w:rPr>
                <w:sz w:val="24"/>
                <w:szCs w:val="24"/>
              </w:rPr>
            </w:pPr>
            <w:r>
              <w:rPr>
                <w:rFonts w:hint="eastAsia" w:ascii="Times New Roman" w:hAnsi="Times New Roman"/>
                <w:sz w:val="24"/>
                <w:szCs w:val="24"/>
                <w:lang w:val="en-US" w:eastAsia="zh-CN"/>
              </w:rPr>
              <w:t>2.277</w:t>
            </w:r>
          </w:p>
        </w:tc>
        <w:tc>
          <w:tcPr>
            <w:tcW w:w="715" w:type="pct"/>
            <w:vAlign w:val="center"/>
          </w:tcPr>
          <w:p w14:paraId="003F30C9">
            <w:pPr>
              <w:pStyle w:val="55"/>
              <w:bidi w:val="0"/>
              <w:rPr>
                <w:sz w:val="24"/>
                <w:szCs w:val="24"/>
              </w:rPr>
            </w:pPr>
            <w:r>
              <w:rPr>
                <w:rFonts w:hint="eastAsia" w:ascii="Times New Roman" w:hAnsi="Times New Roman"/>
                <w:sz w:val="24"/>
                <w:szCs w:val="24"/>
                <w:lang w:val="en-US" w:eastAsia="zh-CN"/>
              </w:rPr>
              <w:t>10.5</w:t>
            </w:r>
          </w:p>
        </w:tc>
        <w:tc>
          <w:tcPr>
            <w:tcW w:w="579" w:type="pct"/>
            <w:vAlign w:val="center"/>
          </w:tcPr>
          <w:p w14:paraId="300576E9">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color w:val="000000" w:themeColor="text1"/>
                <w:sz w:val="24"/>
                <w:szCs w:val="24"/>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4</w:t>
            </w:r>
            <w:r>
              <w:rPr>
                <w:rFonts w:hint="default"/>
                <w:color w:val="000000" w:themeColor="text1"/>
                <w:sz w:val="24"/>
                <w:szCs w:val="24"/>
                <w:lang w:eastAsia="zh-CN"/>
                <w14:textFill>
                  <w14:solidFill>
                    <w14:schemeClr w14:val="tx1"/>
                  </w14:solidFill>
                </w14:textFill>
              </w:rPr>
              <w:t>0</w:t>
            </w:r>
            <w:r>
              <w:rPr>
                <w:rFonts w:hint="eastAsia"/>
                <w:color w:val="000000" w:themeColor="text1"/>
                <w:sz w:val="24"/>
                <w:szCs w:val="24"/>
                <w:lang w:val="en-US" w:eastAsia="zh-CN"/>
                <w14:textFill>
                  <w14:solidFill>
                    <w14:schemeClr w14:val="tx1"/>
                  </w14:solidFill>
                </w14:textFill>
              </w:rPr>
              <w:t>mg/m</w:t>
            </w:r>
            <w:r>
              <w:rPr>
                <w:rFonts w:hint="eastAsia"/>
                <w:color w:val="000000" w:themeColor="text1"/>
                <w:sz w:val="24"/>
                <w:szCs w:val="24"/>
                <w:vertAlign w:val="superscript"/>
                <w:lang w:val="en-US" w:eastAsia="zh-CN"/>
                <w14:textFill>
                  <w14:solidFill>
                    <w14:schemeClr w14:val="tx1"/>
                  </w14:solidFill>
                </w14:textFill>
              </w:rPr>
              <w:t>3</w:t>
            </w:r>
          </w:p>
        </w:tc>
        <w:tc>
          <w:tcPr>
            <w:tcW w:w="1179" w:type="pct"/>
            <w:vAlign w:val="center"/>
          </w:tcPr>
          <w:p w14:paraId="46B64607">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河北省地方标准</w:t>
            </w:r>
            <w:r>
              <w:rPr>
                <w:rFonts w:hint="eastAsia"/>
                <w:color w:val="auto"/>
                <w:kern w:val="0"/>
                <w:sz w:val="24"/>
                <w:szCs w:val="24"/>
              </w:rPr>
              <w:t>《工业企业挥发性有机物排放控制标准》（DB13/2322-2016）原排放限值的50%</w:t>
            </w:r>
          </w:p>
        </w:tc>
      </w:tr>
      <w:tr w14:paraId="6C88E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continue"/>
            <w:vAlign w:val="center"/>
          </w:tcPr>
          <w:p w14:paraId="2CC94141">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rPr>
            </w:pPr>
          </w:p>
        </w:tc>
        <w:tc>
          <w:tcPr>
            <w:tcW w:w="445" w:type="pct"/>
            <w:vMerge w:val="continue"/>
            <w:vAlign w:val="center"/>
          </w:tcPr>
          <w:p w14:paraId="62526043">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498" w:type="pct"/>
            <w:vMerge w:val="restart"/>
            <w:vAlign w:val="center"/>
          </w:tcPr>
          <w:p w14:paraId="74A59A8D">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default" w:ascii="Times New Roman" w:hAnsi="Times New Roman" w:eastAsia="楷体" w:cs="Times New Roman"/>
                <w:sz w:val="24"/>
                <w:szCs w:val="24"/>
                <w:lang w:val="en-US" w:eastAsia="zh-CN"/>
              </w:rPr>
              <w:t>氯化氢</w:t>
            </w:r>
          </w:p>
        </w:tc>
        <w:tc>
          <w:tcPr>
            <w:tcW w:w="740" w:type="pct"/>
            <w:vMerge w:val="continue"/>
            <w:vAlign w:val="center"/>
          </w:tcPr>
          <w:p w14:paraId="2B3FFE8E">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54" w:type="pct"/>
            <w:vMerge w:val="restart"/>
            <w:vAlign w:val="center"/>
          </w:tcPr>
          <w:p w14:paraId="5FF9D218">
            <w:pPr>
              <w:pStyle w:val="55"/>
              <w:bidi w:val="0"/>
              <w:rPr>
                <w:sz w:val="24"/>
                <w:szCs w:val="24"/>
              </w:rPr>
            </w:pPr>
            <w:r>
              <w:rPr>
                <w:rFonts w:hint="eastAsia" w:ascii="Times New Roman" w:hAnsi="Times New Roman"/>
                <w:sz w:val="24"/>
                <w:szCs w:val="24"/>
                <w:lang w:val="en-US" w:eastAsia="zh-CN"/>
              </w:rPr>
              <w:t>0.0015</w:t>
            </w:r>
          </w:p>
        </w:tc>
        <w:tc>
          <w:tcPr>
            <w:tcW w:w="715" w:type="pct"/>
            <w:vMerge w:val="restart"/>
            <w:vAlign w:val="center"/>
          </w:tcPr>
          <w:p w14:paraId="69C9CFA3">
            <w:pPr>
              <w:pStyle w:val="55"/>
              <w:bidi w:val="0"/>
              <w:rPr>
                <w:sz w:val="24"/>
                <w:szCs w:val="24"/>
              </w:rPr>
            </w:pPr>
            <w:r>
              <w:rPr>
                <w:rFonts w:hint="eastAsia" w:ascii="Times New Roman" w:hAnsi="Times New Roman"/>
                <w:sz w:val="24"/>
                <w:szCs w:val="24"/>
                <w:lang w:val="en-US" w:eastAsia="zh-CN"/>
              </w:rPr>
              <w:t>0.007</w:t>
            </w:r>
          </w:p>
        </w:tc>
        <w:tc>
          <w:tcPr>
            <w:tcW w:w="579" w:type="pct"/>
            <w:vAlign w:val="center"/>
          </w:tcPr>
          <w:p w14:paraId="5CD4C000">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color w:val="000000" w:themeColor="text1"/>
                <w:sz w:val="24"/>
                <w:szCs w:val="24"/>
                <w14:textFill>
                  <w14:solidFill>
                    <w14:schemeClr w14:val="tx1"/>
                  </w14:solidFill>
                </w14:textFill>
              </w:rPr>
              <w:t>≤100</w:t>
            </w:r>
            <w:r>
              <w:rPr>
                <w:rFonts w:hint="eastAsia"/>
                <w:color w:val="000000" w:themeColor="text1"/>
                <w:sz w:val="24"/>
                <w:szCs w:val="24"/>
                <w:lang w:val="en-US" w:eastAsia="zh-CN"/>
                <w14:textFill>
                  <w14:solidFill>
                    <w14:schemeClr w14:val="tx1"/>
                  </w14:solidFill>
                </w14:textFill>
              </w:rPr>
              <w:t>mg/m</w:t>
            </w:r>
            <w:r>
              <w:rPr>
                <w:rFonts w:hint="eastAsia"/>
                <w:color w:val="000000" w:themeColor="text1"/>
                <w:sz w:val="24"/>
                <w:szCs w:val="24"/>
                <w:vertAlign w:val="superscript"/>
                <w:lang w:val="en-US" w:eastAsia="zh-CN"/>
                <w14:textFill>
                  <w14:solidFill>
                    <w14:schemeClr w14:val="tx1"/>
                  </w14:solidFill>
                </w14:textFill>
              </w:rPr>
              <w:t>3</w:t>
            </w:r>
          </w:p>
        </w:tc>
        <w:tc>
          <w:tcPr>
            <w:tcW w:w="1179" w:type="pct"/>
            <w:vMerge w:val="restart"/>
            <w:vAlign w:val="center"/>
          </w:tcPr>
          <w:p w14:paraId="0484A62E">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default"/>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《大气污染物综合排放标准》</w:t>
            </w:r>
          </w:p>
          <w:p w14:paraId="24A7CC82">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color w:val="000000" w:themeColor="text1"/>
                <w:sz w:val="24"/>
                <w:szCs w:val="24"/>
                <w14:textFill>
                  <w14:solidFill>
                    <w14:schemeClr w14:val="tx1"/>
                  </w14:solidFill>
                </w14:textFill>
              </w:rPr>
              <w:t>（GB16297-1996）表2中的二级标准</w:t>
            </w:r>
          </w:p>
        </w:tc>
      </w:tr>
      <w:tr w14:paraId="3F109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continue"/>
            <w:vAlign w:val="center"/>
          </w:tcPr>
          <w:p w14:paraId="3BFEAEAE">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rPr>
            </w:pPr>
          </w:p>
        </w:tc>
        <w:tc>
          <w:tcPr>
            <w:tcW w:w="445" w:type="pct"/>
            <w:vMerge w:val="continue"/>
            <w:vAlign w:val="center"/>
          </w:tcPr>
          <w:p w14:paraId="64FCBCE6">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498" w:type="pct"/>
            <w:vMerge w:val="continue"/>
            <w:vAlign w:val="center"/>
          </w:tcPr>
          <w:p w14:paraId="2FBB11FB">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default" w:ascii="Times New Roman" w:hAnsi="Times New Roman" w:eastAsia="楷体" w:cs="Times New Roman"/>
                <w:sz w:val="24"/>
                <w:szCs w:val="24"/>
                <w:lang w:val="en-US" w:eastAsia="zh-CN"/>
              </w:rPr>
            </w:pPr>
          </w:p>
        </w:tc>
        <w:tc>
          <w:tcPr>
            <w:tcW w:w="740" w:type="pct"/>
            <w:vMerge w:val="continue"/>
            <w:vAlign w:val="center"/>
          </w:tcPr>
          <w:p w14:paraId="495BA124">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54" w:type="pct"/>
            <w:vMerge w:val="continue"/>
            <w:vAlign w:val="center"/>
          </w:tcPr>
          <w:p w14:paraId="7AE11B09">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lang w:val="en-US" w:eastAsia="zh-CN"/>
              </w:rPr>
            </w:pPr>
          </w:p>
        </w:tc>
        <w:tc>
          <w:tcPr>
            <w:tcW w:w="715" w:type="pct"/>
            <w:vMerge w:val="continue"/>
            <w:vAlign w:val="center"/>
          </w:tcPr>
          <w:p w14:paraId="5EF714BE">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lang w:val="en-US" w:eastAsia="zh-CN"/>
              </w:rPr>
            </w:pPr>
          </w:p>
        </w:tc>
        <w:tc>
          <w:tcPr>
            <w:tcW w:w="579" w:type="pct"/>
            <w:vAlign w:val="center"/>
          </w:tcPr>
          <w:p w14:paraId="5B911EBC">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color w:val="000000" w:themeColor="text1"/>
                <w:sz w:val="24"/>
                <w:szCs w:val="24"/>
                <w14:textFill>
                  <w14:solidFill>
                    <w14:schemeClr w14:val="tx1"/>
                  </w14:solidFill>
                </w14:textFill>
              </w:rPr>
              <w:t>≤</w:t>
            </w:r>
            <w:r>
              <w:rPr>
                <w:rFonts w:hint="eastAsia"/>
                <w:color w:val="000000" w:themeColor="text1"/>
                <w:lang w:val="en-US" w:eastAsia="zh-CN"/>
                <w14:textFill>
                  <w14:solidFill>
                    <w14:schemeClr w14:val="tx1"/>
                  </w14:solidFill>
                </w14:textFill>
              </w:rPr>
              <w:t>0.26</w:t>
            </w:r>
            <w:r>
              <w:rPr>
                <w:rFonts w:hint="default"/>
                <w:color w:val="000000" w:themeColor="text1"/>
                <w:sz w:val="24"/>
                <w:szCs w:val="24"/>
                <w:lang w:val="en-US" w:eastAsia="zh-CN"/>
                <w14:textFill>
                  <w14:solidFill>
                    <w14:schemeClr w14:val="tx1"/>
                  </w14:solidFill>
                </w14:textFill>
              </w:rPr>
              <w:t>kg/h</w:t>
            </w:r>
          </w:p>
        </w:tc>
        <w:tc>
          <w:tcPr>
            <w:tcW w:w="1179" w:type="pct"/>
            <w:vMerge w:val="continue"/>
            <w:vAlign w:val="center"/>
          </w:tcPr>
          <w:p w14:paraId="6146CA03">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r>
      <w:tr w14:paraId="03307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continue"/>
            <w:vAlign w:val="center"/>
          </w:tcPr>
          <w:p w14:paraId="60BF659A">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rPr>
            </w:pPr>
          </w:p>
        </w:tc>
        <w:tc>
          <w:tcPr>
            <w:tcW w:w="445" w:type="pct"/>
            <w:vMerge w:val="continue"/>
            <w:vAlign w:val="center"/>
          </w:tcPr>
          <w:p w14:paraId="3FBADD64">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498" w:type="pct"/>
            <w:vAlign w:val="center"/>
          </w:tcPr>
          <w:p w14:paraId="37C939F5">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臭气浓度</w:t>
            </w:r>
          </w:p>
        </w:tc>
        <w:tc>
          <w:tcPr>
            <w:tcW w:w="740" w:type="pct"/>
            <w:vMerge w:val="continue"/>
            <w:vAlign w:val="center"/>
          </w:tcPr>
          <w:p w14:paraId="3B5EEAFC">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54" w:type="pct"/>
            <w:vAlign w:val="center"/>
          </w:tcPr>
          <w:p w14:paraId="27293D98">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w:t>
            </w:r>
          </w:p>
        </w:tc>
        <w:tc>
          <w:tcPr>
            <w:tcW w:w="715" w:type="pct"/>
            <w:vAlign w:val="center"/>
          </w:tcPr>
          <w:p w14:paraId="527E695C">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w:t>
            </w:r>
          </w:p>
        </w:tc>
        <w:tc>
          <w:tcPr>
            <w:tcW w:w="579" w:type="pct"/>
            <w:vAlign w:val="center"/>
          </w:tcPr>
          <w:p w14:paraId="1E4B0440">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color w:val="000000" w:themeColor="text1"/>
                <w:sz w:val="24"/>
                <w:szCs w:val="24"/>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2</w:t>
            </w:r>
            <w:r>
              <w:rPr>
                <w:rFonts w:hint="default"/>
                <w:color w:val="000000" w:themeColor="text1"/>
                <w:sz w:val="24"/>
                <w:szCs w:val="24"/>
                <w14:textFill>
                  <w14:solidFill>
                    <w14:schemeClr w14:val="tx1"/>
                  </w14:solidFill>
                </w14:textFill>
              </w:rPr>
              <w:t>0</w:t>
            </w:r>
            <w:r>
              <w:rPr>
                <w:rFonts w:hint="default"/>
                <w:color w:val="000000" w:themeColor="text1"/>
                <w:sz w:val="24"/>
                <w:szCs w:val="24"/>
                <w:lang w:val="en-US" w:eastAsia="zh-CN"/>
                <w14:textFill>
                  <w14:solidFill>
                    <w14:schemeClr w14:val="tx1"/>
                  </w14:solidFill>
                </w14:textFill>
              </w:rPr>
              <w:t>00</w:t>
            </w:r>
            <w:r>
              <w:rPr>
                <w:rFonts w:hint="default"/>
                <w:color w:val="000000" w:themeColor="text1"/>
                <w:sz w:val="24"/>
                <w:szCs w:val="24"/>
                <w14:textFill>
                  <w14:solidFill>
                    <w14:schemeClr w14:val="tx1"/>
                  </w14:solidFill>
                </w14:textFill>
              </w:rPr>
              <w:t>（无量纲）</w:t>
            </w:r>
          </w:p>
        </w:tc>
        <w:tc>
          <w:tcPr>
            <w:tcW w:w="1179" w:type="pct"/>
            <w:vAlign w:val="center"/>
          </w:tcPr>
          <w:p w14:paraId="0708CDD8">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default"/>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《恶臭污染物排放标准》（GB14554-1993）</w:t>
            </w:r>
          </w:p>
          <w:p w14:paraId="19DA9066">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color w:val="000000" w:themeColor="text1"/>
                <w:sz w:val="24"/>
                <w:szCs w:val="24"/>
                <w:lang w:val="en-US" w:eastAsia="zh-CN"/>
                <w14:textFill>
                  <w14:solidFill>
                    <w14:schemeClr w14:val="tx1"/>
                  </w14:solidFill>
                </w14:textFill>
              </w:rPr>
              <w:t>表2恶臭污染物排放标准值</w:t>
            </w:r>
          </w:p>
        </w:tc>
      </w:tr>
      <w:tr w14:paraId="049BC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continue"/>
            <w:vAlign w:val="center"/>
          </w:tcPr>
          <w:p w14:paraId="7D26A8A6">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445" w:type="pct"/>
            <w:vMerge w:val="restart"/>
            <w:vAlign w:val="center"/>
          </w:tcPr>
          <w:p w14:paraId="748EF981">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2</w:t>
            </w:r>
            <w:r>
              <w:rPr>
                <w:rFonts w:hint="eastAsia"/>
                <w:sz w:val="24"/>
                <w:szCs w:val="24"/>
              </w:rPr>
              <w:t>#生产车间</w:t>
            </w:r>
            <w:r>
              <w:rPr>
                <w:rFonts w:hint="eastAsia"/>
                <w:sz w:val="24"/>
                <w:szCs w:val="24"/>
                <w:lang w:eastAsia="zh-CN"/>
              </w:rPr>
              <w:t>（投料、搅拌、</w:t>
            </w:r>
            <w:r>
              <w:rPr>
                <w:rFonts w:hint="eastAsia"/>
                <w:sz w:val="24"/>
                <w:szCs w:val="24"/>
                <w:lang w:val="en-US" w:eastAsia="zh-CN"/>
              </w:rPr>
              <w:t>挤出</w:t>
            </w:r>
            <w:r>
              <w:rPr>
                <w:rFonts w:hint="eastAsia"/>
                <w:sz w:val="24"/>
                <w:szCs w:val="24"/>
                <w:lang w:eastAsia="zh-CN"/>
              </w:rPr>
              <w:t>工序）</w:t>
            </w:r>
          </w:p>
        </w:tc>
        <w:tc>
          <w:tcPr>
            <w:tcW w:w="498" w:type="pct"/>
            <w:vAlign w:val="center"/>
          </w:tcPr>
          <w:p w14:paraId="19573E63">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default" w:ascii="Times New Roman" w:hAnsi="Times New Roman" w:eastAsia="楷体" w:cs="Times New Roman"/>
                <w:sz w:val="24"/>
                <w:szCs w:val="24"/>
                <w:lang w:val="en-US" w:eastAsia="zh-CN"/>
              </w:rPr>
              <w:t>颗粒物</w:t>
            </w:r>
          </w:p>
        </w:tc>
        <w:tc>
          <w:tcPr>
            <w:tcW w:w="740" w:type="pct"/>
            <w:vMerge w:val="restart"/>
            <w:vAlign w:val="center"/>
          </w:tcPr>
          <w:p w14:paraId="02288A49">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分别经集气罩收集，引入1套“布袋除尘器+两级活性炭吸附装置”处理后，由15m高排气筒（DA002）排放</w:t>
            </w:r>
          </w:p>
        </w:tc>
        <w:tc>
          <w:tcPr>
            <w:tcW w:w="554" w:type="pct"/>
            <w:vAlign w:val="center"/>
          </w:tcPr>
          <w:p w14:paraId="5684BC56">
            <w:pPr>
              <w:pStyle w:val="55"/>
              <w:bidi w:val="0"/>
              <w:rPr>
                <w:sz w:val="24"/>
                <w:szCs w:val="24"/>
              </w:rPr>
            </w:pPr>
            <w:r>
              <w:rPr>
                <w:rFonts w:hint="eastAsia" w:ascii="Times New Roman" w:hAnsi="Times New Roman"/>
                <w:sz w:val="24"/>
                <w:szCs w:val="24"/>
                <w:lang w:val="en-US" w:eastAsia="zh-CN"/>
              </w:rPr>
              <w:t>1.357</w:t>
            </w:r>
          </w:p>
        </w:tc>
        <w:tc>
          <w:tcPr>
            <w:tcW w:w="715" w:type="pct"/>
            <w:vAlign w:val="center"/>
          </w:tcPr>
          <w:p w14:paraId="18751439">
            <w:pPr>
              <w:pStyle w:val="55"/>
              <w:bidi w:val="0"/>
              <w:rPr>
                <w:sz w:val="24"/>
                <w:szCs w:val="24"/>
                <w:u w:val="single"/>
              </w:rPr>
            </w:pPr>
            <w:r>
              <w:rPr>
                <w:rFonts w:hint="eastAsia" w:ascii="Times New Roman" w:hAnsi="Times New Roman"/>
                <w:sz w:val="24"/>
                <w:szCs w:val="24"/>
                <w:lang w:val="en-US" w:eastAsia="zh-CN"/>
              </w:rPr>
              <w:t>6.284</w:t>
            </w:r>
          </w:p>
        </w:tc>
        <w:tc>
          <w:tcPr>
            <w:tcW w:w="579" w:type="pct"/>
            <w:vAlign w:val="center"/>
          </w:tcPr>
          <w:p w14:paraId="2E3CA644">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color w:val="000000" w:themeColor="text1"/>
                <w:sz w:val="24"/>
                <w:szCs w:val="24"/>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20mg/m</w:t>
            </w:r>
            <w:r>
              <w:rPr>
                <w:rFonts w:hint="eastAsia"/>
                <w:color w:val="000000" w:themeColor="text1"/>
                <w:sz w:val="24"/>
                <w:szCs w:val="24"/>
                <w:vertAlign w:val="superscript"/>
                <w:lang w:val="en-US" w:eastAsia="zh-CN"/>
                <w14:textFill>
                  <w14:solidFill>
                    <w14:schemeClr w14:val="tx1"/>
                  </w14:solidFill>
                </w14:textFill>
              </w:rPr>
              <w:t>3</w:t>
            </w:r>
          </w:p>
        </w:tc>
        <w:tc>
          <w:tcPr>
            <w:tcW w:w="1179" w:type="pct"/>
            <w:vAlign w:val="center"/>
          </w:tcPr>
          <w:p w14:paraId="6D794AA3">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《合成树脂工业污染物排放标准》（GB31572-2015）及修改单表5大气污染物特别排放限值</w:t>
            </w:r>
          </w:p>
        </w:tc>
      </w:tr>
      <w:tr w14:paraId="72EFE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continue"/>
            <w:vAlign w:val="center"/>
          </w:tcPr>
          <w:p w14:paraId="0097DCC9">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445" w:type="pct"/>
            <w:vMerge w:val="continue"/>
            <w:vAlign w:val="center"/>
          </w:tcPr>
          <w:p w14:paraId="1D945FE3">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498" w:type="pct"/>
            <w:vAlign w:val="center"/>
          </w:tcPr>
          <w:p w14:paraId="74DCE4D0">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lang w:val="en-US" w:eastAsia="zh-CN"/>
              </w:rPr>
              <w:t>非甲烷总烃</w:t>
            </w:r>
          </w:p>
        </w:tc>
        <w:tc>
          <w:tcPr>
            <w:tcW w:w="740" w:type="pct"/>
            <w:vMerge w:val="continue"/>
            <w:vAlign w:val="center"/>
          </w:tcPr>
          <w:p w14:paraId="2A23647F">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54" w:type="pct"/>
            <w:vAlign w:val="center"/>
          </w:tcPr>
          <w:p w14:paraId="0C2B6276">
            <w:pPr>
              <w:pStyle w:val="55"/>
              <w:bidi w:val="0"/>
              <w:rPr>
                <w:sz w:val="24"/>
                <w:szCs w:val="24"/>
                <w:u w:val="single"/>
              </w:rPr>
            </w:pPr>
            <w:r>
              <w:rPr>
                <w:rFonts w:hint="eastAsia" w:ascii="Times New Roman" w:hAnsi="Times New Roman"/>
                <w:sz w:val="24"/>
                <w:szCs w:val="24"/>
                <w:lang w:val="en-US" w:eastAsia="zh-CN"/>
              </w:rPr>
              <w:t>2.277</w:t>
            </w:r>
          </w:p>
        </w:tc>
        <w:tc>
          <w:tcPr>
            <w:tcW w:w="715" w:type="pct"/>
            <w:vAlign w:val="center"/>
          </w:tcPr>
          <w:p w14:paraId="0792BB2D">
            <w:pPr>
              <w:pStyle w:val="55"/>
              <w:bidi w:val="0"/>
              <w:rPr>
                <w:sz w:val="24"/>
                <w:szCs w:val="24"/>
                <w:u w:val="single"/>
              </w:rPr>
            </w:pPr>
            <w:r>
              <w:rPr>
                <w:rFonts w:hint="eastAsia" w:ascii="Times New Roman" w:hAnsi="Times New Roman"/>
                <w:sz w:val="24"/>
                <w:szCs w:val="24"/>
                <w:lang w:val="en-US" w:eastAsia="zh-CN"/>
              </w:rPr>
              <w:t>10.5</w:t>
            </w:r>
          </w:p>
        </w:tc>
        <w:tc>
          <w:tcPr>
            <w:tcW w:w="579" w:type="pct"/>
            <w:vAlign w:val="center"/>
          </w:tcPr>
          <w:p w14:paraId="36A36D0D">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rPr>
            </w:pPr>
            <w:r>
              <w:rPr>
                <w:rFonts w:hint="default"/>
                <w:color w:val="000000" w:themeColor="text1"/>
                <w:sz w:val="24"/>
                <w:szCs w:val="24"/>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4</w:t>
            </w:r>
            <w:r>
              <w:rPr>
                <w:rFonts w:hint="default"/>
                <w:color w:val="000000" w:themeColor="text1"/>
                <w:sz w:val="24"/>
                <w:szCs w:val="24"/>
                <w:lang w:eastAsia="zh-CN"/>
                <w14:textFill>
                  <w14:solidFill>
                    <w14:schemeClr w14:val="tx1"/>
                  </w14:solidFill>
                </w14:textFill>
              </w:rPr>
              <w:t>0</w:t>
            </w:r>
            <w:r>
              <w:rPr>
                <w:rFonts w:hint="eastAsia"/>
                <w:color w:val="000000" w:themeColor="text1"/>
                <w:sz w:val="24"/>
                <w:szCs w:val="24"/>
                <w:lang w:val="en-US" w:eastAsia="zh-CN"/>
                <w14:textFill>
                  <w14:solidFill>
                    <w14:schemeClr w14:val="tx1"/>
                  </w14:solidFill>
                </w14:textFill>
              </w:rPr>
              <w:t>mg/m</w:t>
            </w:r>
            <w:r>
              <w:rPr>
                <w:rFonts w:hint="eastAsia"/>
                <w:color w:val="000000" w:themeColor="text1"/>
                <w:sz w:val="24"/>
                <w:szCs w:val="24"/>
                <w:vertAlign w:val="superscript"/>
                <w:lang w:val="en-US" w:eastAsia="zh-CN"/>
                <w14:textFill>
                  <w14:solidFill>
                    <w14:schemeClr w14:val="tx1"/>
                  </w14:solidFill>
                </w14:textFill>
              </w:rPr>
              <w:t>3</w:t>
            </w:r>
          </w:p>
        </w:tc>
        <w:tc>
          <w:tcPr>
            <w:tcW w:w="1179" w:type="pct"/>
            <w:vAlign w:val="center"/>
          </w:tcPr>
          <w:p w14:paraId="348922B9">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河北省地方标准</w:t>
            </w:r>
            <w:r>
              <w:rPr>
                <w:rFonts w:hint="eastAsia"/>
                <w:color w:val="auto"/>
                <w:kern w:val="0"/>
                <w:sz w:val="24"/>
                <w:szCs w:val="24"/>
              </w:rPr>
              <w:t>《工业企业挥发性有机物排放控制标准》（DB13/2322-2016）原排放限值的50%</w:t>
            </w:r>
          </w:p>
        </w:tc>
      </w:tr>
      <w:tr w14:paraId="32E1A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continue"/>
            <w:vAlign w:val="center"/>
          </w:tcPr>
          <w:p w14:paraId="7F0513D1">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445" w:type="pct"/>
            <w:vMerge w:val="continue"/>
            <w:vAlign w:val="center"/>
          </w:tcPr>
          <w:p w14:paraId="2400F0EF">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498" w:type="pct"/>
            <w:vMerge w:val="restart"/>
            <w:vAlign w:val="center"/>
          </w:tcPr>
          <w:p w14:paraId="042465A8">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default" w:ascii="Times New Roman" w:hAnsi="Times New Roman" w:eastAsia="楷体" w:cs="Times New Roman"/>
                <w:sz w:val="24"/>
                <w:szCs w:val="24"/>
                <w:lang w:val="en-US" w:eastAsia="zh-CN"/>
              </w:rPr>
              <w:t>氯化氢</w:t>
            </w:r>
          </w:p>
        </w:tc>
        <w:tc>
          <w:tcPr>
            <w:tcW w:w="740" w:type="pct"/>
            <w:vMerge w:val="continue"/>
            <w:vAlign w:val="center"/>
          </w:tcPr>
          <w:p w14:paraId="77E077EA">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54" w:type="pct"/>
            <w:vMerge w:val="restart"/>
            <w:vAlign w:val="center"/>
          </w:tcPr>
          <w:p w14:paraId="024F7729">
            <w:pPr>
              <w:pStyle w:val="55"/>
              <w:bidi w:val="0"/>
              <w:rPr>
                <w:sz w:val="24"/>
                <w:szCs w:val="24"/>
                <w:u w:val="single"/>
              </w:rPr>
            </w:pPr>
            <w:r>
              <w:rPr>
                <w:rFonts w:hint="eastAsia" w:ascii="Times New Roman" w:hAnsi="Times New Roman"/>
                <w:sz w:val="24"/>
                <w:szCs w:val="24"/>
                <w:lang w:val="en-US" w:eastAsia="zh-CN"/>
              </w:rPr>
              <w:t>0.0015</w:t>
            </w:r>
          </w:p>
        </w:tc>
        <w:tc>
          <w:tcPr>
            <w:tcW w:w="715" w:type="pct"/>
            <w:vMerge w:val="restart"/>
            <w:vAlign w:val="center"/>
          </w:tcPr>
          <w:p w14:paraId="73DDE43F">
            <w:pPr>
              <w:pStyle w:val="55"/>
              <w:bidi w:val="0"/>
              <w:rPr>
                <w:sz w:val="24"/>
                <w:szCs w:val="24"/>
                <w:u w:val="single"/>
              </w:rPr>
            </w:pPr>
            <w:r>
              <w:rPr>
                <w:rFonts w:hint="eastAsia" w:ascii="Times New Roman" w:hAnsi="Times New Roman"/>
                <w:sz w:val="24"/>
                <w:szCs w:val="24"/>
                <w:lang w:val="en-US" w:eastAsia="zh-CN"/>
              </w:rPr>
              <w:t>0.007</w:t>
            </w:r>
          </w:p>
        </w:tc>
        <w:tc>
          <w:tcPr>
            <w:tcW w:w="579" w:type="pct"/>
            <w:vAlign w:val="center"/>
          </w:tcPr>
          <w:p w14:paraId="163F3A2F">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rPr>
            </w:pPr>
            <w:r>
              <w:rPr>
                <w:rFonts w:hint="default"/>
                <w:color w:val="000000" w:themeColor="text1"/>
                <w:sz w:val="24"/>
                <w:szCs w:val="24"/>
                <w14:textFill>
                  <w14:solidFill>
                    <w14:schemeClr w14:val="tx1"/>
                  </w14:solidFill>
                </w14:textFill>
              </w:rPr>
              <w:t>≤100</w:t>
            </w:r>
            <w:r>
              <w:rPr>
                <w:rFonts w:hint="eastAsia"/>
                <w:color w:val="000000" w:themeColor="text1"/>
                <w:sz w:val="24"/>
                <w:szCs w:val="24"/>
                <w:lang w:val="en-US" w:eastAsia="zh-CN"/>
                <w14:textFill>
                  <w14:solidFill>
                    <w14:schemeClr w14:val="tx1"/>
                  </w14:solidFill>
                </w14:textFill>
              </w:rPr>
              <w:t>mg/m</w:t>
            </w:r>
            <w:r>
              <w:rPr>
                <w:rFonts w:hint="eastAsia"/>
                <w:color w:val="000000" w:themeColor="text1"/>
                <w:sz w:val="24"/>
                <w:szCs w:val="24"/>
                <w:vertAlign w:val="superscript"/>
                <w:lang w:val="en-US" w:eastAsia="zh-CN"/>
                <w14:textFill>
                  <w14:solidFill>
                    <w14:schemeClr w14:val="tx1"/>
                  </w14:solidFill>
                </w14:textFill>
              </w:rPr>
              <w:t>3</w:t>
            </w:r>
          </w:p>
        </w:tc>
        <w:tc>
          <w:tcPr>
            <w:tcW w:w="1179" w:type="pct"/>
            <w:vMerge w:val="restart"/>
            <w:vAlign w:val="center"/>
          </w:tcPr>
          <w:p w14:paraId="02F27B39">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default"/>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《大气污染物综合排放标准》</w:t>
            </w:r>
          </w:p>
          <w:p w14:paraId="7BCF6286">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color w:val="000000" w:themeColor="text1"/>
                <w:sz w:val="24"/>
                <w:szCs w:val="24"/>
                <w14:textFill>
                  <w14:solidFill>
                    <w14:schemeClr w14:val="tx1"/>
                  </w14:solidFill>
                </w14:textFill>
              </w:rPr>
              <w:t>（GB16297-1996）表2中的二级标准</w:t>
            </w:r>
          </w:p>
        </w:tc>
      </w:tr>
      <w:tr w14:paraId="59EE6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continue"/>
            <w:vAlign w:val="center"/>
          </w:tcPr>
          <w:p w14:paraId="0925C466">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445" w:type="pct"/>
            <w:vMerge w:val="continue"/>
            <w:vAlign w:val="center"/>
          </w:tcPr>
          <w:p w14:paraId="43AC7A0C">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498" w:type="pct"/>
            <w:vMerge w:val="continue"/>
            <w:vAlign w:val="center"/>
          </w:tcPr>
          <w:p w14:paraId="429E21BD">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default" w:ascii="Times New Roman" w:hAnsi="Times New Roman" w:eastAsia="楷体" w:cs="Times New Roman"/>
                <w:sz w:val="24"/>
                <w:szCs w:val="24"/>
                <w:lang w:val="en-US" w:eastAsia="zh-CN"/>
              </w:rPr>
            </w:pPr>
          </w:p>
        </w:tc>
        <w:tc>
          <w:tcPr>
            <w:tcW w:w="740" w:type="pct"/>
            <w:vMerge w:val="continue"/>
            <w:vAlign w:val="center"/>
          </w:tcPr>
          <w:p w14:paraId="67268359">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54" w:type="pct"/>
            <w:vMerge w:val="continue"/>
            <w:vAlign w:val="center"/>
          </w:tcPr>
          <w:p w14:paraId="561C3F1B">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lang w:val="en-US" w:eastAsia="zh-CN"/>
              </w:rPr>
            </w:pPr>
          </w:p>
        </w:tc>
        <w:tc>
          <w:tcPr>
            <w:tcW w:w="715" w:type="pct"/>
            <w:vMerge w:val="continue"/>
            <w:vAlign w:val="center"/>
          </w:tcPr>
          <w:p w14:paraId="6F412363">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lang w:val="en-US" w:eastAsia="zh-CN"/>
              </w:rPr>
            </w:pPr>
          </w:p>
        </w:tc>
        <w:tc>
          <w:tcPr>
            <w:tcW w:w="579" w:type="pct"/>
            <w:vAlign w:val="center"/>
          </w:tcPr>
          <w:p w14:paraId="77D3E09D">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rPr>
            </w:pPr>
            <w:r>
              <w:rPr>
                <w:rFonts w:hint="default"/>
                <w:color w:val="000000" w:themeColor="text1"/>
                <w:sz w:val="24"/>
                <w:szCs w:val="24"/>
                <w14:textFill>
                  <w14:solidFill>
                    <w14:schemeClr w14:val="tx1"/>
                  </w14:solidFill>
                </w14:textFill>
              </w:rPr>
              <w:t>≤</w:t>
            </w:r>
            <w:r>
              <w:rPr>
                <w:rFonts w:hint="eastAsia"/>
                <w:color w:val="000000" w:themeColor="text1"/>
                <w:lang w:val="en-US" w:eastAsia="zh-CN"/>
                <w14:textFill>
                  <w14:solidFill>
                    <w14:schemeClr w14:val="tx1"/>
                  </w14:solidFill>
                </w14:textFill>
              </w:rPr>
              <w:t>0.26</w:t>
            </w:r>
            <w:r>
              <w:rPr>
                <w:rFonts w:hint="default"/>
                <w:color w:val="000000" w:themeColor="text1"/>
                <w:sz w:val="24"/>
                <w:szCs w:val="24"/>
                <w:lang w:val="en-US" w:eastAsia="zh-CN"/>
                <w14:textFill>
                  <w14:solidFill>
                    <w14:schemeClr w14:val="tx1"/>
                  </w14:solidFill>
                </w14:textFill>
              </w:rPr>
              <w:t>kg/h</w:t>
            </w:r>
          </w:p>
        </w:tc>
        <w:tc>
          <w:tcPr>
            <w:tcW w:w="1179" w:type="pct"/>
            <w:vMerge w:val="continue"/>
            <w:vAlign w:val="center"/>
          </w:tcPr>
          <w:p w14:paraId="13FEA039">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r>
      <w:tr w14:paraId="49631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continue"/>
            <w:vAlign w:val="center"/>
          </w:tcPr>
          <w:p w14:paraId="497559AD">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445" w:type="pct"/>
            <w:vMerge w:val="continue"/>
            <w:vAlign w:val="center"/>
          </w:tcPr>
          <w:p w14:paraId="25CD19C7">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498" w:type="pct"/>
            <w:vAlign w:val="center"/>
          </w:tcPr>
          <w:p w14:paraId="5BC2149F">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臭气浓度</w:t>
            </w:r>
          </w:p>
        </w:tc>
        <w:tc>
          <w:tcPr>
            <w:tcW w:w="740" w:type="pct"/>
            <w:vMerge w:val="continue"/>
            <w:vAlign w:val="center"/>
          </w:tcPr>
          <w:p w14:paraId="1C8982DF">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54" w:type="pct"/>
            <w:vAlign w:val="center"/>
          </w:tcPr>
          <w:p w14:paraId="3E2097F1">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u w:val="single"/>
              </w:rPr>
            </w:pPr>
            <w:r>
              <w:rPr>
                <w:rFonts w:hint="eastAsia"/>
                <w:sz w:val="24"/>
                <w:szCs w:val="24"/>
                <w:lang w:val="en-US" w:eastAsia="zh-CN"/>
              </w:rPr>
              <w:t>/</w:t>
            </w:r>
          </w:p>
        </w:tc>
        <w:tc>
          <w:tcPr>
            <w:tcW w:w="715" w:type="pct"/>
            <w:vAlign w:val="center"/>
          </w:tcPr>
          <w:p w14:paraId="6F47C63D">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u w:val="single"/>
              </w:rPr>
            </w:pPr>
            <w:r>
              <w:rPr>
                <w:rFonts w:hint="eastAsia"/>
                <w:sz w:val="24"/>
                <w:szCs w:val="24"/>
                <w:lang w:val="en-US" w:eastAsia="zh-CN"/>
              </w:rPr>
              <w:t>/</w:t>
            </w:r>
          </w:p>
        </w:tc>
        <w:tc>
          <w:tcPr>
            <w:tcW w:w="579" w:type="pct"/>
            <w:vAlign w:val="center"/>
          </w:tcPr>
          <w:p w14:paraId="5FB961C0">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rPr>
            </w:pPr>
            <w:r>
              <w:rPr>
                <w:rFonts w:hint="default"/>
                <w:color w:val="000000" w:themeColor="text1"/>
                <w:sz w:val="24"/>
                <w:szCs w:val="24"/>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2</w:t>
            </w:r>
            <w:r>
              <w:rPr>
                <w:rFonts w:hint="default"/>
                <w:color w:val="000000" w:themeColor="text1"/>
                <w:sz w:val="24"/>
                <w:szCs w:val="24"/>
                <w14:textFill>
                  <w14:solidFill>
                    <w14:schemeClr w14:val="tx1"/>
                  </w14:solidFill>
                </w14:textFill>
              </w:rPr>
              <w:t>0</w:t>
            </w:r>
            <w:r>
              <w:rPr>
                <w:rFonts w:hint="default"/>
                <w:color w:val="000000" w:themeColor="text1"/>
                <w:sz w:val="24"/>
                <w:szCs w:val="24"/>
                <w:lang w:val="en-US" w:eastAsia="zh-CN"/>
                <w14:textFill>
                  <w14:solidFill>
                    <w14:schemeClr w14:val="tx1"/>
                  </w14:solidFill>
                </w14:textFill>
              </w:rPr>
              <w:t>00</w:t>
            </w:r>
            <w:r>
              <w:rPr>
                <w:rFonts w:hint="default"/>
                <w:color w:val="000000" w:themeColor="text1"/>
                <w:sz w:val="24"/>
                <w:szCs w:val="24"/>
                <w14:textFill>
                  <w14:solidFill>
                    <w14:schemeClr w14:val="tx1"/>
                  </w14:solidFill>
                </w14:textFill>
              </w:rPr>
              <w:t>（无量纲）</w:t>
            </w:r>
          </w:p>
        </w:tc>
        <w:tc>
          <w:tcPr>
            <w:tcW w:w="1179" w:type="pct"/>
            <w:vAlign w:val="center"/>
          </w:tcPr>
          <w:p w14:paraId="78DEF130">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default"/>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《恶臭污染物排放标准》（GB14554-1993）</w:t>
            </w:r>
          </w:p>
          <w:p w14:paraId="44834F1A">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color w:val="000000" w:themeColor="text1"/>
                <w:sz w:val="24"/>
                <w:szCs w:val="24"/>
                <w:lang w:val="en-US" w:eastAsia="zh-CN"/>
                <w14:textFill>
                  <w14:solidFill>
                    <w14:schemeClr w14:val="tx1"/>
                  </w14:solidFill>
                </w14:textFill>
              </w:rPr>
              <w:t>表2恶臭污染物排放标准值</w:t>
            </w:r>
          </w:p>
        </w:tc>
      </w:tr>
      <w:tr w14:paraId="220D2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continue"/>
            <w:vAlign w:val="center"/>
          </w:tcPr>
          <w:p w14:paraId="08F208E7">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445" w:type="pct"/>
            <w:vMerge w:val="restart"/>
            <w:vAlign w:val="center"/>
          </w:tcPr>
          <w:p w14:paraId="020781E5">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3</w:t>
            </w:r>
            <w:r>
              <w:rPr>
                <w:rFonts w:hint="eastAsia"/>
                <w:sz w:val="24"/>
                <w:szCs w:val="24"/>
              </w:rPr>
              <w:t>#生产车间</w:t>
            </w:r>
            <w:r>
              <w:rPr>
                <w:rFonts w:hint="eastAsia"/>
                <w:sz w:val="24"/>
                <w:szCs w:val="24"/>
                <w:lang w:eastAsia="zh-CN"/>
              </w:rPr>
              <w:t>（投料、搅拌、</w:t>
            </w:r>
            <w:r>
              <w:rPr>
                <w:rFonts w:hint="eastAsia"/>
                <w:sz w:val="24"/>
                <w:szCs w:val="24"/>
                <w:lang w:val="en-US" w:eastAsia="zh-CN"/>
              </w:rPr>
              <w:t>挤出</w:t>
            </w:r>
            <w:r>
              <w:rPr>
                <w:rFonts w:hint="eastAsia"/>
                <w:sz w:val="24"/>
                <w:szCs w:val="24"/>
                <w:lang w:eastAsia="zh-CN"/>
              </w:rPr>
              <w:t>工序）</w:t>
            </w:r>
          </w:p>
        </w:tc>
        <w:tc>
          <w:tcPr>
            <w:tcW w:w="498" w:type="pct"/>
            <w:vAlign w:val="center"/>
          </w:tcPr>
          <w:p w14:paraId="0ED4ACF4">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default" w:ascii="Times New Roman" w:hAnsi="Times New Roman" w:eastAsia="楷体" w:cs="Times New Roman"/>
                <w:sz w:val="24"/>
                <w:szCs w:val="24"/>
                <w:lang w:val="en-US" w:eastAsia="zh-CN"/>
              </w:rPr>
              <w:t>颗粒物</w:t>
            </w:r>
          </w:p>
        </w:tc>
        <w:tc>
          <w:tcPr>
            <w:tcW w:w="740" w:type="pct"/>
            <w:vMerge w:val="restart"/>
            <w:vAlign w:val="center"/>
          </w:tcPr>
          <w:p w14:paraId="5FAC08FF">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分别经集气罩收集，引入1套“布袋除尘器+两级活性炭吸附装置”处理后，由15m高排气筒（DA003）排放</w:t>
            </w:r>
          </w:p>
        </w:tc>
        <w:tc>
          <w:tcPr>
            <w:tcW w:w="554" w:type="pct"/>
            <w:vAlign w:val="center"/>
          </w:tcPr>
          <w:p w14:paraId="696EB815">
            <w:pPr>
              <w:pStyle w:val="55"/>
              <w:bidi w:val="0"/>
              <w:rPr>
                <w:sz w:val="24"/>
                <w:szCs w:val="24"/>
              </w:rPr>
            </w:pPr>
            <w:r>
              <w:rPr>
                <w:rFonts w:hint="eastAsia"/>
                <w:sz w:val="24"/>
                <w:szCs w:val="24"/>
                <w:lang w:val="en-US" w:eastAsia="zh-CN"/>
              </w:rPr>
              <w:t>0.679</w:t>
            </w:r>
          </w:p>
        </w:tc>
        <w:tc>
          <w:tcPr>
            <w:tcW w:w="715" w:type="pct"/>
            <w:vAlign w:val="center"/>
          </w:tcPr>
          <w:p w14:paraId="044F70A3">
            <w:pPr>
              <w:pStyle w:val="55"/>
              <w:bidi w:val="0"/>
              <w:rPr>
                <w:sz w:val="24"/>
                <w:szCs w:val="24"/>
              </w:rPr>
            </w:pPr>
            <w:r>
              <w:rPr>
                <w:rFonts w:hint="eastAsia"/>
                <w:sz w:val="24"/>
                <w:szCs w:val="24"/>
                <w:lang w:val="en-US" w:eastAsia="zh-CN"/>
              </w:rPr>
              <w:t>3.142</w:t>
            </w:r>
          </w:p>
        </w:tc>
        <w:tc>
          <w:tcPr>
            <w:tcW w:w="579" w:type="pct"/>
            <w:vAlign w:val="center"/>
          </w:tcPr>
          <w:p w14:paraId="099AF387">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color w:val="000000" w:themeColor="text1"/>
                <w:sz w:val="24"/>
                <w:szCs w:val="24"/>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20mg/m</w:t>
            </w:r>
            <w:r>
              <w:rPr>
                <w:rFonts w:hint="eastAsia"/>
                <w:color w:val="000000" w:themeColor="text1"/>
                <w:sz w:val="24"/>
                <w:szCs w:val="24"/>
                <w:vertAlign w:val="superscript"/>
                <w:lang w:val="en-US" w:eastAsia="zh-CN"/>
                <w14:textFill>
                  <w14:solidFill>
                    <w14:schemeClr w14:val="tx1"/>
                  </w14:solidFill>
                </w14:textFill>
              </w:rPr>
              <w:t>3</w:t>
            </w:r>
          </w:p>
        </w:tc>
        <w:tc>
          <w:tcPr>
            <w:tcW w:w="1179" w:type="pct"/>
            <w:vAlign w:val="center"/>
          </w:tcPr>
          <w:p w14:paraId="3B7B3EB6">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《合成树脂工业污染物排放标准》（GB31572-2015）及修改单表5大气污染物特别排放限值</w:t>
            </w:r>
          </w:p>
        </w:tc>
      </w:tr>
      <w:tr w14:paraId="5B913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continue"/>
            <w:vAlign w:val="center"/>
          </w:tcPr>
          <w:p w14:paraId="4FEC5B4A">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445" w:type="pct"/>
            <w:vMerge w:val="continue"/>
            <w:vAlign w:val="center"/>
          </w:tcPr>
          <w:p w14:paraId="49C1894D">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498" w:type="pct"/>
            <w:vAlign w:val="center"/>
          </w:tcPr>
          <w:p w14:paraId="06875AA7">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lang w:val="en-US" w:eastAsia="zh-CN"/>
              </w:rPr>
              <w:t>非甲烷总烃</w:t>
            </w:r>
          </w:p>
        </w:tc>
        <w:tc>
          <w:tcPr>
            <w:tcW w:w="740" w:type="pct"/>
            <w:vMerge w:val="continue"/>
            <w:vAlign w:val="center"/>
          </w:tcPr>
          <w:p w14:paraId="651F94A0">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54" w:type="pct"/>
            <w:vAlign w:val="center"/>
          </w:tcPr>
          <w:p w14:paraId="09C53C81">
            <w:pPr>
              <w:pStyle w:val="55"/>
              <w:bidi w:val="0"/>
              <w:rPr>
                <w:sz w:val="24"/>
                <w:szCs w:val="24"/>
              </w:rPr>
            </w:pPr>
            <w:r>
              <w:rPr>
                <w:rFonts w:hint="eastAsia" w:ascii="Times New Roman" w:hAnsi="Times New Roman"/>
                <w:sz w:val="24"/>
                <w:szCs w:val="24"/>
                <w:lang w:val="en-US" w:eastAsia="zh-CN"/>
              </w:rPr>
              <w:t>1.139</w:t>
            </w:r>
          </w:p>
        </w:tc>
        <w:tc>
          <w:tcPr>
            <w:tcW w:w="715" w:type="pct"/>
            <w:vAlign w:val="center"/>
          </w:tcPr>
          <w:p w14:paraId="2D4495F5">
            <w:pPr>
              <w:pStyle w:val="55"/>
              <w:bidi w:val="0"/>
              <w:rPr>
                <w:sz w:val="24"/>
                <w:szCs w:val="24"/>
              </w:rPr>
            </w:pPr>
            <w:r>
              <w:rPr>
                <w:rFonts w:hint="eastAsia" w:ascii="Times New Roman" w:hAnsi="Times New Roman"/>
                <w:sz w:val="24"/>
                <w:szCs w:val="24"/>
                <w:lang w:val="en-US" w:eastAsia="zh-CN"/>
              </w:rPr>
              <w:t>5.271</w:t>
            </w:r>
          </w:p>
        </w:tc>
        <w:tc>
          <w:tcPr>
            <w:tcW w:w="579" w:type="pct"/>
            <w:vAlign w:val="center"/>
          </w:tcPr>
          <w:p w14:paraId="10CA510A">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color w:val="000000" w:themeColor="text1"/>
                <w:sz w:val="24"/>
                <w:szCs w:val="24"/>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4</w:t>
            </w:r>
            <w:r>
              <w:rPr>
                <w:rFonts w:hint="default"/>
                <w:color w:val="000000" w:themeColor="text1"/>
                <w:sz w:val="24"/>
                <w:szCs w:val="24"/>
                <w:lang w:eastAsia="zh-CN"/>
                <w14:textFill>
                  <w14:solidFill>
                    <w14:schemeClr w14:val="tx1"/>
                  </w14:solidFill>
                </w14:textFill>
              </w:rPr>
              <w:t>0</w:t>
            </w:r>
            <w:r>
              <w:rPr>
                <w:rFonts w:hint="eastAsia"/>
                <w:color w:val="000000" w:themeColor="text1"/>
                <w:sz w:val="24"/>
                <w:szCs w:val="24"/>
                <w:lang w:val="en-US" w:eastAsia="zh-CN"/>
                <w14:textFill>
                  <w14:solidFill>
                    <w14:schemeClr w14:val="tx1"/>
                  </w14:solidFill>
                </w14:textFill>
              </w:rPr>
              <w:t>mg/m</w:t>
            </w:r>
            <w:r>
              <w:rPr>
                <w:rFonts w:hint="eastAsia"/>
                <w:color w:val="000000" w:themeColor="text1"/>
                <w:sz w:val="24"/>
                <w:szCs w:val="24"/>
                <w:vertAlign w:val="superscript"/>
                <w:lang w:val="en-US" w:eastAsia="zh-CN"/>
                <w14:textFill>
                  <w14:solidFill>
                    <w14:schemeClr w14:val="tx1"/>
                  </w14:solidFill>
                </w14:textFill>
              </w:rPr>
              <w:t>3</w:t>
            </w:r>
          </w:p>
        </w:tc>
        <w:tc>
          <w:tcPr>
            <w:tcW w:w="1179" w:type="pct"/>
            <w:vAlign w:val="center"/>
          </w:tcPr>
          <w:p w14:paraId="73020185">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河北省地方标准</w:t>
            </w:r>
            <w:r>
              <w:rPr>
                <w:rFonts w:hint="eastAsia"/>
                <w:color w:val="auto"/>
                <w:kern w:val="0"/>
                <w:sz w:val="24"/>
                <w:szCs w:val="24"/>
              </w:rPr>
              <w:t>《工业企业挥发性有机物排放控制标准》（DB13/2322-2016）原排放限值的50%</w:t>
            </w:r>
          </w:p>
        </w:tc>
      </w:tr>
      <w:tr w14:paraId="0F5D0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continue"/>
            <w:vAlign w:val="center"/>
          </w:tcPr>
          <w:p w14:paraId="27A8276F">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445" w:type="pct"/>
            <w:vMerge w:val="continue"/>
            <w:vAlign w:val="center"/>
          </w:tcPr>
          <w:p w14:paraId="77B010C2">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498" w:type="pct"/>
            <w:vMerge w:val="restart"/>
            <w:vAlign w:val="center"/>
          </w:tcPr>
          <w:p w14:paraId="1B0EF0B2">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default" w:ascii="Times New Roman" w:hAnsi="Times New Roman" w:eastAsia="楷体" w:cs="Times New Roman"/>
                <w:sz w:val="24"/>
                <w:szCs w:val="24"/>
                <w:lang w:val="en-US" w:eastAsia="zh-CN"/>
              </w:rPr>
              <w:t>氯化氢</w:t>
            </w:r>
          </w:p>
        </w:tc>
        <w:tc>
          <w:tcPr>
            <w:tcW w:w="740" w:type="pct"/>
            <w:vMerge w:val="continue"/>
            <w:vAlign w:val="center"/>
          </w:tcPr>
          <w:p w14:paraId="330BCA39">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54" w:type="pct"/>
            <w:vMerge w:val="restart"/>
            <w:vAlign w:val="center"/>
          </w:tcPr>
          <w:p w14:paraId="6FB6E482">
            <w:pPr>
              <w:pStyle w:val="55"/>
              <w:bidi w:val="0"/>
              <w:rPr>
                <w:sz w:val="24"/>
                <w:szCs w:val="24"/>
              </w:rPr>
            </w:pPr>
            <w:r>
              <w:rPr>
                <w:rFonts w:hint="eastAsia" w:ascii="Times New Roman" w:hAnsi="Times New Roman"/>
                <w:sz w:val="24"/>
                <w:szCs w:val="24"/>
                <w:lang w:val="en-US" w:eastAsia="zh-CN"/>
              </w:rPr>
              <w:t>0.0007</w:t>
            </w:r>
          </w:p>
        </w:tc>
        <w:tc>
          <w:tcPr>
            <w:tcW w:w="715" w:type="pct"/>
            <w:vMerge w:val="restart"/>
            <w:vAlign w:val="center"/>
          </w:tcPr>
          <w:p w14:paraId="59EAC78C">
            <w:pPr>
              <w:pStyle w:val="55"/>
              <w:bidi w:val="0"/>
              <w:rPr>
                <w:sz w:val="24"/>
                <w:szCs w:val="24"/>
              </w:rPr>
            </w:pPr>
            <w:r>
              <w:rPr>
                <w:rFonts w:hint="eastAsia" w:ascii="Times New Roman" w:hAnsi="Times New Roman"/>
                <w:sz w:val="24"/>
                <w:szCs w:val="24"/>
                <w:lang w:val="en-US" w:eastAsia="zh-CN"/>
              </w:rPr>
              <w:t>0.0034</w:t>
            </w:r>
          </w:p>
        </w:tc>
        <w:tc>
          <w:tcPr>
            <w:tcW w:w="579" w:type="pct"/>
            <w:vAlign w:val="center"/>
          </w:tcPr>
          <w:p w14:paraId="32C3B54D">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color w:val="000000" w:themeColor="text1"/>
                <w:sz w:val="24"/>
                <w:szCs w:val="24"/>
                <w14:textFill>
                  <w14:solidFill>
                    <w14:schemeClr w14:val="tx1"/>
                  </w14:solidFill>
                </w14:textFill>
              </w:rPr>
              <w:t>≤100</w:t>
            </w:r>
            <w:r>
              <w:rPr>
                <w:rFonts w:hint="eastAsia"/>
                <w:color w:val="000000" w:themeColor="text1"/>
                <w:sz w:val="24"/>
                <w:szCs w:val="24"/>
                <w:lang w:val="en-US" w:eastAsia="zh-CN"/>
                <w14:textFill>
                  <w14:solidFill>
                    <w14:schemeClr w14:val="tx1"/>
                  </w14:solidFill>
                </w14:textFill>
              </w:rPr>
              <w:t>mg/m</w:t>
            </w:r>
            <w:r>
              <w:rPr>
                <w:rFonts w:hint="eastAsia"/>
                <w:color w:val="000000" w:themeColor="text1"/>
                <w:sz w:val="24"/>
                <w:szCs w:val="24"/>
                <w:vertAlign w:val="superscript"/>
                <w:lang w:val="en-US" w:eastAsia="zh-CN"/>
                <w14:textFill>
                  <w14:solidFill>
                    <w14:schemeClr w14:val="tx1"/>
                  </w14:solidFill>
                </w14:textFill>
              </w:rPr>
              <w:t>3</w:t>
            </w:r>
          </w:p>
        </w:tc>
        <w:tc>
          <w:tcPr>
            <w:tcW w:w="1179" w:type="pct"/>
            <w:vMerge w:val="restart"/>
            <w:vAlign w:val="center"/>
          </w:tcPr>
          <w:p w14:paraId="6AC0A2B6">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default"/>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《大气污染物综合排放标准》</w:t>
            </w:r>
          </w:p>
          <w:p w14:paraId="41D81A79">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color w:val="000000" w:themeColor="text1"/>
                <w:sz w:val="24"/>
                <w:szCs w:val="24"/>
                <w14:textFill>
                  <w14:solidFill>
                    <w14:schemeClr w14:val="tx1"/>
                  </w14:solidFill>
                </w14:textFill>
              </w:rPr>
              <w:t>（GB16297-1996）表2中的二级标准</w:t>
            </w:r>
          </w:p>
        </w:tc>
      </w:tr>
      <w:tr w14:paraId="69BCC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continue"/>
            <w:vAlign w:val="center"/>
          </w:tcPr>
          <w:p w14:paraId="2AE886BE">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445" w:type="pct"/>
            <w:vMerge w:val="continue"/>
            <w:vAlign w:val="center"/>
          </w:tcPr>
          <w:p w14:paraId="6E0D84BD">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498" w:type="pct"/>
            <w:vMerge w:val="continue"/>
            <w:vAlign w:val="center"/>
          </w:tcPr>
          <w:p w14:paraId="0C46E8A3">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rFonts w:hint="default" w:ascii="Times New Roman" w:hAnsi="Times New Roman" w:eastAsia="楷体" w:cs="Times New Roman"/>
                <w:sz w:val="24"/>
                <w:szCs w:val="24"/>
                <w:lang w:val="en-US" w:eastAsia="zh-CN"/>
              </w:rPr>
            </w:pPr>
          </w:p>
        </w:tc>
        <w:tc>
          <w:tcPr>
            <w:tcW w:w="740" w:type="pct"/>
            <w:vMerge w:val="continue"/>
            <w:vAlign w:val="center"/>
          </w:tcPr>
          <w:p w14:paraId="36D01BBD">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54" w:type="pct"/>
            <w:vMerge w:val="continue"/>
            <w:vAlign w:val="center"/>
          </w:tcPr>
          <w:p w14:paraId="3E1190CE">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lang w:val="en-US" w:eastAsia="zh-CN"/>
              </w:rPr>
            </w:pPr>
          </w:p>
        </w:tc>
        <w:tc>
          <w:tcPr>
            <w:tcW w:w="715" w:type="pct"/>
            <w:vMerge w:val="continue"/>
            <w:vAlign w:val="center"/>
          </w:tcPr>
          <w:p w14:paraId="67326F93">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lang w:val="en-US" w:eastAsia="zh-CN"/>
              </w:rPr>
            </w:pPr>
          </w:p>
        </w:tc>
        <w:tc>
          <w:tcPr>
            <w:tcW w:w="579" w:type="pct"/>
            <w:vAlign w:val="center"/>
          </w:tcPr>
          <w:p w14:paraId="381F6441">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color w:val="000000" w:themeColor="text1"/>
                <w:sz w:val="24"/>
                <w:szCs w:val="24"/>
                <w14:textFill>
                  <w14:solidFill>
                    <w14:schemeClr w14:val="tx1"/>
                  </w14:solidFill>
                </w14:textFill>
              </w:rPr>
              <w:t>≤</w:t>
            </w:r>
            <w:r>
              <w:rPr>
                <w:rFonts w:hint="eastAsia"/>
                <w:color w:val="000000" w:themeColor="text1"/>
                <w:lang w:val="en-US" w:eastAsia="zh-CN"/>
                <w14:textFill>
                  <w14:solidFill>
                    <w14:schemeClr w14:val="tx1"/>
                  </w14:solidFill>
                </w14:textFill>
              </w:rPr>
              <w:t>0.26</w:t>
            </w:r>
            <w:r>
              <w:rPr>
                <w:rFonts w:hint="default"/>
                <w:color w:val="000000" w:themeColor="text1"/>
                <w:sz w:val="24"/>
                <w:szCs w:val="24"/>
                <w:lang w:val="en-US" w:eastAsia="zh-CN"/>
                <w14:textFill>
                  <w14:solidFill>
                    <w14:schemeClr w14:val="tx1"/>
                  </w14:solidFill>
                </w14:textFill>
              </w:rPr>
              <w:t>kg/h</w:t>
            </w:r>
          </w:p>
        </w:tc>
        <w:tc>
          <w:tcPr>
            <w:tcW w:w="1179" w:type="pct"/>
            <w:vMerge w:val="continue"/>
            <w:vAlign w:val="center"/>
          </w:tcPr>
          <w:p w14:paraId="502C143E">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r>
      <w:tr w14:paraId="4A609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continue"/>
            <w:vAlign w:val="center"/>
          </w:tcPr>
          <w:p w14:paraId="178F9165">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445" w:type="pct"/>
            <w:vMerge w:val="continue"/>
            <w:vAlign w:val="center"/>
          </w:tcPr>
          <w:p w14:paraId="3DA53E5C">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498" w:type="pct"/>
            <w:vAlign w:val="center"/>
          </w:tcPr>
          <w:p w14:paraId="433A360C">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臭气浓度</w:t>
            </w:r>
          </w:p>
        </w:tc>
        <w:tc>
          <w:tcPr>
            <w:tcW w:w="740" w:type="pct"/>
            <w:vMerge w:val="continue"/>
            <w:vAlign w:val="center"/>
          </w:tcPr>
          <w:p w14:paraId="0366920A">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54" w:type="pct"/>
            <w:vAlign w:val="center"/>
          </w:tcPr>
          <w:p w14:paraId="7C8AA4C6">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w:t>
            </w:r>
          </w:p>
        </w:tc>
        <w:tc>
          <w:tcPr>
            <w:tcW w:w="715" w:type="pct"/>
            <w:vAlign w:val="center"/>
          </w:tcPr>
          <w:p w14:paraId="3EB6967E">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w:t>
            </w:r>
          </w:p>
        </w:tc>
        <w:tc>
          <w:tcPr>
            <w:tcW w:w="579" w:type="pct"/>
            <w:vAlign w:val="center"/>
          </w:tcPr>
          <w:p w14:paraId="05AAE13F">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color w:val="000000" w:themeColor="text1"/>
                <w:sz w:val="24"/>
                <w:szCs w:val="24"/>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2</w:t>
            </w:r>
            <w:r>
              <w:rPr>
                <w:rFonts w:hint="default"/>
                <w:color w:val="000000" w:themeColor="text1"/>
                <w:sz w:val="24"/>
                <w:szCs w:val="24"/>
                <w14:textFill>
                  <w14:solidFill>
                    <w14:schemeClr w14:val="tx1"/>
                  </w14:solidFill>
                </w14:textFill>
              </w:rPr>
              <w:t>0</w:t>
            </w:r>
            <w:r>
              <w:rPr>
                <w:rFonts w:hint="default"/>
                <w:color w:val="000000" w:themeColor="text1"/>
                <w:sz w:val="24"/>
                <w:szCs w:val="24"/>
                <w:lang w:val="en-US" w:eastAsia="zh-CN"/>
                <w14:textFill>
                  <w14:solidFill>
                    <w14:schemeClr w14:val="tx1"/>
                  </w14:solidFill>
                </w14:textFill>
              </w:rPr>
              <w:t>00</w:t>
            </w:r>
            <w:r>
              <w:rPr>
                <w:rFonts w:hint="default"/>
                <w:color w:val="000000" w:themeColor="text1"/>
                <w:sz w:val="24"/>
                <w:szCs w:val="24"/>
                <w14:textFill>
                  <w14:solidFill>
                    <w14:schemeClr w14:val="tx1"/>
                  </w14:solidFill>
                </w14:textFill>
              </w:rPr>
              <w:t>（无量纲）</w:t>
            </w:r>
          </w:p>
        </w:tc>
        <w:tc>
          <w:tcPr>
            <w:tcW w:w="1179" w:type="pct"/>
            <w:vAlign w:val="center"/>
          </w:tcPr>
          <w:p w14:paraId="67724A26">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default"/>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《恶臭污染物排放标准》（GB14554-1993）</w:t>
            </w:r>
          </w:p>
          <w:p w14:paraId="438BF09B">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color w:val="000000" w:themeColor="text1"/>
                <w:sz w:val="24"/>
                <w:szCs w:val="24"/>
                <w:lang w:val="en-US" w:eastAsia="zh-CN"/>
                <w14:textFill>
                  <w14:solidFill>
                    <w14:schemeClr w14:val="tx1"/>
                  </w14:solidFill>
                </w14:textFill>
              </w:rPr>
              <w:t>表2恶臭污染物排放标准值</w:t>
            </w:r>
          </w:p>
        </w:tc>
      </w:tr>
      <w:tr w14:paraId="0D164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restart"/>
            <w:vAlign w:val="center"/>
          </w:tcPr>
          <w:p w14:paraId="3BD7DB7F">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eastAsia="楷体"/>
                <w:sz w:val="24"/>
                <w:szCs w:val="24"/>
                <w:lang w:val="en-US" w:eastAsia="zh-CN"/>
              </w:rPr>
            </w:pPr>
            <w:r>
              <w:rPr>
                <w:rFonts w:hint="eastAsia"/>
                <w:sz w:val="24"/>
                <w:szCs w:val="24"/>
                <w:lang w:val="en-US" w:eastAsia="zh-CN"/>
              </w:rPr>
              <w:t>无组织废气</w:t>
            </w:r>
          </w:p>
        </w:tc>
        <w:tc>
          <w:tcPr>
            <w:tcW w:w="445" w:type="pct"/>
            <w:vMerge w:val="restart"/>
            <w:vAlign w:val="center"/>
          </w:tcPr>
          <w:p w14:paraId="5040E500">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1</w:t>
            </w:r>
            <w:r>
              <w:rPr>
                <w:rFonts w:hint="eastAsia"/>
                <w:sz w:val="24"/>
                <w:szCs w:val="24"/>
              </w:rPr>
              <w:t>#生产车间</w:t>
            </w:r>
          </w:p>
        </w:tc>
        <w:tc>
          <w:tcPr>
            <w:tcW w:w="498" w:type="pct"/>
            <w:vAlign w:val="center"/>
          </w:tcPr>
          <w:p w14:paraId="127EF9A1">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default" w:ascii="Times New Roman" w:hAnsi="Times New Roman" w:eastAsia="楷体" w:cs="Times New Roman"/>
                <w:sz w:val="24"/>
                <w:szCs w:val="24"/>
                <w:lang w:val="en-US" w:eastAsia="zh-CN"/>
              </w:rPr>
              <w:t>颗粒物</w:t>
            </w:r>
          </w:p>
        </w:tc>
        <w:tc>
          <w:tcPr>
            <w:tcW w:w="740" w:type="pct"/>
            <w:vMerge w:val="restart"/>
            <w:vAlign w:val="center"/>
          </w:tcPr>
          <w:p w14:paraId="66A2B786">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eastAsia="楷体"/>
                <w:sz w:val="24"/>
                <w:szCs w:val="24"/>
                <w:lang w:val="en-US" w:eastAsia="zh-CN"/>
              </w:rPr>
            </w:pPr>
            <w:r>
              <w:rPr>
                <w:rFonts w:hint="eastAsia"/>
                <w:sz w:val="24"/>
                <w:szCs w:val="24"/>
                <w:lang w:val="en-US" w:eastAsia="zh-CN"/>
              </w:rPr>
              <w:t>/</w:t>
            </w:r>
          </w:p>
        </w:tc>
        <w:tc>
          <w:tcPr>
            <w:tcW w:w="554" w:type="pct"/>
            <w:vAlign w:val="center"/>
          </w:tcPr>
          <w:p w14:paraId="6B999676">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 xml:space="preserve">0.457 </w:t>
            </w:r>
          </w:p>
        </w:tc>
        <w:tc>
          <w:tcPr>
            <w:tcW w:w="715" w:type="pct"/>
            <w:vAlign w:val="center"/>
          </w:tcPr>
          <w:p w14:paraId="3AFB3437">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w:t>
            </w:r>
          </w:p>
        </w:tc>
        <w:tc>
          <w:tcPr>
            <w:tcW w:w="579" w:type="pct"/>
            <w:vAlign w:val="center"/>
          </w:tcPr>
          <w:p w14:paraId="2C047E8C">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color w:val="000000" w:themeColor="text1"/>
                <w:sz w:val="24"/>
                <w:szCs w:val="24"/>
                <w14:textFill>
                  <w14:solidFill>
                    <w14:schemeClr w14:val="tx1"/>
                  </w14:solidFill>
                </w14:textFill>
              </w:rPr>
              <w:t>≤</w:t>
            </w:r>
            <w:r>
              <w:rPr>
                <w:rFonts w:hint="default"/>
                <w:color w:val="000000" w:themeColor="text1"/>
                <w:sz w:val="24"/>
                <w:szCs w:val="24"/>
                <w:lang w:val="en-US" w:eastAsia="zh-CN"/>
                <w14:textFill>
                  <w14:solidFill>
                    <w14:schemeClr w14:val="tx1"/>
                  </w14:solidFill>
                </w14:textFill>
              </w:rPr>
              <w:t>1.0</w:t>
            </w:r>
            <w:r>
              <w:rPr>
                <w:rFonts w:hint="default"/>
                <w:color w:val="000000" w:themeColor="text1"/>
                <w:sz w:val="24"/>
                <w:szCs w:val="24"/>
                <w14:textFill>
                  <w14:solidFill>
                    <w14:schemeClr w14:val="tx1"/>
                  </w14:solidFill>
                </w14:textFill>
              </w:rPr>
              <w:t>mg/m</w:t>
            </w:r>
            <w:r>
              <w:rPr>
                <w:rFonts w:hint="default"/>
                <w:color w:val="000000" w:themeColor="text1"/>
                <w:sz w:val="24"/>
                <w:szCs w:val="24"/>
                <w:vertAlign w:val="superscript"/>
                <w14:textFill>
                  <w14:solidFill>
                    <w14:schemeClr w14:val="tx1"/>
                  </w14:solidFill>
                </w14:textFill>
              </w:rPr>
              <w:t>3</w:t>
            </w:r>
          </w:p>
        </w:tc>
        <w:tc>
          <w:tcPr>
            <w:tcW w:w="1179" w:type="pct"/>
            <w:vMerge w:val="restart"/>
            <w:vAlign w:val="center"/>
          </w:tcPr>
          <w:p w14:paraId="6DD84BF7">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default"/>
                <w:color w:val="000000" w:themeColor="text1"/>
                <w:sz w:val="24"/>
                <w:szCs w:val="24"/>
                <w14:textFill>
                  <w14:solidFill>
                    <w14:schemeClr w14:val="tx1"/>
                  </w14:solidFill>
                </w14:textFill>
              </w:rPr>
            </w:pPr>
            <w:r>
              <w:rPr>
                <w:rFonts w:hint="eastAsia"/>
                <w:sz w:val="24"/>
                <w:szCs w:val="24"/>
                <w:lang w:val="en-US" w:eastAsia="zh-CN"/>
              </w:rPr>
              <w:t>颗粒物执行《合成树脂工业污染物排放标准》（GB31572-2015）及修改单表9限值要求；非甲烷总烃执行河北省地方标准</w:t>
            </w:r>
            <w:r>
              <w:rPr>
                <w:rFonts w:hint="default"/>
                <w:color w:val="000000" w:themeColor="text1"/>
                <w:sz w:val="24"/>
                <w:szCs w:val="24"/>
                <w:lang w:val="en-US" w:eastAsia="zh-CN"/>
                <w14:textFill>
                  <w14:solidFill>
                    <w14:schemeClr w14:val="tx1"/>
                  </w14:solidFill>
                </w14:textFill>
              </w:rPr>
              <w:t>《工业企业挥发性有机物排放控制标准》（DB13/2322-2016）表2</w:t>
            </w:r>
            <w:r>
              <w:rPr>
                <w:rFonts w:hint="default"/>
                <w:color w:val="000000" w:themeColor="text1"/>
                <w:sz w:val="24"/>
                <w:szCs w:val="24"/>
                <w14:textFill>
                  <w14:solidFill>
                    <w14:schemeClr w14:val="tx1"/>
                  </w14:solidFill>
                </w14:textFill>
              </w:rPr>
              <w:t>企业边界大气污染物浓度限值</w:t>
            </w:r>
            <w:r>
              <w:rPr>
                <w:rFonts w:hint="default"/>
                <w:color w:val="000000" w:themeColor="text1"/>
                <w:sz w:val="24"/>
                <w:szCs w:val="24"/>
                <w:lang w:val="en-US" w:eastAsia="zh-CN"/>
                <w14:textFill>
                  <w14:solidFill>
                    <w14:schemeClr w14:val="tx1"/>
                  </w14:solidFill>
                </w14:textFill>
              </w:rPr>
              <w:t>中其他企业</w:t>
            </w:r>
            <w:r>
              <w:rPr>
                <w:rFonts w:hint="eastAsia"/>
                <w:color w:val="000000" w:themeColor="text1"/>
                <w:sz w:val="24"/>
                <w:szCs w:val="24"/>
                <w:lang w:val="en-US" w:eastAsia="zh-CN"/>
                <w14:textFill>
                  <w14:solidFill>
                    <w14:schemeClr w14:val="tx1"/>
                  </w14:solidFill>
                </w14:textFill>
              </w:rPr>
              <w:t>；HCl执行</w:t>
            </w:r>
            <w:r>
              <w:rPr>
                <w:rFonts w:hint="default"/>
                <w:color w:val="000000" w:themeColor="text1"/>
                <w:sz w:val="24"/>
                <w:szCs w:val="24"/>
                <w14:textFill>
                  <w14:solidFill>
                    <w14:schemeClr w14:val="tx1"/>
                  </w14:solidFill>
                </w14:textFill>
              </w:rPr>
              <w:t>《大气污染物综合排放标准》</w:t>
            </w:r>
          </w:p>
          <w:p w14:paraId="6B5CC578">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eastAsia="楷体"/>
                <w:sz w:val="24"/>
                <w:szCs w:val="24"/>
                <w:lang w:val="en-US" w:eastAsia="zh-CN"/>
              </w:rPr>
            </w:pPr>
            <w:r>
              <w:rPr>
                <w:rFonts w:hint="default"/>
                <w:color w:val="000000" w:themeColor="text1"/>
                <w:sz w:val="24"/>
                <w:szCs w:val="24"/>
                <w14:textFill>
                  <w14:solidFill>
                    <w14:schemeClr w14:val="tx1"/>
                  </w14:solidFill>
                </w14:textFill>
              </w:rPr>
              <w:t>（GB16297-1996）表2无组织排放监控浓度限值</w:t>
            </w:r>
            <w:r>
              <w:rPr>
                <w:rFonts w:hint="eastAsia"/>
                <w:color w:val="000000" w:themeColor="text1"/>
                <w:sz w:val="24"/>
                <w:szCs w:val="24"/>
                <w:lang w:eastAsia="zh-CN"/>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臭气浓度执行</w:t>
            </w:r>
            <w:r>
              <w:rPr>
                <w:rFonts w:hint="eastAsia"/>
                <w:color w:val="000000" w:themeColor="text1"/>
                <w:sz w:val="24"/>
                <w:szCs w:val="24"/>
                <w:lang w:eastAsia="zh-CN"/>
                <w14:textFill>
                  <w14:solidFill>
                    <w14:schemeClr w14:val="tx1"/>
                  </w14:solidFill>
                </w14:textFill>
              </w:rPr>
              <w:t>《恶臭污染物排放标准》（GB14554-93）表1恶臭污染物厂界标准值中二级新改扩建标准</w:t>
            </w:r>
          </w:p>
        </w:tc>
      </w:tr>
      <w:tr w14:paraId="63304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continue"/>
            <w:vAlign w:val="center"/>
          </w:tcPr>
          <w:p w14:paraId="59E1BAEA">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lang w:val="en-US" w:eastAsia="zh-CN"/>
              </w:rPr>
            </w:pPr>
          </w:p>
        </w:tc>
        <w:tc>
          <w:tcPr>
            <w:tcW w:w="445" w:type="pct"/>
            <w:vMerge w:val="continue"/>
            <w:vAlign w:val="center"/>
          </w:tcPr>
          <w:p w14:paraId="37AFE1A4">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498" w:type="pct"/>
            <w:vAlign w:val="center"/>
          </w:tcPr>
          <w:p w14:paraId="1CECEE2D">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lang w:val="en-US" w:eastAsia="zh-CN"/>
              </w:rPr>
              <w:t>非甲烷总烃</w:t>
            </w:r>
          </w:p>
        </w:tc>
        <w:tc>
          <w:tcPr>
            <w:tcW w:w="740" w:type="pct"/>
            <w:vMerge w:val="continue"/>
            <w:vAlign w:val="center"/>
          </w:tcPr>
          <w:p w14:paraId="0076DABF">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54" w:type="pct"/>
            <w:vAlign w:val="center"/>
          </w:tcPr>
          <w:p w14:paraId="3E3972C1">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 xml:space="preserve">0.460 </w:t>
            </w:r>
          </w:p>
        </w:tc>
        <w:tc>
          <w:tcPr>
            <w:tcW w:w="715" w:type="pct"/>
            <w:vAlign w:val="center"/>
          </w:tcPr>
          <w:p w14:paraId="6A2C907E">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w:t>
            </w:r>
          </w:p>
        </w:tc>
        <w:tc>
          <w:tcPr>
            <w:tcW w:w="579" w:type="pct"/>
            <w:vAlign w:val="center"/>
          </w:tcPr>
          <w:p w14:paraId="1E0E81C8">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sz w:val="24"/>
                <w:szCs w:val="24"/>
              </w:rPr>
              <w:t>≤</w:t>
            </w:r>
            <w:r>
              <w:rPr>
                <w:rFonts w:hint="default"/>
                <w:sz w:val="24"/>
                <w:szCs w:val="24"/>
                <w:lang w:val="en-US" w:eastAsia="zh-CN"/>
              </w:rPr>
              <w:t>2.0</w:t>
            </w:r>
            <w:r>
              <w:rPr>
                <w:rFonts w:hint="default"/>
                <w:sz w:val="24"/>
                <w:szCs w:val="24"/>
              </w:rPr>
              <w:t>mg/m</w:t>
            </w:r>
            <w:r>
              <w:rPr>
                <w:rFonts w:hint="default"/>
                <w:sz w:val="24"/>
                <w:szCs w:val="24"/>
                <w:vertAlign w:val="superscript"/>
              </w:rPr>
              <w:t>3</w:t>
            </w:r>
          </w:p>
        </w:tc>
        <w:tc>
          <w:tcPr>
            <w:tcW w:w="1179" w:type="pct"/>
            <w:vMerge w:val="continue"/>
            <w:vAlign w:val="center"/>
          </w:tcPr>
          <w:p w14:paraId="052CDC76">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r>
      <w:tr w14:paraId="5032F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continue"/>
            <w:vAlign w:val="center"/>
          </w:tcPr>
          <w:p w14:paraId="2488D50D">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lang w:val="en-US" w:eastAsia="zh-CN"/>
              </w:rPr>
            </w:pPr>
          </w:p>
        </w:tc>
        <w:tc>
          <w:tcPr>
            <w:tcW w:w="445" w:type="pct"/>
            <w:vMerge w:val="continue"/>
            <w:vAlign w:val="center"/>
          </w:tcPr>
          <w:p w14:paraId="2515C2F9">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498" w:type="pct"/>
            <w:vAlign w:val="center"/>
          </w:tcPr>
          <w:p w14:paraId="0885D157">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default" w:ascii="Times New Roman" w:hAnsi="Times New Roman" w:eastAsia="楷体" w:cs="Times New Roman"/>
                <w:sz w:val="24"/>
                <w:szCs w:val="24"/>
                <w:lang w:val="en-US" w:eastAsia="zh-CN"/>
              </w:rPr>
              <w:t>氯化氢</w:t>
            </w:r>
          </w:p>
        </w:tc>
        <w:tc>
          <w:tcPr>
            <w:tcW w:w="740" w:type="pct"/>
            <w:vMerge w:val="continue"/>
            <w:vAlign w:val="center"/>
          </w:tcPr>
          <w:p w14:paraId="2D955318">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54" w:type="pct"/>
            <w:vAlign w:val="center"/>
          </w:tcPr>
          <w:p w14:paraId="1AA9DD40">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0.000</w:t>
            </w:r>
            <w:r>
              <w:rPr>
                <w:rFonts w:hint="eastAsia" w:eastAsia="楷体" w:cs="Times New Roman"/>
                <w:sz w:val="24"/>
                <w:szCs w:val="24"/>
                <w:vertAlign w:val="baseline"/>
                <w:lang w:val="en-US" w:eastAsia="zh-CN"/>
              </w:rPr>
              <w:t>3</w:t>
            </w:r>
            <w:r>
              <w:rPr>
                <w:rFonts w:hint="eastAsia" w:ascii="Times New Roman" w:hAnsi="Times New Roman" w:eastAsia="楷体" w:cs="Times New Roman"/>
                <w:sz w:val="24"/>
                <w:szCs w:val="24"/>
                <w:vertAlign w:val="baseline"/>
                <w:lang w:val="en-US" w:eastAsia="zh-CN"/>
              </w:rPr>
              <w:t xml:space="preserve"> </w:t>
            </w:r>
          </w:p>
        </w:tc>
        <w:tc>
          <w:tcPr>
            <w:tcW w:w="715" w:type="pct"/>
            <w:vAlign w:val="center"/>
          </w:tcPr>
          <w:p w14:paraId="62CFEEA2">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w:t>
            </w:r>
          </w:p>
        </w:tc>
        <w:tc>
          <w:tcPr>
            <w:tcW w:w="579" w:type="pct"/>
            <w:vAlign w:val="center"/>
          </w:tcPr>
          <w:p w14:paraId="2942E8EB">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color w:val="000000" w:themeColor="text1"/>
                <w:sz w:val="24"/>
                <w:szCs w:val="24"/>
                <w14:textFill>
                  <w14:solidFill>
                    <w14:schemeClr w14:val="tx1"/>
                  </w14:solidFill>
                </w14:textFill>
              </w:rPr>
              <w:t>≤</w:t>
            </w:r>
            <w:r>
              <w:rPr>
                <w:rFonts w:hint="default"/>
                <w:color w:val="000000" w:themeColor="text1"/>
                <w:lang w:val="en-US" w:eastAsia="zh-CN"/>
                <w14:textFill>
                  <w14:solidFill>
                    <w14:schemeClr w14:val="tx1"/>
                  </w14:solidFill>
                </w14:textFill>
              </w:rPr>
              <w:t>0.</w:t>
            </w:r>
            <w:r>
              <w:rPr>
                <w:rFonts w:hint="eastAsia"/>
                <w:color w:val="000000" w:themeColor="text1"/>
                <w:lang w:val="en-US" w:eastAsia="zh-CN"/>
                <w14:textFill>
                  <w14:solidFill>
                    <w14:schemeClr w14:val="tx1"/>
                  </w14:solidFill>
                </w14:textFill>
              </w:rPr>
              <w:t>2</w:t>
            </w:r>
            <w:r>
              <w:rPr>
                <w:rFonts w:hint="default"/>
                <w:color w:val="000000" w:themeColor="text1"/>
                <w:sz w:val="24"/>
                <w:szCs w:val="24"/>
                <w14:textFill>
                  <w14:solidFill>
                    <w14:schemeClr w14:val="tx1"/>
                  </w14:solidFill>
                </w14:textFill>
              </w:rPr>
              <w:t>mg/m</w:t>
            </w:r>
            <w:r>
              <w:rPr>
                <w:rFonts w:hint="default"/>
                <w:color w:val="000000" w:themeColor="text1"/>
                <w:sz w:val="24"/>
                <w:szCs w:val="24"/>
                <w:vertAlign w:val="superscript"/>
                <w14:textFill>
                  <w14:solidFill>
                    <w14:schemeClr w14:val="tx1"/>
                  </w14:solidFill>
                </w14:textFill>
              </w:rPr>
              <w:t>3</w:t>
            </w:r>
          </w:p>
        </w:tc>
        <w:tc>
          <w:tcPr>
            <w:tcW w:w="1179" w:type="pct"/>
            <w:vMerge w:val="continue"/>
            <w:vAlign w:val="center"/>
          </w:tcPr>
          <w:p w14:paraId="3EBFB02C">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r>
      <w:tr w14:paraId="53A6A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continue"/>
            <w:vAlign w:val="center"/>
          </w:tcPr>
          <w:p w14:paraId="7D3869B1">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lang w:val="en-US" w:eastAsia="zh-CN"/>
              </w:rPr>
            </w:pPr>
          </w:p>
        </w:tc>
        <w:tc>
          <w:tcPr>
            <w:tcW w:w="445" w:type="pct"/>
            <w:vMerge w:val="continue"/>
            <w:vAlign w:val="center"/>
          </w:tcPr>
          <w:p w14:paraId="20B09042">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498" w:type="pct"/>
            <w:vAlign w:val="center"/>
          </w:tcPr>
          <w:p w14:paraId="4DEC7A2F">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臭气浓度</w:t>
            </w:r>
          </w:p>
        </w:tc>
        <w:tc>
          <w:tcPr>
            <w:tcW w:w="740" w:type="pct"/>
            <w:vMerge w:val="continue"/>
            <w:vAlign w:val="center"/>
          </w:tcPr>
          <w:p w14:paraId="1CC27598">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54" w:type="pct"/>
            <w:vAlign w:val="center"/>
          </w:tcPr>
          <w:p w14:paraId="4A71C390">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w:t>
            </w:r>
          </w:p>
        </w:tc>
        <w:tc>
          <w:tcPr>
            <w:tcW w:w="715" w:type="pct"/>
            <w:vAlign w:val="center"/>
          </w:tcPr>
          <w:p w14:paraId="3478B055">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w:t>
            </w:r>
          </w:p>
        </w:tc>
        <w:tc>
          <w:tcPr>
            <w:tcW w:w="579" w:type="pct"/>
            <w:vAlign w:val="center"/>
          </w:tcPr>
          <w:p w14:paraId="059BDB8F">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color w:val="000000" w:themeColor="text1"/>
                <w:sz w:val="24"/>
                <w:szCs w:val="24"/>
                <w14:textFill>
                  <w14:solidFill>
                    <w14:schemeClr w14:val="tx1"/>
                  </w14:solidFill>
                </w14:textFill>
              </w:rPr>
              <w:t>≤</w:t>
            </w:r>
            <w:r>
              <w:rPr>
                <w:rFonts w:hint="default"/>
                <w:color w:val="000000" w:themeColor="text1"/>
                <w:sz w:val="24"/>
                <w:szCs w:val="24"/>
                <w:lang w:val="en-US" w:eastAsia="zh-CN"/>
                <w14:textFill>
                  <w14:solidFill>
                    <w14:schemeClr w14:val="tx1"/>
                  </w14:solidFill>
                </w14:textFill>
              </w:rPr>
              <w:t>20</w:t>
            </w:r>
            <w:r>
              <w:rPr>
                <w:rFonts w:hint="default"/>
                <w:color w:val="000000" w:themeColor="text1"/>
                <w:sz w:val="24"/>
                <w:szCs w:val="24"/>
                <w14:textFill>
                  <w14:solidFill>
                    <w14:schemeClr w14:val="tx1"/>
                  </w14:solidFill>
                </w14:textFill>
              </w:rPr>
              <w:t>（无量纲）</w:t>
            </w:r>
          </w:p>
        </w:tc>
        <w:tc>
          <w:tcPr>
            <w:tcW w:w="1179" w:type="pct"/>
            <w:vMerge w:val="continue"/>
            <w:vAlign w:val="center"/>
          </w:tcPr>
          <w:p w14:paraId="466FCCD5">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r>
      <w:tr w14:paraId="3AC79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continue"/>
            <w:vAlign w:val="center"/>
          </w:tcPr>
          <w:p w14:paraId="5735252A">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lang w:val="en-US" w:eastAsia="zh-CN"/>
              </w:rPr>
            </w:pPr>
          </w:p>
        </w:tc>
        <w:tc>
          <w:tcPr>
            <w:tcW w:w="445" w:type="pct"/>
            <w:vMerge w:val="restart"/>
            <w:vAlign w:val="center"/>
          </w:tcPr>
          <w:p w14:paraId="368C5404">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2</w:t>
            </w:r>
            <w:r>
              <w:rPr>
                <w:rFonts w:hint="eastAsia"/>
                <w:sz w:val="24"/>
                <w:szCs w:val="24"/>
              </w:rPr>
              <w:t>#生产车间</w:t>
            </w:r>
          </w:p>
        </w:tc>
        <w:tc>
          <w:tcPr>
            <w:tcW w:w="498" w:type="pct"/>
            <w:vAlign w:val="center"/>
          </w:tcPr>
          <w:p w14:paraId="65B89B6F">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default" w:ascii="Times New Roman" w:hAnsi="Times New Roman" w:eastAsia="楷体" w:cs="Times New Roman"/>
                <w:sz w:val="24"/>
                <w:szCs w:val="24"/>
                <w:lang w:val="en-US" w:eastAsia="zh-CN"/>
              </w:rPr>
              <w:t>颗粒物</w:t>
            </w:r>
          </w:p>
        </w:tc>
        <w:tc>
          <w:tcPr>
            <w:tcW w:w="740" w:type="pct"/>
            <w:vMerge w:val="restart"/>
            <w:vAlign w:val="center"/>
          </w:tcPr>
          <w:p w14:paraId="101CB91A">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eastAsia="楷体"/>
                <w:sz w:val="24"/>
                <w:szCs w:val="24"/>
                <w:lang w:val="en-US" w:eastAsia="zh-CN"/>
              </w:rPr>
            </w:pPr>
            <w:r>
              <w:rPr>
                <w:rFonts w:hint="eastAsia"/>
                <w:sz w:val="24"/>
                <w:szCs w:val="24"/>
                <w:lang w:val="en-US" w:eastAsia="zh-CN"/>
              </w:rPr>
              <w:t>/</w:t>
            </w:r>
          </w:p>
        </w:tc>
        <w:tc>
          <w:tcPr>
            <w:tcW w:w="554" w:type="pct"/>
            <w:vAlign w:val="center"/>
          </w:tcPr>
          <w:p w14:paraId="24500521">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 xml:space="preserve">0.457 </w:t>
            </w:r>
          </w:p>
        </w:tc>
        <w:tc>
          <w:tcPr>
            <w:tcW w:w="715" w:type="pct"/>
            <w:vAlign w:val="center"/>
          </w:tcPr>
          <w:p w14:paraId="49B8DCDE">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w:t>
            </w:r>
          </w:p>
        </w:tc>
        <w:tc>
          <w:tcPr>
            <w:tcW w:w="579" w:type="pct"/>
            <w:vAlign w:val="center"/>
          </w:tcPr>
          <w:p w14:paraId="51121051">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color w:val="000000" w:themeColor="text1"/>
                <w:sz w:val="24"/>
                <w:szCs w:val="24"/>
                <w14:textFill>
                  <w14:solidFill>
                    <w14:schemeClr w14:val="tx1"/>
                  </w14:solidFill>
                </w14:textFill>
              </w:rPr>
              <w:t>≤</w:t>
            </w:r>
            <w:r>
              <w:rPr>
                <w:rFonts w:hint="default"/>
                <w:color w:val="000000" w:themeColor="text1"/>
                <w:sz w:val="24"/>
                <w:szCs w:val="24"/>
                <w:lang w:val="en-US" w:eastAsia="zh-CN"/>
                <w14:textFill>
                  <w14:solidFill>
                    <w14:schemeClr w14:val="tx1"/>
                  </w14:solidFill>
                </w14:textFill>
              </w:rPr>
              <w:t>1.0</w:t>
            </w:r>
            <w:r>
              <w:rPr>
                <w:rFonts w:hint="default"/>
                <w:color w:val="000000" w:themeColor="text1"/>
                <w:sz w:val="24"/>
                <w:szCs w:val="24"/>
                <w14:textFill>
                  <w14:solidFill>
                    <w14:schemeClr w14:val="tx1"/>
                  </w14:solidFill>
                </w14:textFill>
              </w:rPr>
              <w:t>mg/m</w:t>
            </w:r>
            <w:r>
              <w:rPr>
                <w:rFonts w:hint="default"/>
                <w:color w:val="000000" w:themeColor="text1"/>
                <w:sz w:val="24"/>
                <w:szCs w:val="24"/>
                <w:vertAlign w:val="superscript"/>
                <w14:textFill>
                  <w14:solidFill>
                    <w14:schemeClr w14:val="tx1"/>
                  </w14:solidFill>
                </w14:textFill>
              </w:rPr>
              <w:t>3</w:t>
            </w:r>
          </w:p>
        </w:tc>
        <w:tc>
          <w:tcPr>
            <w:tcW w:w="1179" w:type="pct"/>
            <w:vMerge w:val="continue"/>
            <w:vAlign w:val="center"/>
          </w:tcPr>
          <w:p w14:paraId="02FE18E0">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r>
      <w:tr w14:paraId="4B1A9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continue"/>
            <w:vAlign w:val="center"/>
          </w:tcPr>
          <w:p w14:paraId="63989D1B">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lang w:val="en-US" w:eastAsia="zh-CN"/>
              </w:rPr>
            </w:pPr>
          </w:p>
        </w:tc>
        <w:tc>
          <w:tcPr>
            <w:tcW w:w="445" w:type="pct"/>
            <w:vMerge w:val="continue"/>
            <w:vAlign w:val="center"/>
          </w:tcPr>
          <w:p w14:paraId="2D721A23">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498" w:type="pct"/>
            <w:vAlign w:val="center"/>
          </w:tcPr>
          <w:p w14:paraId="15436E32">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lang w:val="en-US" w:eastAsia="zh-CN"/>
              </w:rPr>
              <w:t>非甲烷总烃</w:t>
            </w:r>
          </w:p>
        </w:tc>
        <w:tc>
          <w:tcPr>
            <w:tcW w:w="740" w:type="pct"/>
            <w:vMerge w:val="continue"/>
            <w:vAlign w:val="center"/>
          </w:tcPr>
          <w:p w14:paraId="6F0D6E01">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54" w:type="pct"/>
            <w:vAlign w:val="center"/>
          </w:tcPr>
          <w:p w14:paraId="23508D49">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 xml:space="preserve">0.460 </w:t>
            </w:r>
          </w:p>
        </w:tc>
        <w:tc>
          <w:tcPr>
            <w:tcW w:w="715" w:type="pct"/>
            <w:vAlign w:val="center"/>
          </w:tcPr>
          <w:p w14:paraId="3122AE30">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w:t>
            </w:r>
          </w:p>
        </w:tc>
        <w:tc>
          <w:tcPr>
            <w:tcW w:w="579" w:type="pct"/>
            <w:vAlign w:val="center"/>
          </w:tcPr>
          <w:p w14:paraId="4B5131CC">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sz w:val="24"/>
                <w:szCs w:val="24"/>
              </w:rPr>
              <w:t>≤</w:t>
            </w:r>
            <w:r>
              <w:rPr>
                <w:rFonts w:hint="default"/>
                <w:sz w:val="24"/>
                <w:szCs w:val="24"/>
                <w:lang w:val="en-US" w:eastAsia="zh-CN"/>
              </w:rPr>
              <w:t>2.0</w:t>
            </w:r>
            <w:r>
              <w:rPr>
                <w:rFonts w:hint="default"/>
                <w:sz w:val="24"/>
                <w:szCs w:val="24"/>
              </w:rPr>
              <w:t>mg/m</w:t>
            </w:r>
            <w:r>
              <w:rPr>
                <w:rFonts w:hint="default"/>
                <w:sz w:val="24"/>
                <w:szCs w:val="24"/>
                <w:vertAlign w:val="superscript"/>
              </w:rPr>
              <w:t>3</w:t>
            </w:r>
          </w:p>
        </w:tc>
        <w:tc>
          <w:tcPr>
            <w:tcW w:w="1179" w:type="pct"/>
            <w:vMerge w:val="continue"/>
            <w:vAlign w:val="center"/>
          </w:tcPr>
          <w:p w14:paraId="265DAA77">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r>
      <w:tr w14:paraId="6C44A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continue"/>
            <w:vAlign w:val="center"/>
          </w:tcPr>
          <w:p w14:paraId="2EF3EA40">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lang w:val="en-US" w:eastAsia="zh-CN"/>
              </w:rPr>
            </w:pPr>
          </w:p>
        </w:tc>
        <w:tc>
          <w:tcPr>
            <w:tcW w:w="445" w:type="pct"/>
            <w:vMerge w:val="continue"/>
            <w:vAlign w:val="center"/>
          </w:tcPr>
          <w:p w14:paraId="775393AD">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498" w:type="pct"/>
            <w:vAlign w:val="center"/>
          </w:tcPr>
          <w:p w14:paraId="398A8ABB">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default" w:ascii="Times New Roman" w:hAnsi="Times New Roman" w:eastAsia="楷体" w:cs="Times New Roman"/>
                <w:sz w:val="24"/>
                <w:szCs w:val="24"/>
                <w:lang w:val="en-US" w:eastAsia="zh-CN"/>
              </w:rPr>
              <w:t>氯化氢</w:t>
            </w:r>
          </w:p>
        </w:tc>
        <w:tc>
          <w:tcPr>
            <w:tcW w:w="740" w:type="pct"/>
            <w:vMerge w:val="continue"/>
            <w:vAlign w:val="center"/>
          </w:tcPr>
          <w:p w14:paraId="4BCB4520">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54" w:type="pct"/>
            <w:vAlign w:val="center"/>
          </w:tcPr>
          <w:p w14:paraId="424AB9FE">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0.000</w:t>
            </w:r>
            <w:r>
              <w:rPr>
                <w:rFonts w:hint="eastAsia" w:eastAsia="楷体" w:cs="Times New Roman"/>
                <w:sz w:val="24"/>
                <w:szCs w:val="24"/>
                <w:vertAlign w:val="baseline"/>
                <w:lang w:val="en-US" w:eastAsia="zh-CN"/>
              </w:rPr>
              <w:t>3</w:t>
            </w:r>
          </w:p>
        </w:tc>
        <w:tc>
          <w:tcPr>
            <w:tcW w:w="715" w:type="pct"/>
            <w:vAlign w:val="center"/>
          </w:tcPr>
          <w:p w14:paraId="4C513783">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w:t>
            </w:r>
          </w:p>
        </w:tc>
        <w:tc>
          <w:tcPr>
            <w:tcW w:w="579" w:type="pct"/>
            <w:vAlign w:val="center"/>
          </w:tcPr>
          <w:p w14:paraId="0157BAD2">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color w:val="000000" w:themeColor="text1"/>
                <w:sz w:val="24"/>
                <w:szCs w:val="24"/>
                <w14:textFill>
                  <w14:solidFill>
                    <w14:schemeClr w14:val="tx1"/>
                  </w14:solidFill>
                </w14:textFill>
              </w:rPr>
              <w:t>≤</w:t>
            </w:r>
            <w:r>
              <w:rPr>
                <w:rFonts w:hint="default"/>
                <w:color w:val="000000" w:themeColor="text1"/>
                <w:lang w:val="en-US" w:eastAsia="zh-CN"/>
                <w14:textFill>
                  <w14:solidFill>
                    <w14:schemeClr w14:val="tx1"/>
                  </w14:solidFill>
                </w14:textFill>
              </w:rPr>
              <w:t>0.</w:t>
            </w:r>
            <w:r>
              <w:rPr>
                <w:rFonts w:hint="eastAsia"/>
                <w:color w:val="000000" w:themeColor="text1"/>
                <w:lang w:val="en-US" w:eastAsia="zh-CN"/>
                <w14:textFill>
                  <w14:solidFill>
                    <w14:schemeClr w14:val="tx1"/>
                  </w14:solidFill>
                </w14:textFill>
              </w:rPr>
              <w:t>2</w:t>
            </w:r>
            <w:r>
              <w:rPr>
                <w:rFonts w:hint="default"/>
                <w:color w:val="000000" w:themeColor="text1"/>
                <w:sz w:val="24"/>
                <w:szCs w:val="24"/>
                <w14:textFill>
                  <w14:solidFill>
                    <w14:schemeClr w14:val="tx1"/>
                  </w14:solidFill>
                </w14:textFill>
              </w:rPr>
              <w:t>mg/m</w:t>
            </w:r>
            <w:r>
              <w:rPr>
                <w:rFonts w:hint="default"/>
                <w:color w:val="000000" w:themeColor="text1"/>
                <w:sz w:val="24"/>
                <w:szCs w:val="24"/>
                <w:vertAlign w:val="superscript"/>
                <w14:textFill>
                  <w14:solidFill>
                    <w14:schemeClr w14:val="tx1"/>
                  </w14:solidFill>
                </w14:textFill>
              </w:rPr>
              <w:t>3</w:t>
            </w:r>
          </w:p>
        </w:tc>
        <w:tc>
          <w:tcPr>
            <w:tcW w:w="1179" w:type="pct"/>
            <w:vMerge w:val="continue"/>
            <w:vAlign w:val="center"/>
          </w:tcPr>
          <w:p w14:paraId="3B0E4F4B">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r>
      <w:tr w14:paraId="320CF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continue"/>
            <w:vAlign w:val="center"/>
          </w:tcPr>
          <w:p w14:paraId="69A42F51">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lang w:val="en-US" w:eastAsia="zh-CN"/>
              </w:rPr>
            </w:pPr>
          </w:p>
        </w:tc>
        <w:tc>
          <w:tcPr>
            <w:tcW w:w="445" w:type="pct"/>
            <w:vMerge w:val="continue"/>
            <w:vAlign w:val="center"/>
          </w:tcPr>
          <w:p w14:paraId="2E921E2F">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498" w:type="pct"/>
            <w:vAlign w:val="center"/>
          </w:tcPr>
          <w:p w14:paraId="4C5B381F">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臭气浓度</w:t>
            </w:r>
          </w:p>
        </w:tc>
        <w:tc>
          <w:tcPr>
            <w:tcW w:w="740" w:type="pct"/>
            <w:vMerge w:val="continue"/>
            <w:vAlign w:val="center"/>
          </w:tcPr>
          <w:p w14:paraId="3E524F45">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54" w:type="pct"/>
            <w:vAlign w:val="center"/>
          </w:tcPr>
          <w:p w14:paraId="386D8FA7">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w:t>
            </w:r>
          </w:p>
        </w:tc>
        <w:tc>
          <w:tcPr>
            <w:tcW w:w="715" w:type="pct"/>
            <w:vAlign w:val="center"/>
          </w:tcPr>
          <w:p w14:paraId="05D42CE6">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w:t>
            </w:r>
          </w:p>
        </w:tc>
        <w:tc>
          <w:tcPr>
            <w:tcW w:w="579" w:type="pct"/>
            <w:vAlign w:val="center"/>
          </w:tcPr>
          <w:p w14:paraId="48C1230D">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color w:val="000000" w:themeColor="text1"/>
                <w:sz w:val="24"/>
                <w:szCs w:val="24"/>
                <w14:textFill>
                  <w14:solidFill>
                    <w14:schemeClr w14:val="tx1"/>
                  </w14:solidFill>
                </w14:textFill>
              </w:rPr>
              <w:t>≤</w:t>
            </w:r>
            <w:r>
              <w:rPr>
                <w:rFonts w:hint="default"/>
                <w:color w:val="000000" w:themeColor="text1"/>
                <w:sz w:val="24"/>
                <w:szCs w:val="24"/>
                <w:lang w:val="en-US" w:eastAsia="zh-CN"/>
                <w14:textFill>
                  <w14:solidFill>
                    <w14:schemeClr w14:val="tx1"/>
                  </w14:solidFill>
                </w14:textFill>
              </w:rPr>
              <w:t>20</w:t>
            </w:r>
            <w:r>
              <w:rPr>
                <w:rFonts w:hint="default"/>
                <w:color w:val="000000" w:themeColor="text1"/>
                <w:sz w:val="24"/>
                <w:szCs w:val="24"/>
                <w14:textFill>
                  <w14:solidFill>
                    <w14:schemeClr w14:val="tx1"/>
                  </w14:solidFill>
                </w14:textFill>
              </w:rPr>
              <w:t>（无量纲）</w:t>
            </w:r>
          </w:p>
        </w:tc>
        <w:tc>
          <w:tcPr>
            <w:tcW w:w="1179" w:type="pct"/>
            <w:vMerge w:val="continue"/>
            <w:vAlign w:val="center"/>
          </w:tcPr>
          <w:p w14:paraId="23B321EE">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r>
      <w:tr w14:paraId="63560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continue"/>
            <w:vAlign w:val="center"/>
          </w:tcPr>
          <w:p w14:paraId="5BE4D51A">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lang w:val="en-US" w:eastAsia="zh-CN"/>
              </w:rPr>
            </w:pPr>
          </w:p>
        </w:tc>
        <w:tc>
          <w:tcPr>
            <w:tcW w:w="445" w:type="pct"/>
            <w:vMerge w:val="restart"/>
            <w:vAlign w:val="center"/>
          </w:tcPr>
          <w:p w14:paraId="0BC32AC9">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3</w:t>
            </w:r>
            <w:r>
              <w:rPr>
                <w:rFonts w:hint="eastAsia"/>
                <w:sz w:val="24"/>
                <w:szCs w:val="24"/>
              </w:rPr>
              <w:t>#生产车间</w:t>
            </w:r>
          </w:p>
        </w:tc>
        <w:tc>
          <w:tcPr>
            <w:tcW w:w="498" w:type="pct"/>
            <w:vAlign w:val="center"/>
          </w:tcPr>
          <w:p w14:paraId="485DAC61">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default" w:ascii="Times New Roman" w:hAnsi="Times New Roman" w:eastAsia="楷体" w:cs="Times New Roman"/>
                <w:sz w:val="24"/>
                <w:szCs w:val="24"/>
                <w:lang w:val="en-US" w:eastAsia="zh-CN"/>
              </w:rPr>
              <w:t>颗粒物</w:t>
            </w:r>
          </w:p>
        </w:tc>
        <w:tc>
          <w:tcPr>
            <w:tcW w:w="740" w:type="pct"/>
            <w:vMerge w:val="restart"/>
            <w:vAlign w:val="center"/>
          </w:tcPr>
          <w:p w14:paraId="5CDDC825">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eastAsia="楷体"/>
                <w:sz w:val="24"/>
                <w:szCs w:val="24"/>
                <w:lang w:val="en-US" w:eastAsia="zh-CN"/>
              </w:rPr>
            </w:pPr>
            <w:r>
              <w:rPr>
                <w:rFonts w:hint="eastAsia"/>
                <w:sz w:val="24"/>
                <w:szCs w:val="24"/>
                <w:lang w:val="en-US" w:eastAsia="zh-CN"/>
              </w:rPr>
              <w:t>/</w:t>
            </w:r>
          </w:p>
        </w:tc>
        <w:tc>
          <w:tcPr>
            <w:tcW w:w="554" w:type="pct"/>
            <w:vAlign w:val="center"/>
          </w:tcPr>
          <w:p w14:paraId="4DAB4506">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 xml:space="preserve">0.229 </w:t>
            </w:r>
          </w:p>
        </w:tc>
        <w:tc>
          <w:tcPr>
            <w:tcW w:w="715" w:type="pct"/>
            <w:vAlign w:val="center"/>
          </w:tcPr>
          <w:p w14:paraId="74B5BC64">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w:t>
            </w:r>
          </w:p>
        </w:tc>
        <w:tc>
          <w:tcPr>
            <w:tcW w:w="579" w:type="pct"/>
            <w:vAlign w:val="center"/>
          </w:tcPr>
          <w:p w14:paraId="4EB77A1D">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color w:val="000000" w:themeColor="text1"/>
                <w:sz w:val="24"/>
                <w:szCs w:val="24"/>
                <w14:textFill>
                  <w14:solidFill>
                    <w14:schemeClr w14:val="tx1"/>
                  </w14:solidFill>
                </w14:textFill>
              </w:rPr>
              <w:t>≤</w:t>
            </w:r>
            <w:r>
              <w:rPr>
                <w:rFonts w:hint="default"/>
                <w:color w:val="000000" w:themeColor="text1"/>
                <w:sz w:val="24"/>
                <w:szCs w:val="24"/>
                <w:lang w:val="en-US" w:eastAsia="zh-CN"/>
                <w14:textFill>
                  <w14:solidFill>
                    <w14:schemeClr w14:val="tx1"/>
                  </w14:solidFill>
                </w14:textFill>
              </w:rPr>
              <w:t>1.0</w:t>
            </w:r>
            <w:r>
              <w:rPr>
                <w:rFonts w:hint="default"/>
                <w:color w:val="000000" w:themeColor="text1"/>
                <w:sz w:val="24"/>
                <w:szCs w:val="24"/>
                <w14:textFill>
                  <w14:solidFill>
                    <w14:schemeClr w14:val="tx1"/>
                  </w14:solidFill>
                </w14:textFill>
              </w:rPr>
              <w:t>mg/m</w:t>
            </w:r>
            <w:r>
              <w:rPr>
                <w:rFonts w:hint="default"/>
                <w:color w:val="000000" w:themeColor="text1"/>
                <w:sz w:val="24"/>
                <w:szCs w:val="24"/>
                <w:vertAlign w:val="superscript"/>
                <w14:textFill>
                  <w14:solidFill>
                    <w14:schemeClr w14:val="tx1"/>
                  </w14:solidFill>
                </w14:textFill>
              </w:rPr>
              <w:t>3</w:t>
            </w:r>
          </w:p>
        </w:tc>
        <w:tc>
          <w:tcPr>
            <w:tcW w:w="1179" w:type="pct"/>
            <w:vMerge w:val="continue"/>
            <w:vAlign w:val="center"/>
          </w:tcPr>
          <w:p w14:paraId="1665C0E7">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r>
      <w:tr w14:paraId="2D800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continue"/>
            <w:vAlign w:val="center"/>
          </w:tcPr>
          <w:p w14:paraId="34294411">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lang w:val="en-US" w:eastAsia="zh-CN"/>
              </w:rPr>
            </w:pPr>
          </w:p>
        </w:tc>
        <w:tc>
          <w:tcPr>
            <w:tcW w:w="445" w:type="pct"/>
            <w:vMerge w:val="continue"/>
            <w:vAlign w:val="center"/>
          </w:tcPr>
          <w:p w14:paraId="07D5DB17">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498" w:type="pct"/>
            <w:vAlign w:val="center"/>
          </w:tcPr>
          <w:p w14:paraId="60FF0789">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lang w:val="en-US" w:eastAsia="zh-CN"/>
              </w:rPr>
              <w:t>非甲烷总烃</w:t>
            </w:r>
          </w:p>
        </w:tc>
        <w:tc>
          <w:tcPr>
            <w:tcW w:w="740" w:type="pct"/>
            <w:vMerge w:val="continue"/>
            <w:vAlign w:val="center"/>
          </w:tcPr>
          <w:p w14:paraId="3778361C">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54" w:type="pct"/>
            <w:vAlign w:val="center"/>
          </w:tcPr>
          <w:p w14:paraId="12823AD7">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 xml:space="preserve">0.230 </w:t>
            </w:r>
          </w:p>
        </w:tc>
        <w:tc>
          <w:tcPr>
            <w:tcW w:w="715" w:type="pct"/>
            <w:vAlign w:val="center"/>
          </w:tcPr>
          <w:p w14:paraId="114302A9">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w:t>
            </w:r>
          </w:p>
        </w:tc>
        <w:tc>
          <w:tcPr>
            <w:tcW w:w="579" w:type="pct"/>
            <w:vAlign w:val="center"/>
          </w:tcPr>
          <w:p w14:paraId="4267E884">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sz w:val="24"/>
                <w:szCs w:val="24"/>
              </w:rPr>
              <w:t>≤</w:t>
            </w:r>
            <w:r>
              <w:rPr>
                <w:rFonts w:hint="default"/>
                <w:sz w:val="24"/>
                <w:szCs w:val="24"/>
                <w:lang w:val="en-US" w:eastAsia="zh-CN"/>
              </w:rPr>
              <w:t>2.0</w:t>
            </w:r>
            <w:r>
              <w:rPr>
                <w:rFonts w:hint="default"/>
                <w:sz w:val="24"/>
                <w:szCs w:val="24"/>
              </w:rPr>
              <w:t>mg/m</w:t>
            </w:r>
            <w:r>
              <w:rPr>
                <w:rFonts w:hint="default"/>
                <w:sz w:val="24"/>
                <w:szCs w:val="24"/>
                <w:vertAlign w:val="superscript"/>
              </w:rPr>
              <w:t>3</w:t>
            </w:r>
          </w:p>
        </w:tc>
        <w:tc>
          <w:tcPr>
            <w:tcW w:w="1179" w:type="pct"/>
            <w:vMerge w:val="continue"/>
            <w:vAlign w:val="center"/>
          </w:tcPr>
          <w:p w14:paraId="6870C0DC">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r>
      <w:tr w14:paraId="6C2F6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continue"/>
            <w:vAlign w:val="center"/>
          </w:tcPr>
          <w:p w14:paraId="23A26920">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lang w:val="en-US" w:eastAsia="zh-CN"/>
              </w:rPr>
            </w:pPr>
          </w:p>
        </w:tc>
        <w:tc>
          <w:tcPr>
            <w:tcW w:w="445" w:type="pct"/>
            <w:vMerge w:val="continue"/>
            <w:vAlign w:val="center"/>
          </w:tcPr>
          <w:p w14:paraId="4FA30C16">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498" w:type="pct"/>
            <w:vAlign w:val="center"/>
          </w:tcPr>
          <w:p w14:paraId="1621063A">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default" w:ascii="Times New Roman" w:hAnsi="Times New Roman" w:eastAsia="楷体" w:cs="Times New Roman"/>
                <w:sz w:val="24"/>
                <w:szCs w:val="24"/>
                <w:lang w:val="en-US" w:eastAsia="zh-CN"/>
              </w:rPr>
              <w:t>氯化氢</w:t>
            </w:r>
          </w:p>
        </w:tc>
        <w:tc>
          <w:tcPr>
            <w:tcW w:w="740" w:type="pct"/>
            <w:vMerge w:val="continue"/>
            <w:vAlign w:val="center"/>
          </w:tcPr>
          <w:p w14:paraId="538847EF">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54" w:type="pct"/>
            <w:vAlign w:val="center"/>
          </w:tcPr>
          <w:p w14:paraId="3377BBC8">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0.000</w:t>
            </w:r>
            <w:r>
              <w:rPr>
                <w:rFonts w:hint="eastAsia" w:eastAsia="楷体" w:cs="Times New Roman"/>
                <w:sz w:val="24"/>
                <w:szCs w:val="24"/>
                <w:vertAlign w:val="baseline"/>
                <w:lang w:val="en-US" w:eastAsia="zh-CN"/>
              </w:rPr>
              <w:t>1</w:t>
            </w:r>
          </w:p>
        </w:tc>
        <w:tc>
          <w:tcPr>
            <w:tcW w:w="715" w:type="pct"/>
            <w:vAlign w:val="center"/>
          </w:tcPr>
          <w:p w14:paraId="7092C417">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w:t>
            </w:r>
          </w:p>
        </w:tc>
        <w:tc>
          <w:tcPr>
            <w:tcW w:w="579" w:type="pct"/>
            <w:vAlign w:val="center"/>
          </w:tcPr>
          <w:p w14:paraId="13E4007E">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color w:val="000000" w:themeColor="text1"/>
                <w:sz w:val="24"/>
                <w:szCs w:val="24"/>
                <w14:textFill>
                  <w14:solidFill>
                    <w14:schemeClr w14:val="tx1"/>
                  </w14:solidFill>
                </w14:textFill>
              </w:rPr>
              <w:t>≤</w:t>
            </w:r>
            <w:r>
              <w:rPr>
                <w:rFonts w:hint="default"/>
                <w:color w:val="000000" w:themeColor="text1"/>
                <w:lang w:val="en-US" w:eastAsia="zh-CN"/>
                <w14:textFill>
                  <w14:solidFill>
                    <w14:schemeClr w14:val="tx1"/>
                  </w14:solidFill>
                </w14:textFill>
              </w:rPr>
              <w:t>0.</w:t>
            </w:r>
            <w:r>
              <w:rPr>
                <w:rFonts w:hint="eastAsia"/>
                <w:color w:val="000000" w:themeColor="text1"/>
                <w:lang w:val="en-US" w:eastAsia="zh-CN"/>
                <w14:textFill>
                  <w14:solidFill>
                    <w14:schemeClr w14:val="tx1"/>
                  </w14:solidFill>
                </w14:textFill>
              </w:rPr>
              <w:t>2</w:t>
            </w:r>
            <w:r>
              <w:rPr>
                <w:rFonts w:hint="default"/>
                <w:color w:val="000000" w:themeColor="text1"/>
                <w:sz w:val="24"/>
                <w:szCs w:val="24"/>
                <w14:textFill>
                  <w14:solidFill>
                    <w14:schemeClr w14:val="tx1"/>
                  </w14:solidFill>
                </w14:textFill>
              </w:rPr>
              <w:t>mg/m</w:t>
            </w:r>
            <w:r>
              <w:rPr>
                <w:rFonts w:hint="default"/>
                <w:color w:val="000000" w:themeColor="text1"/>
                <w:sz w:val="24"/>
                <w:szCs w:val="24"/>
                <w:vertAlign w:val="superscript"/>
                <w14:textFill>
                  <w14:solidFill>
                    <w14:schemeClr w14:val="tx1"/>
                  </w14:solidFill>
                </w14:textFill>
              </w:rPr>
              <w:t>3</w:t>
            </w:r>
          </w:p>
        </w:tc>
        <w:tc>
          <w:tcPr>
            <w:tcW w:w="1179" w:type="pct"/>
            <w:vMerge w:val="continue"/>
            <w:vAlign w:val="center"/>
          </w:tcPr>
          <w:p w14:paraId="6DF25BDE">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r>
      <w:tr w14:paraId="5527F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continue"/>
            <w:vAlign w:val="center"/>
          </w:tcPr>
          <w:p w14:paraId="12510448">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lang w:val="en-US" w:eastAsia="zh-CN"/>
              </w:rPr>
            </w:pPr>
          </w:p>
        </w:tc>
        <w:tc>
          <w:tcPr>
            <w:tcW w:w="445" w:type="pct"/>
            <w:vMerge w:val="continue"/>
            <w:vAlign w:val="center"/>
          </w:tcPr>
          <w:p w14:paraId="3D3EA6E3">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498" w:type="pct"/>
            <w:vAlign w:val="center"/>
          </w:tcPr>
          <w:p w14:paraId="48BF5339">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臭气浓度</w:t>
            </w:r>
          </w:p>
        </w:tc>
        <w:tc>
          <w:tcPr>
            <w:tcW w:w="740" w:type="pct"/>
            <w:vMerge w:val="continue"/>
            <w:vAlign w:val="center"/>
          </w:tcPr>
          <w:p w14:paraId="7773DA98">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554" w:type="pct"/>
            <w:vAlign w:val="center"/>
          </w:tcPr>
          <w:p w14:paraId="5056E447">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firstLine="0" w:firstLineChars="0"/>
              <w:jc w:val="center"/>
              <w:textAlignment w:val="auto"/>
              <w:rPr>
                <w:sz w:val="24"/>
                <w:szCs w:val="24"/>
              </w:rPr>
            </w:pPr>
            <w:r>
              <w:rPr>
                <w:rFonts w:hint="eastAsia" w:ascii="Times New Roman" w:hAnsi="Times New Roman" w:eastAsia="楷体" w:cs="Times New Roman"/>
                <w:sz w:val="24"/>
                <w:szCs w:val="24"/>
                <w:vertAlign w:val="baseline"/>
                <w:lang w:val="en-US" w:eastAsia="zh-CN"/>
              </w:rPr>
              <w:t>/</w:t>
            </w:r>
          </w:p>
        </w:tc>
        <w:tc>
          <w:tcPr>
            <w:tcW w:w="715" w:type="pct"/>
            <w:vAlign w:val="center"/>
          </w:tcPr>
          <w:p w14:paraId="7BF91F9D">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w:t>
            </w:r>
          </w:p>
        </w:tc>
        <w:tc>
          <w:tcPr>
            <w:tcW w:w="579" w:type="pct"/>
            <w:vAlign w:val="center"/>
          </w:tcPr>
          <w:p w14:paraId="3C9DCFC9">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color w:val="000000" w:themeColor="text1"/>
                <w:sz w:val="24"/>
                <w:szCs w:val="24"/>
                <w14:textFill>
                  <w14:solidFill>
                    <w14:schemeClr w14:val="tx1"/>
                  </w14:solidFill>
                </w14:textFill>
              </w:rPr>
              <w:t>≤</w:t>
            </w:r>
            <w:r>
              <w:rPr>
                <w:rFonts w:hint="default"/>
                <w:color w:val="000000" w:themeColor="text1"/>
                <w:sz w:val="24"/>
                <w:szCs w:val="24"/>
                <w:lang w:val="en-US" w:eastAsia="zh-CN"/>
                <w14:textFill>
                  <w14:solidFill>
                    <w14:schemeClr w14:val="tx1"/>
                  </w14:solidFill>
                </w14:textFill>
              </w:rPr>
              <w:t>20</w:t>
            </w:r>
            <w:r>
              <w:rPr>
                <w:rFonts w:hint="default"/>
                <w:color w:val="000000" w:themeColor="text1"/>
                <w:sz w:val="24"/>
                <w:szCs w:val="24"/>
                <w14:textFill>
                  <w14:solidFill>
                    <w14:schemeClr w14:val="tx1"/>
                  </w14:solidFill>
                </w14:textFill>
              </w:rPr>
              <w:t>（无量纲）</w:t>
            </w:r>
          </w:p>
        </w:tc>
        <w:tc>
          <w:tcPr>
            <w:tcW w:w="1179" w:type="pct"/>
            <w:vMerge w:val="continue"/>
            <w:vAlign w:val="center"/>
          </w:tcPr>
          <w:p w14:paraId="38F8E940">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r>
      <w:tr w14:paraId="4A469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restart"/>
            <w:vAlign w:val="center"/>
          </w:tcPr>
          <w:p w14:paraId="7C83AF53">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废水</w:t>
            </w:r>
          </w:p>
        </w:tc>
        <w:tc>
          <w:tcPr>
            <w:tcW w:w="445" w:type="pct"/>
            <w:vAlign w:val="center"/>
          </w:tcPr>
          <w:p w14:paraId="0529E4CC">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生产废水</w:t>
            </w:r>
          </w:p>
        </w:tc>
        <w:tc>
          <w:tcPr>
            <w:tcW w:w="498" w:type="pct"/>
            <w:vAlign w:val="center"/>
          </w:tcPr>
          <w:p w14:paraId="65918CE7">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SS</w:t>
            </w:r>
          </w:p>
        </w:tc>
        <w:tc>
          <w:tcPr>
            <w:tcW w:w="740" w:type="pct"/>
            <w:vAlign w:val="center"/>
          </w:tcPr>
          <w:p w14:paraId="490A0349">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ascii="Times New Roman" w:hAnsi="Times New Roman" w:cs="Times New Roman"/>
                <w:color w:val="auto"/>
                <w:sz w:val="24"/>
                <w:szCs w:val="24"/>
                <w:highlight w:val="none"/>
                <w:lang w:eastAsia="zh-CN"/>
              </w:rPr>
              <w:t>生产废水</w:t>
            </w:r>
            <w:r>
              <w:rPr>
                <w:rFonts w:hint="default" w:ascii="Times New Roman" w:hAnsi="Times New Roman" w:cs="Times New Roman"/>
                <w:color w:val="auto"/>
                <w:sz w:val="24"/>
                <w:szCs w:val="24"/>
                <w:highlight w:val="none"/>
              </w:rPr>
              <w:t>循环使用，不外排</w:t>
            </w:r>
          </w:p>
        </w:tc>
        <w:tc>
          <w:tcPr>
            <w:tcW w:w="1269" w:type="pct"/>
            <w:gridSpan w:val="2"/>
            <w:vAlign w:val="center"/>
          </w:tcPr>
          <w:p w14:paraId="4BCE6DCB">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eastAsia="楷体"/>
                <w:sz w:val="24"/>
                <w:szCs w:val="24"/>
                <w:lang w:val="en-US" w:eastAsia="zh-CN"/>
              </w:rPr>
            </w:pPr>
            <w:r>
              <w:rPr>
                <w:rFonts w:hint="eastAsia"/>
                <w:sz w:val="24"/>
                <w:szCs w:val="24"/>
                <w:lang w:val="en-US" w:eastAsia="zh-CN"/>
              </w:rPr>
              <w:t>/</w:t>
            </w:r>
          </w:p>
        </w:tc>
        <w:tc>
          <w:tcPr>
            <w:tcW w:w="579" w:type="pct"/>
            <w:vAlign w:val="center"/>
          </w:tcPr>
          <w:p w14:paraId="07CF25B1">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eastAsia="楷体"/>
                <w:sz w:val="24"/>
                <w:szCs w:val="24"/>
                <w:lang w:val="en-US" w:eastAsia="zh-CN"/>
              </w:rPr>
            </w:pPr>
            <w:r>
              <w:rPr>
                <w:rFonts w:hint="eastAsia"/>
                <w:sz w:val="24"/>
                <w:szCs w:val="24"/>
                <w:lang w:val="en-US" w:eastAsia="zh-CN"/>
              </w:rPr>
              <w:t>/</w:t>
            </w:r>
          </w:p>
        </w:tc>
        <w:tc>
          <w:tcPr>
            <w:tcW w:w="1179" w:type="pct"/>
            <w:vAlign w:val="center"/>
          </w:tcPr>
          <w:p w14:paraId="4FB058A1">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eastAsia="楷体"/>
                <w:sz w:val="24"/>
                <w:szCs w:val="24"/>
                <w:lang w:val="en-US" w:eastAsia="zh-CN"/>
              </w:rPr>
            </w:pPr>
            <w:r>
              <w:rPr>
                <w:rFonts w:hint="eastAsia"/>
                <w:sz w:val="24"/>
                <w:szCs w:val="24"/>
                <w:lang w:val="en-US" w:eastAsia="zh-CN"/>
              </w:rPr>
              <w:t>/</w:t>
            </w:r>
          </w:p>
        </w:tc>
      </w:tr>
      <w:tr w14:paraId="1FDF0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continue"/>
            <w:vAlign w:val="center"/>
          </w:tcPr>
          <w:p w14:paraId="06462409">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rPr>
            </w:pPr>
          </w:p>
        </w:tc>
        <w:tc>
          <w:tcPr>
            <w:tcW w:w="445" w:type="pct"/>
            <w:vAlign w:val="center"/>
          </w:tcPr>
          <w:p w14:paraId="6518AD8F">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生活污水</w:t>
            </w:r>
          </w:p>
        </w:tc>
        <w:tc>
          <w:tcPr>
            <w:tcW w:w="498" w:type="pct"/>
            <w:vAlign w:val="center"/>
          </w:tcPr>
          <w:p w14:paraId="31B95F7E">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COD、氨氮</w:t>
            </w:r>
          </w:p>
        </w:tc>
        <w:tc>
          <w:tcPr>
            <w:tcW w:w="740" w:type="pct"/>
            <w:vAlign w:val="center"/>
          </w:tcPr>
          <w:p w14:paraId="66D02592">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泼洒厂区地面抑尘，厂区设防渗旱厕，定期清掏</w:t>
            </w:r>
          </w:p>
        </w:tc>
        <w:tc>
          <w:tcPr>
            <w:tcW w:w="1269" w:type="pct"/>
            <w:gridSpan w:val="2"/>
            <w:vAlign w:val="center"/>
          </w:tcPr>
          <w:p w14:paraId="2860B880">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eastAsia="楷体"/>
                <w:sz w:val="24"/>
                <w:szCs w:val="24"/>
                <w:lang w:val="en-US" w:eastAsia="zh-CN"/>
              </w:rPr>
            </w:pPr>
            <w:r>
              <w:rPr>
                <w:rFonts w:hint="eastAsia"/>
                <w:sz w:val="24"/>
                <w:szCs w:val="24"/>
                <w:lang w:val="en-US" w:eastAsia="zh-CN"/>
              </w:rPr>
              <w:t>/</w:t>
            </w:r>
          </w:p>
        </w:tc>
        <w:tc>
          <w:tcPr>
            <w:tcW w:w="579" w:type="pct"/>
            <w:vAlign w:val="center"/>
          </w:tcPr>
          <w:p w14:paraId="4098D74B">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eastAsia="楷体"/>
                <w:sz w:val="24"/>
                <w:szCs w:val="24"/>
                <w:lang w:val="en-US" w:eastAsia="zh-CN"/>
              </w:rPr>
            </w:pPr>
            <w:r>
              <w:rPr>
                <w:rFonts w:hint="eastAsia"/>
                <w:sz w:val="24"/>
                <w:szCs w:val="24"/>
                <w:lang w:val="en-US" w:eastAsia="zh-CN"/>
              </w:rPr>
              <w:t>/</w:t>
            </w:r>
          </w:p>
        </w:tc>
        <w:tc>
          <w:tcPr>
            <w:tcW w:w="1179" w:type="pct"/>
            <w:vAlign w:val="center"/>
          </w:tcPr>
          <w:p w14:paraId="0B32BD89">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eastAsia="楷体"/>
                <w:sz w:val="24"/>
                <w:szCs w:val="24"/>
                <w:lang w:val="en-US" w:eastAsia="zh-CN"/>
              </w:rPr>
            </w:pPr>
            <w:r>
              <w:rPr>
                <w:rFonts w:hint="eastAsia"/>
                <w:sz w:val="24"/>
                <w:szCs w:val="24"/>
                <w:lang w:val="en-US" w:eastAsia="zh-CN"/>
              </w:rPr>
              <w:t>/</w:t>
            </w:r>
          </w:p>
        </w:tc>
      </w:tr>
      <w:tr w14:paraId="145A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Align w:val="center"/>
          </w:tcPr>
          <w:p w14:paraId="3DC6B4EA">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噪声</w:t>
            </w:r>
          </w:p>
        </w:tc>
        <w:tc>
          <w:tcPr>
            <w:tcW w:w="445" w:type="pct"/>
            <w:vAlign w:val="center"/>
          </w:tcPr>
          <w:p w14:paraId="6C49A6EC">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b w:val="0"/>
                <w:bCs w:val="0"/>
                <w:color w:val="auto"/>
                <w:sz w:val="24"/>
                <w:szCs w:val="24"/>
                <w:highlight w:val="none"/>
              </w:rPr>
              <w:t>设备噪声</w:t>
            </w:r>
          </w:p>
        </w:tc>
        <w:tc>
          <w:tcPr>
            <w:tcW w:w="498" w:type="pct"/>
            <w:vAlign w:val="center"/>
          </w:tcPr>
          <w:p w14:paraId="4E65DA18">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等效</w:t>
            </w:r>
            <w:r>
              <w:rPr>
                <w:sz w:val="24"/>
                <w:szCs w:val="24"/>
              </w:rPr>
              <w:t>连续</w:t>
            </w:r>
            <w:r>
              <w:rPr>
                <w:rFonts w:hint="eastAsia"/>
                <w:sz w:val="24"/>
                <w:szCs w:val="24"/>
              </w:rPr>
              <w:t>A声级</w:t>
            </w:r>
          </w:p>
        </w:tc>
        <w:tc>
          <w:tcPr>
            <w:tcW w:w="740" w:type="pct"/>
            <w:vAlign w:val="center"/>
          </w:tcPr>
          <w:p w14:paraId="3D82C0A1">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采取低噪声设备，采用减振、降噪等措施</w:t>
            </w:r>
          </w:p>
        </w:tc>
        <w:tc>
          <w:tcPr>
            <w:tcW w:w="1269" w:type="pct"/>
            <w:gridSpan w:val="2"/>
            <w:vAlign w:val="center"/>
          </w:tcPr>
          <w:p w14:paraId="52BC8DBA">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噪声源强度约</w:t>
            </w:r>
            <w:r>
              <w:rPr>
                <w:rFonts w:hint="eastAsia"/>
                <w:sz w:val="24"/>
                <w:szCs w:val="24"/>
                <w:lang w:val="en-US" w:eastAsia="zh-CN"/>
              </w:rPr>
              <w:t>80</w:t>
            </w:r>
            <w:r>
              <w:rPr>
                <w:rFonts w:hint="eastAsia"/>
                <w:sz w:val="24"/>
                <w:szCs w:val="24"/>
              </w:rPr>
              <w:t>-</w:t>
            </w:r>
            <w:r>
              <w:rPr>
                <w:rFonts w:hint="eastAsia"/>
                <w:sz w:val="24"/>
                <w:szCs w:val="24"/>
                <w:lang w:val="en-US" w:eastAsia="zh-CN"/>
              </w:rPr>
              <w:t>94</w:t>
            </w:r>
            <w:r>
              <w:rPr>
                <w:rFonts w:hint="eastAsia"/>
                <w:sz w:val="24"/>
                <w:szCs w:val="24"/>
              </w:rPr>
              <w:t>dB(A)</w:t>
            </w:r>
          </w:p>
        </w:tc>
        <w:tc>
          <w:tcPr>
            <w:tcW w:w="579" w:type="pct"/>
            <w:vAlign w:val="center"/>
          </w:tcPr>
          <w:p w14:paraId="651948B3">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lang w:val="en-US" w:eastAsia="zh-CN"/>
              </w:rPr>
            </w:pPr>
            <w:r>
              <w:rPr>
                <w:rFonts w:hint="eastAsia"/>
                <w:sz w:val="24"/>
                <w:szCs w:val="24"/>
                <w:lang w:val="en-US" w:eastAsia="zh-CN"/>
              </w:rPr>
              <w:t>昼间</w:t>
            </w:r>
            <w:r>
              <w:rPr>
                <w:rFonts w:hint="default"/>
                <w:color w:val="000000" w:themeColor="text1"/>
                <w:sz w:val="24"/>
                <w:szCs w:val="24"/>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60dB(A)</w:t>
            </w:r>
          </w:p>
          <w:p w14:paraId="1AEB19C4">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default"/>
                <w:sz w:val="24"/>
                <w:szCs w:val="24"/>
                <w:lang w:val="en-US" w:eastAsia="zh-CN"/>
              </w:rPr>
            </w:pPr>
            <w:r>
              <w:rPr>
                <w:rFonts w:hint="eastAsia"/>
                <w:sz w:val="24"/>
                <w:szCs w:val="24"/>
                <w:lang w:val="en-US" w:eastAsia="zh-CN"/>
              </w:rPr>
              <w:t>夜间</w:t>
            </w:r>
            <w:r>
              <w:rPr>
                <w:rFonts w:hint="default"/>
                <w:color w:val="000000" w:themeColor="text1"/>
                <w:sz w:val="24"/>
                <w:szCs w:val="24"/>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50dB(A)</w:t>
            </w:r>
          </w:p>
        </w:tc>
        <w:tc>
          <w:tcPr>
            <w:tcW w:w="1179" w:type="pct"/>
            <w:vAlign w:val="center"/>
          </w:tcPr>
          <w:p w14:paraId="7F201D9F">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《工业企业厂界环境噪声排放标准》（GB12348-2008）2类标准</w:t>
            </w:r>
          </w:p>
        </w:tc>
      </w:tr>
      <w:tr w14:paraId="22DB7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restart"/>
            <w:vAlign w:val="center"/>
          </w:tcPr>
          <w:p w14:paraId="222312CB">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固体废物</w:t>
            </w:r>
          </w:p>
        </w:tc>
        <w:tc>
          <w:tcPr>
            <w:tcW w:w="445" w:type="pct"/>
            <w:vAlign w:val="center"/>
          </w:tcPr>
          <w:p w14:paraId="4BB3EE47">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分拣工序</w:t>
            </w:r>
          </w:p>
        </w:tc>
        <w:tc>
          <w:tcPr>
            <w:tcW w:w="498" w:type="pct"/>
            <w:vAlign w:val="center"/>
          </w:tcPr>
          <w:p w14:paraId="246EB2D4">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分拣废物</w:t>
            </w:r>
          </w:p>
        </w:tc>
        <w:tc>
          <w:tcPr>
            <w:tcW w:w="2588" w:type="pct"/>
            <w:gridSpan w:val="4"/>
            <w:vAlign w:val="center"/>
          </w:tcPr>
          <w:p w14:paraId="0F94E8F9">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定期送往环卫部门指定地点处置</w:t>
            </w:r>
          </w:p>
        </w:tc>
        <w:tc>
          <w:tcPr>
            <w:tcW w:w="1179" w:type="pct"/>
            <w:vMerge w:val="restart"/>
            <w:vAlign w:val="center"/>
          </w:tcPr>
          <w:p w14:paraId="4535CC00">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《一般工业固体废物贮存和填埋污染控制标准》（GB18599-2020）</w:t>
            </w:r>
            <w:r>
              <w:rPr>
                <w:rFonts w:hint="eastAsia"/>
                <w:sz w:val="24"/>
                <w:szCs w:val="24"/>
                <w:lang w:val="en-US" w:eastAsia="zh-CN"/>
              </w:rPr>
              <w:t>的相关要求</w:t>
            </w:r>
          </w:p>
        </w:tc>
      </w:tr>
      <w:tr w14:paraId="46501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continue"/>
            <w:vAlign w:val="center"/>
          </w:tcPr>
          <w:p w14:paraId="58A70AB6">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rPr>
            </w:pPr>
          </w:p>
        </w:tc>
        <w:tc>
          <w:tcPr>
            <w:tcW w:w="445" w:type="pct"/>
            <w:vAlign w:val="center"/>
          </w:tcPr>
          <w:p w14:paraId="57714EDC">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沉淀池</w:t>
            </w:r>
          </w:p>
        </w:tc>
        <w:tc>
          <w:tcPr>
            <w:tcW w:w="498" w:type="pct"/>
            <w:vAlign w:val="center"/>
          </w:tcPr>
          <w:p w14:paraId="0D410E4D">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污泥</w:t>
            </w:r>
          </w:p>
        </w:tc>
        <w:tc>
          <w:tcPr>
            <w:tcW w:w="2588" w:type="pct"/>
            <w:gridSpan w:val="4"/>
            <w:vAlign w:val="center"/>
          </w:tcPr>
          <w:p w14:paraId="1C2ECFDA">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定期清掏自然干化后作为生活垃圾交由环卫部门处理</w:t>
            </w:r>
          </w:p>
        </w:tc>
        <w:tc>
          <w:tcPr>
            <w:tcW w:w="1179" w:type="pct"/>
            <w:vMerge w:val="continue"/>
            <w:vAlign w:val="center"/>
          </w:tcPr>
          <w:p w14:paraId="42390DD6">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r>
      <w:tr w14:paraId="42C2E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continue"/>
            <w:vAlign w:val="center"/>
          </w:tcPr>
          <w:p w14:paraId="068FDDB9">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rPr>
            </w:pPr>
          </w:p>
        </w:tc>
        <w:tc>
          <w:tcPr>
            <w:tcW w:w="445" w:type="pct"/>
            <w:vAlign w:val="center"/>
          </w:tcPr>
          <w:p w14:paraId="402DEE5E">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挤出工序</w:t>
            </w:r>
          </w:p>
        </w:tc>
        <w:tc>
          <w:tcPr>
            <w:tcW w:w="498" w:type="pct"/>
            <w:vAlign w:val="center"/>
          </w:tcPr>
          <w:p w14:paraId="47685321">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废滤网</w:t>
            </w:r>
          </w:p>
        </w:tc>
        <w:tc>
          <w:tcPr>
            <w:tcW w:w="2588" w:type="pct"/>
            <w:gridSpan w:val="4"/>
            <w:vAlign w:val="center"/>
          </w:tcPr>
          <w:p w14:paraId="387EDF92">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sz w:val="24"/>
                <w:szCs w:val="24"/>
                <w:lang w:val="en-US" w:eastAsia="zh-CN"/>
              </w:rPr>
              <w:t>由原厂家回收</w:t>
            </w:r>
          </w:p>
        </w:tc>
        <w:tc>
          <w:tcPr>
            <w:tcW w:w="1179" w:type="pct"/>
            <w:vMerge w:val="continue"/>
            <w:vAlign w:val="center"/>
          </w:tcPr>
          <w:p w14:paraId="51B22827">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r>
      <w:tr w14:paraId="64DBE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continue"/>
            <w:vAlign w:val="center"/>
          </w:tcPr>
          <w:p w14:paraId="5601AF88">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rPr>
            </w:pPr>
          </w:p>
        </w:tc>
        <w:tc>
          <w:tcPr>
            <w:tcW w:w="445" w:type="pct"/>
            <w:vAlign w:val="center"/>
          </w:tcPr>
          <w:p w14:paraId="52EFC759">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布袋除尘器</w:t>
            </w:r>
          </w:p>
        </w:tc>
        <w:tc>
          <w:tcPr>
            <w:tcW w:w="498" w:type="pct"/>
            <w:vAlign w:val="center"/>
          </w:tcPr>
          <w:p w14:paraId="374FE710">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除尘灰</w:t>
            </w:r>
          </w:p>
        </w:tc>
        <w:tc>
          <w:tcPr>
            <w:tcW w:w="2588" w:type="pct"/>
            <w:gridSpan w:val="4"/>
            <w:vAlign w:val="center"/>
          </w:tcPr>
          <w:p w14:paraId="4B50B24D">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全部回用于生产</w:t>
            </w:r>
          </w:p>
        </w:tc>
        <w:tc>
          <w:tcPr>
            <w:tcW w:w="1179" w:type="pct"/>
            <w:vMerge w:val="continue"/>
            <w:vAlign w:val="center"/>
          </w:tcPr>
          <w:p w14:paraId="49CD3762">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r>
      <w:tr w14:paraId="5E568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continue"/>
            <w:vAlign w:val="center"/>
          </w:tcPr>
          <w:p w14:paraId="21880373">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rPr>
            </w:pPr>
          </w:p>
        </w:tc>
        <w:tc>
          <w:tcPr>
            <w:tcW w:w="445" w:type="pct"/>
            <w:vAlign w:val="center"/>
          </w:tcPr>
          <w:p w14:paraId="3B2E9508">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eastAsia="楷体"/>
                <w:sz w:val="24"/>
                <w:szCs w:val="24"/>
                <w:lang w:eastAsia="zh-CN"/>
              </w:rPr>
            </w:pPr>
            <w:r>
              <w:rPr>
                <w:rFonts w:hint="eastAsia"/>
                <w:sz w:val="24"/>
                <w:szCs w:val="24"/>
                <w:lang w:eastAsia="zh-CN"/>
              </w:rPr>
              <w:t>原料包装</w:t>
            </w:r>
          </w:p>
        </w:tc>
        <w:tc>
          <w:tcPr>
            <w:tcW w:w="498" w:type="pct"/>
            <w:vAlign w:val="center"/>
          </w:tcPr>
          <w:p w14:paraId="2FE46C32">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废包装袋</w:t>
            </w:r>
          </w:p>
        </w:tc>
        <w:tc>
          <w:tcPr>
            <w:tcW w:w="2588" w:type="pct"/>
            <w:gridSpan w:val="4"/>
            <w:vAlign w:val="center"/>
          </w:tcPr>
          <w:p w14:paraId="752027B0">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定期外售废品收购站</w:t>
            </w:r>
          </w:p>
        </w:tc>
        <w:tc>
          <w:tcPr>
            <w:tcW w:w="1179" w:type="pct"/>
            <w:vMerge w:val="continue"/>
            <w:vAlign w:val="center"/>
          </w:tcPr>
          <w:p w14:paraId="31FEE2AF">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r>
      <w:tr w14:paraId="3ACBE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continue"/>
            <w:vAlign w:val="center"/>
          </w:tcPr>
          <w:p w14:paraId="6E56D529">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rPr>
            </w:pPr>
          </w:p>
        </w:tc>
        <w:tc>
          <w:tcPr>
            <w:tcW w:w="445" w:type="pct"/>
            <w:vMerge w:val="restart"/>
            <w:vAlign w:val="center"/>
          </w:tcPr>
          <w:p w14:paraId="1929D289">
            <w:pPr>
              <w:pStyle w:val="101"/>
              <w:keepNext w:val="0"/>
              <w:keepLines w:val="0"/>
              <w:pageBreakBefore w:val="0"/>
              <w:widowControl/>
              <w:kinsoku/>
              <w:wordWrap/>
              <w:overflowPunct/>
              <w:topLinePunct w:val="0"/>
              <w:autoSpaceDE/>
              <w:autoSpaceDN/>
              <w:bidi w:val="0"/>
              <w:adjustRightInd w:val="0"/>
              <w:snapToGrid w:val="0"/>
              <w:spacing w:line="300" w:lineRule="exact"/>
              <w:ind w:firstLine="0" w:firstLineChars="0"/>
              <w:textAlignment w:val="auto"/>
              <w:rPr>
                <w:rFonts w:hint="eastAsia" w:eastAsia="宋体"/>
                <w:sz w:val="24"/>
                <w:szCs w:val="24"/>
                <w:lang w:eastAsia="zh-CN"/>
              </w:rPr>
            </w:pPr>
            <w:r>
              <w:rPr>
                <w:rFonts w:hint="eastAsia" w:eastAsia="楷体" w:cs="Times New Roman"/>
                <w:color w:val="000000" w:themeColor="text1"/>
                <w:sz w:val="24"/>
                <w:szCs w:val="24"/>
                <w:highlight w:val="none"/>
                <w:lang w:eastAsia="zh-CN"/>
                <w14:textFill>
                  <w14:solidFill>
                    <w14:schemeClr w14:val="tx1"/>
                  </w14:solidFill>
                </w14:textFill>
              </w:rPr>
              <w:t>环保装置</w:t>
            </w:r>
          </w:p>
        </w:tc>
        <w:tc>
          <w:tcPr>
            <w:tcW w:w="498" w:type="pct"/>
            <w:vAlign w:val="center"/>
          </w:tcPr>
          <w:p w14:paraId="3B6EBBBA">
            <w:pPr>
              <w:pStyle w:val="101"/>
              <w:keepNext w:val="0"/>
              <w:keepLines w:val="0"/>
              <w:pageBreakBefore w:val="0"/>
              <w:widowControl/>
              <w:kinsoku/>
              <w:wordWrap/>
              <w:overflowPunct/>
              <w:topLinePunct w:val="0"/>
              <w:autoSpaceDE/>
              <w:autoSpaceDN/>
              <w:bidi w:val="0"/>
              <w:adjustRightInd w:val="0"/>
              <w:snapToGrid w:val="0"/>
              <w:spacing w:line="300" w:lineRule="exact"/>
              <w:ind w:firstLine="0" w:firstLineChars="0"/>
              <w:textAlignment w:val="auto"/>
              <w:rPr>
                <w:sz w:val="24"/>
                <w:szCs w:val="24"/>
              </w:rPr>
            </w:pPr>
            <w:r>
              <w:rPr>
                <w:rFonts w:hint="default" w:ascii="Times New Roman" w:hAnsi="Times New Roman" w:eastAsia="楷体" w:cs="Times New Roman"/>
                <w:color w:val="000000" w:themeColor="text1"/>
                <w:sz w:val="24"/>
                <w:szCs w:val="24"/>
                <w:highlight w:val="none"/>
                <w14:textFill>
                  <w14:solidFill>
                    <w14:schemeClr w14:val="tx1"/>
                  </w14:solidFill>
                </w14:textFill>
              </w:rPr>
              <w:t>废活性炭</w:t>
            </w:r>
          </w:p>
        </w:tc>
        <w:tc>
          <w:tcPr>
            <w:tcW w:w="2588" w:type="pct"/>
            <w:gridSpan w:val="4"/>
            <w:vMerge w:val="restart"/>
            <w:vAlign w:val="center"/>
          </w:tcPr>
          <w:p w14:paraId="7CA1338B">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sz w:val="24"/>
                <w:szCs w:val="24"/>
                <w:lang w:val="en-US" w:eastAsia="zh-CN"/>
              </w:rPr>
              <w:t>暂存于危废暂存间，定期委托有资质单位处置</w:t>
            </w:r>
          </w:p>
        </w:tc>
        <w:tc>
          <w:tcPr>
            <w:tcW w:w="1179" w:type="pct"/>
            <w:vMerge w:val="restart"/>
            <w:vAlign w:val="center"/>
          </w:tcPr>
          <w:p w14:paraId="487CAFD1">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rPr>
              <w:t>《危险废物贮存污染控制标准》（GB 18597-2023）</w:t>
            </w:r>
            <w:r>
              <w:rPr>
                <w:rFonts w:hint="eastAsia"/>
                <w:sz w:val="24"/>
                <w:szCs w:val="24"/>
                <w:lang w:val="en-US" w:eastAsia="zh-CN"/>
              </w:rPr>
              <w:t>的相关要求</w:t>
            </w:r>
          </w:p>
        </w:tc>
      </w:tr>
      <w:tr w14:paraId="6C342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continue"/>
            <w:vAlign w:val="center"/>
          </w:tcPr>
          <w:p w14:paraId="68143118">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445" w:type="pct"/>
            <w:vMerge w:val="continue"/>
            <w:vAlign w:val="center"/>
          </w:tcPr>
          <w:p w14:paraId="06A07244">
            <w:pPr>
              <w:pStyle w:val="101"/>
              <w:keepNext w:val="0"/>
              <w:keepLines w:val="0"/>
              <w:pageBreakBefore w:val="0"/>
              <w:widowControl/>
              <w:kinsoku/>
              <w:wordWrap/>
              <w:overflowPunct/>
              <w:topLinePunct w:val="0"/>
              <w:autoSpaceDE/>
              <w:autoSpaceDN/>
              <w:bidi w:val="0"/>
              <w:adjustRightInd w:val="0"/>
              <w:snapToGrid w:val="0"/>
              <w:spacing w:line="300" w:lineRule="exact"/>
              <w:ind w:firstLine="0" w:firstLineChars="0"/>
              <w:textAlignment w:val="auto"/>
              <w:rPr>
                <w:sz w:val="24"/>
                <w:szCs w:val="24"/>
              </w:rPr>
            </w:pPr>
          </w:p>
        </w:tc>
        <w:tc>
          <w:tcPr>
            <w:tcW w:w="498" w:type="pct"/>
            <w:vAlign w:val="center"/>
          </w:tcPr>
          <w:p w14:paraId="23707630">
            <w:pPr>
              <w:pStyle w:val="101"/>
              <w:keepNext w:val="0"/>
              <w:keepLines w:val="0"/>
              <w:pageBreakBefore w:val="0"/>
              <w:widowControl/>
              <w:kinsoku/>
              <w:wordWrap/>
              <w:overflowPunct/>
              <w:topLinePunct w:val="0"/>
              <w:autoSpaceDE/>
              <w:autoSpaceDN/>
              <w:bidi w:val="0"/>
              <w:adjustRightInd w:val="0"/>
              <w:snapToGrid w:val="0"/>
              <w:spacing w:line="300" w:lineRule="exact"/>
              <w:ind w:firstLine="0" w:firstLineChars="0"/>
              <w:textAlignment w:val="auto"/>
              <w:rPr>
                <w:sz w:val="24"/>
                <w:szCs w:val="24"/>
              </w:rPr>
            </w:pPr>
            <w:r>
              <w:rPr>
                <w:rFonts w:hint="eastAsia" w:eastAsia="楷体" w:cs="Times New Roman"/>
                <w:color w:val="000000" w:themeColor="text1"/>
                <w:sz w:val="24"/>
                <w:szCs w:val="24"/>
                <w:highlight w:val="none"/>
                <w:lang w:val="en-US" w:eastAsia="zh-CN"/>
                <w14:textFill>
                  <w14:solidFill>
                    <w14:schemeClr w14:val="tx1"/>
                  </w14:solidFill>
                </w14:textFill>
              </w:rPr>
              <w:t>废过滤棉</w:t>
            </w:r>
          </w:p>
        </w:tc>
        <w:tc>
          <w:tcPr>
            <w:tcW w:w="2588" w:type="pct"/>
            <w:gridSpan w:val="4"/>
            <w:vMerge w:val="continue"/>
            <w:vAlign w:val="center"/>
          </w:tcPr>
          <w:p w14:paraId="7F3F10CC">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1179" w:type="pct"/>
            <w:vMerge w:val="continue"/>
            <w:vAlign w:val="center"/>
          </w:tcPr>
          <w:p w14:paraId="462BBD83">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rPr>
            </w:pPr>
          </w:p>
        </w:tc>
      </w:tr>
      <w:tr w14:paraId="314EC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continue"/>
            <w:vAlign w:val="center"/>
          </w:tcPr>
          <w:p w14:paraId="652C7C0D">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445" w:type="pct"/>
            <w:vMerge w:val="restart"/>
            <w:vAlign w:val="center"/>
          </w:tcPr>
          <w:p w14:paraId="21418C64">
            <w:pPr>
              <w:pStyle w:val="101"/>
              <w:keepNext w:val="0"/>
              <w:keepLines w:val="0"/>
              <w:pageBreakBefore w:val="0"/>
              <w:widowControl/>
              <w:kinsoku/>
              <w:wordWrap/>
              <w:overflowPunct/>
              <w:topLinePunct w:val="0"/>
              <w:autoSpaceDE/>
              <w:autoSpaceDN/>
              <w:bidi w:val="0"/>
              <w:adjustRightInd w:val="0"/>
              <w:snapToGrid w:val="0"/>
              <w:spacing w:line="300" w:lineRule="exact"/>
              <w:ind w:firstLine="0" w:firstLineChars="0"/>
              <w:textAlignment w:val="auto"/>
              <w:rPr>
                <w:sz w:val="24"/>
                <w:szCs w:val="24"/>
              </w:rPr>
            </w:pPr>
            <w:r>
              <w:rPr>
                <w:rFonts w:hint="eastAsia" w:eastAsia="楷体" w:cs="Times New Roman"/>
                <w:color w:val="000000" w:themeColor="text1"/>
                <w:sz w:val="24"/>
                <w:szCs w:val="24"/>
                <w:highlight w:val="none"/>
                <w:lang w:val="en-US" w:eastAsia="zh-CN"/>
                <w14:textFill>
                  <w14:solidFill>
                    <w14:schemeClr w14:val="tx1"/>
                  </w14:solidFill>
                </w14:textFill>
              </w:rPr>
              <w:t>设备维修</w:t>
            </w:r>
          </w:p>
        </w:tc>
        <w:tc>
          <w:tcPr>
            <w:tcW w:w="498" w:type="pct"/>
            <w:vAlign w:val="center"/>
          </w:tcPr>
          <w:p w14:paraId="31BED3DA">
            <w:pPr>
              <w:pStyle w:val="101"/>
              <w:keepNext w:val="0"/>
              <w:keepLines w:val="0"/>
              <w:pageBreakBefore w:val="0"/>
              <w:widowControl/>
              <w:kinsoku/>
              <w:wordWrap/>
              <w:overflowPunct/>
              <w:topLinePunct w:val="0"/>
              <w:autoSpaceDE/>
              <w:autoSpaceDN/>
              <w:bidi w:val="0"/>
              <w:adjustRightInd w:val="0"/>
              <w:snapToGrid w:val="0"/>
              <w:spacing w:line="300" w:lineRule="exact"/>
              <w:ind w:firstLine="0" w:firstLineChars="0"/>
              <w:textAlignment w:val="auto"/>
              <w:rPr>
                <w:sz w:val="24"/>
                <w:szCs w:val="24"/>
              </w:rPr>
            </w:pPr>
            <w:r>
              <w:rPr>
                <w:rFonts w:hint="default" w:ascii="Times New Roman" w:hAnsi="Times New Roman" w:eastAsia="楷体" w:cs="Times New Roman"/>
                <w:color w:val="000000" w:themeColor="text1"/>
                <w:sz w:val="24"/>
                <w:szCs w:val="24"/>
                <w:highlight w:val="none"/>
                <w14:textFill>
                  <w14:solidFill>
                    <w14:schemeClr w14:val="tx1"/>
                  </w14:solidFill>
                </w14:textFill>
              </w:rPr>
              <w:t>废</w:t>
            </w:r>
            <w:r>
              <w:rPr>
                <w:rFonts w:hint="eastAsia" w:ascii="Times New Roman" w:hAnsi="Times New Roman" w:eastAsia="楷体" w:cs="Times New Roman"/>
                <w:color w:val="000000" w:themeColor="text1"/>
                <w:sz w:val="24"/>
                <w:szCs w:val="24"/>
                <w:highlight w:val="none"/>
                <w:lang w:val="en-US" w:eastAsia="zh-CN"/>
                <w14:textFill>
                  <w14:solidFill>
                    <w14:schemeClr w14:val="tx1"/>
                  </w14:solidFill>
                </w14:textFill>
              </w:rPr>
              <w:t>润滑油</w:t>
            </w:r>
          </w:p>
        </w:tc>
        <w:tc>
          <w:tcPr>
            <w:tcW w:w="2588" w:type="pct"/>
            <w:gridSpan w:val="4"/>
            <w:vMerge w:val="continue"/>
            <w:vAlign w:val="center"/>
          </w:tcPr>
          <w:p w14:paraId="392216D9">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rPr>
            </w:pPr>
          </w:p>
        </w:tc>
        <w:tc>
          <w:tcPr>
            <w:tcW w:w="1179" w:type="pct"/>
            <w:vMerge w:val="continue"/>
            <w:vAlign w:val="center"/>
          </w:tcPr>
          <w:p w14:paraId="521393E1">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rPr>
            </w:pPr>
          </w:p>
        </w:tc>
      </w:tr>
      <w:tr w14:paraId="133D9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continue"/>
            <w:vAlign w:val="center"/>
          </w:tcPr>
          <w:p w14:paraId="43DFBF74">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445" w:type="pct"/>
            <w:vMerge w:val="continue"/>
            <w:vAlign w:val="center"/>
          </w:tcPr>
          <w:p w14:paraId="448792C8">
            <w:pPr>
              <w:pStyle w:val="101"/>
              <w:keepNext w:val="0"/>
              <w:keepLines w:val="0"/>
              <w:pageBreakBefore w:val="0"/>
              <w:widowControl/>
              <w:kinsoku/>
              <w:wordWrap/>
              <w:overflowPunct/>
              <w:topLinePunct w:val="0"/>
              <w:autoSpaceDE/>
              <w:autoSpaceDN/>
              <w:bidi w:val="0"/>
              <w:adjustRightInd w:val="0"/>
              <w:snapToGrid w:val="0"/>
              <w:spacing w:line="300" w:lineRule="exact"/>
              <w:ind w:firstLine="0" w:firstLineChars="0"/>
              <w:textAlignment w:val="auto"/>
              <w:rPr>
                <w:sz w:val="24"/>
                <w:szCs w:val="24"/>
              </w:rPr>
            </w:pPr>
          </w:p>
        </w:tc>
        <w:tc>
          <w:tcPr>
            <w:tcW w:w="498" w:type="pct"/>
            <w:vAlign w:val="center"/>
          </w:tcPr>
          <w:p w14:paraId="07375FBF">
            <w:pPr>
              <w:pStyle w:val="101"/>
              <w:keepNext w:val="0"/>
              <w:keepLines w:val="0"/>
              <w:pageBreakBefore w:val="0"/>
              <w:widowControl/>
              <w:kinsoku/>
              <w:wordWrap/>
              <w:overflowPunct/>
              <w:topLinePunct w:val="0"/>
              <w:autoSpaceDE/>
              <w:autoSpaceDN/>
              <w:bidi w:val="0"/>
              <w:adjustRightInd w:val="0"/>
              <w:snapToGrid w:val="0"/>
              <w:spacing w:line="300" w:lineRule="exact"/>
              <w:ind w:firstLine="0" w:firstLineChars="0"/>
              <w:textAlignment w:val="auto"/>
              <w:rPr>
                <w:sz w:val="24"/>
                <w:szCs w:val="24"/>
              </w:rPr>
            </w:pPr>
            <w:r>
              <w:rPr>
                <w:rFonts w:hint="default" w:ascii="Times New Roman" w:hAnsi="Times New Roman" w:eastAsia="楷体" w:cs="Times New Roman"/>
                <w:color w:val="000000" w:themeColor="text1"/>
                <w:sz w:val="24"/>
                <w:szCs w:val="24"/>
                <w:highlight w:val="none"/>
                <w14:textFill>
                  <w14:solidFill>
                    <w14:schemeClr w14:val="tx1"/>
                  </w14:solidFill>
                </w14:textFill>
              </w:rPr>
              <w:t>废</w:t>
            </w:r>
            <w:r>
              <w:rPr>
                <w:rFonts w:hint="eastAsia" w:ascii="Times New Roman" w:hAnsi="Times New Roman" w:eastAsia="楷体" w:cs="Times New Roman"/>
                <w:color w:val="000000" w:themeColor="text1"/>
                <w:sz w:val="24"/>
                <w:szCs w:val="24"/>
                <w:highlight w:val="none"/>
                <w:lang w:val="en-US" w:eastAsia="zh-CN"/>
                <w14:textFill>
                  <w14:solidFill>
                    <w14:schemeClr w14:val="tx1"/>
                  </w14:solidFill>
                </w14:textFill>
              </w:rPr>
              <w:t>润滑油桶</w:t>
            </w:r>
          </w:p>
        </w:tc>
        <w:tc>
          <w:tcPr>
            <w:tcW w:w="2588" w:type="pct"/>
            <w:gridSpan w:val="4"/>
            <w:vMerge w:val="continue"/>
            <w:vAlign w:val="center"/>
          </w:tcPr>
          <w:p w14:paraId="6584017C">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rPr>
            </w:pPr>
          </w:p>
        </w:tc>
        <w:tc>
          <w:tcPr>
            <w:tcW w:w="1179" w:type="pct"/>
            <w:vMerge w:val="continue"/>
            <w:vAlign w:val="center"/>
          </w:tcPr>
          <w:p w14:paraId="78E8E4B0">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rPr>
            </w:pPr>
          </w:p>
        </w:tc>
      </w:tr>
      <w:tr w14:paraId="70B0D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288" w:type="pct"/>
            <w:vMerge w:val="continue"/>
            <w:vAlign w:val="center"/>
          </w:tcPr>
          <w:p w14:paraId="39477A29">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p>
        </w:tc>
        <w:tc>
          <w:tcPr>
            <w:tcW w:w="445" w:type="pct"/>
            <w:vAlign w:val="center"/>
          </w:tcPr>
          <w:p w14:paraId="19B3D73E">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eastAsia"/>
                <w:sz w:val="24"/>
                <w:szCs w:val="24"/>
                <w:lang w:val="en-US" w:eastAsia="zh-CN"/>
              </w:rPr>
              <w:t>职工生活</w:t>
            </w:r>
          </w:p>
        </w:tc>
        <w:tc>
          <w:tcPr>
            <w:tcW w:w="498" w:type="pct"/>
            <w:vAlign w:val="center"/>
          </w:tcPr>
          <w:p w14:paraId="260305B1">
            <w:pPr>
              <w:pStyle w:val="55"/>
              <w:keepNext w:val="0"/>
              <w:keepLines w:val="0"/>
              <w:pageBreakBefore w:val="0"/>
              <w:kinsoku/>
              <w:wordWrap/>
              <w:overflowPunct/>
              <w:topLinePunct w:val="0"/>
              <w:autoSpaceDE/>
              <w:autoSpaceDN/>
              <w:bidi w:val="0"/>
              <w:adjustRightInd w:val="0"/>
              <w:snapToGrid w:val="0"/>
              <w:spacing w:line="300" w:lineRule="exact"/>
              <w:textAlignment w:val="auto"/>
              <w:rPr>
                <w:sz w:val="24"/>
                <w:szCs w:val="24"/>
              </w:rPr>
            </w:pPr>
            <w:r>
              <w:rPr>
                <w:rFonts w:hint="default"/>
                <w:sz w:val="24"/>
                <w:szCs w:val="24"/>
              </w:rPr>
              <w:t>生活垃圾</w:t>
            </w:r>
          </w:p>
        </w:tc>
        <w:tc>
          <w:tcPr>
            <w:tcW w:w="2588" w:type="pct"/>
            <w:gridSpan w:val="4"/>
            <w:vAlign w:val="center"/>
          </w:tcPr>
          <w:p w14:paraId="14B95729">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4"/>
                <w:szCs w:val="24"/>
              </w:rPr>
            </w:pPr>
            <w:r>
              <w:rPr>
                <w:rFonts w:hint="default"/>
                <w:sz w:val="24"/>
                <w:szCs w:val="24"/>
                <w:lang w:val="en-US" w:eastAsia="zh-CN"/>
              </w:rPr>
              <w:t>集中收集后交由环卫部门处理</w:t>
            </w:r>
          </w:p>
        </w:tc>
        <w:tc>
          <w:tcPr>
            <w:tcW w:w="1179" w:type="pct"/>
            <w:vAlign w:val="center"/>
          </w:tcPr>
          <w:p w14:paraId="3B93C4DC">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eastAsia="楷体"/>
                <w:sz w:val="24"/>
                <w:szCs w:val="24"/>
                <w:lang w:val="en-US" w:eastAsia="zh-CN"/>
              </w:rPr>
            </w:pPr>
            <w:r>
              <w:rPr>
                <w:rFonts w:hint="eastAsia"/>
                <w:sz w:val="24"/>
                <w:szCs w:val="24"/>
                <w:lang w:val="en-US" w:eastAsia="zh-CN"/>
              </w:rPr>
              <w:t>/</w:t>
            </w:r>
          </w:p>
        </w:tc>
      </w:tr>
    </w:tbl>
    <w:p w14:paraId="4F71A90C">
      <w:pPr>
        <w:ind w:firstLine="482"/>
      </w:pPr>
    </w:p>
    <w:p w14:paraId="7409346D">
      <w:pPr>
        <w:ind w:firstLine="482"/>
        <w:sectPr>
          <w:pgSz w:w="16838" w:h="11906" w:orient="landscape"/>
          <w:pgMar w:top="1417" w:right="1417" w:bottom="1417" w:left="1417" w:header="851" w:footer="992" w:gutter="0"/>
          <w:pgBorders>
            <w:top w:val="none" w:sz="0" w:space="0"/>
            <w:left w:val="none" w:sz="0" w:space="0"/>
            <w:bottom w:val="none" w:sz="0" w:space="0"/>
            <w:right w:val="none" w:sz="0" w:space="0"/>
          </w:pgBorders>
          <w:pgNumType w:fmt="decimal"/>
          <w:cols w:space="425" w:num="1"/>
          <w:docGrid w:type="linesAndChars" w:linePitch="326" w:charSpace="190"/>
        </w:sectPr>
      </w:pPr>
    </w:p>
    <w:p w14:paraId="0D2051A3">
      <w:pPr>
        <w:pStyle w:val="90"/>
        <w:bidi w:val="0"/>
        <w:ind w:left="0" w:leftChars="0" w:firstLine="0" w:firstLineChars="0"/>
      </w:pPr>
      <w:bookmarkStart w:id="78" w:name="_Toc22982"/>
      <w:r>
        <w:rPr>
          <w:rFonts w:hint="eastAsia"/>
        </w:rPr>
        <w:t>环境监测计划</w:t>
      </w:r>
      <w:bookmarkEnd w:id="78"/>
    </w:p>
    <w:p w14:paraId="17A97754">
      <w:pPr>
        <w:pStyle w:val="92"/>
        <w:bidi w:val="0"/>
        <w:ind w:left="0" w:leftChars="0" w:firstLine="0" w:firstLineChars="0"/>
      </w:pPr>
      <w:r>
        <w:rPr>
          <w:rFonts w:hint="eastAsia"/>
        </w:rPr>
        <w:t>污染源</w:t>
      </w:r>
      <w:r>
        <w:t>监测计划</w:t>
      </w:r>
    </w:p>
    <w:p w14:paraId="239BD8BC">
      <w:pPr>
        <w:pStyle w:val="47"/>
        <w:ind w:firstLine="482"/>
        <w:rPr>
          <w:rFonts w:hint="eastAsia"/>
        </w:rPr>
      </w:pPr>
      <w:r>
        <w:rPr>
          <w:rFonts w:hint="eastAsia"/>
        </w:rPr>
        <w:t>根据《排污许可证申请与核发技术规范废弃资源加工工业》（HJ1034—2019）</w:t>
      </w:r>
      <w:r>
        <w:rPr>
          <w:rFonts w:hint="eastAsia"/>
          <w:lang w:eastAsia="zh-CN"/>
        </w:rPr>
        <w:t>、</w:t>
      </w:r>
      <w:r>
        <w:rPr>
          <w:rFonts w:hint="eastAsia"/>
        </w:rPr>
        <w:t>《排污许可证申请与核发技术规范</w:t>
      </w:r>
      <w:r>
        <w:rPr>
          <w:rFonts w:hint="eastAsia"/>
          <w:lang w:val="en-US" w:eastAsia="zh-CN"/>
        </w:rPr>
        <w:t xml:space="preserve"> </w:t>
      </w:r>
      <w:r>
        <w:rPr>
          <w:rFonts w:hint="eastAsia"/>
        </w:rPr>
        <w:t>橡胶和塑料制品工业》（HJ1122—2020）</w:t>
      </w:r>
      <w:r>
        <w:rPr>
          <w:rFonts w:hint="eastAsia" w:cs="Times New Roman"/>
          <w:color w:val="auto"/>
          <w:szCs w:val="24"/>
          <w:highlight w:val="none"/>
          <w:lang w:eastAsia="zh-CN"/>
        </w:rPr>
        <w:t>、</w:t>
      </w:r>
      <w:r>
        <w:rPr>
          <w:rFonts w:cs="Times New Roman"/>
          <w:color w:val="auto"/>
          <w:szCs w:val="24"/>
          <w:highlight w:val="none"/>
        </w:rPr>
        <w:t>《排污单位自行监测技术指南</w:t>
      </w:r>
      <w:r>
        <w:rPr>
          <w:rFonts w:hint="eastAsia" w:cs="Times New Roman"/>
          <w:color w:val="auto"/>
          <w:szCs w:val="24"/>
          <w:highlight w:val="none"/>
          <w:lang w:val="en-US" w:eastAsia="zh-CN"/>
        </w:rPr>
        <w:t xml:space="preserve"> </w:t>
      </w:r>
      <w:r>
        <w:rPr>
          <w:rFonts w:hint="eastAsia"/>
          <w:lang w:eastAsia="zh-CN"/>
        </w:rPr>
        <w:t>总则</w:t>
      </w:r>
      <w:r>
        <w:rPr>
          <w:rFonts w:cs="Times New Roman"/>
          <w:color w:val="auto"/>
          <w:szCs w:val="24"/>
          <w:highlight w:val="none"/>
        </w:rPr>
        <w:t>》（HJ819-2017）</w:t>
      </w:r>
      <w:r>
        <w:rPr>
          <w:rFonts w:hint="eastAsia" w:cs="Times New Roman"/>
          <w:color w:val="auto"/>
          <w:szCs w:val="24"/>
          <w:highlight w:val="none"/>
          <w:lang w:eastAsia="zh-CN"/>
        </w:rPr>
        <w:t>、</w:t>
      </w:r>
      <w:r>
        <w:rPr>
          <w:rFonts w:cs="Times New Roman"/>
          <w:color w:val="auto"/>
          <w:szCs w:val="24"/>
          <w:highlight w:val="none"/>
        </w:rPr>
        <w:t>《排污单位自行监测技术指南</w:t>
      </w:r>
      <w:r>
        <w:rPr>
          <w:rFonts w:hint="eastAsia" w:cs="Times New Roman"/>
          <w:color w:val="auto"/>
          <w:szCs w:val="24"/>
          <w:highlight w:val="none"/>
          <w:lang w:val="en-US" w:eastAsia="zh-CN"/>
        </w:rPr>
        <w:t xml:space="preserve"> </w:t>
      </w:r>
      <w:r>
        <w:rPr>
          <w:rFonts w:hint="eastAsia"/>
        </w:rPr>
        <w:t>橡胶和塑料制品</w:t>
      </w:r>
      <w:r>
        <w:rPr>
          <w:rFonts w:cs="Times New Roman"/>
          <w:color w:val="auto"/>
          <w:szCs w:val="24"/>
          <w:highlight w:val="none"/>
        </w:rPr>
        <w:t>》（HJ</w:t>
      </w:r>
      <w:r>
        <w:rPr>
          <w:rFonts w:hint="eastAsia" w:cs="Times New Roman"/>
          <w:color w:val="auto"/>
          <w:szCs w:val="24"/>
          <w:highlight w:val="none"/>
          <w:lang w:val="en-US" w:eastAsia="zh-CN"/>
        </w:rPr>
        <w:t>1207</w:t>
      </w:r>
      <w:r>
        <w:rPr>
          <w:rFonts w:cs="Times New Roman"/>
          <w:color w:val="auto"/>
          <w:szCs w:val="24"/>
          <w:highlight w:val="none"/>
        </w:rPr>
        <w:t>-20</w:t>
      </w:r>
      <w:r>
        <w:rPr>
          <w:rFonts w:hint="eastAsia" w:cs="Times New Roman"/>
          <w:color w:val="auto"/>
          <w:szCs w:val="24"/>
          <w:highlight w:val="none"/>
          <w:lang w:val="en-US" w:eastAsia="zh-CN"/>
        </w:rPr>
        <w:t>21</w:t>
      </w:r>
      <w:r>
        <w:rPr>
          <w:rFonts w:cs="Times New Roman"/>
          <w:color w:val="auto"/>
          <w:szCs w:val="24"/>
          <w:highlight w:val="none"/>
        </w:rPr>
        <w:t>）</w:t>
      </w:r>
      <w:r>
        <w:rPr>
          <w:rFonts w:hint="eastAsia"/>
        </w:rPr>
        <w:t>，项目制定监测计划见</w:t>
      </w:r>
      <w:r>
        <w:rPr>
          <w:rFonts w:hint="eastAsia"/>
          <w:lang w:val="en-US" w:eastAsia="zh-CN"/>
        </w:rPr>
        <w:t>下</w:t>
      </w:r>
      <w:r>
        <w:rPr>
          <w:rFonts w:hint="eastAsia"/>
        </w:rPr>
        <w:t>表。</w:t>
      </w:r>
    </w:p>
    <w:p w14:paraId="5490C04F">
      <w:pPr>
        <w:pStyle w:val="94"/>
        <w:bidi w:val="0"/>
        <w:ind w:left="0" w:leftChars="0" w:firstLine="0" w:firstLineChars="0"/>
        <w:rPr>
          <w:rFonts w:hint="eastAsia"/>
        </w:rPr>
      </w:pPr>
      <w:r>
        <w:rPr>
          <w:rFonts w:hint="eastAsia"/>
        </w:rPr>
        <w:t>污染源</w:t>
      </w:r>
      <w:r>
        <w:t>监测计划</w:t>
      </w:r>
    </w:p>
    <w:tbl>
      <w:tblPr>
        <w:tblStyle w:val="3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565"/>
        <w:gridCol w:w="1361"/>
        <w:gridCol w:w="2495"/>
        <w:gridCol w:w="1121"/>
        <w:gridCol w:w="3637"/>
      </w:tblGrid>
      <w:tr w14:paraId="66EB1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blHeader/>
          <w:jc w:val="center"/>
        </w:trPr>
        <w:tc>
          <w:tcPr>
            <w:tcW w:w="308" w:type="pct"/>
            <w:vAlign w:val="center"/>
          </w:tcPr>
          <w:p w14:paraId="53F2A59B">
            <w:pPr>
              <w:pStyle w:val="55"/>
            </w:pPr>
            <w:r>
              <w:t>分类</w:t>
            </w:r>
          </w:p>
        </w:tc>
        <w:tc>
          <w:tcPr>
            <w:tcW w:w="741" w:type="pct"/>
            <w:vAlign w:val="center"/>
          </w:tcPr>
          <w:p w14:paraId="76378D23">
            <w:pPr>
              <w:pStyle w:val="55"/>
            </w:pPr>
            <w:r>
              <w:t>监测位置</w:t>
            </w:r>
          </w:p>
        </w:tc>
        <w:tc>
          <w:tcPr>
            <w:tcW w:w="1358" w:type="pct"/>
            <w:vAlign w:val="center"/>
          </w:tcPr>
          <w:p w14:paraId="455ED5B5">
            <w:pPr>
              <w:pStyle w:val="55"/>
            </w:pPr>
            <w:r>
              <w:t>监测因子</w:t>
            </w:r>
          </w:p>
        </w:tc>
        <w:tc>
          <w:tcPr>
            <w:tcW w:w="610" w:type="pct"/>
            <w:vAlign w:val="center"/>
          </w:tcPr>
          <w:p w14:paraId="188455EB">
            <w:pPr>
              <w:pStyle w:val="55"/>
            </w:pPr>
            <w:r>
              <w:t>监测频率</w:t>
            </w:r>
          </w:p>
        </w:tc>
        <w:tc>
          <w:tcPr>
            <w:tcW w:w="1980" w:type="pct"/>
            <w:vAlign w:val="center"/>
          </w:tcPr>
          <w:p w14:paraId="28BA169A">
            <w:pPr>
              <w:pStyle w:val="55"/>
              <w:rPr>
                <w:rFonts w:hint="eastAsia" w:eastAsia="楷体"/>
                <w:lang w:eastAsia="zh-CN"/>
              </w:rPr>
            </w:pPr>
            <w:r>
              <w:rPr>
                <w:rFonts w:hint="eastAsia"/>
                <w:lang w:val="en-US" w:eastAsia="zh-CN"/>
              </w:rPr>
              <w:t>执行标准</w:t>
            </w:r>
          </w:p>
        </w:tc>
      </w:tr>
      <w:tr w14:paraId="61658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99" w:hRule="atLeast"/>
          <w:jc w:val="center"/>
        </w:trPr>
        <w:tc>
          <w:tcPr>
            <w:tcW w:w="308" w:type="pct"/>
            <w:vMerge w:val="restart"/>
            <w:vAlign w:val="center"/>
          </w:tcPr>
          <w:p w14:paraId="1BF1E81E">
            <w:pPr>
              <w:pStyle w:val="55"/>
            </w:pPr>
            <w:r>
              <w:rPr>
                <w:rFonts w:hint="eastAsia"/>
                <w:lang w:val="en-US" w:eastAsia="zh-CN"/>
              </w:rPr>
              <w:t>有组织</w:t>
            </w:r>
            <w:r>
              <w:rPr>
                <w:rFonts w:hint="eastAsia"/>
              </w:rPr>
              <w:t>废气</w:t>
            </w:r>
          </w:p>
        </w:tc>
        <w:tc>
          <w:tcPr>
            <w:tcW w:w="741" w:type="pct"/>
            <w:vAlign w:val="center"/>
          </w:tcPr>
          <w:p w14:paraId="56EA4931">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default" w:eastAsia="楷体"/>
                <w:lang w:val="en-US" w:eastAsia="zh-CN"/>
              </w:rPr>
            </w:pPr>
            <w:r>
              <w:rPr>
                <w:rFonts w:hint="eastAsia"/>
                <w:sz w:val="21"/>
                <w:szCs w:val="21"/>
                <w:lang w:val="en-US" w:eastAsia="zh-CN"/>
              </w:rPr>
              <w:t>1</w:t>
            </w:r>
            <w:r>
              <w:rPr>
                <w:rFonts w:hint="eastAsia"/>
                <w:sz w:val="21"/>
                <w:szCs w:val="21"/>
              </w:rPr>
              <w:t>#生产车间</w:t>
            </w:r>
            <w:r>
              <w:rPr>
                <w:rFonts w:hint="eastAsia"/>
                <w:sz w:val="21"/>
                <w:szCs w:val="21"/>
                <w:lang w:eastAsia="zh-CN"/>
              </w:rPr>
              <w:t>（</w:t>
            </w:r>
            <w:r>
              <w:rPr>
                <w:rFonts w:hint="eastAsia"/>
                <w:sz w:val="21"/>
                <w:szCs w:val="21"/>
                <w:lang w:val="en-US" w:eastAsia="zh-CN"/>
              </w:rPr>
              <w:t>DA001</w:t>
            </w:r>
            <w:r>
              <w:rPr>
                <w:rFonts w:hint="eastAsia"/>
                <w:sz w:val="21"/>
                <w:szCs w:val="21"/>
                <w:lang w:eastAsia="zh-CN"/>
              </w:rPr>
              <w:t>）</w:t>
            </w:r>
          </w:p>
        </w:tc>
        <w:tc>
          <w:tcPr>
            <w:tcW w:w="1358" w:type="pct"/>
            <w:vAlign w:val="center"/>
          </w:tcPr>
          <w:p w14:paraId="1AFB0703">
            <w:pPr>
              <w:pStyle w:val="55"/>
            </w:pPr>
            <w:r>
              <w:rPr>
                <w:rFonts w:hint="eastAsia"/>
              </w:rPr>
              <w:t>颗粒物</w:t>
            </w:r>
            <w:r>
              <w:rPr>
                <w:rFonts w:hint="eastAsia"/>
                <w:lang w:eastAsia="zh-CN"/>
              </w:rPr>
              <w:t>、</w:t>
            </w:r>
            <w:r>
              <w:rPr>
                <w:rFonts w:hint="eastAsia"/>
              </w:rPr>
              <w:t>非甲烷总烃</w:t>
            </w:r>
            <w:r>
              <w:rPr>
                <w:rFonts w:hint="eastAsia"/>
                <w:lang w:eastAsia="zh-CN"/>
              </w:rPr>
              <w:t>、</w:t>
            </w:r>
            <w:r>
              <w:rPr>
                <w:rFonts w:hint="eastAsia"/>
              </w:rPr>
              <w:t>氯化氢</w:t>
            </w:r>
            <w:r>
              <w:rPr>
                <w:rFonts w:hint="eastAsia"/>
                <w:lang w:eastAsia="zh-CN"/>
              </w:rPr>
              <w:t>、</w:t>
            </w:r>
            <w:r>
              <w:rPr>
                <w:rFonts w:hint="eastAsia"/>
              </w:rPr>
              <w:t>臭气浓度</w:t>
            </w:r>
          </w:p>
        </w:tc>
        <w:tc>
          <w:tcPr>
            <w:tcW w:w="610" w:type="pct"/>
            <w:vAlign w:val="center"/>
          </w:tcPr>
          <w:p w14:paraId="019AF5B5">
            <w:pPr>
              <w:pStyle w:val="55"/>
              <w:rPr>
                <w:rFonts w:hint="default" w:eastAsia="楷体"/>
                <w:lang w:val="en-US" w:eastAsia="zh-CN"/>
              </w:rPr>
            </w:pPr>
            <w:r>
              <w:rPr>
                <w:rFonts w:hint="eastAsia"/>
                <w:lang w:val="en-US" w:eastAsia="zh-CN"/>
              </w:rPr>
              <w:t>1次/半年</w:t>
            </w:r>
          </w:p>
        </w:tc>
        <w:tc>
          <w:tcPr>
            <w:tcW w:w="1980" w:type="pct"/>
            <w:vMerge w:val="restart"/>
            <w:vAlign w:val="center"/>
          </w:tcPr>
          <w:p w14:paraId="28EE0131">
            <w:pPr>
              <w:pStyle w:val="55"/>
              <w:bidi w:val="0"/>
              <w:rPr>
                <w:rFonts w:hint="default"/>
                <w:color w:val="000000" w:themeColor="text1"/>
                <w14:textFill>
                  <w14:solidFill>
                    <w14:schemeClr w14:val="tx1"/>
                  </w14:solidFill>
                </w14:textFill>
              </w:rPr>
            </w:pPr>
            <w:r>
              <w:rPr>
                <w:rFonts w:hint="eastAsia"/>
                <w:lang w:val="en-US" w:eastAsia="zh-CN"/>
              </w:rPr>
              <w:t>颗粒物执行《合成树脂工业污染物排放标准》（GB31572-2015）及修改单表5大气污染物特别排放限值；非甲烷总烃执行河北省地方标准</w:t>
            </w:r>
            <w:r>
              <w:rPr>
                <w:rFonts w:hint="eastAsia"/>
                <w:color w:val="auto"/>
                <w:kern w:val="0"/>
                <w:szCs w:val="21"/>
              </w:rPr>
              <w:t>《工业企业挥发性有机物排放控制标准》（DB13/2322-2016）原排放限值的50%</w:t>
            </w:r>
            <w:r>
              <w:rPr>
                <w:rFonts w:hint="eastAsia"/>
                <w:color w:val="auto"/>
                <w:kern w:val="0"/>
                <w:szCs w:val="21"/>
                <w:lang w:eastAsia="zh-CN"/>
              </w:rPr>
              <w:t>；</w:t>
            </w:r>
            <w:r>
              <w:rPr>
                <w:rFonts w:hint="eastAsia"/>
                <w:color w:val="auto"/>
                <w:kern w:val="0"/>
                <w:szCs w:val="21"/>
                <w:lang w:val="en-US" w:eastAsia="zh-CN"/>
              </w:rPr>
              <w:t>HCl执行</w:t>
            </w:r>
            <w:r>
              <w:rPr>
                <w:rFonts w:hint="default"/>
                <w:color w:val="000000" w:themeColor="text1"/>
                <w14:textFill>
                  <w14:solidFill>
                    <w14:schemeClr w14:val="tx1"/>
                  </w14:solidFill>
                </w14:textFill>
              </w:rPr>
              <w:t>《大气污染物综合排放标准》</w:t>
            </w:r>
          </w:p>
          <w:p w14:paraId="14341163">
            <w:pPr>
              <w:pStyle w:val="55"/>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（GB16297-1996）表2中的二级标准</w:t>
            </w: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臭气浓度执行</w:t>
            </w:r>
            <w:r>
              <w:rPr>
                <w:rFonts w:hint="default"/>
                <w:color w:val="000000" w:themeColor="text1"/>
                <w14:textFill>
                  <w14:solidFill>
                    <w14:schemeClr w14:val="tx1"/>
                  </w14:solidFill>
                </w14:textFill>
              </w:rPr>
              <w:t>《恶臭污染物排放标准》（GB14554-1993）</w:t>
            </w:r>
          </w:p>
          <w:p w14:paraId="67F99B5B">
            <w:pPr>
              <w:pStyle w:val="55"/>
              <w:rPr>
                <w:color w:val="FF0000"/>
              </w:rPr>
            </w:pPr>
            <w:r>
              <w:rPr>
                <w:rFonts w:hint="default"/>
                <w:color w:val="000000" w:themeColor="text1"/>
                <w:lang w:val="en-US" w:eastAsia="zh-CN"/>
                <w14:textFill>
                  <w14:solidFill>
                    <w14:schemeClr w14:val="tx1"/>
                  </w14:solidFill>
                </w14:textFill>
              </w:rPr>
              <w:t>表2恶臭污染物排放标准值</w:t>
            </w:r>
          </w:p>
        </w:tc>
      </w:tr>
      <w:tr w14:paraId="377EE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51" w:hRule="atLeast"/>
          <w:jc w:val="center"/>
        </w:trPr>
        <w:tc>
          <w:tcPr>
            <w:tcW w:w="308" w:type="pct"/>
            <w:vMerge w:val="continue"/>
            <w:vAlign w:val="center"/>
          </w:tcPr>
          <w:p w14:paraId="584EA778">
            <w:pPr>
              <w:pStyle w:val="55"/>
              <w:rPr>
                <w:rFonts w:hint="eastAsia"/>
              </w:rPr>
            </w:pPr>
          </w:p>
        </w:tc>
        <w:tc>
          <w:tcPr>
            <w:tcW w:w="741" w:type="pct"/>
            <w:vAlign w:val="center"/>
          </w:tcPr>
          <w:p w14:paraId="622728E3">
            <w:pPr>
              <w:pStyle w:val="55"/>
              <w:keepNext w:val="0"/>
              <w:keepLines w:val="0"/>
              <w:pageBreakBefore w:val="0"/>
              <w:kinsoku/>
              <w:wordWrap/>
              <w:overflowPunct/>
              <w:topLinePunct w:val="0"/>
              <w:autoSpaceDE/>
              <w:autoSpaceDN/>
              <w:bidi w:val="0"/>
              <w:adjustRightInd w:val="0"/>
              <w:snapToGrid w:val="0"/>
              <w:spacing w:line="300" w:lineRule="exact"/>
              <w:textAlignment w:val="auto"/>
            </w:pPr>
            <w:r>
              <w:rPr>
                <w:rFonts w:hint="eastAsia"/>
                <w:sz w:val="21"/>
                <w:szCs w:val="21"/>
                <w:lang w:val="en-US" w:eastAsia="zh-CN"/>
              </w:rPr>
              <w:t>2</w:t>
            </w:r>
            <w:r>
              <w:rPr>
                <w:rFonts w:hint="eastAsia"/>
                <w:sz w:val="21"/>
                <w:szCs w:val="21"/>
              </w:rPr>
              <w:t>#生产车间</w:t>
            </w:r>
            <w:r>
              <w:rPr>
                <w:rFonts w:hint="eastAsia"/>
                <w:sz w:val="21"/>
                <w:szCs w:val="21"/>
                <w:lang w:eastAsia="zh-CN"/>
              </w:rPr>
              <w:t>（</w:t>
            </w:r>
            <w:r>
              <w:rPr>
                <w:rFonts w:hint="eastAsia"/>
                <w:sz w:val="21"/>
                <w:szCs w:val="21"/>
                <w:lang w:val="en-US" w:eastAsia="zh-CN"/>
              </w:rPr>
              <w:t>DA002</w:t>
            </w:r>
            <w:r>
              <w:rPr>
                <w:rFonts w:hint="eastAsia"/>
                <w:sz w:val="21"/>
                <w:szCs w:val="21"/>
                <w:lang w:eastAsia="zh-CN"/>
              </w:rPr>
              <w:t>）</w:t>
            </w:r>
          </w:p>
        </w:tc>
        <w:tc>
          <w:tcPr>
            <w:tcW w:w="1358" w:type="pct"/>
            <w:vAlign w:val="center"/>
          </w:tcPr>
          <w:p w14:paraId="608B756C">
            <w:pPr>
              <w:pStyle w:val="55"/>
            </w:pPr>
            <w:r>
              <w:rPr>
                <w:rFonts w:hint="eastAsia"/>
              </w:rPr>
              <w:t>颗粒物</w:t>
            </w:r>
            <w:r>
              <w:rPr>
                <w:rFonts w:hint="eastAsia"/>
                <w:lang w:eastAsia="zh-CN"/>
              </w:rPr>
              <w:t>、</w:t>
            </w:r>
            <w:r>
              <w:rPr>
                <w:rFonts w:hint="eastAsia"/>
              </w:rPr>
              <w:t>非甲烷总烃</w:t>
            </w:r>
            <w:r>
              <w:rPr>
                <w:rFonts w:hint="eastAsia"/>
                <w:lang w:eastAsia="zh-CN"/>
              </w:rPr>
              <w:t>、</w:t>
            </w:r>
            <w:r>
              <w:rPr>
                <w:rFonts w:hint="eastAsia"/>
              </w:rPr>
              <w:t>氯化氢</w:t>
            </w:r>
            <w:r>
              <w:rPr>
                <w:rFonts w:hint="eastAsia"/>
                <w:lang w:eastAsia="zh-CN"/>
              </w:rPr>
              <w:t>、</w:t>
            </w:r>
            <w:r>
              <w:rPr>
                <w:rFonts w:hint="eastAsia"/>
              </w:rPr>
              <w:t>臭气浓度</w:t>
            </w:r>
          </w:p>
        </w:tc>
        <w:tc>
          <w:tcPr>
            <w:tcW w:w="610" w:type="pct"/>
            <w:vAlign w:val="center"/>
          </w:tcPr>
          <w:p w14:paraId="0B3F1FC0">
            <w:pPr>
              <w:pStyle w:val="55"/>
            </w:pPr>
            <w:r>
              <w:rPr>
                <w:rFonts w:hint="eastAsia"/>
                <w:lang w:val="en-US" w:eastAsia="zh-CN"/>
              </w:rPr>
              <w:t>1次/半年</w:t>
            </w:r>
          </w:p>
        </w:tc>
        <w:tc>
          <w:tcPr>
            <w:tcW w:w="1980" w:type="pct"/>
            <w:vMerge w:val="continue"/>
            <w:vAlign w:val="center"/>
          </w:tcPr>
          <w:p w14:paraId="5F501FC1">
            <w:pPr>
              <w:pStyle w:val="55"/>
              <w:rPr>
                <w:color w:val="FF0000"/>
              </w:rPr>
            </w:pPr>
          </w:p>
        </w:tc>
      </w:tr>
      <w:tr w14:paraId="5CAB7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308" w:type="pct"/>
            <w:vMerge w:val="continue"/>
            <w:vAlign w:val="center"/>
          </w:tcPr>
          <w:p w14:paraId="46BC8A38">
            <w:pPr>
              <w:pStyle w:val="55"/>
            </w:pPr>
          </w:p>
        </w:tc>
        <w:tc>
          <w:tcPr>
            <w:tcW w:w="741" w:type="pct"/>
            <w:vAlign w:val="center"/>
          </w:tcPr>
          <w:p w14:paraId="541BAD02">
            <w:pPr>
              <w:pStyle w:val="55"/>
              <w:keepNext w:val="0"/>
              <w:keepLines w:val="0"/>
              <w:pageBreakBefore w:val="0"/>
              <w:kinsoku/>
              <w:wordWrap/>
              <w:overflowPunct/>
              <w:topLinePunct w:val="0"/>
              <w:autoSpaceDE/>
              <w:autoSpaceDN/>
              <w:bidi w:val="0"/>
              <w:adjustRightInd w:val="0"/>
              <w:snapToGrid w:val="0"/>
              <w:spacing w:line="300" w:lineRule="exact"/>
              <w:textAlignment w:val="auto"/>
            </w:pPr>
            <w:r>
              <w:rPr>
                <w:rFonts w:hint="eastAsia"/>
                <w:sz w:val="21"/>
                <w:szCs w:val="21"/>
                <w:lang w:val="en-US" w:eastAsia="zh-CN"/>
              </w:rPr>
              <w:t>3</w:t>
            </w:r>
            <w:r>
              <w:rPr>
                <w:rFonts w:hint="eastAsia"/>
                <w:sz w:val="21"/>
                <w:szCs w:val="21"/>
              </w:rPr>
              <w:t>#生产车间</w:t>
            </w:r>
            <w:r>
              <w:rPr>
                <w:rFonts w:hint="eastAsia"/>
                <w:sz w:val="21"/>
                <w:szCs w:val="21"/>
                <w:lang w:eastAsia="zh-CN"/>
              </w:rPr>
              <w:t>（</w:t>
            </w:r>
            <w:r>
              <w:rPr>
                <w:rFonts w:hint="eastAsia"/>
                <w:sz w:val="21"/>
                <w:szCs w:val="21"/>
                <w:lang w:val="en-US" w:eastAsia="zh-CN"/>
              </w:rPr>
              <w:t>DA003</w:t>
            </w:r>
            <w:r>
              <w:rPr>
                <w:rFonts w:hint="eastAsia"/>
                <w:sz w:val="21"/>
                <w:szCs w:val="21"/>
                <w:lang w:eastAsia="zh-CN"/>
              </w:rPr>
              <w:t>）</w:t>
            </w:r>
          </w:p>
        </w:tc>
        <w:tc>
          <w:tcPr>
            <w:tcW w:w="1358" w:type="pct"/>
            <w:vAlign w:val="center"/>
          </w:tcPr>
          <w:p w14:paraId="344DDE45">
            <w:pPr>
              <w:pStyle w:val="55"/>
            </w:pPr>
            <w:r>
              <w:rPr>
                <w:rFonts w:hint="eastAsia"/>
              </w:rPr>
              <w:t>颗粒物</w:t>
            </w:r>
            <w:r>
              <w:rPr>
                <w:rFonts w:hint="eastAsia"/>
                <w:lang w:eastAsia="zh-CN"/>
              </w:rPr>
              <w:t>、</w:t>
            </w:r>
            <w:r>
              <w:rPr>
                <w:rFonts w:hint="eastAsia"/>
              </w:rPr>
              <w:t>非甲烷总烃</w:t>
            </w:r>
            <w:r>
              <w:rPr>
                <w:rFonts w:hint="eastAsia"/>
                <w:lang w:eastAsia="zh-CN"/>
              </w:rPr>
              <w:t>、</w:t>
            </w:r>
            <w:r>
              <w:rPr>
                <w:rFonts w:hint="eastAsia"/>
              </w:rPr>
              <w:t>氯化氢</w:t>
            </w:r>
            <w:r>
              <w:rPr>
                <w:rFonts w:hint="eastAsia"/>
                <w:lang w:eastAsia="zh-CN"/>
              </w:rPr>
              <w:t>、</w:t>
            </w:r>
            <w:r>
              <w:rPr>
                <w:rFonts w:hint="eastAsia"/>
              </w:rPr>
              <w:t>臭气浓度</w:t>
            </w:r>
          </w:p>
        </w:tc>
        <w:tc>
          <w:tcPr>
            <w:tcW w:w="610" w:type="pct"/>
            <w:vAlign w:val="center"/>
          </w:tcPr>
          <w:p w14:paraId="3E599C1A">
            <w:pPr>
              <w:pStyle w:val="55"/>
            </w:pPr>
            <w:r>
              <w:rPr>
                <w:rFonts w:hint="eastAsia"/>
                <w:lang w:val="en-US" w:eastAsia="zh-CN"/>
              </w:rPr>
              <w:t>1次/半年</w:t>
            </w:r>
          </w:p>
        </w:tc>
        <w:tc>
          <w:tcPr>
            <w:tcW w:w="1980" w:type="pct"/>
            <w:vMerge w:val="continue"/>
            <w:vAlign w:val="center"/>
          </w:tcPr>
          <w:p w14:paraId="7552F6E1">
            <w:pPr>
              <w:pStyle w:val="55"/>
            </w:pPr>
          </w:p>
        </w:tc>
      </w:tr>
      <w:tr w14:paraId="37AD9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04" w:hRule="atLeast"/>
          <w:jc w:val="center"/>
        </w:trPr>
        <w:tc>
          <w:tcPr>
            <w:tcW w:w="308" w:type="pct"/>
            <w:vMerge w:val="restart"/>
            <w:vAlign w:val="center"/>
          </w:tcPr>
          <w:p w14:paraId="3AE5AD4B">
            <w:pPr>
              <w:pStyle w:val="55"/>
              <w:rPr>
                <w:rFonts w:hint="default" w:eastAsia="楷体"/>
                <w:lang w:val="en-US" w:eastAsia="zh-CN"/>
              </w:rPr>
            </w:pPr>
            <w:r>
              <w:rPr>
                <w:rFonts w:hint="eastAsia"/>
                <w:lang w:val="en-US" w:eastAsia="zh-CN"/>
              </w:rPr>
              <w:t>无组织废气</w:t>
            </w:r>
          </w:p>
        </w:tc>
        <w:tc>
          <w:tcPr>
            <w:tcW w:w="741" w:type="pct"/>
            <w:vAlign w:val="center"/>
          </w:tcPr>
          <w:p w14:paraId="1276F657">
            <w:pPr>
              <w:pStyle w:val="55"/>
              <w:rPr>
                <w:rFonts w:hint="eastAsia"/>
                <w:lang w:val="en-US" w:eastAsia="zh-CN"/>
              </w:rPr>
            </w:pPr>
            <w:r>
              <w:rPr>
                <w:rFonts w:hint="eastAsia"/>
                <w:sz w:val="21"/>
                <w:szCs w:val="21"/>
                <w:lang w:val="en-US" w:eastAsia="zh-CN"/>
              </w:rPr>
              <w:t>厂界</w:t>
            </w:r>
          </w:p>
        </w:tc>
        <w:tc>
          <w:tcPr>
            <w:tcW w:w="1358" w:type="pct"/>
            <w:vAlign w:val="center"/>
          </w:tcPr>
          <w:p w14:paraId="52A76CFA">
            <w:pPr>
              <w:pStyle w:val="55"/>
              <w:rPr>
                <w:rFonts w:hint="eastAsia"/>
              </w:rPr>
            </w:pPr>
            <w:r>
              <w:rPr>
                <w:rFonts w:hint="eastAsia"/>
              </w:rPr>
              <w:t>颗粒物</w:t>
            </w:r>
            <w:r>
              <w:rPr>
                <w:rFonts w:hint="eastAsia"/>
                <w:lang w:eastAsia="zh-CN"/>
              </w:rPr>
              <w:t>、</w:t>
            </w:r>
            <w:r>
              <w:rPr>
                <w:rFonts w:hint="eastAsia"/>
              </w:rPr>
              <w:t>非甲烷总烃</w:t>
            </w:r>
            <w:r>
              <w:rPr>
                <w:rFonts w:hint="eastAsia"/>
                <w:lang w:eastAsia="zh-CN"/>
              </w:rPr>
              <w:t>、</w:t>
            </w:r>
            <w:r>
              <w:rPr>
                <w:rFonts w:hint="eastAsia"/>
              </w:rPr>
              <w:t>氯化氢</w:t>
            </w:r>
            <w:r>
              <w:rPr>
                <w:rFonts w:hint="eastAsia"/>
                <w:lang w:eastAsia="zh-CN"/>
              </w:rPr>
              <w:t>、</w:t>
            </w:r>
            <w:r>
              <w:rPr>
                <w:rFonts w:hint="eastAsia"/>
              </w:rPr>
              <w:t>臭气浓度</w:t>
            </w:r>
          </w:p>
        </w:tc>
        <w:tc>
          <w:tcPr>
            <w:tcW w:w="610" w:type="pct"/>
            <w:vMerge w:val="restart"/>
            <w:vAlign w:val="center"/>
          </w:tcPr>
          <w:p w14:paraId="360B2AAC">
            <w:pPr>
              <w:pStyle w:val="55"/>
              <w:rPr>
                <w:rFonts w:hint="eastAsia"/>
                <w:lang w:val="en-US" w:eastAsia="zh-CN"/>
              </w:rPr>
            </w:pPr>
            <w:r>
              <w:rPr>
                <w:rFonts w:hint="default" w:ascii="Times New Roman" w:hAnsi="Times New Roman" w:eastAsia="楷体" w:cs="Times New Roman"/>
                <w:color w:val="000000" w:themeColor="text1"/>
                <w:sz w:val="21"/>
                <w:szCs w:val="21"/>
                <w:highlight w:val="none"/>
                <w14:textFill>
                  <w14:solidFill>
                    <w14:schemeClr w14:val="tx1"/>
                  </w14:solidFill>
                </w14:textFill>
              </w:rPr>
              <w:t>1次/年</w:t>
            </w:r>
          </w:p>
        </w:tc>
        <w:tc>
          <w:tcPr>
            <w:tcW w:w="1980" w:type="pct"/>
            <w:vAlign w:val="center"/>
          </w:tcPr>
          <w:p w14:paraId="07DEDFB1">
            <w:pPr>
              <w:pStyle w:val="55"/>
              <w:keepNext w:val="0"/>
              <w:keepLines w:val="0"/>
              <w:pageBreakBefore w:val="0"/>
              <w:kinsoku/>
              <w:wordWrap/>
              <w:overflowPunct/>
              <w:topLinePunct w:val="0"/>
              <w:autoSpaceDE/>
              <w:autoSpaceDN/>
              <w:bidi w:val="0"/>
              <w:adjustRightInd w:val="0"/>
              <w:snapToGrid w:val="0"/>
              <w:spacing w:line="300" w:lineRule="exact"/>
              <w:textAlignment w:val="auto"/>
            </w:pPr>
            <w:r>
              <w:rPr>
                <w:rFonts w:hint="eastAsia"/>
                <w:lang w:val="en-US" w:eastAsia="zh-CN"/>
              </w:rPr>
              <w:t>颗粒物执行《合成树脂工业污染物排放标准》（GB31572-2015）及修改单表9限值要求；非甲烷总烃执行河北省地方标准</w:t>
            </w:r>
            <w:r>
              <w:rPr>
                <w:rFonts w:hint="default"/>
                <w:color w:val="000000" w:themeColor="text1"/>
                <w:lang w:val="en-US" w:eastAsia="zh-CN"/>
                <w14:textFill>
                  <w14:solidFill>
                    <w14:schemeClr w14:val="tx1"/>
                  </w14:solidFill>
                </w14:textFill>
              </w:rPr>
              <w:t>《工业企业挥发性有机物排放控制标准》（DB13/2322-2016）表2</w:t>
            </w:r>
            <w:r>
              <w:rPr>
                <w:rFonts w:hint="default"/>
                <w:color w:val="000000" w:themeColor="text1"/>
                <w14:textFill>
                  <w14:solidFill>
                    <w14:schemeClr w14:val="tx1"/>
                  </w14:solidFill>
                </w14:textFill>
              </w:rPr>
              <w:t>企业边界大气污染物浓度限值</w:t>
            </w:r>
            <w:r>
              <w:rPr>
                <w:rFonts w:hint="default"/>
                <w:color w:val="000000" w:themeColor="text1"/>
                <w:lang w:val="en-US" w:eastAsia="zh-CN"/>
                <w14:textFill>
                  <w14:solidFill>
                    <w14:schemeClr w14:val="tx1"/>
                  </w14:solidFill>
                </w14:textFill>
              </w:rPr>
              <w:t>中其他企业</w:t>
            </w:r>
            <w:r>
              <w:rPr>
                <w:rFonts w:hint="eastAsia"/>
                <w:color w:val="000000" w:themeColor="text1"/>
                <w:lang w:val="en-US" w:eastAsia="zh-CN"/>
                <w14:textFill>
                  <w14:solidFill>
                    <w14:schemeClr w14:val="tx1"/>
                  </w14:solidFill>
                </w14:textFill>
              </w:rPr>
              <w:t>；HCl执行</w:t>
            </w:r>
            <w:r>
              <w:rPr>
                <w:rFonts w:hint="default"/>
                <w:color w:val="000000" w:themeColor="text1"/>
                <w14:textFill>
                  <w14:solidFill>
                    <w14:schemeClr w14:val="tx1"/>
                  </w14:solidFill>
                </w14:textFill>
              </w:rPr>
              <w:t>《大气污染物综合排放标准》（GB16297-1996）表2无组织排放监控浓度限值</w:t>
            </w: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臭气浓度执行</w:t>
            </w:r>
            <w:r>
              <w:rPr>
                <w:rFonts w:hint="eastAsia"/>
                <w:color w:val="000000" w:themeColor="text1"/>
                <w:lang w:eastAsia="zh-CN"/>
                <w14:textFill>
                  <w14:solidFill>
                    <w14:schemeClr w14:val="tx1"/>
                  </w14:solidFill>
                </w14:textFill>
              </w:rPr>
              <w:t>《恶臭污染物排放标准》（GB14554-93）表1恶臭污染物厂界标准值中二级新改扩建标准</w:t>
            </w:r>
          </w:p>
        </w:tc>
      </w:tr>
      <w:tr w14:paraId="19BE2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06" w:hRule="atLeast"/>
          <w:jc w:val="center"/>
        </w:trPr>
        <w:tc>
          <w:tcPr>
            <w:tcW w:w="308" w:type="pct"/>
            <w:vMerge w:val="continue"/>
            <w:vAlign w:val="center"/>
          </w:tcPr>
          <w:p w14:paraId="7D9D01B2">
            <w:pPr>
              <w:pStyle w:val="55"/>
              <w:rPr>
                <w:rFonts w:hint="eastAsia"/>
                <w:lang w:val="en-US" w:eastAsia="zh-CN"/>
              </w:rPr>
            </w:pPr>
          </w:p>
        </w:tc>
        <w:tc>
          <w:tcPr>
            <w:tcW w:w="741" w:type="pct"/>
            <w:vAlign w:val="center"/>
          </w:tcPr>
          <w:p w14:paraId="42423869">
            <w:pPr>
              <w:pStyle w:val="55"/>
              <w:rPr>
                <w:rFonts w:hint="default"/>
                <w:sz w:val="21"/>
                <w:szCs w:val="21"/>
                <w:lang w:val="en-US" w:eastAsia="zh-CN"/>
              </w:rPr>
            </w:pPr>
            <w:r>
              <w:rPr>
                <w:rFonts w:hint="eastAsia"/>
                <w:sz w:val="21"/>
                <w:szCs w:val="21"/>
                <w:lang w:val="en-US" w:eastAsia="zh-CN"/>
              </w:rPr>
              <w:t>厂房</w:t>
            </w:r>
          </w:p>
        </w:tc>
        <w:tc>
          <w:tcPr>
            <w:tcW w:w="1358" w:type="pct"/>
            <w:vAlign w:val="center"/>
          </w:tcPr>
          <w:p w14:paraId="4E13E837">
            <w:pPr>
              <w:pStyle w:val="55"/>
              <w:rPr>
                <w:rFonts w:hint="eastAsia"/>
              </w:rPr>
            </w:pPr>
            <w:r>
              <w:rPr>
                <w:rFonts w:hint="eastAsia"/>
              </w:rPr>
              <w:t>非甲烷总烃</w:t>
            </w:r>
          </w:p>
        </w:tc>
        <w:tc>
          <w:tcPr>
            <w:tcW w:w="610" w:type="pct"/>
            <w:vMerge w:val="continue"/>
            <w:vAlign w:val="center"/>
          </w:tcPr>
          <w:p w14:paraId="6B8A5C36">
            <w:pPr>
              <w:pStyle w:val="55"/>
              <w:rPr>
                <w:rFonts w:hint="default" w:ascii="Times New Roman" w:hAnsi="Times New Roman" w:eastAsia="楷体" w:cs="Times New Roman"/>
                <w:color w:val="000000" w:themeColor="text1"/>
                <w:sz w:val="21"/>
                <w:szCs w:val="21"/>
                <w:highlight w:val="none"/>
                <w14:textFill>
                  <w14:solidFill>
                    <w14:schemeClr w14:val="tx1"/>
                  </w14:solidFill>
                </w14:textFill>
              </w:rPr>
            </w:pPr>
          </w:p>
        </w:tc>
        <w:tc>
          <w:tcPr>
            <w:tcW w:w="1980" w:type="pct"/>
            <w:vAlign w:val="center"/>
          </w:tcPr>
          <w:p w14:paraId="12C516B5">
            <w:pPr>
              <w:pStyle w:val="55"/>
            </w:pPr>
            <w:r>
              <w:rPr>
                <w:rFonts w:hint="default"/>
                <w:color w:val="000000" w:themeColor="text1"/>
                <w:lang w:val="en-US" w:eastAsia="zh-CN"/>
                <w14:textFill>
                  <w14:solidFill>
                    <w14:schemeClr w14:val="tx1"/>
                  </w14:solidFill>
                </w14:textFill>
              </w:rPr>
              <w:t>《挥发性有机物无组织排放控制标准》（GB37288-2019）附录A 表A.1无组织排放限值要求</w:t>
            </w:r>
          </w:p>
        </w:tc>
      </w:tr>
      <w:tr w14:paraId="75FB0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308" w:type="pct"/>
            <w:vAlign w:val="center"/>
          </w:tcPr>
          <w:p w14:paraId="2C0CDD04">
            <w:pPr>
              <w:pStyle w:val="55"/>
            </w:pPr>
            <w:r>
              <w:t>噪声</w:t>
            </w:r>
          </w:p>
        </w:tc>
        <w:tc>
          <w:tcPr>
            <w:tcW w:w="741" w:type="pct"/>
            <w:vAlign w:val="center"/>
          </w:tcPr>
          <w:p w14:paraId="31DC7190">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default" w:eastAsia="楷体"/>
                <w:lang w:val="en-US" w:eastAsia="zh-CN"/>
              </w:rPr>
            </w:pPr>
            <w:r>
              <w:rPr>
                <w:rFonts w:hint="eastAsia"/>
                <w:sz w:val="21"/>
                <w:szCs w:val="21"/>
                <w:lang w:val="en-US" w:eastAsia="zh-CN"/>
              </w:rPr>
              <w:t>厂界</w:t>
            </w:r>
          </w:p>
        </w:tc>
        <w:tc>
          <w:tcPr>
            <w:tcW w:w="1358" w:type="pct"/>
            <w:vAlign w:val="center"/>
          </w:tcPr>
          <w:p w14:paraId="0B265F7F">
            <w:pPr>
              <w:pStyle w:val="55"/>
              <w:keepNext w:val="0"/>
              <w:keepLines w:val="0"/>
              <w:pageBreakBefore w:val="0"/>
              <w:kinsoku/>
              <w:wordWrap/>
              <w:overflowPunct/>
              <w:topLinePunct w:val="0"/>
              <w:autoSpaceDE/>
              <w:autoSpaceDN/>
              <w:bidi w:val="0"/>
              <w:adjustRightInd w:val="0"/>
              <w:snapToGrid w:val="0"/>
              <w:spacing w:line="300" w:lineRule="exact"/>
              <w:textAlignment w:val="auto"/>
            </w:pPr>
            <w:r>
              <w:rPr>
                <w:rFonts w:hint="eastAsia"/>
              </w:rPr>
              <w:t>等效</w:t>
            </w:r>
            <w:r>
              <w:t>连续</w:t>
            </w:r>
            <w:r>
              <w:rPr>
                <w:rFonts w:hint="eastAsia"/>
              </w:rPr>
              <w:t>A声级</w:t>
            </w:r>
          </w:p>
        </w:tc>
        <w:tc>
          <w:tcPr>
            <w:tcW w:w="610" w:type="pct"/>
            <w:vAlign w:val="center"/>
          </w:tcPr>
          <w:p w14:paraId="2C22DDB8">
            <w:pPr>
              <w:pStyle w:val="55"/>
            </w:pPr>
            <w:r>
              <w:rPr>
                <w:rFonts w:hint="eastAsia"/>
              </w:rPr>
              <w:t>1次/季度</w:t>
            </w:r>
          </w:p>
        </w:tc>
        <w:tc>
          <w:tcPr>
            <w:tcW w:w="1980" w:type="pct"/>
            <w:vAlign w:val="center"/>
          </w:tcPr>
          <w:p w14:paraId="50D2AFC0">
            <w:pPr>
              <w:pStyle w:val="55"/>
            </w:pPr>
            <w:r>
              <w:rPr>
                <w:rFonts w:hint="eastAsia"/>
              </w:rPr>
              <w:t>《工业企业厂界环境噪声排放标准》（GB12348-2008）2类标准</w:t>
            </w:r>
          </w:p>
        </w:tc>
      </w:tr>
      <w:tr w14:paraId="10B88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308" w:type="pct"/>
            <w:vAlign w:val="center"/>
          </w:tcPr>
          <w:p w14:paraId="513A35CC">
            <w:pPr>
              <w:pStyle w:val="55"/>
              <w:rPr>
                <w:rFonts w:hint="eastAsia" w:eastAsia="楷体"/>
                <w:lang w:val="en-US" w:eastAsia="zh-CN"/>
              </w:rPr>
            </w:pPr>
            <w:r>
              <w:rPr>
                <w:rFonts w:hint="eastAsia"/>
                <w:lang w:val="en-US" w:eastAsia="zh-CN"/>
              </w:rPr>
              <w:t>地下水</w:t>
            </w:r>
          </w:p>
        </w:tc>
        <w:tc>
          <w:tcPr>
            <w:tcW w:w="741" w:type="pct"/>
            <w:vAlign w:val="center"/>
          </w:tcPr>
          <w:p w14:paraId="30676BFA">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sz w:val="21"/>
                <w:szCs w:val="21"/>
                <w:lang w:val="en-US" w:eastAsia="zh-CN"/>
              </w:rPr>
            </w:pPr>
            <w:r>
              <w:rPr>
                <w:rFonts w:hint="eastAsia"/>
                <w:b w:val="0"/>
                <w:bCs w:val="0"/>
                <w:color w:val="auto"/>
                <w:sz w:val="21"/>
                <w:szCs w:val="21"/>
                <w:highlight w:val="none"/>
                <w:lang w:val="en-US" w:eastAsia="zh-CN"/>
              </w:rPr>
              <w:t>项目区</w:t>
            </w:r>
          </w:p>
        </w:tc>
        <w:tc>
          <w:tcPr>
            <w:tcW w:w="1358" w:type="pct"/>
            <w:vAlign w:val="center"/>
          </w:tcPr>
          <w:p w14:paraId="7A9E1676">
            <w:pPr>
              <w:pStyle w:val="55"/>
              <w:keepNext w:val="0"/>
              <w:keepLines w:val="0"/>
              <w:pageBreakBefore w:val="0"/>
              <w:kinsoku/>
              <w:wordWrap/>
              <w:overflowPunct/>
              <w:topLinePunct w:val="0"/>
              <w:autoSpaceDE/>
              <w:autoSpaceDN/>
              <w:bidi w:val="0"/>
              <w:adjustRightInd w:val="0"/>
              <w:snapToGrid w:val="0"/>
              <w:spacing w:line="300" w:lineRule="exact"/>
              <w:textAlignment w:val="auto"/>
              <w:rPr>
                <w:rFonts w:hint="eastAsia"/>
              </w:rPr>
            </w:pPr>
            <w:r>
              <w:rPr>
                <w:rFonts w:hint="eastAsia"/>
              </w:rPr>
              <w:t>pH、氨氮、总硬度、硝酸盐、亚硝酸盐、砷、汞、铬（六价）、铅、氟化物、镉、铁、锰、镍、溶解性固体、高锰酸盐指数、硫酸盐、氯化物等</w:t>
            </w:r>
          </w:p>
        </w:tc>
        <w:tc>
          <w:tcPr>
            <w:tcW w:w="610" w:type="pct"/>
            <w:vAlign w:val="center"/>
          </w:tcPr>
          <w:p w14:paraId="51764BDB">
            <w:pPr>
              <w:pStyle w:val="55"/>
              <w:rPr>
                <w:rFonts w:hint="eastAsia"/>
              </w:rPr>
            </w:pPr>
            <w:r>
              <w:rPr>
                <w:rFonts w:hint="eastAsia"/>
              </w:rPr>
              <w:t>1次/年</w:t>
            </w:r>
          </w:p>
        </w:tc>
        <w:tc>
          <w:tcPr>
            <w:tcW w:w="1980" w:type="pct"/>
            <w:vAlign w:val="center"/>
          </w:tcPr>
          <w:p w14:paraId="2EA79DAA">
            <w:pPr>
              <w:pStyle w:val="55"/>
              <w:rPr>
                <w:rFonts w:hint="eastAsia"/>
              </w:rPr>
            </w:pPr>
            <w:r>
              <w:rPr>
                <w:rFonts w:hint="eastAsia"/>
              </w:rPr>
              <w:t>《地下水质量标准》（GB/T14848-2017）III类标准</w:t>
            </w:r>
          </w:p>
        </w:tc>
      </w:tr>
    </w:tbl>
    <w:p w14:paraId="7C13498F">
      <w:pPr>
        <w:pStyle w:val="47"/>
        <w:ind w:firstLine="482"/>
        <w:rPr>
          <w:rFonts w:hint="eastAsia"/>
        </w:rPr>
        <w:sectPr>
          <w:pgSz w:w="11906" w:h="16838"/>
          <w:pgMar w:top="1417" w:right="1417" w:bottom="1417" w:left="1417" w:header="964" w:footer="964" w:gutter="0"/>
          <w:pgBorders>
            <w:top w:val="none" w:sz="0" w:space="0"/>
            <w:left w:val="none" w:sz="0" w:space="0"/>
            <w:bottom w:val="none" w:sz="0" w:space="0"/>
            <w:right w:val="none" w:sz="0" w:space="0"/>
          </w:pgBorders>
          <w:pgNumType w:fmt="decimal"/>
          <w:cols w:space="425" w:num="1"/>
          <w:docGrid w:type="linesAndChars" w:linePitch="326" w:charSpace="190"/>
        </w:sectPr>
      </w:pPr>
    </w:p>
    <w:p w14:paraId="745A93F1">
      <w:pPr>
        <w:pStyle w:val="90"/>
        <w:bidi w:val="0"/>
        <w:ind w:left="0" w:leftChars="0" w:firstLine="0" w:firstLineChars="0"/>
      </w:pPr>
      <w:bookmarkStart w:id="79" w:name="_Toc12914"/>
      <w:r>
        <w:rPr>
          <w:rFonts w:hint="eastAsia"/>
          <w:lang w:val="en-US" w:eastAsia="zh-CN"/>
        </w:rPr>
        <w:t>信息公开</w:t>
      </w:r>
      <w:bookmarkEnd w:id="79"/>
    </w:p>
    <w:p w14:paraId="03687ECA">
      <w:pPr>
        <w:pStyle w:val="47"/>
        <w:keepNext w:val="0"/>
        <w:keepLines w:val="0"/>
        <w:pageBreakBefore w:val="0"/>
        <w:widowControl w:val="0"/>
        <w:kinsoku/>
        <w:wordWrap/>
        <w:overflowPunct/>
        <w:topLinePunct w:val="0"/>
        <w:autoSpaceDE/>
        <w:autoSpaceDN/>
        <w:bidi w:val="0"/>
        <w:adjustRightInd w:val="0"/>
        <w:snapToGrid w:val="0"/>
        <w:ind w:left="0" w:leftChars="0" w:firstLine="560" w:firstLineChars="200"/>
        <w:textAlignment w:val="auto"/>
        <w:rPr>
          <w:rFonts w:hint="eastAsia"/>
        </w:rPr>
      </w:pPr>
      <w:r>
        <w:rPr>
          <w:rFonts w:hint="eastAsia"/>
          <w:lang w:eastAsia="zh-CN"/>
        </w:rPr>
        <w:t>（</w:t>
      </w:r>
      <w:r>
        <w:rPr>
          <w:rFonts w:hint="eastAsia"/>
          <w:lang w:val="en-US" w:eastAsia="zh-CN"/>
        </w:rPr>
        <w:t>1</w:t>
      </w:r>
      <w:r>
        <w:rPr>
          <w:rFonts w:hint="eastAsia"/>
          <w:lang w:eastAsia="zh-CN"/>
        </w:rPr>
        <w:t>）</w:t>
      </w:r>
      <w:r>
        <w:rPr>
          <w:rFonts w:hint="eastAsia"/>
        </w:rPr>
        <w:t>公开内容</w:t>
      </w:r>
    </w:p>
    <w:p w14:paraId="0A6DBFDA">
      <w:pPr>
        <w:pStyle w:val="47"/>
        <w:keepNext w:val="0"/>
        <w:keepLines w:val="0"/>
        <w:pageBreakBefore w:val="0"/>
        <w:widowControl w:val="0"/>
        <w:kinsoku/>
        <w:wordWrap/>
        <w:overflowPunct/>
        <w:topLinePunct w:val="0"/>
        <w:autoSpaceDE/>
        <w:autoSpaceDN/>
        <w:bidi w:val="0"/>
        <w:adjustRightInd w:val="0"/>
        <w:snapToGrid w:val="0"/>
        <w:ind w:left="0" w:leftChars="0" w:firstLine="560" w:firstLineChars="200"/>
        <w:textAlignment w:val="auto"/>
        <w:rPr>
          <w:rFonts w:hint="eastAsia"/>
        </w:rPr>
      </w:pPr>
      <w:r>
        <w:rPr>
          <w:rFonts w:hint="eastAsia"/>
        </w:rPr>
        <w:t>企业应将自行监测工作开展情况及监测结果向社会公众公开，公开内容应包括：</w:t>
      </w:r>
    </w:p>
    <w:p w14:paraId="4D610645">
      <w:pPr>
        <w:pStyle w:val="47"/>
        <w:keepNext w:val="0"/>
        <w:keepLines w:val="0"/>
        <w:pageBreakBefore w:val="0"/>
        <w:widowControl w:val="0"/>
        <w:kinsoku/>
        <w:wordWrap/>
        <w:overflowPunct/>
        <w:topLinePunct w:val="0"/>
        <w:autoSpaceDE/>
        <w:autoSpaceDN/>
        <w:bidi w:val="0"/>
        <w:adjustRightInd w:val="0"/>
        <w:snapToGrid w:val="0"/>
        <w:ind w:left="0" w:leftChars="0" w:firstLine="560" w:firstLineChars="200"/>
        <w:textAlignment w:val="auto"/>
        <w:rPr>
          <w:rFonts w:hint="eastAsia"/>
        </w:rPr>
      </w:pPr>
      <w:r>
        <w:rPr>
          <w:rFonts w:hint="eastAsia" w:ascii="楷体" w:hAnsi="楷体" w:eastAsia="楷体" w:cs="楷体"/>
        </w:rPr>
        <w:t>①</w:t>
      </w:r>
      <w:r>
        <w:rPr>
          <w:rFonts w:hint="eastAsia"/>
        </w:rPr>
        <w:t>基础信息：企业名称、法人代表、所属行业、地理位置、生产周期、联系方式、委托监测机构名称等；</w:t>
      </w:r>
    </w:p>
    <w:p w14:paraId="44D638E7">
      <w:pPr>
        <w:pStyle w:val="47"/>
        <w:keepNext w:val="0"/>
        <w:keepLines w:val="0"/>
        <w:pageBreakBefore w:val="0"/>
        <w:widowControl w:val="0"/>
        <w:kinsoku/>
        <w:wordWrap/>
        <w:overflowPunct/>
        <w:topLinePunct w:val="0"/>
        <w:autoSpaceDE/>
        <w:autoSpaceDN/>
        <w:bidi w:val="0"/>
        <w:adjustRightInd w:val="0"/>
        <w:snapToGrid w:val="0"/>
        <w:ind w:left="0" w:leftChars="0" w:firstLine="560" w:firstLineChars="200"/>
        <w:textAlignment w:val="auto"/>
        <w:rPr>
          <w:rFonts w:hint="eastAsia"/>
        </w:rPr>
      </w:pPr>
      <w:r>
        <w:rPr>
          <w:rFonts w:hint="eastAsia" w:ascii="楷体" w:hAnsi="楷体" w:eastAsia="楷体" w:cs="楷体"/>
        </w:rPr>
        <w:t>②</w:t>
      </w:r>
      <w:r>
        <w:rPr>
          <w:rFonts w:hint="eastAsia"/>
        </w:rPr>
        <w:t>自行监测方案；</w:t>
      </w:r>
    </w:p>
    <w:p w14:paraId="71AA919D">
      <w:pPr>
        <w:pStyle w:val="47"/>
        <w:keepNext w:val="0"/>
        <w:keepLines w:val="0"/>
        <w:pageBreakBefore w:val="0"/>
        <w:widowControl w:val="0"/>
        <w:kinsoku/>
        <w:wordWrap/>
        <w:overflowPunct/>
        <w:topLinePunct w:val="0"/>
        <w:autoSpaceDE/>
        <w:autoSpaceDN/>
        <w:bidi w:val="0"/>
        <w:adjustRightInd w:val="0"/>
        <w:snapToGrid w:val="0"/>
        <w:ind w:left="0" w:leftChars="0" w:firstLine="560" w:firstLineChars="200"/>
        <w:textAlignment w:val="auto"/>
        <w:rPr>
          <w:rFonts w:hint="eastAsia"/>
        </w:rPr>
      </w:pPr>
      <w:r>
        <w:rPr>
          <w:rFonts w:hint="eastAsia" w:ascii="楷体" w:hAnsi="楷体" w:eastAsia="楷体" w:cs="楷体"/>
        </w:rPr>
        <w:t>③</w:t>
      </w:r>
      <w:r>
        <w:rPr>
          <w:rFonts w:hint="eastAsia"/>
        </w:rPr>
        <w:t>自行监测结果：全部监测点位、监测时间、污染物种类及浓度、标准限值、达标情况、超标倍数、污染物排放方式及排放去向；</w:t>
      </w:r>
    </w:p>
    <w:p w14:paraId="02E40E3D">
      <w:pPr>
        <w:pStyle w:val="47"/>
        <w:keepNext w:val="0"/>
        <w:keepLines w:val="0"/>
        <w:pageBreakBefore w:val="0"/>
        <w:widowControl w:val="0"/>
        <w:kinsoku/>
        <w:wordWrap/>
        <w:overflowPunct/>
        <w:topLinePunct w:val="0"/>
        <w:autoSpaceDE/>
        <w:autoSpaceDN/>
        <w:bidi w:val="0"/>
        <w:adjustRightInd w:val="0"/>
        <w:snapToGrid w:val="0"/>
        <w:ind w:left="0" w:leftChars="0" w:firstLine="560" w:firstLineChars="200"/>
        <w:textAlignment w:val="auto"/>
        <w:rPr>
          <w:rFonts w:hint="eastAsia"/>
        </w:rPr>
      </w:pPr>
      <w:r>
        <w:rPr>
          <w:rFonts w:hint="eastAsia" w:ascii="楷体" w:hAnsi="楷体" w:eastAsia="楷体" w:cs="楷体"/>
        </w:rPr>
        <w:t>④</w:t>
      </w:r>
      <w:r>
        <w:rPr>
          <w:rFonts w:hint="eastAsia"/>
        </w:rPr>
        <w:t>未开展自行监测的原因；</w:t>
      </w:r>
    </w:p>
    <w:p w14:paraId="02443A9C">
      <w:pPr>
        <w:pStyle w:val="47"/>
        <w:keepNext w:val="0"/>
        <w:keepLines w:val="0"/>
        <w:pageBreakBefore w:val="0"/>
        <w:widowControl w:val="0"/>
        <w:kinsoku/>
        <w:wordWrap/>
        <w:overflowPunct/>
        <w:topLinePunct w:val="0"/>
        <w:autoSpaceDE/>
        <w:autoSpaceDN/>
        <w:bidi w:val="0"/>
        <w:adjustRightInd w:val="0"/>
        <w:snapToGrid w:val="0"/>
        <w:ind w:left="0" w:leftChars="0" w:firstLine="560" w:firstLineChars="200"/>
        <w:textAlignment w:val="auto"/>
        <w:rPr>
          <w:rFonts w:hint="eastAsia"/>
        </w:rPr>
      </w:pPr>
      <w:r>
        <w:rPr>
          <w:rFonts w:hint="eastAsia" w:ascii="楷体" w:hAnsi="楷体" w:eastAsia="楷体" w:cs="楷体"/>
        </w:rPr>
        <w:t>⑤</w:t>
      </w:r>
      <w:r>
        <w:rPr>
          <w:rFonts w:hint="eastAsia"/>
        </w:rPr>
        <w:t>污染源监测年度报告。</w:t>
      </w:r>
    </w:p>
    <w:p w14:paraId="74D9D6BC">
      <w:pPr>
        <w:pStyle w:val="47"/>
        <w:keepNext w:val="0"/>
        <w:keepLines w:val="0"/>
        <w:pageBreakBefore w:val="0"/>
        <w:widowControl w:val="0"/>
        <w:kinsoku/>
        <w:wordWrap/>
        <w:overflowPunct/>
        <w:topLinePunct w:val="0"/>
        <w:autoSpaceDE/>
        <w:autoSpaceDN/>
        <w:bidi w:val="0"/>
        <w:adjustRightInd w:val="0"/>
        <w:snapToGrid w:val="0"/>
        <w:ind w:left="0" w:leftChars="0" w:firstLine="560" w:firstLineChars="200"/>
        <w:textAlignment w:val="auto"/>
        <w:rPr>
          <w:rFonts w:hint="eastAsia"/>
        </w:rPr>
      </w:pPr>
      <w:r>
        <w:rPr>
          <w:rFonts w:hint="eastAsia"/>
          <w:lang w:eastAsia="zh-CN"/>
        </w:rPr>
        <w:t>（</w:t>
      </w:r>
      <w:r>
        <w:rPr>
          <w:rFonts w:hint="eastAsia"/>
          <w:lang w:val="en-US" w:eastAsia="zh-CN"/>
        </w:rPr>
        <w:t>2</w:t>
      </w:r>
      <w:r>
        <w:rPr>
          <w:rFonts w:hint="eastAsia"/>
          <w:lang w:eastAsia="zh-CN"/>
        </w:rPr>
        <w:t>）</w:t>
      </w:r>
      <w:r>
        <w:rPr>
          <w:rFonts w:hint="eastAsia"/>
        </w:rPr>
        <w:t>公开方式</w:t>
      </w:r>
    </w:p>
    <w:p w14:paraId="2135AF96">
      <w:pPr>
        <w:pStyle w:val="47"/>
        <w:keepNext w:val="0"/>
        <w:keepLines w:val="0"/>
        <w:pageBreakBefore w:val="0"/>
        <w:widowControl w:val="0"/>
        <w:kinsoku/>
        <w:wordWrap/>
        <w:overflowPunct/>
        <w:topLinePunct w:val="0"/>
        <w:autoSpaceDE/>
        <w:autoSpaceDN/>
        <w:bidi w:val="0"/>
        <w:adjustRightInd w:val="0"/>
        <w:snapToGrid w:val="0"/>
        <w:ind w:left="0" w:leftChars="0" w:firstLine="560" w:firstLineChars="200"/>
        <w:textAlignment w:val="auto"/>
        <w:rPr>
          <w:rFonts w:hint="eastAsia"/>
        </w:rPr>
      </w:pPr>
      <w:r>
        <w:rPr>
          <w:rFonts w:hint="eastAsia"/>
        </w:rPr>
        <w:t>企业可通过对外网站、报纸、广播、电视等便于公众知晓的方式公开自行监测信息。</w:t>
      </w:r>
    </w:p>
    <w:p w14:paraId="1E0113B3">
      <w:pPr>
        <w:pStyle w:val="47"/>
        <w:keepNext w:val="0"/>
        <w:keepLines w:val="0"/>
        <w:pageBreakBefore w:val="0"/>
        <w:widowControl w:val="0"/>
        <w:kinsoku/>
        <w:wordWrap/>
        <w:overflowPunct/>
        <w:topLinePunct w:val="0"/>
        <w:autoSpaceDE/>
        <w:autoSpaceDN/>
        <w:bidi w:val="0"/>
        <w:adjustRightInd w:val="0"/>
        <w:snapToGrid w:val="0"/>
        <w:ind w:left="0" w:leftChars="0" w:firstLine="560" w:firstLineChars="200"/>
        <w:textAlignment w:val="auto"/>
        <w:rPr>
          <w:rFonts w:hint="eastAsia"/>
        </w:rPr>
      </w:pPr>
      <w:r>
        <w:rPr>
          <w:rFonts w:hint="eastAsia"/>
          <w:lang w:eastAsia="zh-CN"/>
        </w:rPr>
        <w:t>（</w:t>
      </w:r>
      <w:r>
        <w:rPr>
          <w:rFonts w:hint="eastAsia"/>
          <w:lang w:val="en-US" w:eastAsia="zh-CN"/>
        </w:rPr>
        <w:t>3</w:t>
      </w:r>
      <w:r>
        <w:rPr>
          <w:rFonts w:hint="eastAsia"/>
          <w:lang w:eastAsia="zh-CN"/>
        </w:rPr>
        <w:t>）</w:t>
      </w:r>
      <w:r>
        <w:rPr>
          <w:rFonts w:hint="eastAsia"/>
        </w:rPr>
        <w:t>公开时限</w:t>
      </w:r>
    </w:p>
    <w:p w14:paraId="3456052E">
      <w:pPr>
        <w:pStyle w:val="47"/>
        <w:keepNext w:val="0"/>
        <w:keepLines w:val="0"/>
        <w:pageBreakBefore w:val="0"/>
        <w:widowControl w:val="0"/>
        <w:kinsoku/>
        <w:wordWrap/>
        <w:overflowPunct/>
        <w:topLinePunct w:val="0"/>
        <w:autoSpaceDE/>
        <w:autoSpaceDN/>
        <w:bidi w:val="0"/>
        <w:adjustRightInd w:val="0"/>
        <w:snapToGrid w:val="0"/>
        <w:ind w:left="0" w:leftChars="0" w:firstLine="560" w:firstLineChars="200"/>
        <w:textAlignment w:val="auto"/>
        <w:rPr>
          <w:rFonts w:hint="eastAsia"/>
        </w:rPr>
      </w:pPr>
      <w:r>
        <w:rPr>
          <w:rFonts w:hint="eastAsia"/>
        </w:rPr>
        <w:t>企业自行监测信息按以下要求的时限公开：</w:t>
      </w:r>
    </w:p>
    <w:p w14:paraId="160DE8E7">
      <w:pPr>
        <w:pStyle w:val="47"/>
        <w:keepNext w:val="0"/>
        <w:keepLines w:val="0"/>
        <w:pageBreakBefore w:val="0"/>
        <w:widowControl w:val="0"/>
        <w:kinsoku/>
        <w:wordWrap/>
        <w:overflowPunct/>
        <w:topLinePunct w:val="0"/>
        <w:autoSpaceDE/>
        <w:autoSpaceDN/>
        <w:bidi w:val="0"/>
        <w:adjustRightInd w:val="0"/>
        <w:snapToGrid w:val="0"/>
        <w:ind w:left="0" w:leftChars="0" w:firstLine="560" w:firstLineChars="200"/>
        <w:textAlignment w:val="auto"/>
        <w:rPr>
          <w:rFonts w:hint="eastAsia"/>
        </w:rPr>
      </w:pPr>
      <w:r>
        <w:rPr>
          <w:rFonts w:hint="eastAsia" w:ascii="楷体" w:hAnsi="楷体" w:eastAsia="楷体" w:cs="楷体"/>
        </w:rPr>
        <w:t>①</w:t>
      </w:r>
      <w:r>
        <w:rPr>
          <w:rFonts w:hint="eastAsia"/>
        </w:rPr>
        <w:t>企业基础信息应随监测数据一并公布，基础信息、自行监测方案如有调整变化时，应于变更后的五日内公布最新内容；</w:t>
      </w:r>
    </w:p>
    <w:p w14:paraId="13FAB7A0">
      <w:pPr>
        <w:pStyle w:val="47"/>
        <w:keepNext w:val="0"/>
        <w:keepLines w:val="0"/>
        <w:pageBreakBefore w:val="0"/>
        <w:widowControl w:val="0"/>
        <w:kinsoku/>
        <w:wordWrap/>
        <w:overflowPunct/>
        <w:topLinePunct w:val="0"/>
        <w:autoSpaceDE/>
        <w:autoSpaceDN/>
        <w:bidi w:val="0"/>
        <w:adjustRightInd w:val="0"/>
        <w:snapToGrid w:val="0"/>
        <w:ind w:left="0" w:leftChars="0" w:firstLine="560" w:firstLineChars="200"/>
        <w:textAlignment w:val="auto"/>
        <w:rPr>
          <w:rFonts w:hint="eastAsia"/>
        </w:rPr>
      </w:pPr>
      <w:r>
        <w:rPr>
          <w:rFonts w:hint="eastAsia" w:ascii="楷体" w:hAnsi="楷体" w:eastAsia="楷体" w:cs="楷体"/>
        </w:rPr>
        <w:t>②</w:t>
      </w:r>
      <w:r>
        <w:rPr>
          <w:rFonts w:hint="eastAsia"/>
        </w:rPr>
        <w:t>手工监测数据应于每次监测完成后的次日公布；</w:t>
      </w:r>
    </w:p>
    <w:p w14:paraId="6C75361B">
      <w:pPr>
        <w:pStyle w:val="47"/>
        <w:keepNext w:val="0"/>
        <w:keepLines w:val="0"/>
        <w:pageBreakBefore w:val="0"/>
        <w:widowControl w:val="0"/>
        <w:kinsoku/>
        <w:wordWrap/>
        <w:overflowPunct/>
        <w:topLinePunct w:val="0"/>
        <w:autoSpaceDE/>
        <w:autoSpaceDN/>
        <w:bidi w:val="0"/>
        <w:adjustRightInd w:val="0"/>
        <w:snapToGrid w:val="0"/>
        <w:ind w:left="0" w:leftChars="0" w:firstLine="560" w:firstLineChars="200"/>
        <w:textAlignment w:val="auto"/>
        <w:rPr>
          <w:rFonts w:hint="eastAsia"/>
        </w:rPr>
      </w:pPr>
      <w:r>
        <w:rPr>
          <w:rFonts w:hint="eastAsia" w:ascii="楷体" w:hAnsi="楷体" w:eastAsia="楷体" w:cs="楷体"/>
        </w:rPr>
        <w:t>③</w:t>
      </w:r>
      <w:r>
        <w:rPr>
          <w:rFonts w:hint="eastAsia"/>
        </w:rPr>
        <w:t>自动监测数据应实时公布监测结果；</w:t>
      </w:r>
    </w:p>
    <w:p w14:paraId="7D4C25FC">
      <w:pPr>
        <w:pStyle w:val="47"/>
        <w:keepNext w:val="0"/>
        <w:keepLines w:val="0"/>
        <w:pageBreakBefore w:val="0"/>
        <w:widowControl w:val="0"/>
        <w:kinsoku/>
        <w:wordWrap/>
        <w:overflowPunct/>
        <w:topLinePunct w:val="0"/>
        <w:autoSpaceDE/>
        <w:autoSpaceDN/>
        <w:bidi w:val="0"/>
        <w:adjustRightInd w:val="0"/>
        <w:snapToGrid w:val="0"/>
        <w:ind w:left="0" w:leftChars="0" w:firstLine="560" w:firstLineChars="200"/>
        <w:textAlignment w:val="auto"/>
        <w:rPr>
          <w:rFonts w:hint="eastAsia"/>
          <w:lang w:eastAsia="zh-CN"/>
        </w:rPr>
      </w:pPr>
      <w:r>
        <w:rPr>
          <w:rFonts w:hint="eastAsia" w:ascii="楷体" w:hAnsi="楷体" w:eastAsia="楷体" w:cs="楷体"/>
        </w:rPr>
        <w:t>④</w:t>
      </w:r>
      <w:r>
        <w:rPr>
          <w:rFonts w:hint="eastAsia"/>
        </w:rPr>
        <w:t>每年1月底前公布上年度自行监测年度报告</w:t>
      </w:r>
      <w:r>
        <w:rPr>
          <w:rFonts w:hint="eastAsia"/>
          <w:lang w:eastAsia="zh-CN"/>
        </w:rPr>
        <w:t>。</w:t>
      </w:r>
    </w:p>
    <w:p w14:paraId="6EFA86AB">
      <w:pPr>
        <w:pStyle w:val="90"/>
        <w:bidi w:val="0"/>
        <w:ind w:left="0" w:leftChars="0" w:firstLine="0" w:firstLineChars="0"/>
        <w:rPr>
          <w:rFonts w:hint="eastAsia"/>
          <w:lang w:eastAsia="zh-CN"/>
        </w:rPr>
      </w:pPr>
      <w:bookmarkStart w:id="80" w:name="_Toc17833"/>
      <w:r>
        <w:rPr>
          <w:rFonts w:hint="eastAsia"/>
          <w:lang w:val="en-US" w:eastAsia="zh-CN"/>
        </w:rPr>
        <w:t>总量控制因子</w:t>
      </w:r>
      <w:bookmarkEnd w:id="80"/>
    </w:p>
    <w:p w14:paraId="3DD89B04">
      <w:pPr>
        <w:pStyle w:val="47"/>
        <w:keepNext w:val="0"/>
        <w:keepLines w:val="0"/>
        <w:pageBreakBefore w:val="0"/>
        <w:widowControl w:val="0"/>
        <w:kinsoku/>
        <w:wordWrap/>
        <w:overflowPunct/>
        <w:topLinePunct w:val="0"/>
        <w:autoSpaceDE/>
        <w:autoSpaceDN/>
        <w:bidi w:val="0"/>
        <w:adjustRightInd w:val="0"/>
        <w:snapToGrid w:val="0"/>
        <w:ind w:left="0" w:leftChars="0" w:firstLine="560" w:firstLineChars="200"/>
        <w:textAlignment w:val="auto"/>
        <w:rPr>
          <w:rFonts w:hint="eastAsia"/>
          <w:lang w:eastAsia="zh-CN"/>
        </w:rPr>
      </w:pPr>
      <w:r>
        <w:rPr>
          <w:rFonts w:hint="eastAsia"/>
          <w:lang w:eastAsia="zh-CN"/>
        </w:rPr>
        <w:t>根据国家、地方环境质量改善目标及相关行业污染控制要求，结合现状环境污染特征和突出环境问题，确定纳入排放总量管控的主要污染物。本项目无废水排放，废气污染物为颗粒物、挥发性有机物，颗粒物排放量为3.393t/a，挥发性有机物（以非甲烷总烃计）排放量为5.693t/a，因此环评建议设定项目的总量控制指标为颗粒物3.393t/a、非甲烷总烃：5.693t/a。</w:t>
      </w:r>
    </w:p>
    <w:p w14:paraId="67014D30">
      <w:pPr>
        <w:pStyle w:val="47"/>
        <w:keepNext w:val="0"/>
        <w:keepLines w:val="0"/>
        <w:pageBreakBefore w:val="0"/>
        <w:widowControl w:val="0"/>
        <w:kinsoku/>
        <w:wordWrap/>
        <w:overflowPunct/>
        <w:topLinePunct w:val="0"/>
        <w:autoSpaceDE/>
        <w:autoSpaceDN/>
        <w:bidi w:val="0"/>
        <w:adjustRightInd w:val="0"/>
        <w:snapToGrid w:val="0"/>
        <w:ind w:left="0" w:leftChars="0" w:firstLine="560" w:firstLineChars="200"/>
        <w:textAlignment w:val="auto"/>
        <w:rPr>
          <w:rFonts w:hint="eastAsia"/>
          <w:lang w:eastAsia="zh-CN"/>
        </w:rPr>
      </w:pPr>
      <w:r>
        <w:rPr>
          <w:rFonts w:hint="eastAsia"/>
          <w:lang w:eastAsia="zh-CN"/>
        </w:rPr>
        <w:t>项目完成后全厂总量控制指标为COD：0t/a、氨氮：0t/a、总磷：0t/a、总氮：0t/a、SO</w:t>
      </w:r>
      <w:r>
        <w:rPr>
          <w:rFonts w:hint="eastAsia"/>
          <w:vertAlign w:val="subscript"/>
          <w:lang w:eastAsia="zh-CN"/>
        </w:rPr>
        <w:t>2</w:t>
      </w:r>
      <w:r>
        <w:rPr>
          <w:rFonts w:hint="eastAsia"/>
          <w:lang w:eastAsia="zh-CN"/>
        </w:rPr>
        <w:t>：0t/a、NO</w:t>
      </w:r>
      <w:r>
        <w:rPr>
          <w:rFonts w:hint="eastAsia"/>
          <w:vertAlign w:val="subscript"/>
          <w:lang w:eastAsia="zh-CN"/>
        </w:rPr>
        <w:t>X</w:t>
      </w:r>
      <w:r>
        <w:rPr>
          <w:rFonts w:hint="eastAsia"/>
          <w:lang w:eastAsia="zh-CN"/>
        </w:rPr>
        <w:t>：0t/a、颗粒物：3.393t/a、非甲烷总烃：5.693t/a。</w:t>
      </w:r>
    </w:p>
    <w:p w14:paraId="5EF80761">
      <w:pPr>
        <w:pStyle w:val="88"/>
        <w:bidi w:val="0"/>
        <w:ind w:left="0" w:leftChars="0" w:hanging="102" w:firstLineChars="0"/>
      </w:pPr>
      <w:bookmarkStart w:id="81" w:name="_Toc10625"/>
      <w:r>
        <w:rPr>
          <w:rFonts w:hint="eastAsia"/>
        </w:rPr>
        <w:t>环境影</w:t>
      </w:r>
      <w:r>
        <w:t>响评价</w:t>
      </w:r>
      <w:r>
        <w:rPr>
          <w:rFonts w:hint="eastAsia"/>
        </w:rPr>
        <w:t>结论</w:t>
      </w:r>
      <w:bookmarkEnd w:id="81"/>
    </w:p>
    <w:p w14:paraId="6C2B5CD9">
      <w:pPr>
        <w:pStyle w:val="90"/>
        <w:bidi w:val="0"/>
        <w:ind w:left="0" w:leftChars="0" w:firstLine="0" w:firstLineChars="0"/>
      </w:pPr>
      <w:bookmarkStart w:id="82" w:name="_Toc1521"/>
      <w:r>
        <w:rPr>
          <w:rFonts w:hint="eastAsia"/>
        </w:rPr>
        <w:t>评价</w:t>
      </w:r>
      <w:r>
        <w:t>结论</w:t>
      </w:r>
      <w:bookmarkEnd w:id="82"/>
    </w:p>
    <w:p w14:paraId="56BCAE0B">
      <w:pPr>
        <w:pStyle w:val="92"/>
        <w:bidi w:val="0"/>
        <w:ind w:left="0" w:leftChars="0" w:firstLine="0" w:firstLineChars="0"/>
      </w:pPr>
      <w:r>
        <w:rPr>
          <w:rFonts w:hint="eastAsia"/>
        </w:rPr>
        <w:t>建设项目概况</w:t>
      </w:r>
    </w:p>
    <w:p w14:paraId="49C73233">
      <w:pPr>
        <w:pStyle w:val="47"/>
        <w:rPr>
          <w:rFonts w:hint="eastAsia" w:eastAsia="楷体"/>
          <w:highlight w:val="none"/>
          <w:lang w:val="en-US" w:eastAsia="zh-CN"/>
        </w:rPr>
      </w:pPr>
      <w:r>
        <w:rPr>
          <w:rFonts w:hint="eastAsia"/>
          <w:highlight w:val="none"/>
        </w:rPr>
        <w:t>项目建设地点位于</w:t>
      </w:r>
      <w:r>
        <w:rPr>
          <w:rFonts w:hint="eastAsia"/>
          <w:highlight w:val="none"/>
          <w:lang w:val="en-US" w:eastAsia="zh-CN"/>
        </w:rPr>
        <w:t>河北省保定市顺平县顺高线（原职教中心院内）</w:t>
      </w:r>
      <w:r>
        <w:rPr>
          <w:rFonts w:hint="eastAsia"/>
          <w:highlight w:val="none"/>
        </w:rPr>
        <w:t>，项目总投资5013.5万元，环保投资</w:t>
      </w:r>
      <w:r>
        <w:rPr>
          <w:rFonts w:hint="eastAsia"/>
          <w:highlight w:val="none"/>
          <w:u w:val="none"/>
          <w:lang w:val="en-US" w:eastAsia="zh-CN"/>
        </w:rPr>
        <w:t>200</w:t>
      </w:r>
      <w:r>
        <w:rPr>
          <w:rFonts w:hint="eastAsia"/>
          <w:highlight w:val="none"/>
        </w:rPr>
        <w:t>万元，占总投资的</w:t>
      </w:r>
      <w:r>
        <w:rPr>
          <w:rFonts w:hint="eastAsia"/>
          <w:highlight w:val="none"/>
          <w:u w:val="none"/>
          <w:lang w:val="en-US" w:eastAsia="zh-CN"/>
        </w:rPr>
        <w:t>4</w:t>
      </w:r>
      <w:r>
        <w:rPr>
          <w:highlight w:val="none"/>
          <w:u w:val="none"/>
        </w:rPr>
        <w:t>%</w:t>
      </w:r>
      <w:r>
        <w:rPr>
          <w:rFonts w:hint="eastAsia"/>
          <w:highlight w:val="none"/>
        </w:rPr>
        <w:t>。项目占地面积</w:t>
      </w:r>
      <w:r>
        <w:rPr>
          <w:rFonts w:hint="eastAsia"/>
          <w:highlight w:val="none"/>
          <w:lang w:val="en-US" w:eastAsia="zh-CN"/>
        </w:rPr>
        <w:t>9000m</w:t>
      </w:r>
      <w:r>
        <w:rPr>
          <w:rFonts w:hint="eastAsia"/>
          <w:highlight w:val="none"/>
          <w:vertAlign w:val="superscript"/>
          <w:lang w:val="en-US" w:eastAsia="zh-CN"/>
        </w:rPr>
        <w:t>2</w:t>
      </w:r>
      <w:r>
        <w:rPr>
          <w:rFonts w:hint="eastAsia"/>
          <w:highlight w:val="none"/>
        </w:rPr>
        <w:t>，</w:t>
      </w:r>
      <w:r>
        <w:rPr>
          <w:rFonts w:hint="eastAsia"/>
          <w:highlight w:val="none"/>
          <w:lang w:val="en-US" w:eastAsia="zh-CN"/>
        </w:rPr>
        <w:t>建设内容为购置</w:t>
      </w:r>
      <w:r>
        <w:rPr>
          <w:rFonts w:hint="eastAsia"/>
          <w:highlight w:val="none"/>
        </w:rPr>
        <w:t>破碎机、水浮分离机、卧式甩干机、高速混合机、挤出机、切粒机、存料器</w:t>
      </w:r>
      <w:r>
        <w:rPr>
          <w:rFonts w:hint="eastAsia"/>
          <w:highlight w:val="none"/>
          <w:lang w:val="en-US" w:eastAsia="zh-CN"/>
        </w:rPr>
        <w:t>等生产设备99台，新建生产车间3座，原料车间1座，利用废旧PVC塑料、PVC颗粒、增塑剂、石蜡、色母等原料年产电缆颗粒</w:t>
      </w:r>
      <w:r>
        <w:rPr>
          <w:rFonts w:hint="eastAsia"/>
          <w:highlight w:val="none"/>
        </w:rPr>
        <w:t>25000t</w:t>
      </w:r>
      <w:r>
        <w:rPr>
          <w:rFonts w:hint="eastAsia"/>
          <w:highlight w:val="none"/>
          <w:lang w:eastAsia="zh-CN"/>
        </w:rPr>
        <w:t>。</w:t>
      </w:r>
    </w:p>
    <w:p w14:paraId="50142DEB">
      <w:pPr>
        <w:pStyle w:val="92"/>
        <w:bidi w:val="0"/>
        <w:ind w:left="0" w:leftChars="0" w:firstLine="0" w:firstLineChars="0"/>
        <w:rPr>
          <w:highlight w:val="none"/>
        </w:rPr>
      </w:pPr>
      <w:r>
        <w:rPr>
          <w:rFonts w:hint="eastAsia"/>
          <w:highlight w:val="none"/>
        </w:rPr>
        <w:t>项目相符性结论</w:t>
      </w:r>
    </w:p>
    <w:p w14:paraId="2114E9AB">
      <w:pPr>
        <w:pStyle w:val="47"/>
        <w:ind w:firstLine="482"/>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依据根据《产业结构调整指导目录（2024年本）》（国家发展和改革委员会第7号令），项目属于</w:t>
      </w:r>
      <w:r>
        <w:rPr>
          <w:rFonts w:hint="eastAsia"/>
          <w:color w:val="000000" w:themeColor="text1"/>
          <w:highlight w:val="none"/>
          <w:lang w:val="en-US" w:eastAsia="zh-CN"/>
          <w14:textFill>
            <w14:solidFill>
              <w14:schemeClr w14:val="tx1"/>
            </w14:solidFill>
          </w14:textFill>
        </w:rPr>
        <w:t>第一类“鼓励类”中“四十二、环境保护与资源节约综合利用”-“8．废弃物循环利用：废钢铁、废有色金属、废纸、废橡胶、废玻璃、废塑料、废旧木材以及报废汽车、废弃电器电子产品、废旧船舶、废旧电池、废轮胎、废弃木质材料、废旧农具、废旧纺织品及纺织废料和边角料、废旧光伏组件、废旧风机叶片、废弃油脂等城市典型废弃物循环利用、技术设备开发及应用”，不属于《市场准入负面清单》（2022年）中禁止准入类和许可准入类。项目于2025年1月20日在顺平县行政审批局备案（顺行审备字〔2025〕2号）。项目符合国家和地方产业政策要求。</w:t>
      </w:r>
    </w:p>
    <w:p w14:paraId="73B5DB20">
      <w:pPr>
        <w:pStyle w:val="47"/>
        <w:ind w:firstLine="482"/>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根据《废塑料综合利用行业规范条件》（中华人民共和国工业和信息化部公告2015年第81号）：塑料再生造粒类企业：新建企业年废塑料处理能力不低于5000吨；已建企业年废塑料处理能力不低于3000吨。项目属于新建企业，投产后废塑料处理能力为18333t/a。</w:t>
      </w:r>
    </w:p>
    <w:p w14:paraId="7A243155">
      <w:pPr>
        <w:pStyle w:val="47"/>
        <w:ind w:firstLine="482"/>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因此，项目的建设符合国家产业政策。</w:t>
      </w:r>
    </w:p>
    <w:p w14:paraId="22E4AD6E">
      <w:pPr>
        <w:pStyle w:val="92"/>
        <w:bidi w:val="0"/>
        <w:ind w:left="0" w:leftChars="0" w:firstLine="0" w:firstLineChars="0"/>
      </w:pPr>
      <w:r>
        <w:rPr>
          <w:rFonts w:hint="eastAsia"/>
        </w:rPr>
        <w:t>环境质量现状</w:t>
      </w:r>
    </w:p>
    <w:p w14:paraId="2C9443BD">
      <w:pPr>
        <w:pStyle w:val="47"/>
        <w:numPr>
          <w:ilvl w:val="0"/>
          <w:numId w:val="14"/>
        </w:numPr>
        <w:ind w:firstLine="482"/>
        <w:rPr>
          <w:rFonts w:hint="eastAsia"/>
          <w:sz w:val="28"/>
          <w:szCs w:val="28"/>
          <w:lang w:val="en-US" w:eastAsia="zh-CN"/>
        </w:rPr>
      </w:pPr>
      <w:r>
        <w:rPr>
          <w:rFonts w:hint="eastAsia"/>
          <w:sz w:val="28"/>
          <w:szCs w:val="28"/>
          <w:lang w:val="en-US" w:eastAsia="zh-CN"/>
        </w:rPr>
        <w:t>环境空气</w:t>
      </w:r>
    </w:p>
    <w:p w14:paraId="7088BF55">
      <w:pPr>
        <w:pStyle w:val="47"/>
        <w:keepNext w:val="0"/>
        <w:keepLines w:val="0"/>
        <w:pageBreakBefore w:val="0"/>
        <w:widowControl w:val="0"/>
        <w:numPr>
          <w:ilvl w:val="0"/>
          <w:numId w:val="0"/>
        </w:numPr>
        <w:kinsoku/>
        <w:wordWrap/>
        <w:overflowPunct/>
        <w:topLinePunct w:val="0"/>
        <w:autoSpaceDE/>
        <w:autoSpaceDN/>
        <w:bidi w:val="0"/>
        <w:adjustRightInd w:val="0"/>
        <w:snapToGrid w:val="0"/>
        <w:ind w:firstLine="560" w:firstLineChars="200"/>
        <w:textAlignment w:val="auto"/>
        <w:rPr>
          <w:rFonts w:hint="default" w:ascii="Times New Roman" w:hAnsi="Times New Roman" w:eastAsia="楷体" w:cs="Times New Roman"/>
          <w:color w:val="000000" w:themeColor="text1"/>
          <w:sz w:val="28"/>
          <w:szCs w:val="28"/>
          <w:highlight w:val="none"/>
          <w14:textFill>
            <w14:solidFill>
              <w14:schemeClr w14:val="tx1"/>
            </w14:solidFill>
          </w14:textFill>
        </w:rPr>
      </w:pPr>
      <w:r>
        <w:rPr>
          <w:rFonts w:hint="eastAsia" w:eastAsia="楷体" w:cs="Times New Roman"/>
          <w:color w:val="000000" w:themeColor="text1"/>
          <w:sz w:val="28"/>
          <w:szCs w:val="28"/>
          <w:highlight w:val="none"/>
          <w:lang w:val="en-US" w:eastAsia="zh-CN"/>
          <w14:textFill>
            <w14:solidFill>
              <w14:schemeClr w14:val="tx1"/>
            </w14:solidFill>
          </w14:textFill>
        </w:rPr>
        <w:t>根据2024年6月由保定市生态环境局白洋淀流域生态环境监测中心编制的</w:t>
      </w:r>
      <w:r>
        <w:rPr>
          <w:rFonts w:hint="default" w:ascii="Times New Roman" w:hAnsi="Times New Roman" w:eastAsia="楷体" w:cs="Times New Roman"/>
          <w:color w:val="000000" w:themeColor="text1"/>
          <w:sz w:val="28"/>
          <w:szCs w:val="28"/>
          <w:highlight w:val="none"/>
          <w14:textFill>
            <w14:solidFill>
              <w14:schemeClr w14:val="tx1"/>
            </w14:solidFill>
          </w14:textFill>
        </w:rPr>
        <w:t>《</w:t>
      </w:r>
      <w:r>
        <w:rPr>
          <w:rFonts w:hint="eastAsia" w:eastAsia="楷体" w:cs="Times New Roman"/>
          <w:color w:val="000000" w:themeColor="text1"/>
          <w:sz w:val="28"/>
          <w:szCs w:val="28"/>
          <w:highlight w:val="none"/>
          <w:lang w:val="en-US" w:eastAsia="zh-CN"/>
          <w14:textFill>
            <w14:solidFill>
              <w14:schemeClr w14:val="tx1"/>
            </w14:solidFill>
          </w14:textFill>
        </w:rPr>
        <w:t>保定市生态环境质量报告书（2023年度）</w:t>
      </w:r>
      <w:r>
        <w:rPr>
          <w:rFonts w:hint="default" w:ascii="Times New Roman" w:hAnsi="Times New Roman" w:eastAsia="楷体" w:cs="Times New Roman"/>
          <w:color w:val="000000" w:themeColor="text1"/>
          <w:sz w:val="28"/>
          <w:szCs w:val="28"/>
          <w:highlight w:val="none"/>
          <w14:textFill>
            <w14:solidFill>
              <w14:schemeClr w14:val="tx1"/>
            </w14:solidFill>
          </w14:textFill>
        </w:rPr>
        <w:t>》</w:t>
      </w:r>
      <w:r>
        <w:rPr>
          <w:rFonts w:hint="eastAsia" w:eastAsia="楷体" w:cs="Times New Roman"/>
          <w:color w:val="000000" w:themeColor="text1"/>
          <w:sz w:val="28"/>
          <w:szCs w:val="28"/>
          <w:highlight w:val="none"/>
          <w:lang w:val="en-US" w:eastAsia="zh-CN"/>
          <w14:textFill>
            <w14:solidFill>
              <w14:schemeClr w14:val="tx1"/>
            </w14:solidFill>
          </w14:textFill>
        </w:rPr>
        <w:t>中，</w:t>
      </w:r>
      <w:r>
        <w:rPr>
          <w:rFonts w:hint="eastAsia" w:ascii="Times New Roman" w:hAnsi="Times New Roman" w:eastAsia="楷体" w:cs="Times New Roman"/>
          <w:color w:val="000000" w:themeColor="text1"/>
          <w:sz w:val="28"/>
          <w:szCs w:val="28"/>
          <w:highlight w:val="none"/>
          <w:lang w:val="en-US" w:eastAsia="zh-CN"/>
          <w14:textFill>
            <w14:solidFill>
              <w14:schemeClr w14:val="tx1"/>
            </w14:solidFill>
          </w14:textFill>
        </w:rPr>
        <w:t>保定市</w:t>
      </w:r>
      <w:r>
        <w:rPr>
          <w:rFonts w:hint="default" w:ascii="Times New Roman" w:hAnsi="Times New Roman" w:eastAsia="楷体" w:cs="Times New Roman"/>
          <w:color w:val="000000" w:themeColor="text1"/>
          <w:sz w:val="28"/>
          <w:szCs w:val="28"/>
          <w:highlight w:val="none"/>
          <w14:textFill>
            <w14:solidFill>
              <w14:schemeClr w14:val="tx1"/>
            </w14:solidFill>
          </w14:textFill>
        </w:rPr>
        <w:t>环境空气质量监测结果</w:t>
      </w:r>
      <w:r>
        <w:rPr>
          <w:rFonts w:hint="eastAsia" w:eastAsia="楷体" w:cs="Times New Roman"/>
          <w:color w:val="000000" w:themeColor="text1"/>
          <w:sz w:val="28"/>
          <w:szCs w:val="28"/>
          <w:highlight w:val="none"/>
          <w:lang w:val="en-US" w:eastAsia="zh-CN"/>
          <w14:textFill>
            <w14:solidFill>
              <w14:schemeClr w14:val="tx1"/>
            </w14:solidFill>
          </w14:textFill>
        </w:rPr>
        <w:t>可知，</w:t>
      </w:r>
      <w:r>
        <w:rPr>
          <w:rFonts w:hint="default" w:ascii="Times New Roman" w:hAnsi="Times New Roman" w:eastAsia="楷体" w:cs="Times New Roman"/>
          <w:color w:val="000000" w:themeColor="text1"/>
          <w:sz w:val="28"/>
          <w:szCs w:val="28"/>
          <w:highlight w:val="none"/>
          <w14:textFill>
            <w14:solidFill>
              <w14:schemeClr w14:val="tx1"/>
            </w14:solidFill>
          </w14:textFill>
        </w:rPr>
        <w:t>PM</w:t>
      </w:r>
      <w:r>
        <w:rPr>
          <w:rFonts w:hint="default" w:ascii="Times New Roman" w:hAnsi="Times New Roman" w:eastAsia="楷体" w:cs="Times New Roman"/>
          <w:color w:val="000000" w:themeColor="text1"/>
          <w:sz w:val="28"/>
          <w:szCs w:val="28"/>
          <w:highlight w:val="none"/>
          <w:vertAlign w:val="subscript"/>
          <w14:textFill>
            <w14:solidFill>
              <w14:schemeClr w14:val="tx1"/>
            </w14:solidFill>
          </w14:textFill>
        </w:rPr>
        <w:t>2.5</w:t>
      </w:r>
      <w:r>
        <w:rPr>
          <w:rFonts w:hint="default" w:ascii="Times New Roman" w:hAnsi="Times New Roman" w:eastAsia="楷体" w:cs="Times New Roman"/>
          <w:color w:val="000000" w:themeColor="text1"/>
          <w:sz w:val="28"/>
          <w:szCs w:val="28"/>
          <w:highlight w:val="none"/>
          <w14:textFill>
            <w14:solidFill>
              <w14:schemeClr w14:val="tx1"/>
            </w14:solidFill>
          </w14:textFill>
        </w:rPr>
        <w:t>、PM</w:t>
      </w:r>
      <w:r>
        <w:rPr>
          <w:rFonts w:hint="default" w:ascii="Times New Roman" w:hAnsi="Times New Roman" w:eastAsia="楷体" w:cs="Times New Roman"/>
          <w:color w:val="000000" w:themeColor="text1"/>
          <w:sz w:val="28"/>
          <w:szCs w:val="28"/>
          <w:highlight w:val="none"/>
          <w:vertAlign w:val="subscript"/>
          <w14:textFill>
            <w14:solidFill>
              <w14:schemeClr w14:val="tx1"/>
            </w14:solidFill>
          </w14:textFill>
        </w:rPr>
        <w:t>10</w:t>
      </w:r>
      <w:r>
        <w:rPr>
          <w:rFonts w:hint="default" w:ascii="Times New Roman" w:hAnsi="Times New Roman" w:eastAsia="楷体" w:cs="Times New Roman"/>
          <w:color w:val="000000" w:themeColor="text1"/>
          <w:sz w:val="28"/>
          <w:szCs w:val="28"/>
          <w:highlight w:val="none"/>
          <w14:textFill>
            <w14:solidFill>
              <w14:schemeClr w14:val="tx1"/>
            </w14:solidFill>
          </w14:textFill>
        </w:rPr>
        <w:t>的年平均浓度及O</w:t>
      </w:r>
      <w:r>
        <w:rPr>
          <w:rFonts w:hint="default" w:ascii="Times New Roman" w:hAnsi="Times New Roman" w:eastAsia="楷体" w:cs="Times New Roman"/>
          <w:color w:val="000000" w:themeColor="text1"/>
          <w:sz w:val="28"/>
          <w:szCs w:val="28"/>
          <w:highlight w:val="none"/>
          <w:vertAlign w:val="subscript"/>
          <w14:textFill>
            <w14:solidFill>
              <w14:schemeClr w14:val="tx1"/>
            </w14:solidFill>
          </w14:textFill>
        </w:rPr>
        <w:t>3</w:t>
      </w:r>
      <w:r>
        <w:rPr>
          <w:rFonts w:hint="default" w:ascii="Times New Roman" w:hAnsi="Times New Roman" w:eastAsia="楷体" w:cs="Times New Roman"/>
          <w:color w:val="000000" w:themeColor="text1"/>
          <w:sz w:val="28"/>
          <w:szCs w:val="28"/>
          <w:highlight w:val="none"/>
          <w14:textFill>
            <w14:solidFill>
              <w14:schemeClr w14:val="tx1"/>
            </w14:solidFill>
          </w14:textFill>
        </w:rPr>
        <w:t>的第90百分位数8小时平均质量浓度均不能满足《环境空气质量标准》（GB3095-2012）中的二级标准，其他因子均能满足《环境空气质量标准》（GB3095-2012）中的二级标准。</w:t>
      </w:r>
    </w:p>
    <w:p w14:paraId="5C3C242B">
      <w:pPr>
        <w:pStyle w:val="47"/>
        <w:keepNext w:val="0"/>
        <w:keepLines w:val="0"/>
        <w:pageBreakBefore w:val="0"/>
        <w:widowControl w:val="0"/>
        <w:numPr>
          <w:ilvl w:val="0"/>
          <w:numId w:val="0"/>
        </w:numPr>
        <w:kinsoku/>
        <w:wordWrap/>
        <w:overflowPunct/>
        <w:topLinePunct w:val="0"/>
        <w:autoSpaceDE/>
        <w:autoSpaceDN/>
        <w:bidi w:val="0"/>
        <w:adjustRightInd w:val="0"/>
        <w:snapToGrid w:val="0"/>
        <w:ind w:firstLine="560" w:firstLineChars="200"/>
        <w:textAlignment w:val="auto"/>
        <w:rPr>
          <w:rFonts w:hint="default"/>
          <w:highlight w:val="none"/>
          <w:lang w:val="en-US" w:eastAsia="zh-CN"/>
        </w:rPr>
      </w:pPr>
      <w:r>
        <w:rPr>
          <w:rFonts w:hint="default"/>
          <w:highlight w:val="none"/>
          <w:lang w:val="en-US" w:eastAsia="zh-CN"/>
        </w:rPr>
        <w:t>根据监测结果可知，项目非甲烷总烃满足《环境空气质量 非甲烷总烃限值》（DB13/1577-2012）标准，TSP满足《环境空气质量标准》（GB 3095-2012）中二级标准要求，HCl满足《环境影响评价技术导则大气环境》（HJ2.2-2018）附录D相关要求。</w:t>
      </w:r>
    </w:p>
    <w:p w14:paraId="43F9E0E0">
      <w:pPr>
        <w:pStyle w:val="47"/>
        <w:keepNext w:val="0"/>
        <w:keepLines w:val="0"/>
        <w:pageBreakBefore w:val="0"/>
        <w:widowControl w:val="0"/>
        <w:numPr>
          <w:ilvl w:val="0"/>
          <w:numId w:val="14"/>
        </w:numPr>
        <w:kinsoku/>
        <w:wordWrap/>
        <w:overflowPunct/>
        <w:topLinePunct w:val="0"/>
        <w:autoSpaceDE/>
        <w:autoSpaceDN/>
        <w:bidi w:val="0"/>
        <w:adjustRightInd w:val="0"/>
        <w:snapToGrid w:val="0"/>
        <w:ind w:left="0" w:leftChars="0" w:firstLine="560" w:firstLineChars="200"/>
        <w:textAlignment w:val="auto"/>
        <w:rPr>
          <w:rFonts w:hint="eastAsia"/>
          <w:highlight w:val="none"/>
          <w:lang w:val="en-US" w:eastAsia="zh-CN"/>
        </w:rPr>
      </w:pPr>
      <w:r>
        <w:rPr>
          <w:rFonts w:hint="eastAsia"/>
          <w:highlight w:val="none"/>
          <w:lang w:val="en-US" w:eastAsia="zh-CN"/>
        </w:rPr>
        <w:t>声环境</w:t>
      </w:r>
    </w:p>
    <w:p w14:paraId="1C4EF5BF">
      <w:pPr>
        <w:pStyle w:val="47"/>
        <w:keepNext w:val="0"/>
        <w:keepLines w:val="0"/>
        <w:pageBreakBefore w:val="0"/>
        <w:widowControl w:val="0"/>
        <w:numPr>
          <w:ilvl w:val="0"/>
          <w:numId w:val="0"/>
        </w:numPr>
        <w:kinsoku/>
        <w:wordWrap/>
        <w:overflowPunct/>
        <w:topLinePunct w:val="0"/>
        <w:autoSpaceDE/>
        <w:autoSpaceDN/>
        <w:bidi w:val="0"/>
        <w:adjustRightInd w:val="0"/>
        <w:snapToGrid w:val="0"/>
        <w:ind w:firstLine="560" w:firstLineChars="200"/>
        <w:textAlignment w:val="auto"/>
        <w:rPr>
          <w:rFonts w:hint="default"/>
          <w:highlight w:val="none"/>
          <w:lang w:val="en-US" w:eastAsia="zh-CN"/>
        </w:rPr>
      </w:pPr>
      <w:r>
        <w:rPr>
          <w:rFonts w:hint="default"/>
          <w:highlight w:val="none"/>
          <w:lang w:val="en-US" w:eastAsia="zh-CN"/>
        </w:rPr>
        <w:t>根据监测结果可知，项目区各监测点噪声监测值</w:t>
      </w:r>
      <w:r>
        <w:rPr>
          <w:rFonts w:hint="eastAsia"/>
          <w:highlight w:val="none"/>
          <w:lang w:val="en-US" w:eastAsia="zh-CN"/>
        </w:rPr>
        <w:t>满足</w:t>
      </w:r>
      <w:r>
        <w:rPr>
          <w:rFonts w:hint="default"/>
          <w:highlight w:val="none"/>
          <w:lang w:val="en-US" w:eastAsia="zh-CN"/>
        </w:rPr>
        <w:t>《声环境质量标准》（GB3096-2008）中2类标准限值，表明区域声环境质量现状良好。</w:t>
      </w:r>
    </w:p>
    <w:p w14:paraId="0606F5E0">
      <w:pPr>
        <w:pStyle w:val="47"/>
        <w:keepNext w:val="0"/>
        <w:keepLines w:val="0"/>
        <w:pageBreakBefore w:val="0"/>
        <w:widowControl w:val="0"/>
        <w:numPr>
          <w:ilvl w:val="0"/>
          <w:numId w:val="14"/>
        </w:numPr>
        <w:kinsoku/>
        <w:wordWrap/>
        <w:overflowPunct/>
        <w:topLinePunct w:val="0"/>
        <w:autoSpaceDE/>
        <w:autoSpaceDN/>
        <w:bidi w:val="0"/>
        <w:adjustRightInd w:val="0"/>
        <w:snapToGrid w:val="0"/>
        <w:ind w:left="0" w:leftChars="0" w:firstLine="560" w:firstLineChars="200"/>
        <w:textAlignment w:val="auto"/>
        <w:rPr>
          <w:rFonts w:hint="eastAsia"/>
          <w:highlight w:val="none"/>
          <w:lang w:val="en-US" w:eastAsia="zh-CN"/>
        </w:rPr>
      </w:pPr>
      <w:r>
        <w:rPr>
          <w:rFonts w:hint="eastAsia"/>
          <w:highlight w:val="none"/>
          <w:lang w:val="en-US" w:eastAsia="zh-CN"/>
        </w:rPr>
        <w:t>地下水环境</w:t>
      </w:r>
    </w:p>
    <w:p w14:paraId="060E0360">
      <w:pPr>
        <w:pStyle w:val="47"/>
        <w:keepNext w:val="0"/>
        <w:keepLines w:val="0"/>
        <w:pageBreakBefore w:val="0"/>
        <w:widowControl w:val="0"/>
        <w:numPr>
          <w:ilvl w:val="0"/>
          <w:numId w:val="0"/>
        </w:numPr>
        <w:kinsoku/>
        <w:wordWrap/>
        <w:overflowPunct/>
        <w:topLinePunct w:val="0"/>
        <w:autoSpaceDE/>
        <w:autoSpaceDN/>
        <w:bidi w:val="0"/>
        <w:adjustRightInd w:val="0"/>
        <w:snapToGrid w:val="0"/>
        <w:ind w:leftChars="0" w:firstLine="560" w:firstLineChars="200"/>
        <w:textAlignment w:val="auto"/>
        <w:rPr>
          <w:rFonts w:hint="default"/>
          <w:highlight w:val="none"/>
          <w:lang w:val="en-US" w:eastAsia="zh-CN"/>
        </w:rPr>
      </w:pPr>
      <w:r>
        <w:rPr>
          <w:rFonts w:hint="default"/>
          <w:highlight w:val="none"/>
          <w:lang w:val="en-US" w:eastAsia="zh-CN"/>
        </w:rPr>
        <w:t>根据监测结果可知：区域内各地下水监测点位所有监测项目均不超标，监测项目的标准指数均小于1，评价区域内地下水水质均满足《地下水质量标准》（GB/T14848-2017）中Ⅲ类标准要求。</w:t>
      </w:r>
    </w:p>
    <w:p w14:paraId="2641A6FF">
      <w:pPr>
        <w:pStyle w:val="47"/>
        <w:keepNext w:val="0"/>
        <w:keepLines w:val="0"/>
        <w:pageBreakBefore w:val="0"/>
        <w:widowControl w:val="0"/>
        <w:numPr>
          <w:ilvl w:val="0"/>
          <w:numId w:val="14"/>
        </w:numPr>
        <w:kinsoku/>
        <w:wordWrap/>
        <w:overflowPunct/>
        <w:topLinePunct w:val="0"/>
        <w:autoSpaceDE/>
        <w:autoSpaceDN/>
        <w:bidi w:val="0"/>
        <w:adjustRightInd w:val="0"/>
        <w:snapToGrid w:val="0"/>
        <w:ind w:left="0" w:leftChars="0" w:firstLine="560" w:firstLineChars="200"/>
        <w:textAlignment w:val="auto"/>
        <w:rPr>
          <w:rFonts w:hint="eastAsia"/>
          <w:highlight w:val="none"/>
          <w:lang w:val="en-US" w:eastAsia="zh-CN"/>
        </w:rPr>
      </w:pPr>
      <w:r>
        <w:rPr>
          <w:rFonts w:hint="eastAsia"/>
          <w:highlight w:val="none"/>
          <w:lang w:val="en-US" w:eastAsia="zh-CN"/>
        </w:rPr>
        <w:t>土壤环境</w:t>
      </w:r>
    </w:p>
    <w:p w14:paraId="11C10985">
      <w:pPr>
        <w:pStyle w:val="47"/>
        <w:keepNext w:val="0"/>
        <w:keepLines w:val="0"/>
        <w:pageBreakBefore w:val="0"/>
        <w:widowControl w:val="0"/>
        <w:numPr>
          <w:ilvl w:val="0"/>
          <w:numId w:val="0"/>
        </w:numPr>
        <w:kinsoku/>
        <w:wordWrap/>
        <w:overflowPunct/>
        <w:topLinePunct w:val="0"/>
        <w:autoSpaceDE/>
        <w:autoSpaceDN/>
        <w:bidi w:val="0"/>
        <w:adjustRightInd w:val="0"/>
        <w:snapToGrid w:val="0"/>
        <w:ind w:leftChars="0" w:firstLine="560" w:firstLineChars="200"/>
        <w:textAlignment w:val="auto"/>
        <w:rPr>
          <w:rFonts w:hint="default"/>
          <w:highlight w:val="none"/>
          <w:lang w:val="en-US" w:eastAsia="zh-CN"/>
        </w:rPr>
      </w:pPr>
      <w:r>
        <w:rPr>
          <w:rFonts w:hint="default"/>
          <w:highlight w:val="none"/>
          <w:lang w:val="en-US" w:eastAsia="zh-CN"/>
        </w:rPr>
        <w:t>根据监测结果可知：厂区内各土壤监测点位所有监测项目均小于《土壤环境质量 建设用地土壤污染风险管控标准（试行）》（GB366006-2018）表1建设用地土壤污染风险筛选值和管制值中筛选值第二类用地限值要求。</w:t>
      </w:r>
    </w:p>
    <w:p w14:paraId="0D86072F">
      <w:pPr>
        <w:pStyle w:val="92"/>
        <w:bidi w:val="0"/>
        <w:ind w:left="0" w:leftChars="0" w:firstLine="0" w:firstLineChars="0"/>
      </w:pPr>
      <w:r>
        <w:rPr>
          <w:rFonts w:hint="eastAsia"/>
        </w:rPr>
        <w:t>运营期环境影响及防治措施</w:t>
      </w:r>
    </w:p>
    <w:p w14:paraId="22117DC9">
      <w:pPr>
        <w:pStyle w:val="47"/>
        <w:numPr>
          <w:ilvl w:val="0"/>
          <w:numId w:val="15"/>
        </w:numPr>
        <w:ind w:firstLine="482"/>
        <w:rPr>
          <w:rFonts w:hint="eastAsia"/>
          <w:lang w:val="en-US" w:eastAsia="zh-CN"/>
        </w:rPr>
      </w:pPr>
      <w:r>
        <w:rPr>
          <w:rFonts w:hint="eastAsia"/>
          <w:lang w:val="en-US" w:eastAsia="zh-CN"/>
        </w:rPr>
        <w:t>废气</w:t>
      </w:r>
    </w:p>
    <w:p w14:paraId="1EC3D209">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default"/>
          <w:lang w:val="en-US" w:eastAsia="zh-CN"/>
        </w:rPr>
      </w:pPr>
      <w:r>
        <w:rPr>
          <w:rFonts w:hint="eastAsia" w:ascii="楷体" w:hAnsi="楷体" w:eastAsia="楷体" w:cs="楷体"/>
          <w:lang w:val="en-US" w:eastAsia="zh-CN"/>
        </w:rPr>
        <w:t>①</w:t>
      </w:r>
      <w:r>
        <w:rPr>
          <w:rFonts w:hint="eastAsia"/>
          <w:lang w:val="en-US" w:eastAsia="zh-CN"/>
        </w:rPr>
        <w:t>有组织排放</w:t>
      </w:r>
    </w:p>
    <w:p w14:paraId="5442BF6F">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0" w:firstLineChars="200"/>
        <w:jc w:val="both"/>
        <w:textAlignment w:val="auto"/>
        <w:rPr>
          <w:rFonts w:hint="default"/>
          <w:lang w:val="en-US" w:eastAsia="zh-CN"/>
        </w:rPr>
      </w:pPr>
      <w:r>
        <w:rPr>
          <w:rFonts w:hint="default"/>
          <w:lang w:val="en-US" w:eastAsia="zh-CN"/>
        </w:rPr>
        <w:t>项目生产过程中产生的主要废气为投料搅拌工序产生的颗粒物，挤出工序产生的颗粒物、非甲烷总烃、氯化氢及臭气浓度。1#生产车间、2#生产车间、3#生产车间内投料搅拌工序、挤出工序废气分别经集气罩收集，分别引入3套“布袋除尘器+两级活性炭吸附装置”处理后，分别由15m高排气筒排放。</w:t>
      </w:r>
      <w:r>
        <w:rPr>
          <w:rFonts w:hint="eastAsia"/>
          <w:lang w:val="en-US" w:eastAsia="zh-CN"/>
        </w:rPr>
        <w:t>颗粒物满足《合成树脂工业污染物排放标准》（GB31572-2015）及修改单表5大气污染物特别排放限值；非甲烷总烃满足河北省地方标准《工业企业挥发性有机物排放控制标准》（DB13/2322-2016）排放限值的50%；HCl满足《大气污染物综合排放标准》（GB16297-1996）表2中的二级标准；臭气浓度满足《恶臭污染物排放标准》（GB14554-1993）表2恶臭污染物排放标准值。</w:t>
      </w:r>
    </w:p>
    <w:p w14:paraId="2217400A">
      <w:pPr>
        <w:pStyle w:val="47"/>
        <w:numPr>
          <w:ilvl w:val="0"/>
          <w:numId w:val="0"/>
        </w:numPr>
        <w:ind w:firstLine="560" w:firstLineChars="200"/>
        <w:rPr>
          <w:rFonts w:hint="eastAsia"/>
          <w:lang w:val="en-US" w:eastAsia="zh-CN"/>
        </w:rPr>
      </w:pPr>
      <w:r>
        <w:rPr>
          <w:rFonts w:hint="eastAsia" w:ascii="楷体" w:hAnsi="楷体" w:eastAsia="楷体" w:cs="楷体"/>
          <w:lang w:val="en-US" w:eastAsia="zh-CN"/>
        </w:rPr>
        <w:t>②</w:t>
      </w:r>
      <w:r>
        <w:rPr>
          <w:rFonts w:hint="eastAsia"/>
          <w:lang w:val="en-US" w:eastAsia="zh-CN"/>
        </w:rPr>
        <w:t>无组织排放</w:t>
      </w:r>
    </w:p>
    <w:p w14:paraId="022FDDDA">
      <w:pPr>
        <w:pStyle w:val="47"/>
        <w:numPr>
          <w:ilvl w:val="0"/>
          <w:numId w:val="0"/>
        </w:numPr>
        <w:ind w:firstLine="560" w:firstLineChars="200"/>
        <w:rPr>
          <w:rFonts w:hint="default"/>
          <w:lang w:val="en-US" w:eastAsia="zh-CN"/>
        </w:rPr>
      </w:pPr>
      <w:r>
        <w:rPr>
          <w:rFonts w:hint="eastAsia"/>
          <w:lang w:val="en-US" w:eastAsia="zh-CN"/>
        </w:rPr>
        <w:t>项目运营过程中无组织排放废气主要来源于局部密闭式集气罩未能完全捕集废气，经车间密闭后无组织排放，颗粒物满足《合成树脂工业污染物排放标准》（GB31572-2015）及修改单表9限值要求；厂界非甲烷总烃满足河北省地方标准《工业企业挥发性有机物排放控制标准》（DB13/2322-2016）表2企业边界大气污染物浓度限值中其他企业；HCl满足《大气污染物综合排放标准》（GB16297-1996）表2无组织排放监控浓度限值；臭气浓度满足《恶臭污染物排放标准》（GB14554-93）表1恶臭污染物厂界标准值中二级新改扩建标准。</w:t>
      </w:r>
    </w:p>
    <w:p w14:paraId="41B289C9">
      <w:pPr>
        <w:pStyle w:val="47"/>
        <w:numPr>
          <w:ilvl w:val="0"/>
          <w:numId w:val="15"/>
        </w:numPr>
        <w:ind w:firstLine="482"/>
        <w:rPr>
          <w:rFonts w:hint="default"/>
          <w:lang w:val="en-US" w:eastAsia="zh-CN"/>
        </w:rPr>
      </w:pPr>
      <w:r>
        <w:rPr>
          <w:rFonts w:hint="eastAsia"/>
          <w:lang w:val="en-US" w:eastAsia="zh-CN"/>
        </w:rPr>
        <w:t>废水</w:t>
      </w:r>
    </w:p>
    <w:p w14:paraId="4172BE4E">
      <w:pPr>
        <w:pStyle w:val="47"/>
        <w:keepNext w:val="0"/>
        <w:keepLines w:val="0"/>
        <w:pageBreakBefore w:val="0"/>
        <w:widowControl w:val="0"/>
        <w:numPr>
          <w:ilvl w:val="0"/>
          <w:numId w:val="0"/>
        </w:numPr>
        <w:kinsoku/>
        <w:wordWrap/>
        <w:overflowPunct/>
        <w:topLinePunct w:val="0"/>
        <w:autoSpaceDE/>
        <w:autoSpaceDN/>
        <w:bidi w:val="0"/>
        <w:adjustRightInd w:val="0"/>
        <w:snapToGrid w:val="0"/>
        <w:ind w:firstLine="560" w:firstLineChars="200"/>
        <w:textAlignment w:val="auto"/>
        <w:rPr>
          <w:rFonts w:hint="default"/>
          <w:lang w:val="en-US" w:eastAsia="zh-CN"/>
        </w:rPr>
      </w:pPr>
      <w:r>
        <w:rPr>
          <w:rFonts w:hint="default"/>
          <w:lang w:val="en-US" w:eastAsia="zh-CN"/>
        </w:rPr>
        <w:t>项目废水主要包括生活污水、</w:t>
      </w:r>
      <w:r>
        <w:rPr>
          <w:rFonts w:hint="eastAsia"/>
          <w:lang w:val="en-US" w:eastAsia="zh-CN"/>
        </w:rPr>
        <w:t>生产废水</w:t>
      </w:r>
      <w:r>
        <w:rPr>
          <w:rFonts w:hint="default"/>
          <w:lang w:val="en-US" w:eastAsia="zh-CN"/>
        </w:rPr>
        <w:t>。</w:t>
      </w:r>
      <w:r>
        <w:rPr>
          <w:rFonts w:hint="eastAsia"/>
          <w:lang w:val="en-US" w:eastAsia="zh-CN"/>
        </w:rPr>
        <w:t>生产废水</w:t>
      </w:r>
      <w:r>
        <w:rPr>
          <w:rFonts w:hint="default"/>
          <w:lang w:val="en-US" w:eastAsia="zh-CN"/>
        </w:rPr>
        <w:t>循环使用，不外排；生活污水主要为职工盥洗废水，泼洒厂区地面抑尘，厂区设防渗旱厕，定期清掏不外排。</w:t>
      </w:r>
    </w:p>
    <w:p w14:paraId="5F258DBA">
      <w:pPr>
        <w:pStyle w:val="47"/>
        <w:numPr>
          <w:ilvl w:val="0"/>
          <w:numId w:val="15"/>
        </w:numPr>
        <w:ind w:firstLine="482"/>
        <w:rPr>
          <w:rFonts w:hint="default"/>
          <w:lang w:val="en-US" w:eastAsia="zh-CN"/>
        </w:rPr>
      </w:pPr>
      <w:r>
        <w:rPr>
          <w:rFonts w:hint="eastAsia"/>
          <w:lang w:val="en-US" w:eastAsia="zh-CN"/>
        </w:rPr>
        <w:t>噪声</w:t>
      </w:r>
    </w:p>
    <w:p w14:paraId="2B805F8B">
      <w:pPr>
        <w:pStyle w:val="47"/>
        <w:keepNext w:val="0"/>
        <w:keepLines w:val="0"/>
        <w:pageBreakBefore w:val="0"/>
        <w:widowControl w:val="0"/>
        <w:numPr>
          <w:ilvl w:val="0"/>
          <w:numId w:val="0"/>
        </w:numPr>
        <w:kinsoku/>
        <w:wordWrap/>
        <w:overflowPunct/>
        <w:topLinePunct w:val="0"/>
        <w:autoSpaceDE/>
        <w:autoSpaceDN/>
        <w:bidi w:val="0"/>
        <w:adjustRightInd w:val="0"/>
        <w:snapToGrid w:val="0"/>
        <w:ind w:firstLine="560" w:firstLineChars="200"/>
        <w:textAlignment w:val="auto"/>
        <w:rPr>
          <w:rFonts w:hint="default"/>
          <w:lang w:val="en-US" w:eastAsia="zh-CN"/>
        </w:rPr>
      </w:pPr>
      <w:r>
        <w:rPr>
          <w:rFonts w:hint="default"/>
          <w:lang w:val="en-US" w:eastAsia="zh-CN"/>
        </w:rPr>
        <w:t>项目主要噪声源主要为破碎机、水浮分离机、卧式甩干机、高速混合机、挤出机、风机等设备，采取低噪声设备，采用减振、降噪等措施，可确保厂界达到相关标准要求。</w:t>
      </w:r>
    </w:p>
    <w:p w14:paraId="3E3259B1">
      <w:pPr>
        <w:pStyle w:val="47"/>
        <w:numPr>
          <w:ilvl w:val="0"/>
          <w:numId w:val="15"/>
        </w:numPr>
        <w:ind w:firstLine="482"/>
        <w:rPr>
          <w:rFonts w:hint="default"/>
          <w:lang w:val="en-US" w:eastAsia="zh-CN"/>
        </w:rPr>
      </w:pPr>
      <w:r>
        <w:rPr>
          <w:rFonts w:hint="eastAsia"/>
          <w:lang w:val="en-US" w:eastAsia="zh-CN"/>
        </w:rPr>
        <w:t>固体废物</w:t>
      </w:r>
    </w:p>
    <w:p w14:paraId="64F9265D">
      <w:pPr>
        <w:pStyle w:val="47"/>
        <w:bidi w:val="0"/>
        <w:rPr>
          <w:rFonts w:hint="eastAsia"/>
          <w:lang w:val="en-US" w:eastAsia="zh-CN"/>
        </w:rPr>
      </w:pPr>
      <w:r>
        <w:rPr>
          <w:rFonts w:hint="eastAsia"/>
          <w:lang w:val="en-US" w:eastAsia="zh-CN"/>
        </w:rPr>
        <w:t>项目产生的分拣废物，收集后定期送往环卫部门指定地点处置；废滤网由厂家回收处置；沉淀池污泥经清掏自然干化后交由环卫部门处理处置；除尘灰全部回用于生产；废包装袋收集暂存后外售；废活性炭、废过滤棉、废润滑油、废润滑油桶，暂存危废间内，定期交由有资质单位处理；生活垃圾由环卫部门集中收集后统一处置</w:t>
      </w:r>
    </w:p>
    <w:p w14:paraId="0BD31DEB">
      <w:pPr>
        <w:pStyle w:val="47"/>
        <w:bidi w:val="0"/>
        <w:rPr>
          <w:rFonts w:hint="default"/>
          <w:lang w:val="en-US" w:eastAsia="zh-CN"/>
        </w:rPr>
      </w:pPr>
      <w:r>
        <w:rPr>
          <w:rFonts w:hint="eastAsia"/>
          <w:lang w:val="en-US" w:eastAsia="zh-CN"/>
        </w:rPr>
        <w:t>经采取上述措施后，全厂固体废物处置措施可行，处置方向明确，固体废物不会对外环境造成影响。</w:t>
      </w:r>
    </w:p>
    <w:p w14:paraId="07477A13">
      <w:pPr>
        <w:pStyle w:val="47"/>
        <w:numPr>
          <w:ilvl w:val="0"/>
          <w:numId w:val="15"/>
        </w:numPr>
        <w:ind w:firstLine="482"/>
        <w:rPr>
          <w:rFonts w:hint="default"/>
          <w:lang w:val="en-US" w:eastAsia="zh-CN"/>
        </w:rPr>
      </w:pPr>
      <w:r>
        <w:rPr>
          <w:rFonts w:hint="eastAsia"/>
          <w:lang w:val="en-US" w:eastAsia="zh-CN"/>
        </w:rPr>
        <w:t>地下水</w:t>
      </w:r>
    </w:p>
    <w:p w14:paraId="46747F1F">
      <w:pPr>
        <w:pStyle w:val="47"/>
        <w:keepNext w:val="0"/>
        <w:keepLines w:val="0"/>
        <w:pageBreakBefore w:val="0"/>
        <w:widowControl w:val="0"/>
        <w:numPr>
          <w:ilvl w:val="0"/>
          <w:numId w:val="0"/>
        </w:numPr>
        <w:kinsoku/>
        <w:wordWrap/>
        <w:overflowPunct/>
        <w:topLinePunct w:val="0"/>
        <w:autoSpaceDE/>
        <w:autoSpaceDN/>
        <w:bidi w:val="0"/>
        <w:adjustRightInd w:val="0"/>
        <w:snapToGrid w:val="0"/>
        <w:ind w:firstLine="560" w:firstLineChars="200"/>
        <w:textAlignment w:val="auto"/>
        <w:rPr>
          <w:rFonts w:hint="default"/>
          <w:lang w:val="en-US" w:eastAsia="zh-CN"/>
        </w:rPr>
      </w:pPr>
      <w:r>
        <w:rPr>
          <w:rFonts w:hint="default"/>
          <w:lang w:val="en-US" w:eastAsia="zh-CN"/>
        </w:rPr>
        <w:t>项目采取分区防渗措施，重点防渗区：危险废物贮存库、防渗旱厕按照有关防渗要求建设必须做好防渗措施，防渗层防渗性能不能低于6m厚，渗透系数≤10</w:t>
      </w:r>
      <w:r>
        <w:rPr>
          <w:rFonts w:hint="default"/>
          <w:vertAlign w:val="superscript"/>
          <w:lang w:val="en-US" w:eastAsia="zh-CN"/>
        </w:rPr>
        <w:t>-7</w:t>
      </w:r>
      <w:r>
        <w:rPr>
          <w:rFonts w:hint="default"/>
          <w:lang w:val="en-US" w:eastAsia="zh-CN"/>
        </w:rPr>
        <w:t>cm/s的防渗性能，防泄漏污染地下水；一般防渗区：沉淀池</w:t>
      </w:r>
      <w:r>
        <w:rPr>
          <w:rFonts w:hint="eastAsia"/>
          <w:lang w:val="en-US" w:eastAsia="zh-CN"/>
        </w:rPr>
        <w:t>、生产车间、原料车间</w:t>
      </w:r>
      <w:r>
        <w:rPr>
          <w:rFonts w:hint="default"/>
          <w:lang w:val="en-US" w:eastAsia="zh-CN"/>
        </w:rPr>
        <w:t>采用一般防渗方式，要求防渗性能达到渗透系数＜10</w:t>
      </w:r>
      <w:r>
        <w:rPr>
          <w:rFonts w:hint="default"/>
          <w:vertAlign w:val="superscript"/>
          <w:lang w:val="en-US" w:eastAsia="zh-CN"/>
        </w:rPr>
        <w:t>-7c</w:t>
      </w:r>
      <w:r>
        <w:rPr>
          <w:rFonts w:hint="default"/>
          <w:lang w:val="en-US" w:eastAsia="zh-CN"/>
        </w:rPr>
        <w:t>m/s的防渗性能；简单防渗区：厂区其他地面除绿化用地</w:t>
      </w:r>
      <w:r>
        <w:rPr>
          <w:rFonts w:hint="eastAsia"/>
          <w:lang w:val="en-US" w:eastAsia="zh-CN"/>
        </w:rPr>
        <w:t>，</w:t>
      </w:r>
      <w:r>
        <w:rPr>
          <w:rFonts w:hint="default"/>
          <w:lang w:val="en-US" w:eastAsia="zh-CN"/>
        </w:rPr>
        <w:t>均采取灰土铺底，再在上层铺10～15cm的混凝土进行硬化。</w:t>
      </w:r>
    </w:p>
    <w:p w14:paraId="7AFAAE82">
      <w:pPr>
        <w:pStyle w:val="47"/>
        <w:keepNext w:val="0"/>
        <w:keepLines w:val="0"/>
        <w:pageBreakBefore w:val="0"/>
        <w:widowControl w:val="0"/>
        <w:numPr>
          <w:ilvl w:val="0"/>
          <w:numId w:val="0"/>
        </w:numPr>
        <w:kinsoku/>
        <w:wordWrap/>
        <w:overflowPunct/>
        <w:topLinePunct w:val="0"/>
        <w:autoSpaceDE/>
        <w:autoSpaceDN/>
        <w:bidi w:val="0"/>
        <w:adjustRightInd w:val="0"/>
        <w:snapToGrid w:val="0"/>
        <w:ind w:firstLine="560" w:firstLineChars="200"/>
        <w:textAlignment w:val="auto"/>
        <w:rPr>
          <w:rFonts w:hint="default"/>
          <w:lang w:val="en-US" w:eastAsia="zh-CN"/>
        </w:rPr>
      </w:pPr>
      <w:r>
        <w:rPr>
          <w:rFonts w:hint="default"/>
          <w:lang w:val="en-US" w:eastAsia="zh-CN"/>
        </w:rPr>
        <w:t>因此项目对区域地下水环境产生污染影响较小。</w:t>
      </w:r>
    </w:p>
    <w:p w14:paraId="627A3FDE">
      <w:pPr>
        <w:pStyle w:val="47"/>
        <w:numPr>
          <w:ilvl w:val="0"/>
          <w:numId w:val="15"/>
        </w:numPr>
        <w:ind w:firstLine="482"/>
        <w:rPr>
          <w:rFonts w:hint="default"/>
          <w:lang w:val="en-US" w:eastAsia="zh-CN"/>
        </w:rPr>
      </w:pPr>
      <w:r>
        <w:rPr>
          <w:rFonts w:hint="eastAsia"/>
          <w:lang w:val="en-US" w:eastAsia="zh-CN"/>
        </w:rPr>
        <w:t>土壤环境</w:t>
      </w:r>
    </w:p>
    <w:p w14:paraId="3EF524FF">
      <w:pPr>
        <w:pStyle w:val="47"/>
        <w:ind w:firstLine="482"/>
        <w:rPr>
          <w:rFonts w:hint="eastAsia"/>
        </w:rPr>
      </w:pPr>
      <w:r>
        <w:rPr>
          <w:rFonts w:hint="eastAsia"/>
        </w:rPr>
        <w:t>项目对土壤可能产生影响的途径主要为</w:t>
      </w:r>
      <w:r>
        <w:rPr>
          <w:rFonts w:hint="eastAsia"/>
          <w:lang w:eastAsia="zh-CN"/>
        </w:rPr>
        <w:t>废气沉降及</w:t>
      </w:r>
      <w:r>
        <w:rPr>
          <w:rFonts w:hint="eastAsia"/>
        </w:rPr>
        <w:t>污水的入渗，会有部分污染物进入土壤。项目各功能区均采取“源头控制”、“分区防控”的防渗措施，可以有效保证污染物不会进入土壤环境，防止污染土壤。项目产生的固体废物均在室内堆放，满足“防风、防雨、防晒”的要求，经收集后均进行妥善处理，不直接排入土壤环境。危险废物</w:t>
      </w:r>
      <w:r>
        <w:rPr>
          <w:rFonts w:hint="eastAsia"/>
          <w:lang w:eastAsia="zh-CN"/>
        </w:rPr>
        <w:t>暂存间</w:t>
      </w:r>
      <w:r>
        <w:rPr>
          <w:rFonts w:hint="eastAsia"/>
        </w:rPr>
        <w:t>须按《危险废物贮存污染控制标准》（GB18597-2001）及修改单相关要求进行设计建造。危险废物分类收集后，委托有资质的危险废物处置单位处置。整个过程基本上可以杜绝危险废物接触土壤，不会对土壤环境造成影响。</w:t>
      </w:r>
    </w:p>
    <w:p w14:paraId="3316089A">
      <w:pPr>
        <w:pStyle w:val="47"/>
        <w:ind w:firstLine="482"/>
        <w:rPr>
          <w:rFonts w:hint="eastAsia"/>
        </w:rPr>
      </w:pPr>
      <w:r>
        <w:rPr>
          <w:rFonts w:hint="eastAsia"/>
        </w:rPr>
        <w:t>运营期产生的废气、废水和固体废物均严格执行各项环保措施，则各种污染物对土壤环境的影响均处于可接受范围内。</w:t>
      </w:r>
    </w:p>
    <w:p w14:paraId="5EC491B1">
      <w:pPr>
        <w:pStyle w:val="47"/>
        <w:numPr>
          <w:ilvl w:val="0"/>
          <w:numId w:val="15"/>
        </w:numPr>
        <w:ind w:left="0" w:leftChars="0" w:firstLine="560" w:firstLineChars="200"/>
        <w:rPr>
          <w:rFonts w:hint="eastAsia"/>
          <w:lang w:val="en-US" w:eastAsia="zh-CN"/>
        </w:rPr>
      </w:pPr>
      <w:r>
        <w:rPr>
          <w:rFonts w:hint="eastAsia"/>
          <w:lang w:val="en-US" w:eastAsia="zh-CN"/>
        </w:rPr>
        <w:t>风险</w:t>
      </w:r>
    </w:p>
    <w:p w14:paraId="3E14BE89">
      <w:pPr>
        <w:pStyle w:val="47"/>
        <w:keepNext w:val="0"/>
        <w:keepLines w:val="0"/>
        <w:pageBreakBefore w:val="0"/>
        <w:widowControl w:val="0"/>
        <w:numPr>
          <w:ilvl w:val="0"/>
          <w:numId w:val="0"/>
        </w:numPr>
        <w:kinsoku/>
        <w:wordWrap/>
        <w:overflowPunct/>
        <w:topLinePunct w:val="0"/>
        <w:autoSpaceDE/>
        <w:autoSpaceDN/>
        <w:bidi w:val="0"/>
        <w:adjustRightInd w:val="0"/>
        <w:snapToGrid w:val="0"/>
        <w:ind w:leftChars="0" w:firstLine="560" w:firstLineChars="200"/>
        <w:textAlignment w:val="auto"/>
        <w:rPr>
          <w:rFonts w:hint="default"/>
          <w:lang w:val="en-US" w:eastAsia="zh-CN"/>
        </w:rPr>
      </w:pPr>
      <w:r>
        <w:rPr>
          <w:rFonts w:hint="default"/>
          <w:lang w:val="en-US" w:eastAsia="zh-CN"/>
        </w:rPr>
        <w:t>项目通过加强风险管理，制定合理、切实可行的应急防范措施，可以有效的防范风险事故的发生，结合企业在运营期间不断完善的风险防范措施，发生环境风险可控制在较低的水平，环境风险可接受。</w:t>
      </w:r>
    </w:p>
    <w:p w14:paraId="3B37803B">
      <w:pPr>
        <w:pStyle w:val="92"/>
        <w:bidi w:val="0"/>
        <w:ind w:left="0" w:leftChars="0" w:firstLine="0" w:firstLineChars="0"/>
      </w:pPr>
      <w:r>
        <w:rPr>
          <w:rFonts w:hint="eastAsia"/>
        </w:rPr>
        <w:t>总量控制</w:t>
      </w:r>
    </w:p>
    <w:p w14:paraId="1D8C772C">
      <w:pPr>
        <w:pStyle w:val="47"/>
        <w:ind w:firstLine="482"/>
      </w:pPr>
      <w:r>
        <w:rPr>
          <w:rFonts w:hint="eastAsia"/>
        </w:rPr>
        <w:t>项目完成后全厂总量控制指标为COD：0t/a、氨氮：0t/a、总磷：0t/a、总氮：0t/a、SO</w:t>
      </w:r>
      <w:r>
        <w:rPr>
          <w:rFonts w:hint="eastAsia"/>
          <w:vertAlign w:val="subscript"/>
        </w:rPr>
        <w:t>2</w:t>
      </w:r>
      <w:r>
        <w:rPr>
          <w:rFonts w:hint="eastAsia"/>
        </w:rPr>
        <w:t>：0t/a、NOX：0t/a、颗粒物：3.393t/a、非甲烷总烃：5.693t/a。</w:t>
      </w:r>
    </w:p>
    <w:p w14:paraId="22DB5DDC">
      <w:pPr>
        <w:pStyle w:val="92"/>
        <w:bidi w:val="0"/>
        <w:ind w:left="0" w:leftChars="0" w:firstLine="0" w:firstLineChars="0"/>
      </w:pPr>
      <w:r>
        <w:rPr>
          <w:rFonts w:hint="eastAsia"/>
        </w:rPr>
        <w:t>公众意见</w:t>
      </w:r>
      <w:r>
        <w:t>采纳情况</w:t>
      </w:r>
    </w:p>
    <w:p w14:paraId="683D74A0">
      <w:pPr>
        <w:pStyle w:val="47"/>
        <w:ind w:firstLine="482"/>
      </w:pPr>
      <w:r>
        <w:rPr>
          <w:rFonts w:hint="eastAsia"/>
        </w:rPr>
        <w:t>根据《环境</w:t>
      </w:r>
      <w:r>
        <w:t>影响评价公众参与办法</w:t>
      </w:r>
      <w:r>
        <w:rPr>
          <w:rFonts w:hint="eastAsia"/>
        </w:rPr>
        <w:t>》（生态环境</w:t>
      </w:r>
      <w:r>
        <w:t>部</w:t>
      </w:r>
      <w:r>
        <w:rPr>
          <w:rFonts w:hint="eastAsia"/>
        </w:rPr>
        <w:t>令第</w:t>
      </w:r>
      <w:r>
        <w:t>4</w:t>
      </w:r>
      <w:r>
        <w:rPr>
          <w:rFonts w:hint="eastAsia"/>
        </w:rPr>
        <w:t>号），</w:t>
      </w:r>
      <w:r>
        <w:rPr>
          <w:rFonts w:ascii="宋体" w:hAnsi="宋体"/>
          <w:color w:val="000000"/>
          <w:szCs w:val="24"/>
        </w:rPr>
        <w:t>项目公众参与</w:t>
      </w:r>
      <w:r>
        <w:rPr>
          <w:rFonts w:hint="eastAsia"/>
        </w:rPr>
        <w:t>工作采取了网站公示（两次）、报纸公示（两次）及</w:t>
      </w:r>
      <w:r>
        <w:rPr>
          <w:rFonts w:ascii="宋体" w:hAnsi="宋体"/>
          <w:color w:val="000000"/>
          <w:szCs w:val="24"/>
        </w:rPr>
        <w:t>现场张贴公示信息</w:t>
      </w:r>
      <w:r>
        <w:rPr>
          <w:rFonts w:hint="eastAsia"/>
        </w:rPr>
        <w:t>相结合的方式告知公众，</w:t>
      </w:r>
      <w:r>
        <w:rPr>
          <w:rFonts w:ascii="宋体" w:hAnsi="宋体"/>
          <w:color w:val="000000"/>
          <w:szCs w:val="24"/>
        </w:rPr>
        <w:t>公开征求了公众对项目的建设意见</w:t>
      </w:r>
      <w:r>
        <w:rPr>
          <w:rFonts w:hint="eastAsia" w:ascii="宋体" w:hAnsi="宋体"/>
          <w:color w:val="000000"/>
          <w:szCs w:val="24"/>
        </w:rPr>
        <w:t>。</w:t>
      </w:r>
      <w:r>
        <w:rPr>
          <w:rFonts w:hint="eastAsia"/>
        </w:rPr>
        <w:t>公示期间，未收到反对项目建设的公众意见。</w:t>
      </w:r>
    </w:p>
    <w:p w14:paraId="7555A68C">
      <w:pPr>
        <w:pStyle w:val="92"/>
        <w:bidi w:val="0"/>
        <w:ind w:left="0" w:leftChars="0" w:firstLine="0" w:firstLineChars="0"/>
      </w:pPr>
      <w:r>
        <w:rPr>
          <w:rFonts w:hint="eastAsia"/>
        </w:rPr>
        <w:t>环境</w:t>
      </w:r>
      <w:r>
        <w:t>影响经济损益分析</w:t>
      </w:r>
    </w:p>
    <w:p w14:paraId="21D58ACD">
      <w:pPr>
        <w:pStyle w:val="47"/>
        <w:ind w:firstLine="482"/>
        <w:rPr>
          <w:highlight w:val="none"/>
        </w:rPr>
      </w:pPr>
      <w:r>
        <w:rPr>
          <w:rFonts w:hint="eastAsia"/>
          <w:highlight w:val="none"/>
        </w:rPr>
        <w:t>项目总投资5013.5万元，环保投资200万元，占总投资的4%</w:t>
      </w:r>
      <w:r>
        <w:rPr>
          <w:rFonts w:hint="eastAsia"/>
          <w:highlight w:val="none"/>
          <w:lang w:eastAsia="zh-CN"/>
        </w:rPr>
        <w:t>，</w:t>
      </w:r>
      <w:r>
        <w:rPr>
          <w:rFonts w:hint="eastAsia"/>
          <w:highlight w:val="none"/>
        </w:rPr>
        <w:t>主要用于废气、废水、噪声、固体废物等治理，环保投资的落实和治理设备的有效运行，将减少本项目建设所带来的环境影响。</w:t>
      </w:r>
    </w:p>
    <w:p w14:paraId="77D1CF14">
      <w:pPr>
        <w:pStyle w:val="92"/>
        <w:bidi w:val="0"/>
        <w:ind w:left="0" w:leftChars="0" w:firstLine="0" w:firstLineChars="0"/>
      </w:pPr>
      <w:r>
        <w:rPr>
          <w:rFonts w:hint="eastAsia"/>
        </w:rPr>
        <w:t>环境</w:t>
      </w:r>
      <w:r>
        <w:t>管理与监测</w:t>
      </w:r>
      <w:r>
        <w:rPr>
          <w:rFonts w:hint="eastAsia"/>
        </w:rPr>
        <w:t>计划</w:t>
      </w:r>
    </w:p>
    <w:p w14:paraId="112FF296">
      <w:pPr>
        <w:pStyle w:val="47"/>
        <w:ind w:firstLine="482"/>
      </w:pPr>
      <w:r>
        <w:rPr>
          <w:rFonts w:hint="eastAsia"/>
        </w:rPr>
        <w:t>项目在运营期将对周围环境产生一定的影响，因此建设单位应在加强环境管理的同时，定期进行环境监测，以便及时了解项目排放的污染物对环境造成的影响情况，并及时采取相应措施，消除不利因素，减轻环境污染，使各项环保措施落到实处，以达到预定的各项环保目标</w:t>
      </w:r>
      <w:r>
        <w:t>。</w:t>
      </w:r>
    </w:p>
    <w:p w14:paraId="5F252D75">
      <w:pPr>
        <w:pStyle w:val="92"/>
        <w:bidi w:val="0"/>
        <w:ind w:left="0" w:leftChars="0" w:firstLine="0" w:firstLineChars="0"/>
      </w:pPr>
      <w:r>
        <w:rPr>
          <w:rFonts w:hint="eastAsia"/>
        </w:rPr>
        <w:t>综合结论</w:t>
      </w:r>
    </w:p>
    <w:p w14:paraId="6F13EE8A">
      <w:pPr>
        <w:pStyle w:val="47"/>
        <w:ind w:firstLine="482"/>
        <w:rPr>
          <w:rFonts w:hint="eastAsia"/>
        </w:rPr>
      </w:pPr>
      <w:r>
        <w:rPr>
          <w:rFonts w:hint="eastAsia"/>
        </w:rPr>
        <w:t>项目的建设符合国家产业政策、选址基本合理、生产工艺满足清洁生产要求、污染物的防治措施在技术上和经济上可行，能实现达标排放和总量控制的要求。环境影响评价的结果表明，项目在正常生产和污染防治设施正常运行的情况下，项目的污染物排放对环境的影响较小，基本不改变当地环境质量现状和功能要求。</w:t>
      </w:r>
    </w:p>
    <w:p w14:paraId="0191DAB2">
      <w:pPr>
        <w:pStyle w:val="47"/>
        <w:ind w:firstLine="482"/>
      </w:pPr>
      <w:r>
        <w:rPr>
          <w:rFonts w:hint="eastAsia"/>
        </w:rPr>
        <w:t>本评价认为，项目在设计和运行时应严格执行安全生产的各项规章制度，根据生产的安全要求，制定事故应急预案，配套相应的安全防范措施，杜绝事故对环境产生的风险。项目建设过程中应严格认真执行环境保护“三同时”制度，切实落实本报告书各项污染防治措施和环境管理措施，确保各类污染物稳定达标排放和污染物排放总量控制。在此基础上，本项目的建设在环境保护方面是可行的。</w:t>
      </w:r>
    </w:p>
    <w:p w14:paraId="17CE906D">
      <w:pPr>
        <w:pStyle w:val="90"/>
        <w:bidi w:val="0"/>
        <w:ind w:left="0" w:leftChars="0" w:firstLine="0" w:firstLineChars="0"/>
      </w:pPr>
      <w:bookmarkStart w:id="83" w:name="_Toc30569"/>
      <w:r>
        <w:rPr>
          <w:rFonts w:hint="eastAsia"/>
        </w:rPr>
        <w:t>建议</w:t>
      </w:r>
      <w:bookmarkEnd w:id="83"/>
    </w:p>
    <w:p w14:paraId="41F70369">
      <w:pPr>
        <w:pStyle w:val="47"/>
        <w:ind w:firstLine="482"/>
        <w:rPr>
          <w:rFonts w:hint="eastAsia"/>
        </w:rPr>
      </w:pPr>
      <w:r>
        <w:rPr>
          <w:rFonts w:hint="eastAsia"/>
        </w:rPr>
        <w:t>（1）建设单位应认真贯彻执行有关建设项目环境保护管理文件的精神，建立健全各项环保规章制度，严格执行“三同时”制度。</w:t>
      </w:r>
    </w:p>
    <w:p w14:paraId="59D8FFC7">
      <w:pPr>
        <w:pStyle w:val="47"/>
        <w:ind w:firstLine="482"/>
        <w:rPr>
          <w:rFonts w:hint="eastAsia"/>
        </w:rPr>
      </w:pPr>
      <w:r>
        <w:rPr>
          <w:rFonts w:hint="eastAsia"/>
        </w:rPr>
        <w:t>（2）施工期合理安排施工计划，尽量避免夜间施工。高噪声设备尽可能布置在远离环境敏感度的一侧，并采取降噪措施。加强管理，定期对污染防治设施进行维护保养，确保其长期稳定安全运行、污染物达标排放，避免非正常工况或污染事故发生。</w:t>
      </w:r>
    </w:p>
    <w:p w14:paraId="501988A0">
      <w:pPr>
        <w:pStyle w:val="47"/>
        <w:ind w:firstLine="482"/>
        <w:rPr>
          <w:rFonts w:hint="eastAsia"/>
        </w:rPr>
      </w:pPr>
      <w:r>
        <w:rPr>
          <w:rFonts w:hint="eastAsia"/>
        </w:rPr>
        <w:t>（3）项目的建设应重视引进和建立先进的环保管理模式，完善管理机制，强化职工自身的环保意识。配备必要的环境管理专职人员，落实、检查环保设施的运行状况，保证长期、安全、稳定运行，配合当地环保部门做好环境管理、验收、监督和检查工作。</w:t>
      </w:r>
    </w:p>
    <w:p w14:paraId="77B51C2E">
      <w:pPr>
        <w:pStyle w:val="47"/>
        <w:ind w:firstLine="482"/>
        <w:rPr>
          <w:rFonts w:hint="eastAsia"/>
        </w:rPr>
      </w:pPr>
      <w:r>
        <w:rPr>
          <w:rFonts w:hint="eastAsia"/>
        </w:rPr>
        <w:t>（4）按照《排污许可证申请与核发技术规范废弃资源加工工业》（HJ1034—2019）和《排污许可证申请与核发技术规范橡胶和塑料制品工业》（HJ1122—2020）等文件的要求，做好后续的自行监测工作。</w:t>
      </w:r>
    </w:p>
    <w:p w14:paraId="3534728E">
      <w:pPr>
        <w:pStyle w:val="47"/>
        <w:ind w:firstLine="482"/>
      </w:pPr>
      <w:r>
        <w:rPr>
          <w:rFonts w:hint="eastAsia"/>
        </w:rPr>
        <w:t>（5）项目在设计、建设、运行全过程中还必须满足消防、安全、职业卫生等相关管理要求，进行规范化的设计、施工和运行管理。</w:t>
      </w:r>
    </w:p>
    <w:sectPr>
      <w:pgSz w:w="11906" w:h="16838"/>
      <w:pgMar w:top="1417" w:right="1417" w:bottom="1417" w:left="1417" w:header="964" w:footer="964" w:gutter="0"/>
      <w:pgBorders>
        <w:top w:val="none" w:sz="0" w:space="0"/>
        <w:left w:val="none" w:sz="0" w:space="0"/>
        <w:bottom w:val="none" w:sz="0" w:space="0"/>
        <w:right w:val="none" w:sz="0" w:space="0"/>
      </w:pgBorders>
      <w:pgNumType w:fmt="decimal"/>
      <w:cols w:space="425" w:num="1"/>
      <w:docGrid w:type="linesAndChars" w:linePitch="326" w:charSpace="1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decorative"/>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Wingdings 2">
    <w:panose1 w:val="05020102010507070707"/>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4497F0">
    <w:pPr>
      <w:pStyle w:val="21"/>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0F135">
    <w:pPr>
      <w:pStyle w:val="21"/>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8B78A">
    <w:pPr>
      <w:pStyle w:val="21"/>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6B112B">
    <w:pPr>
      <w:pStyle w:val="21"/>
      <w:keepNext w:val="0"/>
      <w:keepLines w:val="0"/>
      <w:pageBreakBefore w:val="0"/>
      <w:widowControl w:val="0"/>
      <w:pBdr>
        <w:top w:val="thickThinMediumGap" w:color="auto" w:sz="24" w:space="1"/>
        <w:left w:val="none" w:color="auto" w:sz="0" w:space="4"/>
        <w:bottom w:val="none" w:color="auto" w:sz="0" w:space="1"/>
        <w:right w:val="none" w:color="auto" w:sz="0" w:space="4"/>
        <w:between w:val="none" w:color="auto" w:sz="0" w:space="0"/>
      </w:pBdr>
      <w:kinsoku/>
      <w:wordWrap/>
      <w:overflowPunct w:val="0"/>
      <w:topLinePunct w:val="0"/>
      <w:autoSpaceDE w:val="0"/>
      <w:autoSpaceDN w:val="0"/>
      <w:bidi w:val="0"/>
      <w:adjustRightInd w:val="0"/>
      <w:snapToGrid w:val="0"/>
      <w:spacing w:line="300" w:lineRule="exact"/>
      <w:ind w:left="0" w:leftChars="0" w:firstLine="0" w:firstLineChars="0"/>
      <w:jc w:val="left"/>
      <w:textAlignment w:val="auto"/>
    </w:pPr>
    <w:r>
      <w:rPr>
        <w:rFonts w:hint="eastAsia" w:ascii="楷体" w:hAnsi="楷体" w:eastAsia="楷体" w:cs="楷体"/>
        <w:lang w:val="en-US" w:eastAsia="zh-CN"/>
      </w:rPr>
      <w:t xml:space="preserve">河北秀景环境科技有限公司                                       </w:t>
    </w: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423464263"/>
                            <w:docPartObj>
                              <w:docPartGallery w:val="autotext"/>
                            </w:docPartObj>
                          </w:sdtPr>
                          <w:sdtContent>
                            <w:p w14:paraId="033C3ACC">
                              <w:pPr>
                                <w:pStyle w:val="21"/>
                                <w:ind w:firstLine="360"/>
                                <w:jc w:val="center"/>
                              </w:pPr>
                              <w:r>
                                <w:fldChar w:fldCharType="begin"/>
                              </w:r>
                              <w:r>
                                <w:instrText xml:space="preserve">PAGE \* MERGEFORMAT</w:instrText>
                              </w:r>
                              <w:r>
                                <w:fldChar w:fldCharType="separate"/>
                              </w:r>
                              <w:r>
                                <w:rPr>
                                  <w:lang w:val="zh-CN"/>
                                </w:rPr>
                                <w:t>83</w:t>
                              </w:r>
                              <w:r>
                                <w:fldChar w:fldCharType="end"/>
                              </w:r>
                            </w:p>
                          </w:sdtContent>
                        </w:sdt>
                        <w:p w14:paraId="61E56FC5"/>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sdt>
                    <w:sdtPr>
                      <w:id w:val="423464263"/>
                      <w:docPartObj>
                        <w:docPartGallery w:val="autotext"/>
                      </w:docPartObj>
                    </w:sdtPr>
                    <w:sdtContent>
                      <w:p w14:paraId="033C3ACC">
                        <w:pPr>
                          <w:pStyle w:val="21"/>
                          <w:ind w:firstLine="360"/>
                          <w:jc w:val="center"/>
                        </w:pPr>
                        <w:r>
                          <w:fldChar w:fldCharType="begin"/>
                        </w:r>
                        <w:r>
                          <w:instrText xml:space="preserve">PAGE \* MERGEFORMAT</w:instrText>
                        </w:r>
                        <w:r>
                          <w:fldChar w:fldCharType="separate"/>
                        </w:r>
                        <w:r>
                          <w:rPr>
                            <w:lang w:val="zh-CN"/>
                          </w:rPr>
                          <w:t>83</w:t>
                        </w:r>
                        <w:r>
                          <w:fldChar w:fldCharType="end"/>
                        </w:r>
                      </w:p>
                    </w:sdtContent>
                  </w:sdt>
                  <w:p w14:paraId="61E56FC5"/>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783EA">
    <w:pPr>
      <w:pStyle w:val="21"/>
      <w:keepNext w:val="0"/>
      <w:keepLines w:val="0"/>
      <w:pageBreakBefore w:val="0"/>
      <w:widowControl w:val="0"/>
      <w:pBdr>
        <w:top w:val="thickThinMediumGap" w:color="auto" w:sz="24" w:space="1"/>
        <w:left w:val="none" w:color="auto" w:sz="0" w:space="4"/>
        <w:bottom w:val="none" w:color="auto" w:sz="0" w:space="1"/>
        <w:right w:val="none" w:color="auto" w:sz="0" w:space="4"/>
        <w:between w:val="none" w:color="auto" w:sz="0" w:space="0"/>
      </w:pBdr>
      <w:kinsoku/>
      <w:wordWrap/>
      <w:overflowPunct w:val="0"/>
      <w:topLinePunct w:val="0"/>
      <w:autoSpaceDE w:val="0"/>
      <w:autoSpaceDN w:val="0"/>
      <w:bidi w:val="0"/>
      <w:adjustRightInd w:val="0"/>
      <w:snapToGrid w:val="0"/>
      <w:spacing w:line="300" w:lineRule="exact"/>
      <w:ind w:left="0" w:leftChars="0" w:firstLine="0" w:firstLineChars="0"/>
      <w:jc w:val="left"/>
      <w:textAlignment w:val="auto"/>
    </w:pPr>
    <w:r>
      <w:rPr>
        <w:rFonts w:hint="eastAsia" w:ascii="楷体" w:hAnsi="楷体" w:eastAsia="楷体" w:cs="楷体"/>
        <w:lang w:val="en-US" w:eastAsia="zh-CN"/>
      </w:rPr>
      <w:t xml:space="preserve">河北秀景环境科技有限公司                                       </w:t>
    </w: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0400"/>
                            <w:docPartObj>
                              <w:docPartGallery w:val="autotext"/>
                            </w:docPartObj>
                          </w:sdtPr>
                          <w:sdtContent>
                            <w:p w14:paraId="5BEA53E4">
                              <w:pPr>
                                <w:pStyle w:val="21"/>
                                <w:ind w:firstLine="360"/>
                                <w:jc w:val="center"/>
                              </w:pPr>
                              <w:r>
                                <w:fldChar w:fldCharType="begin"/>
                              </w:r>
                              <w:r>
                                <w:instrText xml:space="preserve">PAGE \* MERGEFORMAT</w:instrText>
                              </w:r>
                              <w:r>
                                <w:fldChar w:fldCharType="separate"/>
                              </w:r>
                              <w:r>
                                <w:rPr>
                                  <w:lang w:val="zh-CN"/>
                                </w:rPr>
                                <w:t>83</w:t>
                              </w:r>
                              <w:r>
                                <w:fldChar w:fldCharType="end"/>
                              </w:r>
                            </w:p>
                          </w:sdtContent>
                        </w:sdt>
                        <w:p w14:paraId="4B8830DD"/>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sdt>
                    <w:sdtPr>
                      <w:id w:val="147470400"/>
                      <w:docPartObj>
                        <w:docPartGallery w:val="autotext"/>
                      </w:docPartObj>
                    </w:sdtPr>
                    <w:sdtContent>
                      <w:p w14:paraId="5BEA53E4">
                        <w:pPr>
                          <w:pStyle w:val="21"/>
                          <w:ind w:firstLine="360"/>
                          <w:jc w:val="center"/>
                        </w:pPr>
                        <w:r>
                          <w:fldChar w:fldCharType="begin"/>
                        </w:r>
                        <w:r>
                          <w:instrText xml:space="preserve">PAGE \* MERGEFORMAT</w:instrText>
                        </w:r>
                        <w:r>
                          <w:fldChar w:fldCharType="separate"/>
                        </w:r>
                        <w:r>
                          <w:rPr>
                            <w:lang w:val="zh-CN"/>
                          </w:rPr>
                          <w:t>83</w:t>
                        </w:r>
                        <w:r>
                          <w:fldChar w:fldCharType="end"/>
                        </w:r>
                      </w:p>
                    </w:sdtContent>
                  </w:sdt>
                  <w:p w14:paraId="4B8830DD"/>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22E35D">
    <w:pPr>
      <w:pStyle w:val="22"/>
      <w:pBdr>
        <w:top w:val="none" w:color="auto" w:sz="0" w:space="0"/>
        <w:left w:val="none" w:color="auto" w:sz="0" w:space="0"/>
        <w:bottom w:val="none" w:color="auto" w:sz="0" w:space="1"/>
        <w:right w:val="none" w:color="auto" w:sz="0" w:space="0"/>
        <w:between w:val="none" w:color="auto" w:sz="0" w:space="0"/>
      </w:pBdr>
      <w:spacing w:line="240" w:lineRule="auto"/>
      <w:ind w:firstLine="420"/>
      <w:jc w:val="right"/>
      <w:rPr>
        <w:rFonts w:ascii="楷体" w:hAnsi="楷体" w:eastAsia="楷体"/>
        <w:sz w:val="21"/>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CFB736">
    <w:pPr>
      <w:pStyle w:val="22"/>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B66C4">
    <w:pPr>
      <w:pStyle w:val="22"/>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B1B7B">
    <w:pPr>
      <w:pStyle w:val="22"/>
      <w:widowControl w:val="0"/>
      <w:pBdr>
        <w:top w:val="none" w:color="auto" w:sz="0" w:space="1"/>
        <w:left w:val="none" w:color="auto" w:sz="0" w:space="4"/>
        <w:bottom w:val="thinThickMediumGap" w:color="auto" w:sz="24" w:space="1"/>
        <w:right w:val="none" w:color="auto" w:sz="0" w:space="4"/>
        <w:between w:val="none" w:color="auto" w:sz="0" w:space="0"/>
      </w:pBdr>
      <w:overflowPunct w:val="0"/>
      <w:autoSpaceDE w:val="0"/>
      <w:autoSpaceDN w:val="0"/>
      <w:adjustRightInd w:val="0"/>
      <w:snapToGrid w:val="0"/>
      <w:spacing w:line="240" w:lineRule="auto"/>
      <w:ind w:left="0" w:leftChars="0" w:firstLine="0" w:firstLineChars="0"/>
      <w:jc w:val="center"/>
      <w:outlineLvl w:val="9"/>
      <w:rPr>
        <w:rFonts w:hint="eastAsia" w:ascii="楷体" w:hAnsi="楷体" w:eastAsia="楷体" w:cs="楷体"/>
        <w:sz w:val="21"/>
        <w:szCs w:val="21"/>
        <w:lang w:val="en-US"/>
      </w:rPr>
    </w:pPr>
    <w:r>
      <w:rPr>
        <w:rFonts w:hint="eastAsia" w:ascii="楷体" w:hAnsi="楷体" w:eastAsia="楷体" w:cs="楷体"/>
        <w:sz w:val="21"/>
        <w:szCs w:val="21"/>
        <w:lang w:val="en-US" w:eastAsia="zh-CN"/>
      </w:rPr>
      <w:t>顺平县金光塑料制品有限公司年产25000吨PVC塑料制品建设项目</w:t>
    </w:r>
    <w:r>
      <w:rPr>
        <w:rFonts w:hint="eastAsia" w:ascii="楷体" w:hAnsi="楷体" w:eastAsia="楷体" w:cs="楷体"/>
        <w:sz w:val="21"/>
        <w:szCs w:val="21"/>
        <w:highlight w:val="none"/>
        <w:lang w:val="en-US" w:eastAsia="zh-CN"/>
      </w:rPr>
      <w:t>环境影响报告书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72B7F9"/>
    <w:multiLevelType w:val="multilevel"/>
    <w:tmpl w:val="8372B7F9"/>
    <w:lvl w:ilvl="0" w:tentative="0">
      <w:start w:val="1"/>
      <w:numFmt w:val="decimal"/>
      <w:pStyle w:val="130"/>
      <w:lvlText w:val="表%1 "/>
      <w:lvlJc w:val="left"/>
      <w:pPr>
        <w:ind w:left="4105" w:hanging="420"/>
      </w:pPr>
      <w:rPr>
        <w:rFonts w:hint="default" w:ascii="Times New Roman" w:hAnsi="Times New Roman" w:cs="Times New Roman"/>
        <w:b/>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886094B9"/>
    <w:multiLevelType w:val="singleLevel"/>
    <w:tmpl w:val="886094B9"/>
    <w:lvl w:ilvl="0" w:tentative="0">
      <w:start w:val="1"/>
      <w:numFmt w:val="decimal"/>
      <w:suff w:val="nothing"/>
      <w:lvlText w:val="（%1）"/>
      <w:lvlJc w:val="left"/>
    </w:lvl>
  </w:abstractNum>
  <w:abstractNum w:abstractNumId="2">
    <w:nsid w:val="983B01C8"/>
    <w:multiLevelType w:val="singleLevel"/>
    <w:tmpl w:val="983B01C8"/>
    <w:lvl w:ilvl="0" w:tentative="0">
      <w:start w:val="1"/>
      <w:numFmt w:val="decimal"/>
      <w:suff w:val="nothing"/>
      <w:lvlText w:val="（%1）"/>
      <w:lvlJc w:val="left"/>
    </w:lvl>
  </w:abstractNum>
  <w:abstractNum w:abstractNumId="3">
    <w:nsid w:val="B39D06BE"/>
    <w:multiLevelType w:val="multilevel"/>
    <w:tmpl w:val="B39D06BE"/>
    <w:lvl w:ilvl="0" w:tentative="0">
      <w:start w:val="1"/>
      <w:numFmt w:val="decimal"/>
      <w:pStyle w:val="137"/>
      <w:lvlText w:val="表%1 "/>
      <w:lvlJc w:val="left"/>
      <w:pPr>
        <w:ind w:left="4105" w:hanging="420"/>
      </w:pPr>
      <w:rPr>
        <w:rFonts w:hint="default" w:ascii="Times New Roman" w:hAnsi="Times New Roman" w:cs="Times New Roman"/>
        <w:b/>
        <w:bCs w:val="0"/>
        <w:i w:val="0"/>
        <w:iCs w:val="0"/>
        <w:caps w:val="0"/>
        <w:smallCaps w:val="0"/>
        <w:strike w:val="0"/>
        <w:dstrike w:val="0"/>
        <w:vanish w:val="0"/>
        <w:color w:val="000000"/>
        <w:spacing w:val="0"/>
        <w:position w:val="0"/>
        <w:u w:val="none"/>
        <w:vertAlign w:val="baseli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CF98D8F1"/>
    <w:multiLevelType w:val="singleLevel"/>
    <w:tmpl w:val="CF98D8F1"/>
    <w:lvl w:ilvl="0" w:tentative="0">
      <w:start w:val="1"/>
      <w:numFmt w:val="decimal"/>
      <w:suff w:val="nothing"/>
      <w:lvlText w:val="（%1）"/>
      <w:lvlJc w:val="left"/>
    </w:lvl>
  </w:abstractNum>
  <w:abstractNum w:abstractNumId="5">
    <w:nsid w:val="E12B5C0C"/>
    <w:multiLevelType w:val="singleLevel"/>
    <w:tmpl w:val="E12B5C0C"/>
    <w:lvl w:ilvl="0" w:tentative="0">
      <w:start w:val="1"/>
      <w:numFmt w:val="decimal"/>
      <w:suff w:val="nothing"/>
      <w:lvlText w:val="（%1）"/>
      <w:lvlJc w:val="left"/>
    </w:lvl>
  </w:abstractNum>
  <w:abstractNum w:abstractNumId="6">
    <w:nsid w:val="E384A580"/>
    <w:multiLevelType w:val="singleLevel"/>
    <w:tmpl w:val="E384A580"/>
    <w:lvl w:ilvl="0" w:tentative="0">
      <w:start w:val="1"/>
      <w:numFmt w:val="decimal"/>
      <w:suff w:val="nothing"/>
      <w:lvlText w:val="（%1）"/>
      <w:lvlJc w:val="left"/>
    </w:lvl>
  </w:abstractNum>
  <w:abstractNum w:abstractNumId="7">
    <w:nsid w:val="ED9E98AE"/>
    <w:multiLevelType w:val="singleLevel"/>
    <w:tmpl w:val="ED9E98AE"/>
    <w:lvl w:ilvl="0" w:tentative="0">
      <w:start w:val="1"/>
      <w:numFmt w:val="decimal"/>
      <w:suff w:val="nothing"/>
      <w:lvlText w:val="（%1）"/>
      <w:lvlJc w:val="left"/>
    </w:lvl>
  </w:abstractNum>
  <w:abstractNum w:abstractNumId="8">
    <w:nsid w:val="FC4CE16E"/>
    <w:multiLevelType w:val="singleLevel"/>
    <w:tmpl w:val="FC4CE16E"/>
    <w:lvl w:ilvl="0" w:tentative="0">
      <w:start w:val="3"/>
      <w:numFmt w:val="decimal"/>
      <w:suff w:val="nothing"/>
      <w:lvlText w:val="（%1）"/>
      <w:lvlJc w:val="left"/>
    </w:lvl>
  </w:abstractNum>
  <w:abstractNum w:abstractNumId="9">
    <w:nsid w:val="06349290"/>
    <w:multiLevelType w:val="singleLevel"/>
    <w:tmpl w:val="06349290"/>
    <w:lvl w:ilvl="0" w:tentative="0">
      <w:start w:val="1"/>
      <w:numFmt w:val="decimal"/>
      <w:suff w:val="nothing"/>
      <w:lvlText w:val="（%1）"/>
      <w:lvlJc w:val="left"/>
    </w:lvl>
  </w:abstractNum>
  <w:abstractNum w:abstractNumId="10">
    <w:nsid w:val="1DC956EF"/>
    <w:multiLevelType w:val="multilevel"/>
    <w:tmpl w:val="1DC956EF"/>
    <w:lvl w:ilvl="0" w:tentative="0">
      <w:start w:val="1"/>
      <w:numFmt w:val="decimal"/>
      <w:pStyle w:val="46"/>
      <w:lvlText w:val="图%1 "/>
      <w:lvlJc w:val="left"/>
      <w:pPr>
        <w:ind w:left="900" w:hanging="420"/>
      </w:pPr>
      <w:rPr>
        <w:rFonts w:hint="eastAsia"/>
      </w:rPr>
    </w:lvl>
    <w:lvl w:ilvl="1" w:tentative="0">
      <w:start w:val="2"/>
      <w:numFmt w:val="decimalEnclosedCircle"/>
      <w:lvlText w:val="%2"/>
      <w:lvlJc w:val="left"/>
      <w:pPr>
        <w:ind w:left="1260" w:hanging="360"/>
      </w:pPr>
      <w:rPr>
        <w:rFonts w:hint="default"/>
      </w:r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1">
    <w:nsid w:val="2CB011EB"/>
    <w:multiLevelType w:val="singleLevel"/>
    <w:tmpl w:val="2CB011EB"/>
    <w:lvl w:ilvl="0" w:tentative="0">
      <w:start w:val="1"/>
      <w:numFmt w:val="decimal"/>
      <w:suff w:val="nothing"/>
      <w:lvlText w:val="（%1）"/>
      <w:lvlJc w:val="left"/>
    </w:lvl>
  </w:abstractNum>
  <w:abstractNum w:abstractNumId="12">
    <w:nsid w:val="46B437B5"/>
    <w:multiLevelType w:val="multilevel"/>
    <w:tmpl w:val="46B437B5"/>
    <w:lvl w:ilvl="0" w:tentative="0">
      <w:start w:val="1"/>
      <w:numFmt w:val="decimal"/>
      <w:pStyle w:val="54"/>
      <w:lvlText w:val="表%1 "/>
      <w:lvlJc w:val="left"/>
      <w:pPr>
        <w:ind w:left="420" w:hanging="420"/>
      </w:pPr>
      <w:rPr>
        <w:b w:val="0"/>
        <w:bCs w:val="0"/>
        <w:i w:val="0"/>
        <w:iCs w:val="0"/>
        <w:caps w:val="0"/>
        <w:smallCaps w:val="0"/>
        <w:strike w:val="0"/>
        <w:dstrike w:val="0"/>
        <w:outline w:val="0"/>
        <w:shadow w:val="0"/>
        <w:emboss w:val="0"/>
        <w:imprint w:val="0"/>
        <w:vanish w:val="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14:cntxtalts w14: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4EEC6BDE"/>
    <w:multiLevelType w:val="multilevel"/>
    <w:tmpl w:val="4EEC6BDE"/>
    <w:lvl w:ilvl="0" w:tentative="0">
      <w:start w:val="1"/>
      <w:numFmt w:val="decimal"/>
      <w:pStyle w:val="80"/>
      <w:suff w:val="space"/>
      <w:lvlText w:val="%1. "/>
      <w:lvlJc w:val="left"/>
      <w:pPr>
        <w:ind w:left="0" w:firstLine="0"/>
      </w:pPr>
      <w:rPr>
        <w:rFonts w:hint="eastAsia"/>
      </w:rPr>
    </w:lvl>
    <w:lvl w:ilvl="1" w:tentative="0">
      <w:start w:val="1"/>
      <w:numFmt w:val="decimal"/>
      <w:pStyle w:val="87"/>
      <w:suff w:val="space"/>
      <w:lvlText w:val="%1.%2"/>
      <w:lvlJc w:val="left"/>
      <w:pPr>
        <w:ind w:left="0" w:firstLine="0"/>
      </w:pPr>
      <w:rPr>
        <w:rFonts w:hint="eastAsia"/>
      </w:rPr>
    </w:lvl>
    <w:lvl w:ilvl="2" w:tentative="0">
      <w:start w:val="1"/>
      <w:numFmt w:val="lowerRoman"/>
      <w:lvlText w:val="%3."/>
      <w:lvlJc w:val="right"/>
      <w:pPr>
        <w:ind w:left="0" w:firstLine="0"/>
      </w:pPr>
      <w:rPr>
        <w:rFonts w:hint="eastAsia"/>
      </w:rPr>
    </w:lvl>
    <w:lvl w:ilvl="3" w:tentative="0">
      <w:start w:val="1"/>
      <w:numFmt w:val="decimal"/>
      <w:lvlText w:val="%4."/>
      <w:lvlJc w:val="left"/>
      <w:pPr>
        <w:ind w:left="0" w:firstLine="0"/>
      </w:pPr>
      <w:rPr>
        <w:rFonts w:hint="eastAsia"/>
      </w:rPr>
    </w:lvl>
    <w:lvl w:ilvl="4" w:tentative="0">
      <w:start w:val="1"/>
      <w:numFmt w:val="lowerLetter"/>
      <w:lvlText w:val="%5)"/>
      <w:lvlJc w:val="left"/>
      <w:pPr>
        <w:ind w:left="0" w:firstLine="0"/>
      </w:pPr>
      <w:rPr>
        <w:rFonts w:hint="eastAsia"/>
      </w:rPr>
    </w:lvl>
    <w:lvl w:ilvl="5" w:tentative="0">
      <w:start w:val="1"/>
      <w:numFmt w:val="lowerRoman"/>
      <w:lvlText w:val="%6."/>
      <w:lvlJc w:val="right"/>
      <w:pPr>
        <w:ind w:left="0" w:firstLine="0"/>
      </w:pPr>
      <w:rPr>
        <w:rFonts w:hint="eastAsia"/>
      </w:rPr>
    </w:lvl>
    <w:lvl w:ilvl="6" w:tentative="0">
      <w:start w:val="1"/>
      <w:numFmt w:val="decimal"/>
      <w:lvlText w:val="%7."/>
      <w:lvlJc w:val="left"/>
      <w:pPr>
        <w:ind w:left="0" w:firstLine="0"/>
      </w:pPr>
      <w:rPr>
        <w:rFonts w:hint="eastAsia"/>
      </w:rPr>
    </w:lvl>
    <w:lvl w:ilvl="7" w:tentative="0">
      <w:start w:val="1"/>
      <w:numFmt w:val="lowerLetter"/>
      <w:lvlText w:val="%8)"/>
      <w:lvlJc w:val="left"/>
      <w:pPr>
        <w:ind w:left="0" w:firstLine="0"/>
      </w:pPr>
      <w:rPr>
        <w:rFonts w:hint="eastAsia"/>
      </w:rPr>
    </w:lvl>
    <w:lvl w:ilvl="8" w:tentative="0">
      <w:start w:val="1"/>
      <w:numFmt w:val="lowerRoman"/>
      <w:lvlText w:val="%9."/>
      <w:lvlJc w:val="right"/>
      <w:pPr>
        <w:ind w:left="0" w:firstLine="0"/>
      </w:pPr>
      <w:rPr>
        <w:rFonts w:hint="eastAsia"/>
      </w:rPr>
    </w:lvl>
  </w:abstractNum>
  <w:abstractNum w:abstractNumId="14">
    <w:nsid w:val="5AB06852"/>
    <w:multiLevelType w:val="multilevel"/>
    <w:tmpl w:val="5AB06852"/>
    <w:lvl w:ilvl="0" w:tentative="0">
      <w:start w:val="1"/>
      <w:numFmt w:val="decimal"/>
      <w:pStyle w:val="88"/>
      <w:suff w:val="space"/>
      <w:lvlText w:val="%1."/>
      <w:lvlJc w:val="left"/>
      <w:pPr>
        <w:tabs>
          <w:tab w:val="left" w:pos="0"/>
        </w:tabs>
        <w:ind w:left="0" w:hanging="102"/>
      </w:pPr>
      <w:rPr>
        <w:rFonts w:hint="default" w:ascii="Times New Roman" w:hAnsi="Times New Roman" w:eastAsia="黑体"/>
      </w:rPr>
    </w:lvl>
    <w:lvl w:ilvl="1" w:tentative="0">
      <w:start w:val="1"/>
      <w:numFmt w:val="decimal"/>
      <w:pStyle w:val="90"/>
      <w:suff w:val="space"/>
      <w:lvlText w:val="%1.%2"/>
      <w:lvlJc w:val="left"/>
      <w:pPr>
        <w:ind w:left="0" w:firstLine="0"/>
      </w:pPr>
      <w:rPr>
        <w:rFonts w:hint="eastAsia"/>
      </w:rPr>
    </w:lvl>
    <w:lvl w:ilvl="2" w:tentative="0">
      <w:start w:val="1"/>
      <w:numFmt w:val="decimal"/>
      <w:pStyle w:val="92"/>
      <w:suff w:val="space"/>
      <w:lvlText w:val="%1.%2.%3"/>
      <w:lvlJc w:val="left"/>
      <w:pPr>
        <w:ind w:left="0" w:firstLine="0"/>
      </w:pPr>
      <w:rPr>
        <w:rFonts w:hint="eastAsia"/>
      </w:rPr>
    </w:lvl>
    <w:lvl w:ilvl="3" w:tentative="0">
      <w:start w:val="1"/>
      <w:numFmt w:val="decimal"/>
      <w:lvlRestart w:val="2"/>
      <w:pStyle w:val="94"/>
      <w:suff w:val="nothing"/>
      <w:lvlText w:val="表%1.%2-%4  "/>
      <w:lvlJc w:val="left"/>
      <w:pPr>
        <w:tabs>
          <w:tab w:val="left" w:pos="0"/>
        </w:tabs>
        <w:ind w:left="0" w:firstLine="0"/>
      </w:pPr>
      <w:rPr>
        <w:rFonts w:hint="default" w:ascii="Times New Roman" w:hAnsi="Times New Roman" w:eastAsia="楷体"/>
        <w:b/>
        <w:color w:val="auto"/>
        <w:sz w:val="24"/>
      </w:rPr>
    </w:lvl>
    <w:lvl w:ilvl="4" w:tentative="0">
      <w:start w:val="1"/>
      <w:numFmt w:val="decimal"/>
      <w:lvlRestart w:val="3"/>
      <w:pStyle w:val="96"/>
      <w:suff w:val="space"/>
      <w:lvlText w:val="%1.%2.%3.%5"/>
      <w:lvlJc w:val="left"/>
      <w:pPr>
        <w:ind w:left="0" w:firstLine="0"/>
      </w:pPr>
      <w:rPr>
        <w:rFonts w:hint="eastAsia"/>
      </w:rPr>
    </w:lvl>
    <w:lvl w:ilvl="5" w:tentative="0">
      <w:start w:val="1"/>
      <w:numFmt w:val="decimal"/>
      <w:lvlRestart w:val="2"/>
      <w:pStyle w:val="98"/>
      <w:suff w:val="space"/>
      <w:lvlText w:val="图%1.%2-%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num w:numId="1">
    <w:abstractNumId w:val="10"/>
  </w:num>
  <w:num w:numId="2">
    <w:abstractNumId w:val="12"/>
  </w:num>
  <w:num w:numId="3">
    <w:abstractNumId w:val="13"/>
  </w:num>
  <w:num w:numId="4">
    <w:abstractNumId w:val="14"/>
  </w:num>
  <w:num w:numId="5">
    <w:abstractNumId w:val="0"/>
  </w:num>
  <w:num w:numId="6">
    <w:abstractNumId w:val="3"/>
  </w:num>
  <w:num w:numId="7">
    <w:abstractNumId w:val="8"/>
  </w:num>
  <w:num w:numId="8">
    <w:abstractNumId w:val="11"/>
  </w:num>
  <w:num w:numId="9">
    <w:abstractNumId w:val="5"/>
  </w:num>
  <w:num w:numId="10">
    <w:abstractNumId w:val="6"/>
  </w:num>
  <w:num w:numId="11">
    <w:abstractNumId w:val="2"/>
  </w:num>
  <w:num w:numId="12">
    <w:abstractNumId w:val="9"/>
  </w:num>
  <w:num w:numId="13">
    <w:abstractNumId w:val="7"/>
  </w:num>
  <w:num w:numId="14">
    <w:abstractNumId w:val="4"/>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hideSpellingErrors/>
  <w:attachedTemplate r:id="rId1"/>
  <w:documentProtection w:enforcement="0"/>
  <w:defaultTabStop w:val="420"/>
  <w:drawingGridHorizontalSpacing w:val="241"/>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MyOGZiMzQ5MjAwMDgxNjAwN2M2ZTA5NmUxZjU5NDkifQ=="/>
  </w:docVars>
  <w:rsids>
    <w:rsidRoot w:val="00D36849"/>
    <w:rsid w:val="0000042F"/>
    <w:rsid w:val="00000B29"/>
    <w:rsid w:val="00001099"/>
    <w:rsid w:val="000017E5"/>
    <w:rsid w:val="000019E8"/>
    <w:rsid w:val="000022E5"/>
    <w:rsid w:val="00002925"/>
    <w:rsid w:val="00002AF8"/>
    <w:rsid w:val="00003A48"/>
    <w:rsid w:val="00003C17"/>
    <w:rsid w:val="00004B1A"/>
    <w:rsid w:val="00005110"/>
    <w:rsid w:val="000052AD"/>
    <w:rsid w:val="00005851"/>
    <w:rsid w:val="00007170"/>
    <w:rsid w:val="000072A6"/>
    <w:rsid w:val="000077F8"/>
    <w:rsid w:val="00010DDC"/>
    <w:rsid w:val="00013494"/>
    <w:rsid w:val="00014208"/>
    <w:rsid w:val="0001531D"/>
    <w:rsid w:val="0001545F"/>
    <w:rsid w:val="0001638A"/>
    <w:rsid w:val="000163B4"/>
    <w:rsid w:val="00017DAE"/>
    <w:rsid w:val="00017E17"/>
    <w:rsid w:val="0002085D"/>
    <w:rsid w:val="00020FEC"/>
    <w:rsid w:val="000212EB"/>
    <w:rsid w:val="00021FC3"/>
    <w:rsid w:val="00022B61"/>
    <w:rsid w:val="000233D9"/>
    <w:rsid w:val="00024402"/>
    <w:rsid w:val="00024826"/>
    <w:rsid w:val="00024E5E"/>
    <w:rsid w:val="000252DE"/>
    <w:rsid w:val="00025684"/>
    <w:rsid w:val="00025791"/>
    <w:rsid w:val="00026DFB"/>
    <w:rsid w:val="0002705F"/>
    <w:rsid w:val="000273D4"/>
    <w:rsid w:val="000276C6"/>
    <w:rsid w:val="00030D87"/>
    <w:rsid w:val="00031037"/>
    <w:rsid w:val="0003197A"/>
    <w:rsid w:val="000326E1"/>
    <w:rsid w:val="000329F4"/>
    <w:rsid w:val="000336B3"/>
    <w:rsid w:val="000336CB"/>
    <w:rsid w:val="00034507"/>
    <w:rsid w:val="00034965"/>
    <w:rsid w:val="00034A7D"/>
    <w:rsid w:val="00034E77"/>
    <w:rsid w:val="00034F74"/>
    <w:rsid w:val="00036B50"/>
    <w:rsid w:val="00036E46"/>
    <w:rsid w:val="00037829"/>
    <w:rsid w:val="000410C0"/>
    <w:rsid w:val="00041199"/>
    <w:rsid w:val="000422AD"/>
    <w:rsid w:val="000424C9"/>
    <w:rsid w:val="000433AD"/>
    <w:rsid w:val="00043E85"/>
    <w:rsid w:val="0004494B"/>
    <w:rsid w:val="000450D9"/>
    <w:rsid w:val="00045626"/>
    <w:rsid w:val="00045C8E"/>
    <w:rsid w:val="00045CFE"/>
    <w:rsid w:val="000464D0"/>
    <w:rsid w:val="000466A4"/>
    <w:rsid w:val="000468F5"/>
    <w:rsid w:val="000469B3"/>
    <w:rsid w:val="00046FE8"/>
    <w:rsid w:val="00047C4C"/>
    <w:rsid w:val="00047DF1"/>
    <w:rsid w:val="000500D6"/>
    <w:rsid w:val="00050318"/>
    <w:rsid w:val="000508C2"/>
    <w:rsid w:val="00050BDE"/>
    <w:rsid w:val="00051170"/>
    <w:rsid w:val="0005127D"/>
    <w:rsid w:val="00051882"/>
    <w:rsid w:val="000539C2"/>
    <w:rsid w:val="00053C6F"/>
    <w:rsid w:val="00053FA6"/>
    <w:rsid w:val="000542B2"/>
    <w:rsid w:val="00054323"/>
    <w:rsid w:val="000549B7"/>
    <w:rsid w:val="00054C62"/>
    <w:rsid w:val="00056852"/>
    <w:rsid w:val="000569D7"/>
    <w:rsid w:val="00057567"/>
    <w:rsid w:val="00057F98"/>
    <w:rsid w:val="000601DB"/>
    <w:rsid w:val="0006081E"/>
    <w:rsid w:val="00061836"/>
    <w:rsid w:val="00061E7E"/>
    <w:rsid w:val="00062C1A"/>
    <w:rsid w:val="000638C6"/>
    <w:rsid w:val="00063A4A"/>
    <w:rsid w:val="00063E59"/>
    <w:rsid w:val="00063E92"/>
    <w:rsid w:val="00063EED"/>
    <w:rsid w:val="00064B6E"/>
    <w:rsid w:val="0006677D"/>
    <w:rsid w:val="00066D47"/>
    <w:rsid w:val="000678C7"/>
    <w:rsid w:val="0007094D"/>
    <w:rsid w:val="00070DB0"/>
    <w:rsid w:val="00070DEA"/>
    <w:rsid w:val="000717F3"/>
    <w:rsid w:val="00071B0C"/>
    <w:rsid w:val="0007235C"/>
    <w:rsid w:val="00072494"/>
    <w:rsid w:val="000736EA"/>
    <w:rsid w:val="00073D71"/>
    <w:rsid w:val="0007493D"/>
    <w:rsid w:val="00075366"/>
    <w:rsid w:val="00075847"/>
    <w:rsid w:val="000762FA"/>
    <w:rsid w:val="000765E6"/>
    <w:rsid w:val="000766A5"/>
    <w:rsid w:val="00076A68"/>
    <w:rsid w:val="00077517"/>
    <w:rsid w:val="00077E14"/>
    <w:rsid w:val="0008045E"/>
    <w:rsid w:val="0008047F"/>
    <w:rsid w:val="000815C5"/>
    <w:rsid w:val="00081BEB"/>
    <w:rsid w:val="0008287A"/>
    <w:rsid w:val="000829C8"/>
    <w:rsid w:val="00083244"/>
    <w:rsid w:val="000834F9"/>
    <w:rsid w:val="0008357F"/>
    <w:rsid w:val="000838EC"/>
    <w:rsid w:val="000839E3"/>
    <w:rsid w:val="0008405D"/>
    <w:rsid w:val="00084175"/>
    <w:rsid w:val="000842A6"/>
    <w:rsid w:val="000846B4"/>
    <w:rsid w:val="000858CF"/>
    <w:rsid w:val="00086BDA"/>
    <w:rsid w:val="000878AD"/>
    <w:rsid w:val="000900A7"/>
    <w:rsid w:val="0009039E"/>
    <w:rsid w:val="00090F20"/>
    <w:rsid w:val="00090F4E"/>
    <w:rsid w:val="00091935"/>
    <w:rsid w:val="00091EB6"/>
    <w:rsid w:val="000924D2"/>
    <w:rsid w:val="00092BED"/>
    <w:rsid w:val="00093724"/>
    <w:rsid w:val="00093AD2"/>
    <w:rsid w:val="0009412F"/>
    <w:rsid w:val="00094CD0"/>
    <w:rsid w:val="000958DD"/>
    <w:rsid w:val="00095A70"/>
    <w:rsid w:val="0009696D"/>
    <w:rsid w:val="0009725A"/>
    <w:rsid w:val="00097316"/>
    <w:rsid w:val="000A0B0F"/>
    <w:rsid w:val="000A1374"/>
    <w:rsid w:val="000A15FB"/>
    <w:rsid w:val="000A2015"/>
    <w:rsid w:val="000A2428"/>
    <w:rsid w:val="000A2431"/>
    <w:rsid w:val="000A271F"/>
    <w:rsid w:val="000A2C47"/>
    <w:rsid w:val="000A4338"/>
    <w:rsid w:val="000A461E"/>
    <w:rsid w:val="000A4686"/>
    <w:rsid w:val="000A4BD2"/>
    <w:rsid w:val="000A4F0D"/>
    <w:rsid w:val="000A56C8"/>
    <w:rsid w:val="000A654A"/>
    <w:rsid w:val="000A6D06"/>
    <w:rsid w:val="000A7F98"/>
    <w:rsid w:val="000B2020"/>
    <w:rsid w:val="000B27E3"/>
    <w:rsid w:val="000B2B6C"/>
    <w:rsid w:val="000B2D7F"/>
    <w:rsid w:val="000B2FD4"/>
    <w:rsid w:val="000B3908"/>
    <w:rsid w:val="000B416C"/>
    <w:rsid w:val="000B421A"/>
    <w:rsid w:val="000B4ECE"/>
    <w:rsid w:val="000B4FB8"/>
    <w:rsid w:val="000B5771"/>
    <w:rsid w:val="000B5DC7"/>
    <w:rsid w:val="000B5ECB"/>
    <w:rsid w:val="000B7256"/>
    <w:rsid w:val="000B7370"/>
    <w:rsid w:val="000B79CA"/>
    <w:rsid w:val="000B7B0C"/>
    <w:rsid w:val="000C02F2"/>
    <w:rsid w:val="000C034A"/>
    <w:rsid w:val="000C091A"/>
    <w:rsid w:val="000C0E86"/>
    <w:rsid w:val="000C0FF9"/>
    <w:rsid w:val="000C1432"/>
    <w:rsid w:val="000C1A59"/>
    <w:rsid w:val="000C25E0"/>
    <w:rsid w:val="000C31F4"/>
    <w:rsid w:val="000C37FB"/>
    <w:rsid w:val="000C4003"/>
    <w:rsid w:val="000C46A1"/>
    <w:rsid w:val="000C4B21"/>
    <w:rsid w:val="000C52E7"/>
    <w:rsid w:val="000C5F45"/>
    <w:rsid w:val="000C5FC9"/>
    <w:rsid w:val="000C685F"/>
    <w:rsid w:val="000C72D2"/>
    <w:rsid w:val="000C730C"/>
    <w:rsid w:val="000C7A44"/>
    <w:rsid w:val="000D14EA"/>
    <w:rsid w:val="000D1B3A"/>
    <w:rsid w:val="000D21D1"/>
    <w:rsid w:val="000D75E1"/>
    <w:rsid w:val="000D7DCF"/>
    <w:rsid w:val="000E0EAF"/>
    <w:rsid w:val="000E180B"/>
    <w:rsid w:val="000E189C"/>
    <w:rsid w:val="000E1CE5"/>
    <w:rsid w:val="000E208F"/>
    <w:rsid w:val="000E24D9"/>
    <w:rsid w:val="000E3B9A"/>
    <w:rsid w:val="000E6023"/>
    <w:rsid w:val="000E6134"/>
    <w:rsid w:val="000E6145"/>
    <w:rsid w:val="000E642A"/>
    <w:rsid w:val="000E6CF9"/>
    <w:rsid w:val="000E703C"/>
    <w:rsid w:val="000E7072"/>
    <w:rsid w:val="000E798E"/>
    <w:rsid w:val="000E7D44"/>
    <w:rsid w:val="000F0444"/>
    <w:rsid w:val="000F0634"/>
    <w:rsid w:val="000F07EE"/>
    <w:rsid w:val="000F0CB4"/>
    <w:rsid w:val="000F12BC"/>
    <w:rsid w:val="000F1389"/>
    <w:rsid w:val="000F13B0"/>
    <w:rsid w:val="000F2B17"/>
    <w:rsid w:val="000F31B3"/>
    <w:rsid w:val="000F31D9"/>
    <w:rsid w:val="000F3B03"/>
    <w:rsid w:val="000F4754"/>
    <w:rsid w:val="000F4761"/>
    <w:rsid w:val="000F50A7"/>
    <w:rsid w:val="000F53EA"/>
    <w:rsid w:val="000F60F0"/>
    <w:rsid w:val="000F7BBC"/>
    <w:rsid w:val="000F7C6A"/>
    <w:rsid w:val="00101732"/>
    <w:rsid w:val="0010229C"/>
    <w:rsid w:val="0010345B"/>
    <w:rsid w:val="00103DAD"/>
    <w:rsid w:val="0010450E"/>
    <w:rsid w:val="00104AAC"/>
    <w:rsid w:val="00104B34"/>
    <w:rsid w:val="00104BB4"/>
    <w:rsid w:val="00104C1B"/>
    <w:rsid w:val="00104E5B"/>
    <w:rsid w:val="00104FDB"/>
    <w:rsid w:val="00106414"/>
    <w:rsid w:val="001064C7"/>
    <w:rsid w:val="001066B5"/>
    <w:rsid w:val="00106E58"/>
    <w:rsid w:val="00107C69"/>
    <w:rsid w:val="00107D08"/>
    <w:rsid w:val="00107D68"/>
    <w:rsid w:val="0011028B"/>
    <w:rsid w:val="00110598"/>
    <w:rsid w:val="001105E2"/>
    <w:rsid w:val="00111239"/>
    <w:rsid w:val="00111F24"/>
    <w:rsid w:val="00112EC8"/>
    <w:rsid w:val="0011461F"/>
    <w:rsid w:val="001156ED"/>
    <w:rsid w:val="00115724"/>
    <w:rsid w:val="0011580E"/>
    <w:rsid w:val="00115CFF"/>
    <w:rsid w:val="001161C4"/>
    <w:rsid w:val="00116B37"/>
    <w:rsid w:val="00117D30"/>
    <w:rsid w:val="00120B40"/>
    <w:rsid w:val="00120F16"/>
    <w:rsid w:val="00121C5E"/>
    <w:rsid w:val="001224AB"/>
    <w:rsid w:val="001229EE"/>
    <w:rsid w:val="00122CAF"/>
    <w:rsid w:val="00122FA2"/>
    <w:rsid w:val="00123A9A"/>
    <w:rsid w:val="00123AD4"/>
    <w:rsid w:val="00123D13"/>
    <w:rsid w:val="0012477D"/>
    <w:rsid w:val="0012494C"/>
    <w:rsid w:val="00131215"/>
    <w:rsid w:val="0013145B"/>
    <w:rsid w:val="001317F3"/>
    <w:rsid w:val="001321C4"/>
    <w:rsid w:val="00133E10"/>
    <w:rsid w:val="001358A9"/>
    <w:rsid w:val="00137A11"/>
    <w:rsid w:val="00137AEC"/>
    <w:rsid w:val="00140435"/>
    <w:rsid w:val="00141ED5"/>
    <w:rsid w:val="00142222"/>
    <w:rsid w:val="001424DA"/>
    <w:rsid w:val="00142837"/>
    <w:rsid w:val="0014320D"/>
    <w:rsid w:val="00144109"/>
    <w:rsid w:val="0014412D"/>
    <w:rsid w:val="00144320"/>
    <w:rsid w:val="00144AC5"/>
    <w:rsid w:val="00145596"/>
    <w:rsid w:val="00145DF3"/>
    <w:rsid w:val="0014604A"/>
    <w:rsid w:val="00147322"/>
    <w:rsid w:val="00147B93"/>
    <w:rsid w:val="00147C3A"/>
    <w:rsid w:val="00151FDD"/>
    <w:rsid w:val="001531BA"/>
    <w:rsid w:val="001531DC"/>
    <w:rsid w:val="00153B9A"/>
    <w:rsid w:val="001541FF"/>
    <w:rsid w:val="001544DE"/>
    <w:rsid w:val="00154D91"/>
    <w:rsid w:val="00155291"/>
    <w:rsid w:val="00155563"/>
    <w:rsid w:val="00155B2F"/>
    <w:rsid w:val="00156C6D"/>
    <w:rsid w:val="00156D53"/>
    <w:rsid w:val="00156F8A"/>
    <w:rsid w:val="001576F3"/>
    <w:rsid w:val="00157B41"/>
    <w:rsid w:val="001600DB"/>
    <w:rsid w:val="00160A3A"/>
    <w:rsid w:val="001614DA"/>
    <w:rsid w:val="0016189B"/>
    <w:rsid w:val="00162749"/>
    <w:rsid w:val="001629BC"/>
    <w:rsid w:val="00162B4B"/>
    <w:rsid w:val="00163263"/>
    <w:rsid w:val="0016329E"/>
    <w:rsid w:val="00163F28"/>
    <w:rsid w:val="00165BD8"/>
    <w:rsid w:val="00165C18"/>
    <w:rsid w:val="00166037"/>
    <w:rsid w:val="00166041"/>
    <w:rsid w:val="001664A7"/>
    <w:rsid w:val="001670A8"/>
    <w:rsid w:val="001674A4"/>
    <w:rsid w:val="00167D10"/>
    <w:rsid w:val="00170036"/>
    <w:rsid w:val="00170392"/>
    <w:rsid w:val="00170A2E"/>
    <w:rsid w:val="0017116A"/>
    <w:rsid w:val="001715E8"/>
    <w:rsid w:val="001715FE"/>
    <w:rsid w:val="00171C92"/>
    <w:rsid w:val="00171D34"/>
    <w:rsid w:val="00171E3D"/>
    <w:rsid w:val="001722AD"/>
    <w:rsid w:val="0017234E"/>
    <w:rsid w:val="00172F5B"/>
    <w:rsid w:val="00173730"/>
    <w:rsid w:val="00174740"/>
    <w:rsid w:val="001752BE"/>
    <w:rsid w:val="001753DF"/>
    <w:rsid w:val="0018023A"/>
    <w:rsid w:val="00180FBF"/>
    <w:rsid w:val="00181377"/>
    <w:rsid w:val="00182072"/>
    <w:rsid w:val="00182728"/>
    <w:rsid w:val="00182F82"/>
    <w:rsid w:val="0018430C"/>
    <w:rsid w:val="00184373"/>
    <w:rsid w:val="001851D6"/>
    <w:rsid w:val="00185594"/>
    <w:rsid w:val="001857D6"/>
    <w:rsid w:val="00185AA9"/>
    <w:rsid w:val="00185B94"/>
    <w:rsid w:val="00185DBF"/>
    <w:rsid w:val="00185FE1"/>
    <w:rsid w:val="001860B6"/>
    <w:rsid w:val="0018623A"/>
    <w:rsid w:val="00186817"/>
    <w:rsid w:val="00186F0D"/>
    <w:rsid w:val="001873BC"/>
    <w:rsid w:val="00187508"/>
    <w:rsid w:val="001879A2"/>
    <w:rsid w:val="00190FD1"/>
    <w:rsid w:val="001910D3"/>
    <w:rsid w:val="00191A16"/>
    <w:rsid w:val="00193FAE"/>
    <w:rsid w:val="00194844"/>
    <w:rsid w:val="00194D96"/>
    <w:rsid w:val="001953AD"/>
    <w:rsid w:val="00195627"/>
    <w:rsid w:val="00195AE9"/>
    <w:rsid w:val="00195CB8"/>
    <w:rsid w:val="0019683B"/>
    <w:rsid w:val="001973F1"/>
    <w:rsid w:val="00197502"/>
    <w:rsid w:val="00197CF0"/>
    <w:rsid w:val="001A0AD8"/>
    <w:rsid w:val="001A164A"/>
    <w:rsid w:val="001A1BF0"/>
    <w:rsid w:val="001A202A"/>
    <w:rsid w:val="001A2084"/>
    <w:rsid w:val="001A32EC"/>
    <w:rsid w:val="001A38F3"/>
    <w:rsid w:val="001A3A4B"/>
    <w:rsid w:val="001A3EE3"/>
    <w:rsid w:val="001A4431"/>
    <w:rsid w:val="001A44E9"/>
    <w:rsid w:val="001A4D85"/>
    <w:rsid w:val="001A4FF4"/>
    <w:rsid w:val="001A6469"/>
    <w:rsid w:val="001A6737"/>
    <w:rsid w:val="001A7C3B"/>
    <w:rsid w:val="001B1D6B"/>
    <w:rsid w:val="001B2EE8"/>
    <w:rsid w:val="001B33C0"/>
    <w:rsid w:val="001B470C"/>
    <w:rsid w:val="001B491D"/>
    <w:rsid w:val="001B4F36"/>
    <w:rsid w:val="001B5559"/>
    <w:rsid w:val="001B6366"/>
    <w:rsid w:val="001B79C9"/>
    <w:rsid w:val="001C02BA"/>
    <w:rsid w:val="001C0864"/>
    <w:rsid w:val="001C0E4B"/>
    <w:rsid w:val="001C1B4F"/>
    <w:rsid w:val="001C24E2"/>
    <w:rsid w:val="001C255A"/>
    <w:rsid w:val="001C2CB9"/>
    <w:rsid w:val="001C3241"/>
    <w:rsid w:val="001C3510"/>
    <w:rsid w:val="001C410D"/>
    <w:rsid w:val="001C42AB"/>
    <w:rsid w:val="001C504A"/>
    <w:rsid w:val="001C51F3"/>
    <w:rsid w:val="001C5BD1"/>
    <w:rsid w:val="001C5C59"/>
    <w:rsid w:val="001C65EF"/>
    <w:rsid w:val="001C67EE"/>
    <w:rsid w:val="001C6BE0"/>
    <w:rsid w:val="001C6E4C"/>
    <w:rsid w:val="001C7126"/>
    <w:rsid w:val="001C79EA"/>
    <w:rsid w:val="001C7D27"/>
    <w:rsid w:val="001C7D2E"/>
    <w:rsid w:val="001C7E11"/>
    <w:rsid w:val="001D11AB"/>
    <w:rsid w:val="001D1DFB"/>
    <w:rsid w:val="001D2174"/>
    <w:rsid w:val="001D246A"/>
    <w:rsid w:val="001D2551"/>
    <w:rsid w:val="001D2606"/>
    <w:rsid w:val="001D2A30"/>
    <w:rsid w:val="001D2A97"/>
    <w:rsid w:val="001D2B20"/>
    <w:rsid w:val="001D2D0F"/>
    <w:rsid w:val="001D3248"/>
    <w:rsid w:val="001D3892"/>
    <w:rsid w:val="001D455F"/>
    <w:rsid w:val="001D49C0"/>
    <w:rsid w:val="001D49D4"/>
    <w:rsid w:val="001D4CF5"/>
    <w:rsid w:val="001D6128"/>
    <w:rsid w:val="001D70BF"/>
    <w:rsid w:val="001D7645"/>
    <w:rsid w:val="001D772C"/>
    <w:rsid w:val="001D77E3"/>
    <w:rsid w:val="001D7E49"/>
    <w:rsid w:val="001E0287"/>
    <w:rsid w:val="001E02B8"/>
    <w:rsid w:val="001E02C6"/>
    <w:rsid w:val="001E048F"/>
    <w:rsid w:val="001E0A2A"/>
    <w:rsid w:val="001E1545"/>
    <w:rsid w:val="001E18D9"/>
    <w:rsid w:val="001E1D47"/>
    <w:rsid w:val="001E21C3"/>
    <w:rsid w:val="001E25A7"/>
    <w:rsid w:val="001E3128"/>
    <w:rsid w:val="001E33BF"/>
    <w:rsid w:val="001E3414"/>
    <w:rsid w:val="001E36F5"/>
    <w:rsid w:val="001E3A68"/>
    <w:rsid w:val="001E4008"/>
    <w:rsid w:val="001E488E"/>
    <w:rsid w:val="001E4DE1"/>
    <w:rsid w:val="001E5589"/>
    <w:rsid w:val="001E5E0E"/>
    <w:rsid w:val="001F0730"/>
    <w:rsid w:val="001F0C12"/>
    <w:rsid w:val="001F0F48"/>
    <w:rsid w:val="001F153C"/>
    <w:rsid w:val="001F18E3"/>
    <w:rsid w:val="001F2C9D"/>
    <w:rsid w:val="001F306B"/>
    <w:rsid w:val="001F341E"/>
    <w:rsid w:val="001F3DA5"/>
    <w:rsid w:val="001F54B7"/>
    <w:rsid w:val="001F5CEB"/>
    <w:rsid w:val="00201D23"/>
    <w:rsid w:val="002023F6"/>
    <w:rsid w:val="0020343C"/>
    <w:rsid w:val="00203640"/>
    <w:rsid w:val="00203823"/>
    <w:rsid w:val="00204059"/>
    <w:rsid w:val="00204B4C"/>
    <w:rsid w:val="00205375"/>
    <w:rsid w:val="00205680"/>
    <w:rsid w:val="0020631C"/>
    <w:rsid w:val="002068A5"/>
    <w:rsid w:val="0020786F"/>
    <w:rsid w:val="0021019D"/>
    <w:rsid w:val="00210324"/>
    <w:rsid w:val="00210946"/>
    <w:rsid w:val="00211C44"/>
    <w:rsid w:val="002129DF"/>
    <w:rsid w:val="00212DA7"/>
    <w:rsid w:val="00213450"/>
    <w:rsid w:val="00213B15"/>
    <w:rsid w:val="00215816"/>
    <w:rsid w:val="00215E0C"/>
    <w:rsid w:val="00216AFB"/>
    <w:rsid w:val="00217264"/>
    <w:rsid w:val="00217A78"/>
    <w:rsid w:val="002209B1"/>
    <w:rsid w:val="0022223F"/>
    <w:rsid w:val="002226C2"/>
    <w:rsid w:val="00222AAA"/>
    <w:rsid w:val="0022445C"/>
    <w:rsid w:val="00224516"/>
    <w:rsid w:val="002257E2"/>
    <w:rsid w:val="00225FEF"/>
    <w:rsid w:val="002267A1"/>
    <w:rsid w:val="002271B0"/>
    <w:rsid w:val="002300E6"/>
    <w:rsid w:val="00230BA3"/>
    <w:rsid w:val="00232217"/>
    <w:rsid w:val="002324E2"/>
    <w:rsid w:val="002327F4"/>
    <w:rsid w:val="0023298A"/>
    <w:rsid w:val="002333CB"/>
    <w:rsid w:val="00234635"/>
    <w:rsid w:val="002348F5"/>
    <w:rsid w:val="0023496D"/>
    <w:rsid w:val="00234A99"/>
    <w:rsid w:val="0023526F"/>
    <w:rsid w:val="002373DF"/>
    <w:rsid w:val="00237DBC"/>
    <w:rsid w:val="00241C89"/>
    <w:rsid w:val="00242550"/>
    <w:rsid w:val="00244841"/>
    <w:rsid w:val="00244A7D"/>
    <w:rsid w:val="00244D4F"/>
    <w:rsid w:val="0024580F"/>
    <w:rsid w:val="00245C1B"/>
    <w:rsid w:val="00245D1E"/>
    <w:rsid w:val="00250A02"/>
    <w:rsid w:val="002513DB"/>
    <w:rsid w:val="002516F1"/>
    <w:rsid w:val="0025191D"/>
    <w:rsid w:val="00252134"/>
    <w:rsid w:val="0025268E"/>
    <w:rsid w:val="00254113"/>
    <w:rsid w:val="00254830"/>
    <w:rsid w:val="002548D7"/>
    <w:rsid w:val="00254D81"/>
    <w:rsid w:val="00256344"/>
    <w:rsid w:val="00256826"/>
    <w:rsid w:val="00257046"/>
    <w:rsid w:val="00257232"/>
    <w:rsid w:val="00257672"/>
    <w:rsid w:val="00261A2C"/>
    <w:rsid w:val="002620ED"/>
    <w:rsid w:val="00262298"/>
    <w:rsid w:val="00262EB8"/>
    <w:rsid w:val="002632C5"/>
    <w:rsid w:val="00263F89"/>
    <w:rsid w:val="0026413D"/>
    <w:rsid w:val="0026427A"/>
    <w:rsid w:val="0026433C"/>
    <w:rsid w:val="00264428"/>
    <w:rsid w:val="00264A00"/>
    <w:rsid w:val="002650C3"/>
    <w:rsid w:val="002655C5"/>
    <w:rsid w:val="00265CF5"/>
    <w:rsid w:val="00265DD8"/>
    <w:rsid w:val="00265F7A"/>
    <w:rsid w:val="002661ED"/>
    <w:rsid w:val="00266356"/>
    <w:rsid w:val="0026716D"/>
    <w:rsid w:val="002678FF"/>
    <w:rsid w:val="00267AB1"/>
    <w:rsid w:val="0027021D"/>
    <w:rsid w:val="00270426"/>
    <w:rsid w:val="00270E21"/>
    <w:rsid w:val="00272030"/>
    <w:rsid w:val="00272FAD"/>
    <w:rsid w:val="00273114"/>
    <w:rsid w:val="002748DC"/>
    <w:rsid w:val="00275214"/>
    <w:rsid w:val="00275E7B"/>
    <w:rsid w:val="00276CF3"/>
    <w:rsid w:val="00280893"/>
    <w:rsid w:val="00280E2D"/>
    <w:rsid w:val="00280FC0"/>
    <w:rsid w:val="002813A1"/>
    <w:rsid w:val="002815C4"/>
    <w:rsid w:val="00281C31"/>
    <w:rsid w:val="00282AAF"/>
    <w:rsid w:val="0028357B"/>
    <w:rsid w:val="00283AC9"/>
    <w:rsid w:val="00283EC8"/>
    <w:rsid w:val="00284399"/>
    <w:rsid w:val="002857AA"/>
    <w:rsid w:val="002859C4"/>
    <w:rsid w:val="00286CFE"/>
    <w:rsid w:val="00287B68"/>
    <w:rsid w:val="002901EF"/>
    <w:rsid w:val="00290A89"/>
    <w:rsid w:val="002914DC"/>
    <w:rsid w:val="0029199F"/>
    <w:rsid w:val="00291B76"/>
    <w:rsid w:val="00292A30"/>
    <w:rsid w:val="0029312B"/>
    <w:rsid w:val="00294043"/>
    <w:rsid w:val="002951D4"/>
    <w:rsid w:val="00295B06"/>
    <w:rsid w:val="00295FA2"/>
    <w:rsid w:val="002964C4"/>
    <w:rsid w:val="00296567"/>
    <w:rsid w:val="00296EA5"/>
    <w:rsid w:val="002979CE"/>
    <w:rsid w:val="002A1051"/>
    <w:rsid w:val="002A156E"/>
    <w:rsid w:val="002A2A09"/>
    <w:rsid w:val="002A3848"/>
    <w:rsid w:val="002A3D50"/>
    <w:rsid w:val="002A4208"/>
    <w:rsid w:val="002A4582"/>
    <w:rsid w:val="002A4611"/>
    <w:rsid w:val="002A4B9B"/>
    <w:rsid w:val="002A548D"/>
    <w:rsid w:val="002A60E7"/>
    <w:rsid w:val="002A68EF"/>
    <w:rsid w:val="002A6CEF"/>
    <w:rsid w:val="002A7F4F"/>
    <w:rsid w:val="002B0E10"/>
    <w:rsid w:val="002B0FD4"/>
    <w:rsid w:val="002B0FFF"/>
    <w:rsid w:val="002B1C53"/>
    <w:rsid w:val="002B1E9D"/>
    <w:rsid w:val="002B1F17"/>
    <w:rsid w:val="002B2C96"/>
    <w:rsid w:val="002B30A9"/>
    <w:rsid w:val="002B3294"/>
    <w:rsid w:val="002B36B5"/>
    <w:rsid w:val="002B3CC0"/>
    <w:rsid w:val="002B465F"/>
    <w:rsid w:val="002B48FB"/>
    <w:rsid w:val="002B49AF"/>
    <w:rsid w:val="002B4ABE"/>
    <w:rsid w:val="002B5777"/>
    <w:rsid w:val="002B5FD2"/>
    <w:rsid w:val="002B706A"/>
    <w:rsid w:val="002B7438"/>
    <w:rsid w:val="002C02CF"/>
    <w:rsid w:val="002C0C4E"/>
    <w:rsid w:val="002C27C0"/>
    <w:rsid w:val="002C3BB6"/>
    <w:rsid w:val="002C42C7"/>
    <w:rsid w:val="002C46AD"/>
    <w:rsid w:val="002C4B14"/>
    <w:rsid w:val="002C5242"/>
    <w:rsid w:val="002C6806"/>
    <w:rsid w:val="002C6A39"/>
    <w:rsid w:val="002C6A4D"/>
    <w:rsid w:val="002C735A"/>
    <w:rsid w:val="002C7580"/>
    <w:rsid w:val="002C7589"/>
    <w:rsid w:val="002C7CB2"/>
    <w:rsid w:val="002D0B31"/>
    <w:rsid w:val="002D0DD5"/>
    <w:rsid w:val="002D1698"/>
    <w:rsid w:val="002D2BD1"/>
    <w:rsid w:val="002D3454"/>
    <w:rsid w:val="002D4289"/>
    <w:rsid w:val="002D4348"/>
    <w:rsid w:val="002D4494"/>
    <w:rsid w:val="002D4771"/>
    <w:rsid w:val="002D516A"/>
    <w:rsid w:val="002D695E"/>
    <w:rsid w:val="002D79F8"/>
    <w:rsid w:val="002E02A1"/>
    <w:rsid w:val="002E0371"/>
    <w:rsid w:val="002E10D5"/>
    <w:rsid w:val="002E2A0E"/>
    <w:rsid w:val="002E31F0"/>
    <w:rsid w:val="002E388A"/>
    <w:rsid w:val="002E523F"/>
    <w:rsid w:val="002E59C6"/>
    <w:rsid w:val="002E59F7"/>
    <w:rsid w:val="002E6DEA"/>
    <w:rsid w:val="002F042E"/>
    <w:rsid w:val="002F0757"/>
    <w:rsid w:val="002F092B"/>
    <w:rsid w:val="002F0AD5"/>
    <w:rsid w:val="002F0B92"/>
    <w:rsid w:val="002F1208"/>
    <w:rsid w:val="002F16E9"/>
    <w:rsid w:val="002F1FEA"/>
    <w:rsid w:val="002F2A97"/>
    <w:rsid w:val="002F3A64"/>
    <w:rsid w:val="002F4C74"/>
    <w:rsid w:val="002F5249"/>
    <w:rsid w:val="002F580C"/>
    <w:rsid w:val="002F5EFF"/>
    <w:rsid w:val="002F62D7"/>
    <w:rsid w:val="002F6DCA"/>
    <w:rsid w:val="002F76A1"/>
    <w:rsid w:val="002F78D5"/>
    <w:rsid w:val="002F795B"/>
    <w:rsid w:val="002F7F2E"/>
    <w:rsid w:val="0030087B"/>
    <w:rsid w:val="00300A99"/>
    <w:rsid w:val="00300BCE"/>
    <w:rsid w:val="00301894"/>
    <w:rsid w:val="00302928"/>
    <w:rsid w:val="0030403A"/>
    <w:rsid w:val="0030580B"/>
    <w:rsid w:val="00306DE1"/>
    <w:rsid w:val="00307650"/>
    <w:rsid w:val="003079C4"/>
    <w:rsid w:val="00307FCF"/>
    <w:rsid w:val="003102D9"/>
    <w:rsid w:val="003104E6"/>
    <w:rsid w:val="0031063C"/>
    <w:rsid w:val="003111B3"/>
    <w:rsid w:val="00312253"/>
    <w:rsid w:val="0031225B"/>
    <w:rsid w:val="00312C6A"/>
    <w:rsid w:val="00312E5A"/>
    <w:rsid w:val="00313009"/>
    <w:rsid w:val="003132F1"/>
    <w:rsid w:val="003155A2"/>
    <w:rsid w:val="00315B51"/>
    <w:rsid w:val="00315F0D"/>
    <w:rsid w:val="00316045"/>
    <w:rsid w:val="00316492"/>
    <w:rsid w:val="00316E15"/>
    <w:rsid w:val="00320832"/>
    <w:rsid w:val="00320DD1"/>
    <w:rsid w:val="00320E04"/>
    <w:rsid w:val="00321AA5"/>
    <w:rsid w:val="00321ED1"/>
    <w:rsid w:val="003225A5"/>
    <w:rsid w:val="00323833"/>
    <w:rsid w:val="0032461A"/>
    <w:rsid w:val="00324B21"/>
    <w:rsid w:val="003253D0"/>
    <w:rsid w:val="00325918"/>
    <w:rsid w:val="00325C74"/>
    <w:rsid w:val="0032615C"/>
    <w:rsid w:val="00326A92"/>
    <w:rsid w:val="003305CF"/>
    <w:rsid w:val="00330630"/>
    <w:rsid w:val="00330646"/>
    <w:rsid w:val="00330866"/>
    <w:rsid w:val="003309D7"/>
    <w:rsid w:val="00332528"/>
    <w:rsid w:val="0033315B"/>
    <w:rsid w:val="003331BE"/>
    <w:rsid w:val="003333B5"/>
    <w:rsid w:val="00333462"/>
    <w:rsid w:val="00335BEF"/>
    <w:rsid w:val="00335D70"/>
    <w:rsid w:val="00336037"/>
    <w:rsid w:val="00336429"/>
    <w:rsid w:val="00336549"/>
    <w:rsid w:val="003372E9"/>
    <w:rsid w:val="00337479"/>
    <w:rsid w:val="00340F40"/>
    <w:rsid w:val="00342AD3"/>
    <w:rsid w:val="00343C70"/>
    <w:rsid w:val="003442DA"/>
    <w:rsid w:val="00344830"/>
    <w:rsid w:val="003460D3"/>
    <w:rsid w:val="003463A3"/>
    <w:rsid w:val="003466F9"/>
    <w:rsid w:val="00346A52"/>
    <w:rsid w:val="00346B7C"/>
    <w:rsid w:val="00346B84"/>
    <w:rsid w:val="003474DE"/>
    <w:rsid w:val="003500ED"/>
    <w:rsid w:val="00350944"/>
    <w:rsid w:val="00351751"/>
    <w:rsid w:val="00351978"/>
    <w:rsid w:val="00351E2F"/>
    <w:rsid w:val="00351ED8"/>
    <w:rsid w:val="00353691"/>
    <w:rsid w:val="00354226"/>
    <w:rsid w:val="003545FF"/>
    <w:rsid w:val="00354702"/>
    <w:rsid w:val="00355CD3"/>
    <w:rsid w:val="00355CE4"/>
    <w:rsid w:val="0035781B"/>
    <w:rsid w:val="00357C34"/>
    <w:rsid w:val="00357DE1"/>
    <w:rsid w:val="003602CE"/>
    <w:rsid w:val="00360B79"/>
    <w:rsid w:val="003614B4"/>
    <w:rsid w:val="00363401"/>
    <w:rsid w:val="00363518"/>
    <w:rsid w:val="00363529"/>
    <w:rsid w:val="00363620"/>
    <w:rsid w:val="003641C3"/>
    <w:rsid w:val="00365153"/>
    <w:rsid w:val="00365C4B"/>
    <w:rsid w:val="0036676D"/>
    <w:rsid w:val="003671A9"/>
    <w:rsid w:val="00367315"/>
    <w:rsid w:val="0036753F"/>
    <w:rsid w:val="00370922"/>
    <w:rsid w:val="00370FFA"/>
    <w:rsid w:val="003710BE"/>
    <w:rsid w:val="0037227D"/>
    <w:rsid w:val="00372C6F"/>
    <w:rsid w:val="00372D39"/>
    <w:rsid w:val="003730C8"/>
    <w:rsid w:val="003734D7"/>
    <w:rsid w:val="00373C52"/>
    <w:rsid w:val="00373FC4"/>
    <w:rsid w:val="00374337"/>
    <w:rsid w:val="00374430"/>
    <w:rsid w:val="003749C1"/>
    <w:rsid w:val="00374B21"/>
    <w:rsid w:val="00375DE8"/>
    <w:rsid w:val="003762C9"/>
    <w:rsid w:val="00381CDD"/>
    <w:rsid w:val="00382385"/>
    <w:rsid w:val="0038298A"/>
    <w:rsid w:val="00382C99"/>
    <w:rsid w:val="00382D89"/>
    <w:rsid w:val="00382DED"/>
    <w:rsid w:val="00382F4A"/>
    <w:rsid w:val="00383623"/>
    <w:rsid w:val="003836F5"/>
    <w:rsid w:val="00384127"/>
    <w:rsid w:val="00384A93"/>
    <w:rsid w:val="00384D68"/>
    <w:rsid w:val="00384D98"/>
    <w:rsid w:val="0038531B"/>
    <w:rsid w:val="00385CDD"/>
    <w:rsid w:val="00385E73"/>
    <w:rsid w:val="0038680C"/>
    <w:rsid w:val="00386AC0"/>
    <w:rsid w:val="00386B1E"/>
    <w:rsid w:val="00387C0B"/>
    <w:rsid w:val="00387C2E"/>
    <w:rsid w:val="003903CE"/>
    <w:rsid w:val="00392E47"/>
    <w:rsid w:val="00393034"/>
    <w:rsid w:val="00393455"/>
    <w:rsid w:val="0039366A"/>
    <w:rsid w:val="00393EB8"/>
    <w:rsid w:val="00393FCC"/>
    <w:rsid w:val="00394035"/>
    <w:rsid w:val="00394A0F"/>
    <w:rsid w:val="00394B65"/>
    <w:rsid w:val="00394CB6"/>
    <w:rsid w:val="00394FCF"/>
    <w:rsid w:val="00395C02"/>
    <w:rsid w:val="003962D2"/>
    <w:rsid w:val="003A097A"/>
    <w:rsid w:val="003A11C5"/>
    <w:rsid w:val="003A1C19"/>
    <w:rsid w:val="003A2A50"/>
    <w:rsid w:val="003A2B58"/>
    <w:rsid w:val="003A3126"/>
    <w:rsid w:val="003A34DD"/>
    <w:rsid w:val="003A410E"/>
    <w:rsid w:val="003A44FD"/>
    <w:rsid w:val="003A4602"/>
    <w:rsid w:val="003A548A"/>
    <w:rsid w:val="003A5D94"/>
    <w:rsid w:val="003A7457"/>
    <w:rsid w:val="003A7E6C"/>
    <w:rsid w:val="003A7F25"/>
    <w:rsid w:val="003B016C"/>
    <w:rsid w:val="003B1B31"/>
    <w:rsid w:val="003B3453"/>
    <w:rsid w:val="003B3D8B"/>
    <w:rsid w:val="003B3F65"/>
    <w:rsid w:val="003B40F7"/>
    <w:rsid w:val="003B4449"/>
    <w:rsid w:val="003B5938"/>
    <w:rsid w:val="003B5A6B"/>
    <w:rsid w:val="003B5AAE"/>
    <w:rsid w:val="003B5DE8"/>
    <w:rsid w:val="003B60C9"/>
    <w:rsid w:val="003B67D8"/>
    <w:rsid w:val="003B68AB"/>
    <w:rsid w:val="003B6F37"/>
    <w:rsid w:val="003C0993"/>
    <w:rsid w:val="003C1126"/>
    <w:rsid w:val="003C1375"/>
    <w:rsid w:val="003C157C"/>
    <w:rsid w:val="003C4442"/>
    <w:rsid w:val="003C4628"/>
    <w:rsid w:val="003C4B8A"/>
    <w:rsid w:val="003C5DDA"/>
    <w:rsid w:val="003C61A2"/>
    <w:rsid w:val="003C72A6"/>
    <w:rsid w:val="003C72E3"/>
    <w:rsid w:val="003C7D92"/>
    <w:rsid w:val="003D0689"/>
    <w:rsid w:val="003D0E62"/>
    <w:rsid w:val="003D1172"/>
    <w:rsid w:val="003D15F3"/>
    <w:rsid w:val="003D2B8D"/>
    <w:rsid w:val="003D35A3"/>
    <w:rsid w:val="003D3969"/>
    <w:rsid w:val="003D4500"/>
    <w:rsid w:val="003D49AA"/>
    <w:rsid w:val="003D5021"/>
    <w:rsid w:val="003D6943"/>
    <w:rsid w:val="003D6E85"/>
    <w:rsid w:val="003D6F4E"/>
    <w:rsid w:val="003D7714"/>
    <w:rsid w:val="003D783B"/>
    <w:rsid w:val="003E060D"/>
    <w:rsid w:val="003E0ADC"/>
    <w:rsid w:val="003E1B87"/>
    <w:rsid w:val="003E2BD4"/>
    <w:rsid w:val="003E2C17"/>
    <w:rsid w:val="003E3959"/>
    <w:rsid w:val="003E39CB"/>
    <w:rsid w:val="003E3D12"/>
    <w:rsid w:val="003E41C7"/>
    <w:rsid w:val="003E43DA"/>
    <w:rsid w:val="003E5740"/>
    <w:rsid w:val="003E5B76"/>
    <w:rsid w:val="003E6889"/>
    <w:rsid w:val="003E70CA"/>
    <w:rsid w:val="003E711D"/>
    <w:rsid w:val="003E74FF"/>
    <w:rsid w:val="003E7A17"/>
    <w:rsid w:val="003E7D6C"/>
    <w:rsid w:val="003E7D85"/>
    <w:rsid w:val="003F03AA"/>
    <w:rsid w:val="003F1646"/>
    <w:rsid w:val="003F1CD6"/>
    <w:rsid w:val="003F227A"/>
    <w:rsid w:val="003F2C04"/>
    <w:rsid w:val="003F2EB9"/>
    <w:rsid w:val="003F3841"/>
    <w:rsid w:val="003F4986"/>
    <w:rsid w:val="003F4A45"/>
    <w:rsid w:val="003F51C5"/>
    <w:rsid w:val="003F563C"/>
    <w:rsid w:val="003F5667"/>
    <w:rsid w:val="003F5690"/>
    <w:rsid w:val="003F5D1B"/>
    <w:rsid w:val="003F65DD"/>
    <w:rsid w:val="003F69A5"/>
    <w:rsid w:val="003F72F7"/>
    <w:rsid w:val="003F7472"/>
    <w:rsid w:val="003F78A7"/>
    <w:rsid w:val="004007BE"/>
    <w:rsid w:val="00402517"/>
    <w:rsid w:val="00402960"/>
    <w:rsid w:val="00403188"/>
    <w:rsid w:val="00403774"/>
    <w:rsid w:val="00404016"/>
    <w:rsid w:val="00404910"/>
    <w:rsid w:val="004049AD"/>
    <w:rsid w:val="0040569F"/>
    <w:rsid w:val="00406531"/>
    <w:rsid w:val="00406781"/>
    <w:rsid w:val="004068A5"/>
    <w:rsid w:val="004069C4"/>
    <w:rsid w:val="00406BA3"/>
    <w:rsid w:val="00406D39"/>
    <w:rsid w:val="00407020"/>
    <w:rsid w:val="00410474"/>
    <w:rsid w:val="00411AE5"/>
    <w:rsid w:val="00412400"/>
    <w:rsid w:val="00413773"/>
    <w:rsid w:val="00413B58"/>
    <w:rsid w:val="00413FF1"/>
    <w:rsid w:val="004148A2"/>
    <w:rsid w:val="00414DE8"/>
    <w:rsid w:val="004157F2"/>
    <w:rsid w:val="00415EC4"/>
    <w:rsid w:val="0041603B"/>
    <w:rsid w:val="004160FA"/>
    <w:rsid w:val="00416B24"/>
    <w:rsid w:val="0041726D"/>
    <w:rsid w:val="00420162"/>
    <w:rsid w:val="0042105B"/>
    <w:rsid w:val="004212A7"/>
    <w:rsid w:val="0042135A"/>
    <w:rsid w:val="004213B3"/>
    <w:rsid w:val="004219ED"/>
    <w:rsid w:val="0042276B"/>
    <w:rsid w:val="004229E2"/>
    <w:rsid w:val="00423558"/>
    <w:rsid w:val="00423673"/>
    <w:rsid w:val="00423A37"/>
    <w:rsid w:val="00423D5B"/>
    <w:rsid w:val="00424EA5"/>
    <w:rsid w:val="00425491"/>
    <w:rsid w:val="00427397"/>
    <w:rsid w:val="00427730"/>
    <w:rsid w:val="00427D57"/>
    <w:rsid w:val="00430A70"/>
    <w:rsid w:val="00431E1C"/>
    <w:rsid w:val="00431F00"/>
    <w:rsid w:val="004330C6"/>
    <w:rsid w:val="0043442F"/>
    <w:rsid w:val="004348AC"/>
    <w:rsid w:val="004352F0"/>
    <w:rsid w:val="004362D0"/>
    <w:rsid w:val="0043650A"/>
    <w:rsid w:val="00436EDF"/>
    <w:rsid w:val="00436F7C"/>
    <w:rsid w:val="00437F7A"/>
    <w:rsid w:val="00441030"/>
    <w:rsid w:val="0044160A"/>
    <w:rsid w:val="004421EB"/>
    <w:rsid w:val="00442717"/>
    <w:rsid w:val="004437CD"/>
    <w:rsid w:val="00443C16"/>
    <w:rsid w:val="00444DF4"/>
    <w:rsid w:val="00445503"/>
    <w:rsid w:val="00446A49"/>
    <w:rsid w:val="00446AB4"/>
    <w:rsid w:val="00446C49"/>
    <w:rsid w:val="004502EB"/>
    <w:rsid w:val="00450D43"/>
    <w:rsid w:val="00451277"/>
    <w:rsid w:val="00451B68"/>
    <w:rsid w:val="004528EA"/>
    <w:rsid w:val="00452A68"/>
    <w:rsid w:val="00452BAC"/>
    <w:rsid w:val="00452D7C"/>
    <w:rsid w:val="00453161"/>
    <w:rsid w:val="00453339"/>
    <w:rsid w:val="00454CAF"/>
    <w:rsid w:val="00454E1C"/>
    <w:rsid w:val="00455304"/>
    <w:rsid w:val="00455425"/>
    <w:rsid w:val="00455D0E"/>
    <w:rsid w:val="00456103"/>
    <w:rsid w:val="004563B6"/>
    <w:rsid w:val="004572F3"/>
    <w:rsid w:val="00457886"/>
    <w:rsid w:val="00457A27"/>
    <w:rsid w:val="00460179"/>
    <w:rsid w:val="00460F29"/>
    <w:rsid w:val="00460FF4"/>
    <w:rsid w:val="00461284"/>
    <w:rsid w:val="00461439"/>
    <w:rsid w:val="00462520"/>
    <w:rsid w:val="00462858"/>
    <w:rsid w:val="0046307B"/>
    <w:rsid w:val="0046319C"/>
    <w:rsid w:val="0046372F"/>
    <w:rsid w:val="00463794"/>
    <w:rsid w:val="0046388C"/>
    <w:rsid w:val="004639BA"/>
    <w:rsid w:val="00463F12"/>
    <w:rsid w:val="004640F5"/>
    <w:rsid w:val="004644CF"/>
    <w:rsid w:val="00464A90"/>
    <w:rsid w:val="00465B9A"/>
    <w:rsid w:val="00465D3C"/>
    <w:rsid w:val="00465EDE"/>
    <w:rsid w:val="0046603E"/>
    <w:rsid w:val="0046690D"/>
    <w:rsid w:val="004670B4"/>
    <w:rsid w:val="00467713"/>
    <w:rsid w:val="00467829"/>
    <w:rsid w:val="00467923"/>
    <w:rsid w:val="00470B26"/>
    <w:rsid w:val="00470D94"/>
    <w:rsid w:val="00470EBA"/>
    <w:rsid w:val="0047141E"/>
    <w:rsid w:val="0047288A"/>
    <w:rsid w:val="00473F98"/>
    <w:rsid w:val="004740D3"/>
    <w:rsid w:val="004744AC"/>
    <w:rsid w:val="0047463A"/>
    <w:rsid w:val="00474C86"/>
    <w:rsid w:val="00475C2C"/>
    <w:rsid w:val="00476215"/>
    <w:rsid w:val="00476512"/>
    <w:rsid w:val="00476ADE"/>
    <w:rsid w:val="00477675"/>
    <w:rsid w:val="00477865"/>
    <w:rsid w:val="0047791C"/>
    <w:rsid w:val="00477E48"/>
    <w:rsid w:val="00480250"/>
    <w:rsid w:val="00480389"/>
    <w:rsid w:val="00481079"/>
    <w:rsid w:val="0048129E"/>
    <w:rsid w:val="00481CAA"/>
    <w:rsid w:val="00481DB8"/>
    <w:rsid w:val="004823DC"/>
    <w:rsid w:val="0048276F"/>
    <w:rsid w:val="00482939"/>
    <w:rsid w:val="00482C47"/>
    <w:rsid w:val="00482C81"/>
    <w:rsid w:val="0048356F"/>
    <w:rsid w:val="0048433E"/>
    <w:rsid w:val="00484888"/>
    <w:rsid w:val="00484FF8"/>
    <w:rsid w:val="00485AF8"/>
    <w:rsid w:val="00485CAF"/>
    <w:rsid w:val="00486813"/>
    <w:rsid w:val="004868AF"/>
    <w:rsid w:val="00486F30"/>
    <w:rsid w:val="00487755"/>
    <w:rsid w:val="00487E6B"/>
    <w:rsid w:val="004901AA"/>
    <w:rsid w:val="0049092A"/>
    <w:rsid w:val="00490C3E"/>
    <w:rsid w:val="00491069"/>
    <w:rsid w:val="0049162A"/>
    <w:rsid w:val="00491669"/>
    <w:rsid w:val="00492FC9"/>
    <w:rsid w:val="004933E7"/>
    <w:rsid w:val="00496156"/>
    <w:rsid w:val="004961CF"/>
    <w:rsid w:val="004965F9"/>
    <w:rsid w:val="00496BAC"/>
    <w:rsid w:val="004971A1"/>
    <w:rsid w:val="004978FB"/>
    <w:rsid w:val="004A0BE1"/>
    <w:rsid w:val="004A13FD"/>
    <w:rsid w:val="004A140D"/>
    <w:rsid w:val="004A16CE"/>
    <w:rsid w:val="004A1734"/>
    <w:rsid w:val="004A1D2D"/>
    <w:rsid w:val="004A2351"/>
    <w:rsid w:val="004A25DB"/>
    <w:rsid w:val="004A351D"/>
    <w:rsid w:val="004A39F2"/>
    <w:rsid w:val="004A3E2F"/>
    <w:rsid w:val="004A426E"/>
    <w:rsid w:val="004A4BDB"/>
    <w:rsid w:val="004A4F8C"/>
    <w:rsid w:val="004A54AB"/>
    <w:rsid w:val="004A5643"/>
    <w:rsid w:val="004A7479"/>
    <w:rsid w:val="004A751B"/>
    <w:rsid w:val="004B00D7"/>
    <w:rsid w:val="004B024C"/>
    <w:rsid w:val="004B0A9E"/>
    <w:rsid w:val="004B148D"/>
    <w:rsid w:val="004B29EC"/>
    <w:rsid w:val="004B2F2E"/>
    <w:rsid w:val="004B3418"/>
    <w:rsid w:val="004B389D"/>
    <w:rsid w:val="004B3ACB"/>
    <w:rsid w:val="004B438F"/>
    <w:rsid w:val="004B4935"/>
    <w:rsid w:val="004B4DB7"/>
    <w:rsid w:val="004B4E5E"/>
    <w:rsid w:val="004B5136"/>
    <w:rsid w:val="004B5712"/>
    <w:rsid w:val="004B57F1"/>
    <w:rsid w:val="004B5966"/>
    <w:rsid w:val="004B5C53"/>
    <w:rsid w:val="004B5E86"/>
    <w:rsid w:val="004B6205"/>
    <w:rsid w:val="004B6F3B"/>
    <w:rsid w:val="004B78B9"/>
    <w:rsid w:val="004B7A1E"/>
    <w:rsid w:val="004C0EB3"/>
    <w:rsid w:val="004C0FCC"/>
    <w:rsid w:val="004C20A3"/>
    <w:rsid w:val="004C2876"/>
    <w:rsid w:val="004C4157"/>
    <w:rsid w:val="004C43A9"/>
    <w:rsid w:val="004C49AF"/>
    <w:rsid w:val="004C528F"/>
    <w:rsid w:val="004C5348"/>
    <w:rsid w:val="004C5886"/>
    <w:rsid w:val="004C663A"/>
    <w:rsid w:val="004C6643"/>
    <w:rsid w:val="004D069F"/>
    <w:rsid w:val="004D1ABD"/>
    <w:rsid w:val="004D20CC"/>
    <w:rsid w:val="004D23C9"/>
    <w:rsid w:val="004D28E4"/>
    <w:rsid w:val="004D2FD3"/>
    <w:rsid w:val="004D3257"/>
    <w:rsid w:val="004D3402"/>
    <w:rsid w:val="004D3E33"/>
    <w:rsid w:val="004D5B27"/>
    <w:rsid w:val="004D5D3B"/>
    <w:rsid w:val="004D630C"/>
    <w:rsid w:val="004D68C9"/>
    <w:rsid w:val="004D7351"/>
    <w:rsid w:val="004D7B0A"/>
    <w:rsid w:val="004D7D56"/>
    <w:rsid w:val="004E00DE"/>
    <w:rsid w:val="004E01A5"/>
    <w:rsid w:val="004E0A65"/>
    <w:rsid w:val="004E21C8"/>
    <w:rsid w:val="004E24CB"/>
    <w:rsid w:val="004E263A"/>
    <w:rsid w:val="004E2FEE"/>
    <w:rsid w:val="004E39FC"/>
    <w:rsid w:val="004E4070"/>
    <w:rsid w:val="004E4339"/>
    <w:rsid w:val="004E448D"/>
    <w:rsid w:val="004E4669"/>
    <w:rsid w:val="004E478F"/>
    <w:rsid w:val="004E581D"/>
    <w:rsid w:val="004E5E6A"/>
    <w:rsid w:val="004E6324"/>
    <w:rsid w:val="004E6709"/>
    <w:rsid w:val="004E6713"/>
    <w:rsid w:val="004E6A7E"/>
    <w:rsid w:val="004E71D7"/>
    <w:rsid w:val="004E7396"/>
    <w:rsid w:val="004E7CD9"/>
    <w:rsid w:val="004F00EF"/>
    <w:rsid w:val="004F03D9"/>
    <w:rsid w:val="004F04FF"/>
    <w:rsid w:val="004F119D"/>
    <w:rsid w:val="004F1B96"/>
    <w:rsid w:val="004F1DFB"/>
    <w:rsid w:val="004F2049"/>
    <w:rsid w:val="004F2EFF"/>
    <w:rsid w:val="004F324B"/>
    <w:rsid w:val="004F4E8E"/>
    <w:rsid w:val="004F576D"/>
    <w:rsid w:val="004F6920"/>
    <w:rsid w:val="004F6A28"/>
    <w:rsid w:val="004F6ED2"/>
    <w:rsid w:val="004F703F"/>
    <w:rsid w:val="004F7C4A"/>
    <w:rsid w:val="00500EEB"/>
    <w:rsid w:val="00501132"/>
    <w:rsid w:val="00501381"/>
    <w:rsid w:val="00501517"/>
    <w:rsid w:val="005018C4"/>
    <w:rsid w:val="00501B96"/>
    <w:rsid w:val="0050284E"/>
    <w:rsid w:val="0050354C"/>
    <w:rsid w:val="005037A7"/>
    <w:rsid w:val="005038F5"/>
    <w:rsid w:val="00503A2E"/>
    <w:rsid w:val="005045A6"/>
    <w:rsid w:val="0050463B"/>
    <w:rsid w:val="005048DC"/>
    <w:rsid w:val="0050530B"/>
    <w:rsid w:val="0050581D"/>
    <w:rsid w:val="00505EA4"/>
    <w:rsid w:val="0050744B"/>
    <w:rsid w:val="00507953"/>
    <w:rsid w:val="005106AB"/>
    <w:rsid w:val="005108DD"/>
    <w:rsid w:val="005110DC"/>
    <w:rsid w:val="00511D71"/>
    <w:rsid w:val="00511EC1"/>
    <w:rsid w:val="0051258E"/>
    <w:rsid w:val="005134FB"/>
    <w:rsid w:val="00513998"/>
    <w:rsid w:val="00514518"/>
    <w:rsid w:val="00514E46"/>
    <w:rsid w:val="005151BA"/>
    <w:rsid w:val="00516112"/>
    <w:rsid w:val="005171DD"/>
    <w:rsid w:val="00517275"/>
    <w:rsid w:val="0051732C"/>
    <w:rsid w:val="005201C4"/>
    <w:rsid w:val="005205AC"/>
    <w:rsid w:val="00520949"/>
    <w:rsid w:val="00521034"/>
    <w:rsid w:val="0052181E"/>
    <w:rsid w:val="0052202A"/>
    <w:rsid w:val="0052231F"/>
    <w:rsid w:val="00522883"/>
    <w:rsid w:val="0052292B"/>
    <w:rsid w:val="00523049"/>
    <w:rsid w:val="005241C6"/>
    <w:rsid w:val="00524B4D"/>
    <w:rsid w:val="00524CF9"/>
    <w:rsid w:val="0052545D"/>
    <w:rsid w:val="00525903"/>
    <w:rsid w:val="00525CCF"/>
    <w:rsid w:val="00526802"/>
    <w:rsid w:val="00526FE1"/>
    <w:rsid w:val="00527D6A"/>
    <w:rsid w:val="005308EF"/>
    <w:rsid w:val="00530E0C"/>
    <w:rsid w:val="0053116F"/>
    <w:rsid w:val="005314D3"/>
    <w:rsid w:val="00531AE8"/>
    <w:rsid w:val="00531F0D"/>
    <w:rsid w:val="00533D42"/>
    <w:rsid w:val="00533F58"/>
    <w:rsid w:val="0053620A"/>
    <w:rsid w:val="00536E9E"/>
    <w:rsid w:val="00537C4B"/>
    <w:rsid w:val="00540069"/>
    <w:rsid w:val="00540823"/>
    <w:rsid w:val="00541250"/>
    <w:rsid w:val="005412AD"/>
    <w:rsid w:val="00541973"/>
    <w:rsid w:val="00542800"/>
    <w:rsid w:val="00542AEA"/>
    <w:rsid w:val="00542E8D"/>
    <w:rsid w:val="00542ED6"/>
    <w:rsid w:val="00543423"/>
    <w:rsid w:val="005439B6"/>
    <w:rsid w:val="00543F1B"/>
    <w:rsid w:val="0054461A"/>
    <w:rsid w:val="005450B1"/>
    <w:rsid w:val="00545CED"/>
    <w:rsid w:val="0054601E"/>
    <w:rsid w:val="00546187"/>
    <w:rsid w:val="00546466"/>
    <w:rsid w:val="00546489"/>
    <w:rsid w:val="00546A9D"/>
    <w:rsid w:val="00546C66"/>
    <w:rsid w:val="00546D19"/>
    <w:rsid w:val="00546FB0"/>
    <w:rsid w:val="00547525"/>
    <w:rsid w:val="00550021"/>
    <w:rsid w:val="005508AE"/>
    <w:rsid w:val="005508C3"/>
    <w:rsid w:val="00550D02"/>
    <w:rsid w:val="00551662"/>
    <w:rsid w:val="005516A3"/>
    <w:rsid w:val="00551BD6"/>
    <w:rsid w:val="0055373D"/>
    <w:rsid w:val="00553B0F"/>
    <w:rsid w:val="00553B67"/>
    <w:rsid w:val="0055426E"/>
    <w:rsid w:val="005551DB"/>
    <w:rsid w:val="00555670"/>
    <w:rsid w:val="00555E84"/>
    <w:rsid w:val="00556308"/>
    <w:rsid w:val="00556506"/>
    <w:rsid w:val="00556AEF"/>
    <w:rsid w:val="005570E3"/>
    <w:rsid w:val="00557259"/>
    <w:rsid w:val="005575A8"/>
    <w:rsid w:val="0055790A"/>
    <w:rsid w:val="00557E0B"/>
    <w:rsid w:val="005601B3"/>
    <w:rsid w:val="00560439"/>
    <w:rsid w:val="0056242B"/>
    <w:rsid w:val="00562BDB"/>
    <w:rsid w:val="00562ECE"/>
    <w:rsid w:val="00563629"/>
    <w:rsid w:val="00563CAD"/>
    <w:rsid w:val="00564797"/>
    <w:rsid w:val="0056487E"/>
    <w:rsid w:val="00564A2C"/>
    <w:rsid w:val="00564EA4"/>
    <w:rsid w:val="005651CC"/>
    <w:rsid w:val="0056540B"/>
    <w:rsid w:val="0056553A"/>
    <w:rsid w:val="00565A0F"/>
    <w:rsid w:val="00565DF9"/>
    <w:rsid w:val="005676FC"/>
    <w:rsid w:val="00567C80"/>
    <w:rsid w:val="00567F76"/>
    <w:rsid w:val="005716D2"/>
    <w:rsid w:val="00571FC8"/>
    <w:rsid w:val="0057238C"/>
    <w:rsid w:val="005731E6"/>
    <w:rsid w:val="0057345A"/>
    <w:rsid w:val="005736FF"/>
    <w:rsid w:val="00573D5A"/>
    <w:rsid w:val="00574C68"/>
    <w:rsid w:val="00574D43"/>
    <w:rsid w:val="0057621F"/>
    <w:rsid w:val="005773ED"/>
    <w:rsid w:val="00577764"/>
    <w:rsid w:val="00577F02"/>
    <w:rsid w:val="005808BC"/>
    <w:rsid w:val="005812FC"/>
    <w:rsid w:val="0058188A"/>
    <w:rsid w:val="00582108"/>
    <w:rsid w:val="00582368"/>
    <w:rsid w:val="00582633"/>
    <w:rsid w:val="005833A3"/>
    <w:rsid w:val="005860E4"/>
    <w:rsid w:val="005860FF"/>
    <w:rsid w:val="005863E3"/>
    <w:rsid w:val="005865BE"/>
    <w:rsid w:val="00586668"/>
    <w:rsid w:val="00586777"/>
    <w:rsid w:val="0058741B"/>
    <w:rsid w:val="00590AC6"/>
    <w:rsid w:val="00590AD9"/>
    <w:rsid w:val="00591E14"/>
    <w:rsid w:val="00592462"/>
    <w:rsid w:val="0059293B"/>
    <w:rsid w:val="00593653"/>
    <w:rsid w:val="00593904"/>
    <w:rsid w:val="00593CA3"/>
    <w:rsid w:val="005941AE"/>
    <w:rsid w:val="005944A0"/>
    <w:rsid w:val="00595456"/>
    <w:rsid w:val="00595A01"/>
    <w:rsid w:val="00595B12"/>
    <w:rsid w:val="0059663F"/>
    <w:rsid w:val="0059681C"/>
    <w:rsid w:val="00597087"/>
    <w:rsid w:val="00597A8D"/>
    <w:rsid w:val="005A0445"/>
    <w:rsid w:val="005A049D"/>
    <w:rsid w:val="005A08FF"/>
    <w:rsid w:val="005A0EDC"/>
    <w:rsid w:val="005A1174"/>
    <w:rsid w:val="005A1CEC"/>
    <w:rsid w:val="005A1F8F"/>
    <w:rsid w:val="005A20A5"/>
    <w:rsid w:val="005A277C"/>
    <w:rsid w:val="005A393E"/>
    <w:rsid w:val="005A3C80"/>
    <w:rsid w:val="005A4575"/>
    <w:rsid w:val="005A5DB9"/>
    <w:rsid w:val="005A5FCB"/>
    <w:rsid w:val="005A682D"/>
    <w:rsid w:val="005A6D35"/>
    <w:rsid w:val="005A744A"/>
    <w:rsid w:val="005B0CAE"/>
    <w:rsid w:val="005B1600"/>
    <w:rsid w:val="005B1848"/>
    <w:rsid w:val="005B188E"/>
    <w:rsid w:val="005B1EDB"/>
    <w:rsid w:val="005B2141"/>
    <w:rsid w:val="005B2734"/>
    <w:rsid w:val="005B28EB"/>
    <w:rsid w:val="005B29B6"/>
    <w:rsid w:val="005B2A3E"/>
    <w:rsid w:val="005B3BAD"/>
    <w:rsid w:val="005B3E8E"/>
    <w:rsid w:val="005B43CB"/>
    <w:rsid w:val="005B4EF8"/>
    <w:rsid w:val="005B5883"/>
    <w:rsid w:val="005B5FF3"/>
    <w:rsid w:val="005B76FB"/>
    <w:rsid w:val="005B7F18"/>
    <w:rsid w:val="005C0ABD"/>
    <w:rsid w:val="005C0BD8"/>
    <w:rsid w:val="005C0DDD"/>
    <w:rsid w:val="005C2957"/>
    <w:rsid w:val="005C3272"/>
    <w:rsid w:val="005C3D63"/>
    <w:rsid w:val="005C4148"/>
    <w:rsid w:val="005C5134"/>
    <w:rsid w:val="005C5AD5"/>
    <w:rsid w:val="005C63CC"/>
    <w:rsid w:val="005C640C"/>
    <w:rsid w:val="005C6E25"/>
    <w:rsid w:val="005C6E9B"/>
    <w:rsid w:val="005C741E"/>
    <w:rsid w:val="005C7BBE"/>
    <w:rsid w:val="005D115C"/>
    <w:rsid w:val="005D204A"/>
    <w:rsid w:val="005D2221"/>
    <w:rsid w:val="005D284F"/>
    <w:rsid w:val="005D2D8E"/>
    <w:rsid w:val="005D2DC2"/>
    <w:rsid w:val="005D30C7"/>
    <w:rsid w:val="005D3B19"/>
    <w:rsid w:val="005D40C5"/>
    <w:rsid w:val="005D4B0A"/>
    <w:rsid w:val="005D62F5"/>
    <w:rsid w:val="005D645D"/>
    <w:rsid w:val="005D7287"/>
    <w:rsid w:val="005D773A"/>
    <w:rsid w:val="005D7FAD"/>
    <w:rsid w:val="005E0560"/>
    <w:rsid w:val="005E0571"/>
    <w:rsid w:val="005E09C2"/>
    <w:rsid w:val="005E2034"/>
    <w:rsid w:val="005E3282"/>
    <w:rsid w:val="005E36C2"/>
    <w:rsid w:val="005E5BF0"/>
    <w:rsid w:val="005E62E4"/>
    <w:rsid w:val="005E7BD7"/>
    <w:rsid w:val="005F0002"/>
    <w:rsid w:val="005F1B90"/>
    <w:rsid w:val="005F2055"/>
    <w:rsid w:val="005F341E"/>
    <w:rsid w:val="005F3728"/>
    <w:rsid w:val="005F3952"/>
    <w:rsid w:val="005F40AD"/>
    <w:rsid w:val="005F43B2"/>
    <w:rsid w:val="005F4BC7"/>
    <w:rsid w:val="005F57C0"/>
    <w:rsid w:val="005F5CC6"/>
    <w:rsid w:val="005F5E6B"/>
    <w:rsid w:val="005F6B35"/>
    <w:rsid w:val="005F7995"/>
    <w:rsid w:val="005F7DBB"/>
    <w:rsid w:val="006002AD"/>
    <w:rsid w:val="0060096E"/>
    <w:rsid w:val="00600AE2"/>
    <w:rsid w:val="00600CFB"/>
    <w:rsid w:val="006010A0"/>
    <w:rsid w:val="00601CB1"/>
    <w:rsid w:val="006022C6"/>
    <w:rsid w:val="0060276C"/>
    <w:rsid w:val="00603155"/>
    <w:rsid w:val="006038B2"/>
    <w:rsid w:val="006048D8"/>
    <w:rsid w:val="00604E46"/>
    <w:rsid w:val="00604EA2"/>
    <w:rsid w:val="0060638F"/>
    <w:rsid w:val="0060728B"/>
    <w:rsid w:val="00607467"/>
    <w:rsid w:val="00607B39"/>
    <w:rsid w:val="00607B50"/>
    <w:rsid w:val="0061002A"/>
    <w:rsid w:val="006103AF"/>
    <w:rsid w:val="00610D20"/>
    <w:rsid w:val="006117CC"/>
    <w:rsid w:val="00611E03"/>
    <w:rsid w:val="006131F2"/>
    <w:rsid w:val="006135EB"/>
    <w:rsid w:val="00613C6B"/>
    <w:rsid w:val="00613F74"/>
    <w:rsid w:val="00614308"/>
    <w:rsid w:val="006146A4"/>
    <w:rsid w:val="0061547C"/>
    <w:rsid w:val="00615AAC"/>
    <w:rsid w:val="00615C88"/>
    <w:rsid w:val="0061601C"/>
    <w:rsid w:val="00616443"/>
    <w:rsid w:val="00616524"/>
    <w:rsid w:val="00617161"/>
    <w:rsid w:val="00620092"/>
    <w:rsid w:val="0062028C"/>
    <w:rsid w:val="00620847"/>
    <w:rsid w:val="00620925"/>
    <w:rsid w:val="00620EE8"/>
    <w:rsid w:val="006213A3"/>
    <w:rsid w:val="00621E20"/>
    <w:rsid w:val="0062299C"/>
    <w:rsid w:val="00622D58"/>
    <w:rsid w:val="006237D0"/>
    <w:rsid w:val="006238AA"/>
    <w:rsid w:val="0062590A"/>
    <w:rsid w:val="00625BF3"/>
    <w:rsid w:val="00626C56"/>
    <w:rsid w:val="006279EF"/>
    <w:rsid w:val="00627FCD"/>
    <w:rsid w:val="0063001D"/>
    <w:rsid w:val="00630189"/>
    <w:rsid w:val="00631331"/>
    <w:rsid w:val="00631333"/>
    <w:rsid w:val="0063195B"/>
    <w:rsid w:val="00632236"/>
    <w:rsid w:val="00633B23"/>
    <w:rsid w:val="0063434F"/>
    <w:rsid w:val="0063441C"/>
    <w:rsid w:val="006345DB"/>
    <w:rsid w:val="00634B67"/>
    <w:rsid w:val="00634F1C"/>
    <w:rsid w:val="00635276"/>
    <w:rsid w:val="00635735"/>
    <w:rsid w:val="00636788"/>
    <w:rsid w:val="0063762E"/>
    <w:rsid w:val="00637CDD"/>
    <w:rsid w:val="00640505"/>
    <w:rsid w:val="0064114F"/>
    <w:rsid w:val="00641509"/>
    <w:rsid w:val="006415B9"/>
    <w:rsid w:val="006416FC"/>
    <w:rsid w:val="006417F9"/>
    <w:rsid w:val="00641A3B"/>
    <w:rsid w:val="00641F5F"/>
    <w:rsid w:val="00642496"/>
    <w:rsid w:val="006428CD"/>
    <w:rsid w:val="006429DC"/>
    <w:rsid w:val="00642F66"/>
    <w:rsid w:val="006436C2"/>
    <w:rsid w:val="006441EC"/>
    <w:rsid w:val="00644C25"/>
    <w:rsid w:val="00644E45"/>
    <w:rsid w:val="006457B4"/>
    <w:rsid w:val="0064642F"/>
    <w:rsid w:val="00646478"/>
    <w:rsid w:val="00646EC3"/>
    <w:rsid w:val="00646F32"/>
    <w:rsid w:val="0064765A"/>
    <w:rsid w:val="006505A2"/>
    <w:rsid w:val="006506DE"/>
    <w:rsid w:val="006516CB"/>
    <w:rsid w:val="00651F63"/>
    <w:rsid w:val="006521D2"/>
    <w:rsid w:val="00652771"/>
    <w:rsid w:val="006530B2"/>
    <w:rsid w:val="006531E5"/>
    <w:rsid w:val="006537C9"/>
    <w:rsid w:val="00653A31"/>
    <w:rsid w:val="00653CCD"/>
    <w:rsid w:val="00653EEF"/>
    <w:rsid w:val="0065411C"/>
    <w:rsid w:val="00654272"/>
    <w:rsid w:val="006542C6"/>
    <w:rsid w:val="00654335"/>
    <w:rsid w:val="006547C3"/>
    <w:rsid w:val="006561A3"/>
    <w:rsid w:val="00657394"/>
    <w:rsid w:val="0065746F"/>
    <w:rsid w:val="0065767B"/>
    <w:rsid w:val="006606CF"/>
    <w:rsid w:val="00660FC8"/>
    <w:rsid w:val="006610F4"/>
    <w:rsid w:val="0066132A"/>
    <w:rsid w:val="00661381"/>
    <w:rsid w:val="00663683"/>
    <w:rsid w:val="00664580"/>
    <w:rsid w:val="00664693"/>
    <w:rsid w:val="0066526D"/>
    <w:rsid w:val="006654DE"/>
    <w:rsid w:val="00665945"/>
    <w:rsid w:val="006662BE"/>
    <w:rsid w:val="00666A74"/>
    <w:rsid w:val="00666BCA"/>
    <w:rsid w:val="0066728D"/>
    <w:rsid w:val="00667C25"/>
    <w:rsid w:val="006701FB"/>
    <w:rsid w:val="006704A2"/>
    <w:rsid w:val="00670643"/>
    <w:rsid w:val="006710B5"/>
    <w:rsid w:val="0067111D"/>
    <w:rsid w:val="006714DC"/>
    <w:rsid w:val="006716CF"/>
    <w:rsid w:val="00671803"/>
    <w:rsid w:val="0067201A"/>
    <w:rsid w:val="00672540"/>
    <w:rsid w:val="00672BD4"/>
    <w:rsid w:val="00673152"/>
    <w:rsid w:val="00673445"/>
    <w:rsid w:val="006748B9"/>
    <w:rsid w:val="00674FC5"/>
    <w:rsid w:val="00675EC7"/>
    <w:rsid w:val="0067627A"/>
    <w:rsid w:val="006762FD"/>
    <w:rsid w:val="006766AC"/>
    <w:rsid w:val="00676ED1"/>
    <w:rsid w:val="00676EDD"/>
    <w:rsid w:val="00677654"/>
    <w:rsid w:val="00680B6B"/>
    <w:rsid w:val="0068123B"/>
    <w:rsid w:val="006814BB"/>
    <w:rsid w:val="00681D1D"/>
    <w:rsid w:val="006823FE"/>
    <w:rsid w:val="006825B5"/>
    <w:rsid w:val="00682CEF"/>
    <w:rsid w:val="0068358D"/>
    <w:rsid w:val="00684509"/>
    <w:rsid w:val="00684C7E"/>
    <w:rsid w:val="00685709"/>
    <w:rsid w:val="00686AB6"/>
    <w:rsid w:val="00686C5D"/>
    <w:rsid w:val="00686CBC"/>
    <w:rsid w:val="00686EC8"/>
    <w:rsid w:val="006905DC"/>
    <w:rsid w:val="00691612"/>
    <w:rsid w:val="00691701"/>
    <w:rsid w:val="00692057"/>
    <w:rsid w:val="00692131"/>
    <w:rsid w:val="00692305"/>
    <w:rsid w:val="00692823"/>
    <w:rsid w:val="00692840"/>
    <w:rsid w:val="00692ACF"/>
    <w:rsid w:val="00692F9C"/>
    <w:rsid w:val="00693076"/>
    <w:rsid w:val="00693574"/>
    <w:rsid w:val="00693B54"/>
    <w:rsid w:val="00693E60"/>
    <w:rsid w:val="00693F5A"/>
    <w:rsid w:val="00694290"/>
    <w:rsid w:val="006945A4"/>
    <w:rsid w:val="006949E3"/>
    <w:rsid w:val="006951FF"/>
    <w:rsid w:val="0069633B"/>
    <w:rsid w:val="006963DB"/>
    <w:rsid w:val="006963F5"/>
    <w:rsid w:val="00697E52"/>
    <w:rsid w:val="006A0012"/>
    <w:rsid w:val="006A02E2"/>
    <w:rsid w:val="006A055E"/>
    <w:rsid w:val="006A0F7A"/>
    <w:rsid w:val="006A17CA"/>
    <w:rsid w:val="006A1B80"/>
    <w:rsid w:val="006A2C62"/>
    <w:rsid w:val="006A3441"/>
    <w:rsid w:val="006A3589"/>
    <w:rsid w:val="006A43E7"/>
    <w:rsid w:val="006A48CF"/>
    <w:rsid w:val="006A5F8A"/>
    <w:rsid w:val="006A64A1"/>
    <w:rsid w:val="006A720F"/>
    <w:rsid w:val="006A77C7"/>
    <w:rsid w:val="006A7D04"/>
    <w:rsid w:val="006B0A47"/>
    <w:rsid w:val="006B1493"/>
    <w:rsid w:val="006B19CF"/>
    <w:rsid w:val="006B1D57"/>
    <w:rsid w:val="006B1FE8"/>
    <w:rsid w:val="006B2652"/>
    <w:rsid w:val="006B298F"/>
    <w:rsid w:val="006B2AA4"/>
    <w:rsid w:val="006B36C8"/>
    <w:rsid w:val="006B3910"/>
    <w:rsid w:val="006B4187"/>
    <w:rsid w:val="006B41EA"/>
    <w:rsid w:val="006B4629"/>
    <w:rsid w:val="006B51B4"/>
    <w:rsid w:val="006B6036"/>
    <w:rsid w:val="006B6056"/>
    <w:rsid w:val="006B6474"/>
    <w:rsid w:val="006B767C"/>
    <w:rsid w:val="006B78FB"/>
    <w:rsid w:val="006B7968"/>
    <w:rsid w:val="006C0025"/>
    <w:rsid w:val="006C07AE"/>
    <w:rsid w:val="006C1150"/>
    <w:rsid w:val="006C1216"/>
    <w:rsid w:val="006C1609"/>
    <w:rsid w:val="006C1CCF"/>
    <w:rsid w:val="006C28FB"/>
    <w:rsid w:val="006C2916"/>
    <w:rsid w:val="006C336D"/>
    <w:rsid w:val="006C3489"/>
    <w:rsid w:val="006C4241"/>
    <w:rsid w:val="006C4D09"/>
    <w:rsid w:val="006C5A6B"/>
    <w:rsid w:val="006C5E94"/>
    <w:rsid w:val="006C6009"/>
    <w:rsid w:val="006C77D0"/>
    <w:rsid w:val="006C79D0"/>
    <w:rsid w:val="006D0E35"/>
    <w:rsid w:val="006D0E9B"/>
    <w:rsid w:val="006D0F45"/>
    <w:rsid w:val="006D1235"/>
    <w:rsid w:val="006D1A7E"/>
    <w:rsid w:val="006D1C38"/>
    <w:rsid w:val="006D1E24"/>
    <w:rsid w:val="006D2CD5"/>
    <w:rsid w:val="006D30AD"/>
    <w:rsid w:val="006D3F77"/>
    <w:rsid w:val="006D5B43"/>
    <w:rsid w:val="006D61AF"/>
    <w:rsid w:val="006D636D"/>
    <w:rsid w:val="006D7CD4"/>
    <w:rsid w:val="006D7FDA"/>
    <w:rsid w:val="006E03F2"/>
    <w:rsid w:val="006E08FA"/>
    <w:rsid w:val="006E1448"/>
    <w:rsid w:val="006E151B"/>
    <w:rsid w:val="006E203A"/>
    <w:rsid w:val="006E21FF"/>
    <w:rsid w:val="006E27FB"/>
    <w:rsid w:val="006E3013"/>
    <w:rsid w:val="006E3093"/>
    <w:rsid w:val="006E36F5"/>
    <w:rsid w:val="006E3BBE"/>
    <w:rsid w:val="006E3EAD"/>
    <w:rsid w:val="006E431B"/>
    <w:rsid w:val="006E52C4"/>
    <w:rsid w:val="006E534C"/>
    <w:rsid w:val="006E57BA"/>
    <w:rsid w:val="006E6048"/>
    <w:rsid w:val="006E6522"/>
    <w:rsid w:val="006E7163"/>
    <w:rsid w:val="006E7FB9"/>
    <w:rsid w:val="006F0122"/>
    <w:rsid w:val="006F0448"/>
    <w:rsid w:val="006F0DD5"/>
    <w:rsid w:val="006F1662"/>
    <w:rsid w:val="006F1BDC"/>
    <w:rsid w:val="006F2197"/>
    <w:rsid w:val="006F3655"/>
    <w:rsid w:val="006F3B4B"/>
    <w:rsid w:val="006F4B97"/>
    <w:rsid w:val="006F54C6"/>
    <w:rsid w:val="006F6180"/>
    <w:rsid w:val="006F64D0"/>
    <w:rsid w:val="006F74D2"/>
    <w:rsid w:val="006F76D9"/>
    <w:rsid w:val="0070037C"/>
    <w:rsid w:val="00701E81"/>
    <w:rsid w:val="00702009"/>
    <w:rsid w:val="00702DEF"/>
    <w:rsid w:val="00702E69"/>
    <w:rsid w:val="00703110"/>
    <w:rsid w:val="00703D8E"/>
    <w:rsid w:val="007049CB"/>
    <w:rsid w:val="00704E64"/>
    <w:rsid w:val="00705382"/>
    <w:rsid w:val="00705A2A"/>
    <w:rsid w:val="007065E3"/>
    <w:rsid w:val="00706E73"/>
    <w:rsid w:val="00706FE2"/>
    <w:rsid w:val="0070720D"/>
    <w:rsid w:val="00707456"/>
    <w:rsid w:val="00707B47"/>
    <w:rsid w:val="0071009B"/>
    <w:rsid w:val="007107CA"/>
    <w:rsid w:val="00710BBC"/>
    <w:rsid w:val="00710DEC"/>
    <w:rsid w:val="0071107E"/>
    <w:rsid w:val="0071146C"/>
    <w:rsid w:val="00711B27"/>
    <w:rsid w:val="00711DD3"/>
    <w:rsid w:val="00712677"/>
    <w:rsid w:val="00713936"/>
    <w:rsid w:val="007145D8"/>
    <w:rsid w:val="00715DFC"/>
    <w:rsid w:val="00716D0D"/>
    <w:rsid w:val="00717A82"/>
    <w:rsid w:val="00720884"/>
    <w:rsid w:val="0072114F"/>
    <w:rsid w:val="007218C2"/>
    <w:rsid w:val="00721E77"/>
    <w:rsid w:val="00722172"/>
    <w:rsid w:val="007221F8"/>
    <w:rsid w:val="00722F27"/>
    <w:rsid w:val="0072388E"/>
    <w:rsid w:val="00724145"/>
    <w:rsid w:val="007244FD"/>
    <w:rsid w:val="007246D9"/>
    <w:rsid w:val="00725477"/>
    <w:rsid w:val="0072603C"/>
    <w:rsid w:val="007269FD"/>
    <w:rsid w:val="007272DF"/>
    <w:rsid w:val="00727FB9"/>
    <w:rsid w:val="00730443"/>
    <w:rsid w:val="00730DA3"/>
    <w:rsid w:val="00730FFA"/>
    <w:rsid w:val="0073118A"/>
    <w:rsid w:val="00731617"/>
    <w:rsid w:val="00731E56"/>
    <w:rsid w:val="00733341"/>
    <w:rsid w:val="00733FDB"/>
    <w:rsid w:val="00734FC7"/>
    <w:rsid w:val="007353BD"/>
    <w:rsid w:val="00735A21"/>
    <w:rsid w:val="00736346"/>
    <w:rsid w:val="007370D1"/>
    <w:rsid w:val="00740079"/>
    <w:rsid w:val="007410B6"/>
    <w:rsid w:val="0074315C"/>
    <w:rsid w:val="00743939"/>
    <w:rsid w:val="00743E4F"/>
    <w:rsid w:val="007447A4"/>
    <w:rsid w:val="007449C6"/>
    <w:rsid w:val="0074569F"/>
    <w:rsid w:val="00746155"/>
    <w:rsid w:val="00746306"/>
    <w:rsid w:val="007465BB"/>
    <w:rsid w:val="00746E9E"/>
    <w:rsid w:val="007478CA"/>
    <w:rsid w:val="007479B4"/>
    <w:rsid w:val="00751478"/>
    <w:rsid w:val="00751ED9"/>
    <w:rsid w:val="007520C8"/>
    <w:rsid w:val="0075247B"/>
    <w:rsid w:val="007524BF"/>
    <w:rsid w:val="007524D4"/>
    <w:rsid w:val="00753778"/>
    <w:rsid w:val="00754458"/>
    <w:rsid w:val="00754855"/>
    <w:rsid w:val="007556A0"/>
    <w:rsid w:val="00755BB1"/>
    <w:rsid w:val="007562C4"/>
    <w:rsid w:val="00756329"/>
    <w:rsid w:val="0075650A"/>
    <w:rsid w:val="00756BFD"/>
    <w:rsid w:val="007578C0"/>
    <w:rsid w:val="00760ECF"/>
    <w:rsid w:val="007621FF"/>
    <w:rsid w:val="0076229D"/>
    <w:rsid w:val="0076241A"/>
    <w:rsid w:val="007635B7"/>
    <w:rsid w:val="0076412E"/>
    <w:rsid w:val="007657E3"/>
    <w:rsid w:val="00765E01"/>
    <w:rsid w:val="00766048"/>
    <w:rsid w:val="0076696C"/>
    <w:rsid w:val="007670FB"/>
    <w:rsid w:val="00767B8C"/>
    <w:rsid w:val="00767F1E"/>
    <w:rsid w:val="00770230"/>
    <w:rsid w:val="00771263"/>
    <w:rsid w:val="007712FA"/>
    <w:rsid w:val="00771E00"/>
    <w:rsid w:val="007727CF"/>
    <w:rsid w:val="00772831"/>
    <w:rsid w:val="00775447"/>
    <w:rsid w:val="00775D33"/>
    <w:rsid w:val="00775E03"/>
    <w:rsid w:val="007760A0"/>
    <w:rsid w:val="0077741E"/>
    <w:rsid w:val="007774C2"/>
    <w:rsid w:val="00780721"/>
    <w:rsid w:val="00780A36"/>
    <w:rsid w:val="00780E52"/>
    <w:rsid w:val="0078105A"/>
    <w:rsid w:val="0078127D"/>
    <w:rsid w:val="00781459"/>
    <w:rsid w:val="00781601"/>
    <w:rsid w:val="00781C94"/>
    <w:rsid w:val="0078241F"/>
    <w:rsid w:val="00782787"/>
    <w:rsid w:val="00782A60"/>
    <w:rsid w:val="00782DAD"/>
    <w:rsid w:val="00783650"/>
    <w:rsid w:val="0078387E"/>
    <w:rsid w:val="00784AE3"/>
    <w:rsid w:val="00784C55"/>
    <w:rsid w:val="00784E33"/>
    <w:rsid w:val="00785933"/>
    <w:rsid w:val="007865B5"/>
    <w:rsid w:val="00786A62"/>
    <w:rsid w:val="00787792"/>
    <w:rsid w:val="007879C2"/>
    <w:rsid w:val="00787B23"/>
    <w:rsid w:val="00787CBA"/>
    <w:rsid w:val="00787F73"/>
    <w:rsid w:val="0079112E"/>
    <w:rsid w:val="00791220"/>
    <w:rsid w:val="007918D9"/>
    <w:rsid w:val="007919D7"/>
    <w:rsid w:val="00792DA8"/>
    <w:rsid w:val="007944C2"/>
    <w:rsid w:val="00795630"/>
    <w:rsid w:val="00795829"/>
    <w:rsid w:val="00795AFB"/>
    <w:rsid w:val="00796C58"/>
    <w:rsid w:val="0079702A"/>
    <w:rsid w:val="007972FD"/>
    <w:rsid w:val="00797A33"/>
    <w:rsid w:val="00797A3D"/>
    <w:rsid w:val="00797C17"/>
    <w:rsid w:val="007A2383"/>
    <w:rsid w:val="007A2FB6"/>
    <w:rsid w:val="007A302B"/>
    <w:rsid w:val="007A4138"/>
    <w:rsid w:val="007A46D5"/>
    <w:rsid w:val="007A4B1E"/>
    <w:rsid w:val="007A50F9"/>
    <w:rsid w:val="007A51B4"/>
    <w:rsid w:val="007A6118"/>
    <w:rsid w:val="007A6E0B"/>
    <w:rsid w:val="007A74DE"/>
    <w:rsid w:val="007A7826"/>
    <w:rsid w:val="007B0E1D"/>
    <w:rsid w:val="007B1653"/>
    <w:rsid w:val="007B2149"/>
    <w:rsid w:val="007B2612"/>
    <w:rsid w:val="007B28DB"/>
    <w:rsid w:val="007B2C14"/>
    <w:rsid w:val="007B3138"/>
    <w:rsid w:val="007B39BF"/>
    <w:rsid w:val="007B556C"/>
    <w:rsid w:val="007B6432"/>
    <w:rsid w:val="007B738C"/>
    <w:rsid w:val="007B7591"/>
    <w:rsid w:val="007B7A04"/>
    <w:rsid w:val="007B7BEF"/>
    <w:rsid w:val="007C0B31"/>
    <w:rsid w:val="007C107F"/>
    <w:rsid w:val="007C2EE8"/>
    <w:rsid w:val="007C3065"/>
    <w:rsid w:val="007C3181"/>
    <w:rsid w:val="007C3A7A"/>
    <w:rsid w:val="007C46A6"/>
    <w:rsid w:val="007C49AC"/>
    <w:rsid w:val="007C4B5D"/>
    <w:rsid w:val="007C4D79"/>
    <w:rsid w:val="007C50D0"/>
    <w:rsid w:val="007C525B"/>
    <w:rsid w:val="007C5C76"/>
    <w:rsid w:val="007C65A5"/>
    <w:rsid w:val="007C6B66"/>
    <w:rsid w:val="007C7A8F"/>
    <w:rsid w:val="007D0D3C"/>
    <w:rsid w:val="007D111E"/>
    <w:rsid w:val="007D1715"/>
    <w:rsid w:val="007D49AA"/>
    <w:rsid w:val="007D5F50"/>
    <w:rsid w:val="007D60CA"/>
    <w:rsid w:val="007D6599"/>
    <w:rsid w:val="007E0254"/>
    <w:rsid w:val="007E0273"/>
    <w:rsid w:val="007E04B9"/>
    <w:rsid w:val="007E05AA"/>
    <w:rsid w:val="007E20BE"/>
    <w:rsid w:val="007E282E"/>
    <w:rsid w:val="007E2DBC"/>
    <w:rsid w:val="007E311D"/>
    <w:rsid w:val="007E3ACD"/>
    <w:rsid w:val="007E449F"/>
    <w:rsid w:val="007E4683"/>
    <w:rsid w:val="007E5FC0"/>
    <w:rsid w:val="007E6106"/>
    <w:rsid w:val="007E6F72"/>
    <w:rsid w:val="007E72E1"/>
    <w:rsid w:val="007E786D"/>
    <w:rsid w:val="007E78E2"/>
    <w:rsid w:val="007F0227"/>
    <w:rsid w:val="007F065A"/>
    <w:rsid w:val="007F0A79"/>
    <w:rsid w:val="007F2734"/>
    <w:rsid w:val="007F28E4"/>
    <w:rsid w:val="007F2C66"/>
    <w:rsid w:val="007F2E10"/>
    <w:rsid w:val="007F31FC"/>
    <w:rsid w:val="007F3964"/>
    <w:rsid w:val="007F3A81"/>
    <w:rsid w:val="007F4D71"/>
    <w:rsid w:val="007F54DC"/>
    <w:rsid w:val="007F5E92"/>
    <w:rsid w:val="007F663B"/>
    <w:rsid w:val="007F675B"/>
    <w:rsid w:val="007F6DBF"/>
    <w:rsid w:val="007F797C"/>
    <w:rsid w:val="007F7F10"/>
    <w:rsid w:val="00800F70"/>
    <w:rsid w:val="00801B93"/>
    <w:rsid w:val="00801FC1"/>
    <w:rsid w:val="008023A1"/>
    <w:rsid w:val="00802704"/>
    <w:rsid w:val="00803CA4"/>
    <w:rsid w:val="008043A1"/>
    <w:rsid w:val="0080462E"/>
    <w:rsid w:val="00804916"/>
    <w:rsid w:val="00804A7A"/>
    <w:rsid w:val="00804D57"/>
    <w:rsid w:val="00805D42"/>
    <w:rsid w:val="00806A9D"/>
    <w:rsid w:val="00806D60"/>
    <w:rsid w:val="00807287"/>
    <w:rsid w:val="00807960"/>
    <w:rsid w:val="008107B4"/>
    <w:rsid w:val="00810832"/>
    <w:rsid w:val="00810F09"/>
    <w:rsid w:val="00811DB4"/>
    <w:rsid w:val="008123B2"/>
    <w:rsid w:val="008123EE"/>
    <w:rsid w:val="00812B85"/>
    <w:rsid w:val="00812E5F"/>
    <w:rsid w:val="00812FE9"/>
    <w:rsid w:val="00813283"/>
    <w:rsid w:val="00814787"/>
    <w:rsid w:val="00814903"/>
    <w:rsid w:val="008161DF"/>
    <w:rsid w:val="00816313"/>
    <w:rsid w:val="0081678D"/>
    <w:rsid w:val="00816832"/>
    <w:rsid w:val="00816C5E"/>
    <w:rsid w:val="008205E0"/>
    <w:rsid w:val="00820B89"/>
    <w:rsid w:val="00820F14"/>
    <w:rsid w:val="008213EF"/>
    <w:rsid w:val="0082164E"/>
    <w:rsid w:val="008219C3"/>
    <w:rsid w:val="00822756"/>
    <w:rsid w:val="00823257"/>
    <w:rsid w:val="00823328"/>
    <w:rsid w:val="008233A2"/>
    <w:rsid w:val="00823463"/>
    <w:rsid w:val="00823C57"/>
    <w:rsid w:val="0082416C"/>
    <w:rsid w:val="00824A24"/>
    <w:rsid w:val="0082580A"/>
    <w:rsid w:val="00826093"/>
    <w:rsid w:val="008265BA"/>
    <w:rsid w:val="00826B60"/>
    <w:rsid w:val="008274AD"/>
    <w:rsid w:val="00827D97"/>
    <w:rsid w:val="008307FF"/>
    <w:rsid w:val="00830A24"/>
    <w:rsid w:val="00831070"/>
    <w:rsid w:val="0083151F"/>
    <w:rsid w:val="008319F6"/>
    <w:rsid w:val="00831E19"/>
    <w:rsid w:val="00831FA4"/>
    <w:rsid w:val="00833753"/>
    <w:rsid w:val="00833AA0"/>
    <w:rsid w:val="00834F0A"/>
    <w:rsid w:val="00835224"/>
    <w:rsid w:val="00835857"/>
    <w:rsid w:val="00836B36"/>
    <w:rsid w:val="00836E25"/>
    <w:rsid w:val="008372C6"/>
    <w:rsid w:val="008375AE"/>
    <w:rsid w:val="00837796"/>
    <w:rsid w:val="0084010F"/>
    <w:rsid w:val="00840831"/>
    <w:rsid w:val="00841772"/>
    <w:rsid w:val="008422FE"/>
    <w:rsid w:val="00842BE1"/>
    <w:rsid w:val="0084396E"/>
    <w:rsid w:val="00844153"/>
    <w:rsid w:val="00844373"/>
    <w:rsid w:val="0084444C"/>
    <w:rsid w:val="00844662"/>
    <w:rsid w:val="00844A7D"/>
    <w:rsid w:val="008452AA"/>
    <w:rsid w:val="00845DE3"/>
    <w:rsid w:val="00846567"/>
    <w:rsid w:val="0084692B"/>
    <w:rsid w:val="00847F23"/>
    <w:rsid w:val="008503EF"/>
    <w:rsid w:val="008509FC"/>
    <w:rsid w:val="00850C8B"/>
    <w:rsid w:val="00850D5F"/>
    <w:rsid w:val="00852BF6"/>
    <w:rsid w:val="00852F0C"/>
    <w:rsid w:val="008532FF"/>
    <w:rsid w:val="00853706"/>
    <w:rsid w:val="0085385A"/>
    <w:rsid w:val="0085427D"/>
    <w:rsid w:val="00854540"/>
    <w:rsid w:val="00855CD3"/>
    <w:rsid w:val="008561E7"/>
    <w:rsid w:val="00856644"/>
    <w:rsid w:val="008566C3"/>
    <w:rsid w:val="00856FC8"/>
    <w:rsid w:val="00857FFC"/>
    <w:rsid w:val="00860516"/>
    <w:rsid w:val="00860907"/>
    <w:rsid w:val="00860D37"/>
    <w:rsid w:val="00860F8E"/>
    <w:rsid w:val="00861060"/>
    <w:rsid w:val="00861AA6"/>
    <w:rsid w:val="008620AA"/>
    <w:rsid w:val="008621C9"/>
    <w:rsid w:val="00862AF1"/>
    <w:rsid w:val="00862E84"/>
    <w:rsid w:val="00863C80"/>
    <w:rsid w:val="008640B5"/>
    <w:rsid w:val="00864468"/>
    <w:rsid w:val="008646D1"/>
    <w:rsid w:val="008648DD"/>
    <w:rsid w:val="0086512C"/>
    <w:rsid w:val="00867807"/>
    <w:rsid w:val="00870058"/>
    <w:rsid w:val="00870257"/>
    <w:rsid w:val="00870FE3"/>
    <w:rsid w:val="00871AB2"/>
    <w:rsid w:val="00872247"/>
    <w:rsid w:val="008726CA"/>
    <w:rsid w:val="008736DC"/>
    <w:rsid w:val="00874AD5"/>
    <w:rsid w:val="00875152"/>
    <w:rsid w:val="0087599E"/>
    <w:rsid w:val="00875EEE"/>
    <w:rsid w:val="00876857"/>
    <w:rsid w:val="00876BB3"/>
    <w:rsid w:val="00876BD3"/>
    <w:rsid w:val="00876E76"/>
    <w:rsid w:val="00877351"/>
    <w:rsid w:val="008800E2"/>
    <w:rsid w:val="00880228"/>
    <w:rsid w:val="00880927"/>
    <w:rsid w:val="00880F95"/>
    <w:rsid w:val="008815A8"/>
    <w:rsid w:val="008815F5"/>
    <w:rsid w:val="00881E85"/>
    <w:rsid w:val="00881F22"/>
    <w:rsid w:val="00882005"/>
    <w:rsid w:val="00882568"/>
    <w:rsid w:val="00883DB4"/>
    <w:rsid w:val="00884105"/>
    <w:rsid w:val="00884980"/>
    <w:rsid w:val="00884CEF"/>
    <w:rsid w:val="008852C2"/>
    <w:rsid w:val="00885D52"/>
    <w:rsid w:val="008869CB"/>
    <w:rsid w:val="00886D81"/>
    <w:rsid w:val="008873EA"/>
    <w:rsid w:val="0088785C"/>
    <w:rsid w:val="00887F21"/>
    <w:rsid w:val="00890DEA"/>
    <w:rsid w:val="00891B38"/>
    <w:rsid w:val="00892523"/>
    <w:rsid w:val="0089256A"/>
    <w:rsid w:val="008925BE"/>
    <w:rsid w:val="0089283B"/>
    <w:rsid w:val="0089400D"/>
    <w:rsid w:val="00894150"/>
    <w:rsid w:val="008941C1"/>
    <w:rsid w:val="008941E0"/>
    <w:rsid w:val="00895143"/>
    <w:rsid w:val="00895877"/>
    <w:rsid w:val="00895BC0"/>
    <w:rsid w:val="0089671D"/>
    <w:rsid w:val="00896D0C"/>
    <w:rsid w:val="00897800"/>
    <w:rsid w:val="00897FCD"/>
    <w:rsid w:val="008A0328"/>
    <w:rsid w:val="008A0423"/>
    <w:rsid w:val="008A07BB"/>
    <w:rsid w:val="008A0C13"/>
    <w:rsid w:val="008A1B04"/>
    <w:rsid w:val="008A1EC9"/>
    <w:rsid w:val="008A3570"/>
    <w:rsid w:val="008A3DD1"/>
    <w:rsid w:val="008A422A"/>
    <w:rsid w:val="008A5E05"/>
    <w:rsid w:val="008A5EF4"/>
    <w:rsid w:val="008A61A7"/>
    <w:rsid w:val="008A6B70"/>
    <w:rsid w:val="008A6CA4"/>
    <w:rsid w:val="008A7094"/>
    <w:rsid w:val="008A77C1"/>
    <w:rsid w:val="008B0AA3"/>
    <w:rsid w:val="008B1391"/>
    <w:rsid w:val="008B150C"/>
    <w:rsid w:val="008B1716"/>
    <w:rsid w:val="008B20BD"/>
    <w:rsid w:val="008B3482"/>
    <w:rsid w:val="008B355E"/>
    <w:rsid w:val="008B3EDB"/>
    <w:rsid w:val="008B48A6"/>
    <w:rsid w:val="008B5C9C"/>
    <w:rsid w:val="008B5CE1"/>
    <w:rsid w:val="008B6777"/>
    <w:rsid w:val="008B6882"/>
    <w:rsid w:val="008B6D81"/>
    <w:rsid w:val="008B6FA1"/>
    <w:rsid w:val="008B7C96"/>
    <w:rsid w:val="008C005A"/>
    <w:rsid w:val="008C0837"/>
    <w:rsid w:val="008C0B42"/>
    <w:rsid w:val="008C0F19"/>
    <w:rsid w:val="008C12EB"/>
    <w:rsid w:val="008C1577"/>
    <w:rsid w:val="008C1DF8"/>
    <w:rsid w:val="008C23CD"/>
    <w:rsid w:val="008C2991"/>
    <w:rsid w:val="008C3A9A"/>
    <w:rsid w:val="008C532A"/>
    <w:rsid w:val="008C5482"/>
    <w:rsid w:val="008C5B8C"/>
    <w:rsid w:val="008C65C8"/>
    <w:rsid w:val="008C6F12"/>
    <w:rsid w:val="008C736C"/>
    <w:rsid w:val="008C7FF8"/>
    <w:rsid w:val="008D06AE"/>
    <w:rsid w:val="008D08F9"/>
    <w:rsid w:val="008D0F05"/>
    <w:rsid w:val="008D14F2"/>
    <w:rsid w:val="008D1502"/>
    <w:rsid w:val="008D1C39"/>
    <w:rsid w:val="008D329D"/>
    <w:rsid w:val="008D399B"/>
    <w:rsid w:val="008D4BEF"/>
    <w:rsid w:val="008D4C76"/>
    <w:rsid w:val="008D4F21"/>
    <w:rsid w:val="008D5571"/>
    <w:rsid w:val="008D684B"/>
    <w:rsid w:val="008D68AB"/>
    <w:rsid w:val="008D6EA2"/>
    <w:rsid w:val="008D6F5D"/>
    <w:rsid w:val="008D7A64"/>
    <w:rsid w:val="008D7F0D"/>
    <w:rsid w:val="008E11E2"/>
    <w:rsid w:val="008E270D"/>
    <w:rsid w:val="008E2AF5"/>
    <w:rsid w:val="008E3879"/>
    <w:rsid w:val="008E3B72"/>
    <w:rsid w:val="008E4422"/>
    <w:rsid w:val="008E4BAF"/>
    <w:rsid w:val="008E573A"/>
    <w:rsid w:val="008E7CB6"/>
    <w:rsid w:val="008E7FAC"/>
    <w:rsid w:val="008F0A36"/>
    <w:rsid w:val="008F0E46"/>
    <w:rsid w:val="008F1010"/>
    <w:rsid w:val="008F34D5"/>
    <w:rsid w:val="008F3822"/>
    <w:rsid w:val="008F436F"/>
    <w:rsid w:val="008F464E"/>
    <w:rsid w:val="008F547E"/>
    <w:rsid w:val="008F57E1"/>
    <w:rsid w:val="008F58A4"/>
    <w:rsid w:val="008F6994"/>
    <w:rsid w:val="008F6B99"/>
    <w:rsid w:val="009001C6"/>
    <w:rsid w:val="009009CB"/>
    <w:rsid w:val="009012DF"/>
    <w:rsid w:val="00901A98"/>
    <w:rsid w:val="0090344D"/>
    <w:rsid w:val="009043BA"/>
    <w:rsid w:val="00904CA2"/>
    <w:rsid w:val="00904EB3"/>
    <w:rsid w:val="00904FCD"/>
    <w:rsid w:val="00907256"/>
    <w:rsid w:val="00907683"/>
    <w:rsid w:val="0091042D"/>
    <w:rsid w:val="009106B1"/>
    <w:rsid w:val="00911287"/>
    <w:rsid w:val="009114C9"/>
    <w:rsid w:val="00911A1C"/>
    <w:rsid w:val="00912095"/>
    <w:rsid w:val="00912B55"/>
    <w:rsid w:val="00912CDE"/>
    <w:rsid w:val="00913136"/>
    <w:rsid w:val="00913157"/>
    <w:rsid w:val="00913C2C"/>
    <w:rsid w:val="00914068"/>
    <w:rsid w:val="0091459F"/>
    <w:rsid w:val="00914B5C"/>
    <w:rsid w:val="0091509E"/>
    <w:rsid w:val="00915E82"/>
    <w:rsid w:val="00916330"/>
    <w:rsid w:val="00916888"/>
    <w:rsid w:val="00917127"/>
    <w:rsid w:val="009205CD"/>
    <w:rsid w:val="009208B4"/>
    <w:rsid w:val="00920ECF"/>
    <w:rsid w:val="00921792"/>
    <w:rsid w:val="0092219F"/>
    <w:rsid w:val="00922804"/>
    <w:rsid w:val="00922C72"/>
    <w:rsid w:val="00923BB3"/>
    <w:rsid w:val="00924E00"/>
    <w:rsid w:val="00924EDD"/>
    <w:rsid w:val="0092540A"/>
    <w:rsid w:val="00925E0F"/>
    <w:rsid w:val="009262C9"/>
    <w:rsid w:val="00926FFA"/>
    <w:rsid w:val="00927189"/>
    <w:rsid w:val="00927A5D"/>
    <w:rsid w:val="009301BD"/>
    <w:rsid w:val="00930B7B"/>
    <w:rsid w:val="00930BDF"/>
    <w:rsid w:val="009311BE"/>
    <w:rsid w:val="009317CE"/>
    <w:rsid w:val="00931BDF"/>
    <w:rsid w:val="009321F1"/>
    <w:rsid w:val="00932660"/>
    <w:rsid w:val="0093273C"/>
    <w:rsid w:val="00933534"/>
    <w:rsid w:val="009339EF"/>
    <w:rsid w:val="00933B67"/>
    <w:rsid w:val="00934055"/>
    <w:rsid w:val="009347B9"/>
    <w:rsid w:val="00935725"/>
    <w:rsid w:val="00935952"/>
    <w:rsid w:val="00935F28"/>
    <w:rsid w:val="009364F4"/>
    <w:rsid w:val="009364FA"/>
    <w:rsid w:val="00936AAF"/>
    <w:rsid w:val="00937163"/>
    <w:rsid w:val="0093725E"/>
    <w:rsid w:val="00937A06"/>
    <w:rsid w:val="00940759"/>
    <w:rsid w:val="009412AF"/>
    <w:rsid w:val="00941EE7"/>
    <w:rsid w:val="00942C98"/>
    <w:rsid w:val="0094403C"/>
    <w:rsid w:val="00944688"/>
    <w:rsid w:val="009452D9"/>
    <w:rsid w:val="009453E6"/>
    <w:rsid w:val="00945C15"/>
    <w:rsid w:val="00946ACE"/>
    <w:rsid w:val="009477B8"/>
    <w:rsid w:val="00950003"/>
    <w:rsid w:val="0095001D"/>
    <w:rsid w:val="0095007B"/>
    <w:rsid w:val="00950879"/>
    <w:rsid w:val="00952002"/>
    <w:rsid w:val="00952111"/>
    <w:rsid w:val="0095224F"/>
    <w:rsid w:val="00952744"/>
    <w:rsid w:val="00952FD8"/>
    <w:rsid w:val="00953065"/>
    <w:rsid w:val="00953704"/>
    <w:rsid w:val="00953CAD"/>
    <w:rsid w:val="00953F1C"/>
    <w:rsid w:val="0095467D"/>
    <w:rsid w:val="009549F2"/>
    <w:rsid w:val="0095517D"/>
    <w:rsid w:val="0095571C"/>
    <w:rsid w:val="00955E34"/>
    <w:rsid w:val="00956084"/>
    <w:rsid w:val="009560F0"/>
    <w:rsid w:val="00956118"/>
    <w:rsid w:val="00956119"/>
    <w:rsid w:val="00956BAB"/>
    <w:rsid w:val="00956F53"/>
    <w:rsid w:val="0095782B"/>
    <w:rsid w:val="00957B30"/>
    <w:rsid w:val="00960E08"/>
    <w:rsid w:val="00963C62"/>
    <w:rsid w:val="009641F6"/>
    <w:rsid w:val="00966449"/>
    <w:rsid w:val="0096664F"/>
    <w:rsid w:val="00966A4F"/>
    <w:rsid w:val="00966B6E"/>
    <w:rsid w:val="009675FB"/>
    <w:rsid w:val="00971C18"/>
    <w:rsid w:val="00971F7A"/>
    <w:rsid w:val="00971FDB"/>
    <w:rsid w:val="009721D0"/>
    <w:rsid w:val="009722F5"/>
    <w:rsid w:val="009731AC"/>
    <w:rsid w:val="009742FA"/>
    <w:rsid w:val="009748A7"/>
    <w:rsid w:val="00974EC2"/>
    <w:rsid w:val="00975941"/>
    <w:rsid w:val="00976EDF"/>
    <w:rsid w:val="009772CC"/>
    <w:rsid w:val="00977C3E"/>
    <w:rsid w:val="009805D3"/>
    <w:rsid w:val="0098091C"/>
    <w:rsid w:val="009811F2"/>
    <w:rsid w:val="00981358"/>
    <w:rsid w:val="00981A7F"/>
    <w:rsid w:val="00981F46"/>
    <w:rsid w:val="00982159"/>
    <w:rsid w:val="00982D35"/>
    <w:rsid w:val="00983329"/>
    <w:rsid w:val="0098367B"/>
    <w:rsid w:val="00983C9A"/>
    <w:rsid w:val="0098405B"/>
    <w:rsid w:val="00984B6C"/>
    <w:rsid w:val="00984F74"/>
    <w:rsid w:val="00984FCD"/>
    <w:rsid w:val="00985808"/>
    <w:rsid w:val="00985840"/>
    <w:rsid w:val="00985D61"/>
    <w:rsid w:val="009861B2"/>
    <w:rsid w:val="009879CA"/>
    <w:rsid w:val="00987C72"/>
    <w:rsid w:val="00987E41"/>
    <w:rsid w:val="00990034"/>
    <w:rsid w:val="0099179F"/>
    <w:rsid w:val="009918A8"/>
    <w:rsid w:val="0099213C"/>
    <w:rsid w:val="009922A1"/>
    <w:rsid w:val="00992406"/>
    <w:rsid w:val="0099438B"/>
    <w:rsid w:val="009961C9"/>
    <w:rsid w:val="00996657"/>
    <w:rsid w:val="00996D31"/>
    <w:rsid w:val="00996F0A"/>
    <w:rsid w:val="00996F42"/>
    <w:rsid w:val="0099721E"/>
    <w:rsid w:val="00997667"/>
    <w:rsid w:val="00997FD0"/>
    <w:rsid w:val="009A059C"/>
    <w:rsid w:val="009A1458"/>
    <w:rsid w:val="009A1E92"/>
    <w:rsid w:val="009A2A96"/>
    <w:rsid w:val="009A373E"/>
    <w:rsid w:val="009A3B96"/>
    <w:rsid w:val="009A4CC1"/>
    <w:rsid w:val="009A5174"/>
    <w:rsid w:val="009A5191"/>
    <w:rsid w:val="009A5BCB"/>
    <w:rsid w:val="009A5EBD"/>
    <w:rsid w:val="009A7101"/>
    <w:rsid w:val="009A741A"/>
    <w:rsid w:val="009A756A"/>
    <w:rsid w:val="009A77BA"/>
    <w:rsid w:val="009A7B57"/>
    <w:rsid w:val="009B020F"/>
    <w:rsid w:val="009B0C11"/>
    <w:rsid w:val="009B12D3"/>
    <w:rsid w:val="009B16CE"/>
    <w:rsid w:val="009B190C"/>
    <w:rsid w:val="009B1CD1"/>
    <w:rsid w:val="009B2D37"/>
    <w:rsid w:val="009B2DC8"/>
    <w:rsid w:val="009B3147"/>
    <w:rsid w:val="009B34E2"/>
    <w:rsid w:val="009B463F"/>
    <w:rsid w:val="009B4E31"/>
    <w:rsid w:val="009B4E37"/>
    <w:rsid w:val="009B50A4"/>
    <w:rsid w:val="009B5DF0"/>
    <w:rsid w:val="009B72AA"/>
    <w:rsid w:val="009B7605"/>
    <w:rsid w:val="009B768F"/>
    <w:rsid w:val="009B770C"/>
    <w:rsid w:val="009B79A6"/>
    <w:rsid w:val="009B7CA6"/>
    <w:rsid w:val="009C07DA"/>
    <w:rsid w:val="009C0990"/>
    <w:rsid w:val="009C14C1"/>
    <w:rsid w:val="009C1798"/>
    <w:rsid w:val="009C1E3F"/>
    <w:rsid w:val="009C3587"/>
    <w:rsid w:val="009C3C9E"/>
    <w:rsid w:val="009C48A3"/>
    <w:rsid w:val="009C4B32"/>
    <w:rsid w:val="009C56AE"/>
    <w:rsid w:val="009C5DF7"/>
    <w:rsid w:val="009C5EB8"/>
    <w:rsid w:val="009C6661"/>
    <w:rsid w:val="009C6812"/>
    <w:rsid w:val="009C7848"/>
    <w:rsid w:val="009C79D8"/>
    <w:rsid w:val="009C7FEF"/>
    <w:rsid w:val="009D01AC"/>
    <w:rsid w:val="009D038B"/>
    <w:rsid w:val="009D060C"/>
    <w:rsid w:val="009D07CE"/>
    <w:rsid w:val="009D12CC"/>
    <w:rsid w:val="009D15C2"/>
    <w:rsid w:val="009D2562"/>
    <w:rsid w:val="009D35D2"/>
    <w:rsid w:val="009D37CC"/>
    <w:rsid w:val="009D3DA2"/>
    <w:rsid w:val="009D3F2C"/>
    <w:rsid w:val="009D404F"/>
    <w:rsid w:val="009D6518"/>
    <w:rsid w:val="009D6605"/>
    <w:rsid w:val="009D6B06"/>
    <w:rsid w:val="009D6B12"/>
    <w:rsid w:val="009D7677"/>
    <w:rsid w:val="009D7C80"/>
    <w:rsid w:val="009E129D"/>
    <w:rsid w:val="009E248B"/>
    <w:rsid w:val="009E25C2"/>
    <w:rsid w:val="009E2FD6"/>
    <w:rsid w:val="009E31D6"/>
    <w:rsid w:val="009E392B"/>
    <w:rsid w:val="009E4BB2"/>
    <w:rsid w:val="009E528E"/>
    <w:rsid w:val="009E54E6"/>
    <w:rsid w:val="009E5F10"/>
    <w:rsid w:val="009E663A"/>
    <w:rsid w:val="009E6CEB"/>
    <w:rsid w:val="009E6EF1"/>
    <w:rsid w:val="009E731A"/>
    <w:rsid w:val="009E75FF"/>
    <w:rsid w:val="009E7FFE"/>
    <w:rsid w:val="009F0DF2"/>
    <w:rsid w:val="009F10D7"/>
    <w:rsid w:val="009F11E1"/>
    <w:rsid w:val="009F1F1F"/>
    <w:rsid w:val="009F2B6D"/>
    <w:rsid w:val="009F34E7"/>
    <w:rsid w:val="009F3C15"/>
    <w:rsid w:val="009F3F13"/>
    <w:rsid w:val="009F5034"/>
    <w:rsid w:val="009F541E"/>
    <w:rsid w:val="009F5A65"/>
    <w:rsid w:val="009F5F82"/>
    <w:rsid w:val="009F6C98"/>
    <w:rsid w:val="009F7144"/>
    <w:rsid w:val="009F7479"/>
    <w:rsid w:val="009F774A"/>
    <w:rsid w:val="009F78F8"/>
    <w:rsid w:val="009F7EF7"/>
    <w:rsid w:val="00A01088"/>
    <w:rsid w:val="00A02DD3"/>
    <w:rsid w:val="00A040A2"/>
    <w:rsid w:val="00A04E66"/>
    <w:rsid w:val="00A0636B"/>
    <w:rsid w:val="00A06483"/>
    <w:rsid w:val="00A07147"/>
    <w:rsid w:val="00A07659"/>
    <w:rsid w:val="00A07B86"/>
    <w:rsid w:val="00A07E97"/>
    <w:rsid w:val="00A10112"/>
    <w:rsid w:val="00A10333"/>
    <w:rsid w:val="00A107D7"/>
    <w:rsid w:val="00A10A64"/>
    <w:rsid w:val="00A1102A"/>
    <w:rsid w:val="00A1154F"/>
    <w:rsid w:val="00A11562"/>
    <w:rsid w:val="00A13444"/>
    <w:rsid w:val="00A139B2"/>
    <w:rsid w:val="00A13CF8"/>
    <w:rsid w:val="00A13F33"/>
    <w:rsid w:val="00A13FF8"/>
    <w:rsid w:val="00A14B05"/>
    <w:rsid w:val="00A14EC4"/>
    <w:rsid w:val="00A156DE"/>
    <w:rsid w:val="00A1591A"/>
    <w:rsid w:val="00A15DD4"/>
    <w:rsid w:val="00A1608C"/>
    <w:rsid w:val="00A165C9"/>
    <w:rsid w:val="00A168DE"/>
    <w:rsid w:val="00A16C09"/>
    <w:rsid w:val="00A174E4"/>
    <w:rsid w:val="00A17B0F"/>
    <w:rsid w:val="00A205AF"/>
    <w:rsid w:val="00A21302"/>
    <w:rsid w:val="00A21A62"/>
    <w:rsid w:val="00A21DAD"/>
    <w:rsid w:val="00A220F8"/>
    <w:rsid w:val="00A2294F"/>
    <w:rsid w:val="00A22D54"/>
    <w:rsid w:val="00A23E70"/>
    <w:rsid w:val="00A24482"/>
    <w:rsid w:val="00A24BD9"/>
    <w:rsid w:val="00A25817"/>
    <w:rsid w:val="00A25975"/>
    <w:rsid w:val="00A269F1"/>
    <w:rsid w:val="00A26CA0"/>
    <w:rsid w:val="00A26FE2"/>
    <w:rsid w:val="00A300B3"/>
    <w:rsid w:val="00A30338"/>
    <w:rsid w:val="00A30563"/>
    <w:rsid w:val="00A309C9"/>
    <w:rsid w:val="00A30E09"/>
    <w:rsid w:val="00A3106C"/>
    <w:rsid w:val="00A3176F"/>
    <w:rsid w:val="00A319B3"/>
    <w:rsid w:val="00A31B24"/>
    <w:rsid w:val="00A31C66"/>
    <w:rsid w:val="00A327F1"/>
    <w:rsid w:val="00A32D66"/>
    <w:rsid w:val="00A33DE7"/>
    <w:rsid w:val="00A3459B"/>
    <w:rsid w:val="00A34E0A"/>
    <w:rsid w:val="00A358E1"/>
    <w:rsid w:val="00A35BDE"/>
    <w:rsid w:val="00A35D14"/>
    <w:rsid w:val="00A3688F"/>
    <w:rsid w:val="00A372AE"/>
    <w:rsid w:val="00A3774C"/>
    <w:rsid w:val="00A37C7D"/>
    <w:rsid w:val="00A40986"/>
    <w:rsid w:val="00A40A43"/>
    <w:rsid w:val="00A40C0A"/>
    <w:rsid w:val="00A41023"/>
    <w:rsid w:val="00A41C87"/>
    <w:rsid w:val="00A420C3"/>
    <w:rsid w:val="00A42251"/>
    <w:rsid w:val="00A423D4"/>
    <w:rsid w:val="00A4320B"/>
    <w:rsid w:val="00A446BC"/>
    <w:rsid w:val="00A44D04"/>
    <w:rsid w:val="00A4508A"/>
    <w:rsid w:val="00A455C1"/>
    <w:rsid w:val="00A45781"/>
    <w:rsid w:val="00A45BF4"/>
    <w:rsid w:val="00A45FDB"/>
    <w:rsid w:val="00A46112"/>
    <w:rsid w:val="00A46752"/>
    <w:rsid w:val="00A46CB1"/>
    <w:rsid w:val="00A46D74"/>
    <w:rsid w:val="00A46F36"/>
    <w:rsid w:val="00A4742C"/>
    <w:rsid w:val="00A47651"/>
    <w:rsid w:val="00A5054C"/>
    <w:rsid w:val="00A52A10"/>
    <w:rsid w:val="00A52C9A"/>
    <w:rsid w:val="00A5341F"/>
    <w:rsid w:val="00A53A17"/>
    <w:rsid w:val="00A5560D"/>
    <w:rsid w:val="00A5602D"/>
    <w:rsid w:val="00A562AB"/>
    <w:rsid w:val="00A567A4"/>
    <w:rsid w:val="00A568F0"/>
    <w:rsid w:val="00A57129"/>
    <w:rsid w:val="00A57744"/>
    <w:rsid w:val="00A57C7D"/>
    <w:rsid w:val="00A60C3E"/>
    <w:rsid w:val="00A6229E"/>
    <w:rsid w:val="00A623E2"/>
    <w:rsid w:val="00A626E8"/>
    <w:rsid w:val="00A62BF2"/>
    <w:rsid w:val="00A6435F"/>
    <w:rsid w:val="00A6521F"/>
    <w:rsid w:val="00A657BC"/>
    <w:rsid w:val="00A65AE9"/>
    <w:rsid w:val="00A65B59"/>
    <w:rsid w:val="00A65F0D"/>
    <w:rsid w:val="00A65F28"/>
    <w:rsid w:val="00A66789"/>
    <w:rsid w:val="00A66B43"/>
    <w:rsid w:val="00A67173"/>
    <w:rsid w:val="00A67E8B"/>
    <w:rsid w:val="00A70060"/>
    <w:rsid w:val="00A70299"/>
    <w:rsid w:val="00A711F8"/>
    <w:rsid w:val="00A71437"/>
    <w:rsid w:val="00A714FF"/>
    <w:rsid w:val="00A715F6"/>
    <w:rsid w:val="00A72218"/>
    <w:rsid w:val="00A726E2"/>
    <w:rsid w:val="00A728EA"/>
    <w:rsid w:val="00A72C71"/>
    <w:rsid w:val="00A7359D"/>
    <w:rsid w:val="00A7371F"/>
    <w:rsid w:val="00A7381F"/>
    <w:rsid w:val="00A742F8"/>
    <w:rsid w:val="00A74792"/>
    <w:rsid w:val="00A75A77"/>
    <w:rsid w:val="00A769C9"/>
    <w:rsid w:val="00A769FB"/>
    <w:rsid w:val="00A7721E"/>
    <w:rsid w:val="00A81A78"/>
    <w:rsid w:val="00A81B39"/>
    <w:rsid w:val="00A8245E"/>
    <w:rsid w:val="00A82EB6"/>
    <w:rsid w:val="00A82F1E"/>
    <w:rsid w:val="00A85472"/>
    <w:rsid w:val="00A85FE1"/>
    <w:rsid w:val="00A86179"/>
    <w:rsid w:val="00A86422"/>
    <w:rsid w:val="00A86619"/>
    <w:rsid w:val="00A86813"/>
    <w:rsid w:val="00A8762E"/>
    <w:rsid w:val="00A87899"/>
    <w:rsid w:val="00A87ECB"/>
    <w:rsid w:val="00A90525"/>
    <w:rsid w:val="00A908AF"/>
    <w:rsid w:val="00A9130F"/>
    <w:rsid w:val="00A91D4A"/>
    <w:rsid w:val="00A92091"/>
    <w:rsid w:val="00A9335F"/>
    <w:rsid w:val="00A93800"/>
    <w:rsid w:val="00A93E68"/>
    <w:rsid w:val="00A94E2D"/>
    <w:rsid w:val="00A9554A"/>
    <w:rsid w:val="00A9587B"/>
    <w:rsid w:val="00A96623"/>
    <w:rsid w:val="00A968B1"/>
    <w:rsid w:val="00A9719F"/>
    <w:rsid w:val="00A97A55"/>
    <w:rsid w:val="00AA27CB"/>
    <w:rsid w:val="00AA288F"/>
    <w:rsid w:val="00AA2CFF"/>
    <w:rsid w:val="00AA3FBD"/>
    <w:rsid w:val="00AA481B"/>
    <w:rsid w:val="00AA4E70"/>
    <w:rsid w:val="00AA5FF8"/>
    <w:rsid w:val="00AA640A"/>
    <w:rsid w:val="00AA65C1"/>
    <w:rsid w:val="00AA66BB"/>
    <w:rsid w:val="00AA6791"/>
    <w:rsid w:val="00AA692B"/>
    <w:rsid w:val="00AA6C1C"/>
    <w:rsid w:val="00AA7A6C"/>
    <w:rsid w:val="00AB007F"/>
    <w:rsid w:val="00AB02D6"/>
    <w:rsid w:val="00AB0390"/>
    <w:rsid w:val="00AB07DC"/>
    <w:rsid w:val="00AB0D93"/>
    <w:rsid w:val="00AB0ECC"/>
    <w:rsid w:val="00AB1EB0"/>
    <w:rsid w:val="00AB2B4E"/>
    <w:rsid w:val="00AB4EA4"/>
    <w:rsid w:val="00AB5070"/>
    <w:rsid w:val="00AB5205"/>
    <w:rsid w:val="00AB6232"/>
    <w:rsid w:val="00AB66C8"/>
    <w:rsid w:val="00AB67A9"/>
    <w:rsid w:val="00AB6B9B"/>
    <w:rsid w:val="00AB77E1"/>
    <w:rsid w:val="00AC05F5"/>
    <w:rsid w:val="00AC086A"/>
    <w:rsid w:val="00AC099C"/>
    <w:rsid w:val="00AC0B10"/>
    <w:rsid w:val="00AC1720"/>
    <w:rsid w:val="00AC17F0"/>
    <w:rsid w:val="00AC1E19"/>
    <w:rsid w:val="00AC255C"/>
    <w:rsid w:val="00AC2CE3"/>
    <w:rsid w:val="00AC3167"/>
    <w:rsid w:val="00AC445C"/>
    <w:rsid w:val="00AC447C"/>
    <w:rsid w:val="00AC447D"/>
    <w:rsid w:val="00AC4C75"/>
    <w:rsid w:val="00AC4CEC"/>
    <w:rsid w:val="00AC5C5A"/>
    <w:rsid w:val="00AC62BA"/>
    <w:rsid w:val="00AC6E8F"/>
    <w:rsid w:val="00AC709D"/>
    <w:rsid w:val="00AC7E53"/>
    <w:rsid w:val="00AC7EE4"/>
    <w:rsid w:val="00AD02A9"/>
    <w:rsid w:val="00AD05EE"/>
    <w:rsid w:val="00AD10AB"/>
    <w:rsid w:val="00AD1596"/>
    <w:rsid w:val="00AD2034"/>
    <w:rsid w:val="00AD23F5"/>
    <w:rsid w:val="00AD2F9B"/>
    <w:rsid w:val="00AD312F"/>
    <w:rsid w:val="00AD3436"/>
    <w:rsid w:val="00AD4096"/>
    <w:rsid w:val="00AD51E0"/>
    <w:rsid w:val="00AD5402"/>
    <w:rsid w:val="00AD54B0"/>
    <w:rsid w:val="00AD5C9F"/>
    <w:rsid w:val="00AD6451"/>
    <w:rsid w:val="00AD6940"/>
    <w:rsid w:val="00AD6F34"/>
    <w:rsid w:val="00AD7395"/>
    <w:rsid w:val="00AD7D94"/>
    <w:rsid w:val="00AE012E"/>
    <w:rsid w:val="00AE2C3A"/>
    <w:rsid w:val="00AE2CD3"/>
    <w:rsid w:val="00AE321D"/>
    <w:rsid w:val="00AE4435"/>
    <w:rsid w:val="00AE4598"/>
    <w:rsid w:val="00AE50AA"/>
    <w:rsid w:val="00AE6652"/>
    <w:rsid w:val="00AE674D"/>
    <w:rsid w:val="00AE68A5"/>
    <w:rsid w:val="00AE795B"/>
    <w:rsid w:val="00AE7C3A"/>
    <w:rsid w:val="00AE7D7C"/>
    <w:rsid w:val="00AE7F91"/>
    <w:rsid w:val="00AF0BA4"/>
    <w:rsid w:val="00AF12C0"/>
    <w:rsid w:val="00AF218C"/>
    <w:rsid w:val="00AF21EB"/>
    <w:rsid w:val="00AF258F"/>
    <w:rsid w:val="00AF29EC"/>
    <w:rsid w:val="00AF3F27"/>
    <w:rsid w:val="00AF3F78"/>
    <w:rsid w:val="00AF484A"/>
    <w:rsid w:val="00AF4894"/>
    <w:rsid w:val="00AF5595"/>
    <w:rsid w:val="00AF5901"/>
    <w:rsid w:val="00AF6498"/>
    <w:rsid w:val="00AF6AB5"/>
    <w:rsid w:val="00AF6E4B"/>
    <w:rsid w:val="00AF7677"/>
    <w:rsid w:val="00AF78EB"/>
    <w:rsid w:val="00AF7C59"/>
    <w:rsid w:val="00B008CD"/>
    <w:rsid w:val="00B0091C"/>
    <w:rsid w:val="00B0164B"/>
    <w:rsid w:val="00B01795"/>
    <w:rsid w:val="00B0207E"/>
    <w:rsid w:val="00B0324D"/>
    <w:rsid w:val="00B0343E"/>
    <w:rsid w:val="00B03545"/>
    <w:rsid w:val="00B040FF"/>
    <w:rsid w:val="00B044D5"/>
    <w:rsid w:val="00B04E48"/>
    <w:rsid w:val="00B059EC"/>
    <w:rsid w:val="00B05C92"/>
    <w:rsid w:val="00B075E5"/>
    <w:rsid w:val="00B0790B"/>
    <w:rsid w:val="00B07F88"/>
    <w:rsid w:val="00B1189D"/>
    <w:rsid w:val="00B131A3"/>
    <w:rsid w:val="00B14276"/>
    <w:rsid w:val="00B14639"/>
    <w:rsid w:val="00B14851"/>
    <w:rsid w:val="00B15192"/>
    <w:rsid w:val="00B15376"/>
    <w:rsid w:val="00B15EFF"/>
    <w:rsid w:val="00B1630C"/>
    <w:rsid w:val="00B16666"/>
    <w:rsid w:val="00B1672C"/>
    <w:rsid w:val="00B201C9"/>
    <w:rsid w:val="00B207CE"/>
    <w:rsid w:val="00B20DE5"/>
    <w:rsid w:val="00B220F4"/>
    <w:rsid w:val="00B2211C"/>
    <w:rsid w:val="00B22907"/>
    <w:rsid w:val="00B23861"/>
    <w:rsid w:val="00B23FD0"/>
    <w:rsid w:val="00B24EFB"/>
    <w:rsid w:val="00B253F5"/>
    <w:rsid w:val="00B262AE"/>
    <w:rsid w:val="00B27DB4"/>
    <w:rsid w:val="00B30CC0"/>
    <w:rsid w:val="00B310AE"/>
    <w:rsid w:val="00B311A0"/>
    <w:rsid w:val="00B3150A"/>
    <w:rsid w:val="00B315BB"/>
    <w:rsid w:val="00B3185E"/>
    <w:rsid w:val="00B3354E"/>
    <w:rsid w:val="00B3380A"/>
    <w:rsid w:val="00B33CE1"/>
    <w:rsid w:val="00B3400D"/>
    <w:rsid w:val="00B3492E"/>
    <w:rsid w:val="00B34D76"/>
    <w:rsid w:val="00B34FC1"/>
    <w:rsid w:val="00B3558F"/>
    <w:rsid w:val="00B35892"/>
    <w:rsid w:val="00B35A93"/>
    <w:rsid w:val="00B35B5B"/>
    <w:rsid w:val="00B35C34"/>
    <w:rsid w:val="00B35F49"/>
    <w:rsid w:val="00B3623C"/>
    <w:rsid w:val="00B36906"/>
    <w:rsid w:val="00B40B02"/>
    <w:rsid w:val="00B418F9"/>
    <w:rsid w:val="00B42519"/>
    <w:rsid w:val="00B42C0E"/>
    <w:rsid w:val="00B43153"/>
    <w:rsid w:val="00B43B94"/>
    <w:rsid w:val="00B43E4A"/>
    <w:rsid w:val="00B43FA4"/>
    <w:rsid w:val="00B44C96"/>
    <w:rsid w:val="00B4544E"/>
    <w:rsid w:val="00B46F08"/>
    <w:rsid w:val="00B47BB7"/>
    <w:rsid w:val="00B500AB"/>
    <w:rsid w:val="00B50597"/>
    <w:rsid w:val="00B517B1"/>
    <w:rsid w:val="00B51BDD"/>
    <w:rsid w:val="00B5227D"/>
    <w:rsid w:val="00B52635"/>
    <w:rsid w:val="00B527A9"/>
    <w:rsid w:val="00B52923"/>
    <w:rsid w:val="00B52FAE"/>
    <w:rsid w:val="00B531A1"/>
    <w:rsid w:val="00B532F2"/>
    <w:rsid w:val="00B533C4"/>
    <w:rsid w:val="00B5358F"/>
    <w:rsid w:val="00B5366D"/>
    <w:rsid w:val="00B537DD"/>
    <w:rsid w:val="00B53A6D"/>
    <w:rsid w:val="00B54973"/>
    <w:rsid w:val="00B54B9B"/>
    <w:rsid w:val="00B5502B"/>
    <w:rsid w:val="00B55284"/>
    <w:rsid w:val="00B55B97"/>
    <w:rsid w:val="00B56D25"/>
    <w:rsid w:val="00B57F9A"/>
    <w:rsid w:val="00B60F2B"/>
    <w:rsid w:val="00B612E3"/>
    <w:rsid w:val="00B614F0"/>
    <w:rsid w:val="00B625EE"/>
    <w:rsid w:val="00B62BB7"/>
    <w:rsid w:val="00B63566"/>
    <w:rsid w:val="00B63645"/>
    <w:rsid w:val="00B63B4E"/>
    <w:rsid w:val="00B63CAC"/>
    <w:rsid w:val="00B641DF"/>
    <w:rsid w:val="00B66284"/>
    <w:rsid w:val="00B6630F"/>
    <w:rsid w:val="00B676F6"/>
    <w:rsid w:val="00B70B08"/>
    <w:rsid w:val="00B70C7B"/>
    <w:rsid w:val="00B710D5"/>
    <w:rsid w:val="00B71393"/>
    <w:rsid w:val="00B716EA"/>
    <w:rsid w:val="00B71F41"/>
    <w:rsid w:val="00B7208A"/>
    <w:rsid w:val="00B733AB"/>
    <w:rsid w:val="00B73836"/>
    <w:rsid w:val="00B73A94"/>
    <w:rsid w:val="00B74187"/>
    <w:rsid w:val="00B741AD"/>
    <w:rsid w:val="00B7473C"/>
    <w:rsid w:val="00B748CB"/>
    <w:rsid w:val="00B75754"/>
    <w:rsid w:val="00B75AE7"/>
    <w:rsid w:val="00B75D73"/>
    <w:rsid w:val="00B77BEA"/>
    <w:rsid w:val="00B77E5E"/>
    <w:rsid w:val="00B8064D"/>
    <w:rsid w:val="00B80908"/>
    <w:rsid w:val="00B80C2D"/>
    <w:rsid w:val="00B81038"/>
    <w:rsid w:val="00B81736"/>
    <w:rsid w:val="00B82547"/>
    <w:rsid w:val="00B854D6"/>
    <w:rsid w:val="00B85B98"/>
    <w:rsid w:val="00B85F8C"/>
    <w:rsid w:val="00B86481"/>
    <w:rsid w:val="00B8695E"/>
    <w:rsid w:val="00B86E08"/>
    <w:rsid w:val="00B87464"/>
    <w:rsid w:val="00B87774"/>
    <w:rsid w:val="00B87ABC"/>
    <w:rsid w:val="00B87BFA"/>
    <w:rsid w:val="00B87FDC"/>
    <w:rsid w:val="00B90118"/>
    <w:rsid w:val="00B905C1"/>
    <w:rsid w:val="00B90D51"/>
    <w:rsid w:val="00B91AEE"/>
    <w:rsid w:val="00B92190"/>
    <w:rsid w:val="00B92B0D"/>
    <w:rsid w:val="00B9394C"/>
    <w:rsid w:val="00B94202"/>
    <w:rsid w:val="00B945D3"/>
    <w:rsid w:val="00B947E5"/>
    <w:rsid w:val="00B94B80"/>
    <w:rsid w:val="00B95A8A"/>
    <w:rsid w:val="00B96481"/>
    <w:rsid w:val="00B96E54"/>
    <w:rsid w:val="00B96FCE"/>
    <w:rsid w:val="00B973BC"/>
    <w:rsid w:val="00B97736"/>
    <w:rsid w:val="00B97B27"/>
    <w:rsid w:val="00B97B44"/>
    <w:rsid w:val="00B97E22"/>
    <w:rsid w:val="00BA0379"/>
    <w:rsid w:val="00BA03F2"/>
    <w:rsid w:val="00BA1350"/>
    <w:rsid w:val="00BA1450"/>
    <w:rsid w:val="00BA302E"/>
    <w:rsid w:val="00BA31D4"/>
    <w:rsid w:val="00BA31FA"/>
    <w:rsid w:val="00BA3551"/>
    <w:rsid w:val="00BA3798"/>
    <w:rsid w:val="00BA439B"/>
    <w:rsid w:val="00BA4696"/>
    <w:rsid w:val="00BA46EA"/>
    <w:rsid w:val="00BA4750"/>
    <w:rsid w:val="00BA4A24"/>
    <w:rsid w:val="00BA5177"/>
    <w:rsid w:val="00BA556A"/>
    <w:rsid w:val="00BA55B2"/>
    <w:rsid w:val="00BA56D6"/>
    <w:rsid w:val="00BA688B"/>
    <w:rsid w:val="00BA6B7A"/>
    <w:rsid w:val="00BA6BE3"/>
    <w:rsid w:val="00BA6CB0"/>
    <w:rsid w:val="00BB0436"/>
    <w:rsid w:val="00BB09E7"/>
    <w:rsid w:val="00BB0EBE"/>
    <w:rsid w:val="00BB1102"/>
    <w:rsid w:val="00BB2416"/>
    <w:rsid w:val="00BB254A"/>
    <w:rsid w:val="00BB3146"/>
    <w:rsid w:val="00BB341B"/>
    <w:rsid w:val="00BB453C"/>
    <w:rsid w:val="00BB46ED"/>
    <w:rsid w:val="00BB5987"/>
    <w:rsid w:val="00BB5E1F"/>
    <w:rsid w:val="00BB6293"/>
    <w:rsid w:val="00BB75D0"/>
    <w:rsid w:val="00BC02E1"/>
    <w:rsid w:val="00BC0DC5"/>
    <w:rsid w:val="00BC28F3"/>
    <w:rsid w:val="00BC2A56"/>
    <w:rsid w:val="00BC2FF9"/>
    <w:rsid w:val="00BC3FE4"/>
    <w:rsid w:val="00BC46CB"/>
    <w:rsid w:val="00BC593D"/>
    <w:rsid w:val="00BC6043"/>
    <w:rsid w:val="00BC6B12"/>
    <w:rsid w:val="00BC6EA6"/>
    <w:rsid w:val="00BC718D"/>
    <w:rsid w:val="00BC7968"/>
    <w:rsid w:val="00BC7BEF"/>
    <w:rsid w:val="00BD0093"/>
    <w:rsid w:val="00BD025C"/>
    <w:rsid w:val="00BD0676"/>
    <w:rsid w:val="00BD0DBF"/>
    <w:rsid w:val="00BD15DA"/>
    <w:rsid w:val="00BD1BEE"/>
    <w:rsid w:val="00BD21D7"/>
    <w:rsid w:val="00BD2656"/>
    <w:rsid w:val="00BD2A05"/>
    <w:rsid w:val="00BD3E85"/>
    <w:rsid w:val="00BD41B5"/>
    <w:rsid w:val="00BD4347"/>
    <w:rsid w:val="00BD453A"/>
    <w:rsid w:val="00BD483C"/>
    <w:rsid w:val="00BD53A9"/>
    <w:rsid w:val="00BD5423"/>
    <w:rsid w:val="00BD5B25"/>
    <w:rsid w:val="00BD61FF"/>
    <w:rsid w:val="00BD6CD1"/>
    <w:rsid w:val="00BD70C3"/>
    <w:rsid w:val="00BD73A0"/>
    <w:rsid w:val="00BD7833"/>
    <w:rsid w:val="00BD7D4F"/>
    <w:rsid w:val="00BE0020"/>
    <w:rsid w:val="00BE02F5"/>
    <w:rsid w:val="00BE0437"/>
    <w:rsid w:val="00BE0B2A"/>
    <w:rsid w:val="00BE1241"/>
    <w:rsid w:val="00BE249F"/>
    <w:rsid w:val="00BE2A78"/>
    <w:rsid w:val="00BE2CF2"/>
    <w:rsid w:val="00BE2F4A"/>
    <w:rsid w:val="00BE3273"/>
    <w:rsid w:val="00BE32EF"/>
    <w:rsid w:val="00BE335F"/>
    <w:rsid w:val="00BE45F6"/>
    <w:rsid w:val="00BE4793"/>
    <w:rsid w:val="00BE48AE"/>
    <w:rsid w:val="00BE4C43"/>
    <w:rsid w:val="00BE5CDE"/>
    <w:rsid w:val="00BE5FDB"/>
    <w:rsid w:val="00BE6565"/>
    <w:rsid w:val="00BE726B"/>
    <w:rsid w:val="00BE7422"/>
    <w:rsid w:val="00BE7779"/>
    <w:rsid w:val="00BE7FB8"/>
    <w:rsid w:val="00BF0E5F"/>
    <w:rsid w:val="00BF1BAA"/>
    <w:rsid w:val="00BF2119"/>
    <w:rsid w:val="00BF2BC4"/>
    <w:rsid w:val="00BF5936"/>
    <w:rsid w:val="00BF5A05"/>
    <w:rsid w:val="00BF6218"/>
    <w:rsid w:val="00BF6461"/>
    <w:rsid w:val="00BF7229"/>
    <w:rsid w:val="00BF76FC"/>
    <w:rsid w:val="00C002F3"/>
    <w:rsid w:val="00C00464"/>
    <w:rsid w:val="00C00B11"/>
    <w:rsid w:val="00C01121"/>
    <w:rsid w:val="00C01162"/>
    <w:rsid w:val="00C01270"/>
    <w:rsid w:val="00C013DB"/>
    <w:rsid w:val="00C01AD2"/>
    <w:rsid w:val="00C01E8B"/>
    <w:rsid w:val="00C01FB3"/>
    <w:rsid w:val="00C020BC"/>
    <w:rsid w:val="00C020CD"/>
    <w:rsid w:val="00C02161"/>
    <w:rsid w:val="00C022A5"/>
    <w:rsid w:val="00C026EC"/>
    <w:rsid w:val="00C02CCF"/>
    <w:rsid w:val="00C02F7A"/>
    <w:rsid w:val="00C035C4"/>
    <w:rsid w:val="00C06017"/>
    <w:rsid w:val="00C06130"/>
    <w:rsid w:val="00C061F9"/>
    <w:rsid w:val="00C06491"/>
    <w:rsid w:val="00C06680"/>
    <w:rsid w:val="00C07039"/>
    <w:rsid w:val="00C07730"/>
    <w:rsid w:val="00C104A8"/>
    <w:rsid w:val="00C10BFF"/>
    <w:rsid w:val="00C10DEA"/>
    <w:rsid w:val="00C113FF"/>
    <w:rsid w:val="00C1192C"/>
    <w:rsid w:val="00C12167"/>
    <w:rsid w:val="00C123A9"/>
    <w:rsid w:val="00C12946"/>
    <w:rsid w:val="00C12F11"/>
    <w:rsid w:val="00C14A78"/>
    <w:rsid w:val="00C14CCA"/>
    <w:rsid w:val="00C1540B"/>
    <w:rsid w:val="00C1601D"/>
    <w:rsid w:val="00C163F9"/>
    <w:rsid w:val="00C16F6E"/>
    <w:rsid w:val="00C173C1"/>
    <w:rsid w:val="00C175B7"/>
    <w:rsid w:val="00C177C7"/>
    <w:rsid w:val="00C178C6"/>
    <w:rsid w:val="00C202CA"/>
    <w:rsid w:val="00C2050F"/>
    <w:rsid w:val="00C211BA"/>
    <w:rsid w:val="00C217B7"/>
    <w:rsid w:val="00C21BB6"/>
    <w:rsid w:val="00C21EFF"/>
    <w:rsid w:val="00C22563"/>
    <w:rsid w:val="00C23804"/>
    <w:rsid w:val="00C23991"/>
    <w:rsid w:val="00C23C0D"/>
    <w:rsid w:val="00C24415"/>
    <w:rsid w:val="00C24A43"/>
    <w:rsid w:val="00C255B2"/>
    <w:rsid w:val="00C2599F"/>
    <w:rsid w:val="00C26422"/>
    <w:rsid w:val="00C279C3"/>
    <w:rsid w:val="00C27B7B"/>
    <w:rsid w:val="00C305B9"/>
    <w:rsid w:val="00C30813"/>
    <w:rsid w:val="00C3106D"/>
    <w:rsid w:val="00C31470"/>
    <w:rsid w:val="00C3230C"/>
    <w:rsid w:val="00C3284F"/>
    <w:rsid w:val="00C3305A"/>
    <w:rsid w:val="00C3320B"/>
    <w:rsid w:val="00C3355C"/>
    <w:rsid w:val="00C335FB"/>
    <w:rsid w:val="00C342F6"/>
    <w:rsid w:val="00C35DD6"/>
    <w:rsid w:val="00C35F09"/>
    <w:rsid w:val="00C363F0"/>
    <w:rsid w:val="00C36995"/>
    <w:rsid w:val="00C36A97"/>
    <w:rsid w:val="00C37EAC"/>
    <w:rsid w:val="00C37EE2"/>
    <w:rsid w:val="00C403C0"/>
    <w:rsid w:val="00C4079E"/>
    <w:rsid w:val="00C40ABA"/>
    <w:rsid w:val="00C40CAB"/>
    <w:rsid w:val="00C40F6F"/>
    <w:rsid w:val="00C413BD"/>
    <w:rsid w:val="00C41502"/>
    <w:rsid w:val="00C41645"/>
    <w:rsid w:val="00C417BD"/>
    <w:rsid w:val="00C41EE3"/>
    <w:rsid w:val="00C41EE5"/>
    <w:rsid w:val="00C42DF3"/>
    <w:rsid w:val="00C449CC"/>
    <w:rsid w:val="00C4542E"/>
    <w:rsid w:val="00C45943"/>
    <w:rsid w:val="00C45C3D"/>
    <w:rsid w:val="00C45E41"/>
    <w:rsid w:val="00C4674C"/>
    <w:rsid w:val="00C469CF"/>
    <w:rsid w:val="00C4749C"/>
    <w:rsid w:val="00C47DCD"/>
    <w:rsid w:val="00C50126"/>
    <w:rsid w:val="00C501D4"/>
    <w:rsid w:val="00C5076A"/>
    <w:rsid w:val="00C50979"/>
    <w:rsid w:val="00C50C2F"/>
    <w:rsid w:val="00C51780"/>
    <w:rsid w:val="00C537BA"/>
    <w:rsid w:val="00C5446A"/>
    <w:rsid w:val="00C54582"/>
    <w:rsid w:val="00C5500E"/>
    <w:rsid w:val="00C55CAA"/>
    <w:rsid w:val="00C570F0"/>
    <w:rsid w:val="00C57493"/>
    <w:rsid w:val="00C576E4"/>
    <w:rsid w:val="00C60141"/>
    <w:rsid w:val="00C602AA"/>
    <w:rsid w:val="00C61050"/>
    <w:rsid w:val="00C62663"/>
    <w:rsid w:val="00C62988"/>
    <w:rsid w:val="00C62CD7"/>
    <w:rsid w:val="00C62D07"/>
    <w:rsid w:val="00C62FC5"/>
    <w:rsid w:val="00C63E38"/>
    <w:rsid w:val="00C64A15"/>
    <w:rsid w:val="00C64F4D"/>
    <w:rsid w:val="00C65143"/>
    <w:rsid w:val="00C655AF"/>
    <w:rsid w:val="00C65F11"/>
    <w:rsid w:val="00C670A3"/>
    <w:rsid w:val="00C70C21"/>
    <w:rsid w:val="00C7142B"/>
    <w:rsid w:val="00C71986"/>
    <w:rsid w:val="00C72D67"/>
    <w:rsid w:val="00C72D99"/>
    <w:rsid w:val="00C73617"/>
    <w:rsid w:val="00C73748"/>
    <w:rsid w:val="00C740DF"/>
    <w:rsid w:val="00C74E22"/>
    <w:rsid w:val="00C74FE9"/>
    <w:rsid w:val="00C754B7"/>
    <w:rsid w:val="00C75685"/>
    <w:rsid w:val="00C756A7"/>
    <w:rsid w:val="00C75AF2"/>
    <w:rsid w:val="00C768E1"/>
    <w:rsid w:val="00C768E4"/>
    <w:rsid w:val="00C77869"/>
    <w:rsid w:val="00C77FCE"/>
    <w:rsid w:val="00C80FE0"/>
    <w:rsid w:val="00C8250D"/>
    <w:rsid w:val="00C83D9D"/>
    <w:rsid w:val="00C848A5"/>
    <w:rsid w:val="00C84C1B"/>
    <w:rsid w:val="00C853CF"/>
    <w:rsid w:val="00C8695C"/>
    <w:rsid w:val="00C86C07"/>
    <w:rsid w:val="00C86F39"/>
    <w:rsid w:val="00C87D73"/>
    <w:rsid w:val="00C87DA4"/>
    <w:rsid w:val="00C906E8"/>
    <w:rsid w:val="00C90889"/>
    <w:rsid w:val="00C909A0"/>
    <w:rsid w:val="00C90C15"/>
    <w:rsid w:val="00C90CED"/>
    <w:rsid w:val="00C90EC7"/>
    <w:rsid w:val="00C915F4"/>
    <w:rsid w:val="00C91655"/>
    <w:rsid w:val="00C91944"/>
    <w:rsid w:val="00C91F55"/>
    <w:rsid w:val="00C924C8"/>
    <w:rsid w:val="00C933AA"/>
    <w:rsid w:val="00C939E9"/>
    <w:rsid w:val="00C94643"/>
    <w:rsid w:val="00C94EB9"/>
    <w:rsid w:val="00C953DE"/>
    <w:rsid w:val="00C9706F"/>
    <w:rsid w:val="00C97308"/>
    <w:rsid w:val="00C97792"/>
    <w:rsid w:val="00C97852"/>
    <w:rsid w:val="00C97EC5"/>
    <w:rsid w:val="00CA12E7"/>
    <w:rsid w:val="00CA1671"/>
    <w:rsid w:val="00CA1B85"/>
    <w:rsid w:val="00CA29CC"/>
    <w:rsid w:val="00CA36D6"/>
    <w:rsid w:val="00CA36F3"/>
    <w:rsid w:val="00CA3942"/>
    <w:rsid w:val="00CA4918"/>
    <w:rsid w:val="00CA5244"/>
    <w:rsid w:val="00CA5746"/>
    <w:rsid w:val="00CA65AC"/>
    <w:rsid w:val="00CA7992"/>
    <w:rsid w:val="00CA79E0"/>
    <w:rsid w:val="00CB0866"/>
    <w:rsid w:val="00CB1E63"/>
    <w:rsid w:val="00CB1E7F"/>
    <w:rsid w:val="00CB2831"/>
    <w:rsid w:val="00CB301C"/>
    <w:rsid w:val="00CB3476"/>
    <w:rsid w:val="00CB363D"/>
    <w:rsid w:val="00CB417E"/>
    <w:rsid w:val="00CB43C3"/>
    <w:rsid w:val="00CB5408"/>
    <w:rsid w:val="00CB5489"/>
    <w:rsid w:val="00CB55CD"/>
    <w:rsid w:val="00CB620C"/>
    <w:rsid w:val="00CB71E8"/>
    <w:rsid w:val="00CB7ABE"/>
    <w:rsid w:val="00CB7EE5"/>
    <w:rsid w:val="00CC1762"/>
    <w:rsid w:val="00CC1EBC"/>
    <w:rsid w:val="00CC2FAD"/>
    <w:rsid w:val="00CC3A54"/>
    <w:rsid w:val="00CC40C1"/>
    <w:rsid w:val="00CC46DC"/>
    <w:rsid w:val="00CC487A"/>
    <w:rsid w:val="00CC5379"/>
    <w:rsid w:val="00CC58BC"/>
    <w:rsid w:val="00CC61A0"/>
    <w:rsid w:val="00CC66FE"/>
    <w:rsid w:val="00CC7F90"/>
    <w:rsid w:val="00CD0903"/>
    <w:rsid w:val="00CD0BEF"/>
    <w:rsid w:val="00CD1027"/>
    <w:rsid w:val="00CD1262"/>
    <w:rsid w:val="00CD1578"/>
    <w:rsid w:val="00CD219D"/>
    <w:rsid w:val="00CD2217"/>
    <w:rsid w:val="00CD25D9"/>
    <w:rsid w:val="00CD3562"/>
    <w:rsid w:val="00CD3CFF"/>
    <w:rsid w:val="00CD425D"/>
    <w:rsid w:val="00CD4929"/>
    <w:rsid w:val="00CD55D0"/>
    <w:rsid w:val="00CD5F9D"/>
    <w:rsid w:val="00CD6026"/>
    <w:rsid w:val="00CD63E2"/>
    <w:rsid w:val="00CD694C"/>
    <w:rsid w:val="00CD6A7B"/>
    <w:rsid w:val="00CD73BB"/>
    <w:rsid w:val="00CD7944"/>
    <w:rsid w:val="00CD7F2B"/>
    <w:rsid w:val="00CE08C6"/>
    <w:rsid w:val="00CE1B15"/>
    <w:rsid w:val="00CE2523"/>
    <w:rsid w:val="00CE2786"/>
    <w:rsid w:val="00CE2B6D"/>
    <w:rsid w:val="00CE3694"/>
    <w:rsid w:val="00CE38A0"/>
    <w:rsid w:val="00CE3DFB"/>
    <w:rsid w:val="00CE4BAE"/>
    <w:rsid w:val="00CE5885"/>
    <w:rsid w:val="00CE58BC"/>
    <w:rsid w:val="00CE649F"/>
    <w:rsid w:val="00CE64EA"/>
    <w:rsid w:val="00CE679F"/>
    <w:rsid w:val="00CE7748"/>
    <w:rsid w:val="00CF0626"/>
    <w:rsid w:val="00CF0732"/>
    <w:rsid w:val="00CF0866"/>
    <w:rsid w:val="00CF0D0A"/>
    <w:rsid w:val="00CF15E2"/>
    <w:rsid w:val="00CF1A19"/>
    <w:rsid w:val="00CF28A1"/>
    <w:rsid w:val="00CF32F9"/>
    <w:rsid w:val="00CF3634"/>
    <w:rsid w:val="00CF3860"/>
    <w:rsid w:val="00CF3EBC"/>
    <w:rsid w:val="00CF4749"/>
    <w:rsid w:val="00CF4DF2"/>
    <w:rsid w:val="00CF51F2"/>
    <w:rsid w:val="00CF69AE"/>
    <w:rsid w:val="00CF7040"/>
    <w:rsid w:val="00CF7470"/>
    <w:rsid w:val="00CF77D7"/>
    <w:rsid w:val="00D00426"/>
    <w:rsid w:val="00D00540"/>
    <w:rsid w:val="00D00EC7"/>
    <w:rsid w:val="00D01A38"/>
    <w:rsid w:val="00D0326A"/>
    <w:rsid w:val="00D033F7"/>
    <w:rsid w:val="00D038B8"/>
    <w:rsid w:val="00D040BD"/>
    <w:rsid w:val="00D0431E"/>
    <w:rsid w:val="00D06222"/>
    <w:rsid w:val="00D074C2"/>
    <w:rsid w:val="00D10409"/>
    <w:rsid w:val="00D116D5"/>
    <w:rsid w:val="00D11E4D"/>
    <w:rsid w:val="00D1290E"/>
    <w:rsid w:val="00D13456"/>
    <w:rsid w:val="00D13BA4"/>
    <w:rsid w:val="00D14A08"/>
    <w:rsid w:val="00D15A70"/>
    <w:rsid w:val="00D15E9A"/>
    <w:rsid w:val="00D16286"/>
    <w:rsid w:val="00D1690C"/>
    <w:rsid w:val="00D16A0A"/>
    <w:rsid w:val="00D16BAA"/>
    <w:rsid w:val="00D172A4"/>
    <w:rsid w:val="00D1767D"/>
    <w:rsid w:val="00D17A4A"/>
    <w:rsid w:val="00D17EA1"/>
    <w:rsid w:val="00D200B0"/>
    <w:rsid w:val="00D207D2"/>
    <w:rsid w:val="00D20DF4"/>
    <w:rsid w:val="00D20E91"/>
    <w:rsid w:val="00D21216"/>
    <w:rsid w:val="00D22F08"/>
    <w:rsid w:val="00D23A2C"/>
    <w:rsid w:val="00D23C1D"/>
    <w:rsid w:val="00D23E78"/>
    <w:rsid w:val="00D2505A"/>
    <w:rsid w:val="00D264E6"/>
    <w:rsid w:val="00D26548"/>
    <w:rsid w:val="00D26C41"/>
    <w:rsid w:val="00D26DC4"/>
    <w:rsid w:val="00D26F37"/>
    <w:rsid w:val="00D27251"/>
    <w:rsid w:val="00D27F5D"/>
    <w:rsid w:val="00D30D37"/>
    <w:rsid w:val="00D31551"/>
    <w:rsid w:val="00D32069"/>
    <w:rsid w:val="00D32BFE"/>
    <w:rsid w:val="00D32D3D"/>
    <w:rsid w:val="00D32E10"/>
    <w:rsid w:val="00D33418"/>
    <w:rsid w:val="00D33B30"/>
    <w:rsid w:val="00D33D18"/>
    <w:rsid w:val="00D33EBD"/>
    <w:rsid w:val="00D3481B"/>
    <w:rsid w:val="00D3595A"/>
    <w:rsid w:val="00D35C0E"/>
    <w:rsid w:val="00D35CE4"/>
    <w:rsid w:val="00D35DE3"/>
    <w:rsid w:val="00D35DED"/>
    <w:rsid w:val="00D36849"/>
    <w:rsid w:val="00D368E8"/>
    <w:rsid w:val="00D36D74"/>
    <w:rsid w:val="00D3784A"/>
    <w:rsid w:val="00D4011C"/>
    <w:rsid w:val="00D40603"/>
    <w:rsid w:val="00D418FD"/>
    <w:rsid w:val="00D41A0A"/>
    <w:rsid w:val="00D41D72"/>
    <w:rsid w:val="00D424CB"/>
    <w:rsid w:val="00D42D85"/>
    <w:rsid w:val="00D43842"/>
    <w:rsid w:val="00D43BD1"/>
    <w:rsid w:val="00D43D73"/>
    <w:rsid w:val="00D4431E"/>
    <w:rsid w:val="00D44529"/>
    <w:rsid w:val="00D448AC"/>
    <w:rsid w:val="00D44B60"/>
    <w:rsid w:val="00D452A5"/>
    <w:rsid w:val="00D455E8"/>
    <w:rsid w:val="00D45D9E"/>
    <w:rsid w:val="00D45E83"/>
    <w:rsid w:val="00D46C69"/>
    <w:rsid w:val="00D46CD9"/>
    <w:rsid w:val="00D47AFA"/>
    <w:rsid w:val="00D47D10"/>
    <w:rsid w:val="00D50064"/>
    <w:rsid w:val="00D5015D"/>
    <w:rsid w:val="00D5023C"/>
    <w:rsid w:val="00D50261"/>
    <w:rsid w:val="00D5090E"/>
    <w:rsid w:val="00D512F2"/>
    <w:rsid w:val="00D53164"/>
    <w:rsid w:val="00D542C2"/>
    <w:rsid w:val="00D54C56"/>
    <w:rsid w:val="00D54F71"/>
    <w:rsid w:val="00D55445"/>
    <w:rsid w:val="00D55C60"/>
    <w:rsid w:val="00D5605A"/>
    <w:rsid w:val="00D560DF"/>
    <w:rsid w:val="00D56485"/>
    <w:rsid w:val="00D56DB4"/>
    <w:rsid w:val="00D60120"/>
    <w:rsid w:val="00D603F9"/>
    <w:rsid w:val="00D605B6"/>
    <w:rsid w:val="00D609BC"/>
    <w:rsid w:val="00D60BBE"/>
    <w:rsid w:val="00D61BFE"/>
    <w:rsid w:val="00D61F08"/>
    <w:rsid w:val="00D6240E"/>
    <w:rsid w:val="00D62D16"/>
    <w:rsid w:val="00D63091"/>
    <w:rsid w:val="00D63497"/>
    <w:rsid w:val="00D63A26"/>
    <w:rsid w:val="00D63A7B"/>
    <w:rsid w:val="00D63D67"/>
    <w:rsid w:val="00D641E7"/>
    <w:rsid w:val="00D65500"/>
    <w:rsid w:val="00D6550C"/>
    <w:rsid w:val="00D6560A"/>
    <w:rsid w:val="00D656F4"/>
    <w:rsid w:val="00D65C5F"/>
    <w:rsid w:val="00D6625E"/>
    <w:rsid w:val="00D6690C"/>
    <w:rsid w:val="00D669DA"/>
    <w:rsid w:val="00D67352"/>
    <w:rsid w:val="00D6787F"/>
    <w:rsid w:val="00D70703"/>
    <w:rsid w:val="00D7101F"/>
    <w:rsid w:val="00D71D9A"/>
    <w:rsid w:val="00D71EFF"/>
    <w:rsid w:val="00D72CEF"/>
    <w:rsid w:val="00D73603"/>
    <w:rsid w:val="00D73693"/>
    <w:rsid w:val="00D737ED"/>
    <w:rsid w:val="00D742BE"/>
    <w:rsid w:val="00D742E5"/>
    <w:rsid w:val="00D743DC"/>
    <w:rsid w:val="00D7491B"/>
    <w:rsid w:val="00D74B71"/>
    <w:rsid w:val="00D751CB"/>
    <w:rsid w:val="00D75A0C"/>
    <w:rsid w:val="00D7686B"/>
    <w:rsid w:val="00D77A7D"/>
    <w:rsid w:val="00D80C2B"/>
    <w:rsid w:val="00D80CBE"/>
    <w:rsid w:val="00D8103A"/>
    <w:rsid w:val="00D8152E"/>
    <w:rsid w:val="00D81878"/>
    <w:rsid w:val="00D82551"/>
    <w:rsid w:val="00D844B8"/>
    <w:rsid w:val="00D85213"/>
    <w:rsid w:val="00D85256"/>
    <w:rsid w:val="00D856D1"/>
    <w:rsid w:val="00D85753"/>
    <w:rsid w:val="00D85762"/>
    <w:rsid w:val="00D861EC"/>
    <w:rsid w:val="00D864B0"/>
    <w:rsid w:val="00D87888"/>
    <w:rsid w:val="00D87C65"/>
    <w:rsid w:val="00D87E63"/>
    <w:rsid w:val="00D91584"/>
    <w:rsid w:val="00D9213B"/>
    <w:rsid w:val="00D92672"/>
    <w:rsid w:val="00D929F4"/>
    <w:rsid w:val="00D92AF3"/>
    <w:rsid w:val="00D92D9D"/>
    <w:rsid w:val="00D939B1"/>
    <w:rsid w:val="00D93B70"/>
    <w:rsid w:val="00D94946"/>
    <w:rsid w:val="00D9505D"/>
    <w:rsid w:val="00D95625"/>
    <w:rsid w:val="00D96524"/>
    <w:rsid w:val="00D9701E"/>
    <w:rsid w:val="00D975A3"/>
    <w:rsid w:val="00D977F8"/>
    <w:rsid w:val="00D9784B"/>
    <w:rsid w:val="00D97CA0"/>
    <w:rsid w:val="00DA0D7E"/>
    <w:rsid w:val="00DA0FE1"/>
    <w:rsid w:val="00DA0FE2"/>
    <w:rsid w:val="00DA1A01"/>
    <w:rsid w:val="00DA1A74"/>
    <w:rsid w:val="00DA1C50"/>
    <w:rsid w:val="00DA2DF6"/>
    <w:rsid w:val="00DA45E0"/>
    <w:rsid w:val="00DA48B9"/>
    <w:rsid w:val="00DA4B4B"/>
    <w:rsid w:val="00DA5239"/>
    <w:rsid w:val="00DA6193"/>
    <w:rsid w:val="00DA6F7C"/>
    <w:rsid w:val="00DA756A"/>
    <w:rsid w:val="00DA7708"/>
    <w:rsid w:val="00DA7809"/>
    <w:rsid w:val="00DA7B71"/>
    <w:rsid w:val="00DB06F0"/>
    <w:rsid w:val="00DB0FB7"/>
    <w:rsid w:val="00DB12DD"/>
    <w:rsid w:val="00DB134E"/>
    <w:rsid w:val="00DB161A"/>
    <w:rsid w:val="00DB24EC"/>
    <w:rsid w:val="00DB2B2A"/>
    <w:rsid w:val="00DB2BA9"/>
    <w:rsid w:val="00DB2D46"/>
    <w:rsid w:val="00DB3945"/>
    <w:rsid w:val="00DB41C7"/>
    <w:rsid w:val="00DB438B"/>
    <w:rsid w:val="00DB4679"/>
    <w:rsid w:val="00DB4B29"/>
    <w:rsid w:val="00DB4D65"/>
    <w:rsid w:val="00DB5350"/>
    <w:rsid w:val="00DB54BD"/>
    <w:rsid w:val="00DB55CB"/>
    <w:rsid w:val="00DB6A4C"/>
    <w:rsid w:val="00DB74B8"/>
    <w:rsid w:val="00DC1622"/>
    <w:rsid w:val="00DC17B4"/>
    <w:rsid w:val="00DC1E89"/>
    <w:rsid w:val="00DC220A"/>
    <w:rsid w:val="00DC23A1"/>
    <w:rsid w:val="00DC335B"/>
    <w:rsid w:val="00DC383E"/>
    <w:rsid w:val="00DC3C48"/>
    <w:rsid w:val="00DC3FE6"/>
    <w:rsid w:val="00DC4EBA"/>
    <w:rsid w:val="00DC5CDE"/>
    <w:rsid w:val="00DC6319"/>
    <w:rsid w:val="00DC6D77"/>
    <w:rsid w:val="00DC7D8B"/>
    <w:rsid w:val="00DD112D"/>
    <w:rsid w:val="00DD1A1F"/>
    <w:rsid w:val="00DD1FDF"/>
    <w:rsid w:val="00DD2121"/>
    <w:rsid w:val="00DD24E5"/>
    <w:rsid w:val="00DD2ABE"/>
    <w:rsid w:val="00DD2C48"/>
    <w:rsid w:val="00DD2C49"/>
    <w:rsid w:val="00DD2C7D"/>
    <w:rsid w:val="00DD3B2A"/>
    <w:rsid w:val="00DD4633"/>
    <w:rsid w:val="00DD48BB"/>
    <w:rsid w:val="00DD544A"/>
    <w:rsid w:val="00DD5F35"/>
    <w:rsid w:val="00DD600D"/>
    <w:rsid w:val="00DD60D9"/>
    <w:rsid w:val="00DD7381"/>
    <w:rsid w:val="00DD75DA"/>
    <w:rsid w:val="00DE0062"/>
    <w:rsid w:val="00DE0342"/>
    <w:rsid w:val="00DE0AD3"/>
    <w:rsid w:val="00DE1F8C"/>
    <w:rsid w:val="00DE242B"/>
    <w:rsid w:val="00DE3DE4"/>
    <w:rsid w:val="00DE3E10"/>
    <w:rsid w:val="00DE42C0"/>
    <w:rsid w:val="00DE51D0"/>
    <w:rsid w:val="00DE5347"/>
    <w:rsid w:val="00DE534E"/>
    <w:rsid w:val="00DE54CD"/>
    <w:rsid w:val="00DE62C1"/>
    <w:rsid w:val="00DE6379"/>
    <w:rsid w:val="00DE71E7"/>
    <w:rsid w:val="00DE722A"/>
    <w:rsid w:val="00DE7C3B"/>
    <w:rsid w:val="00DF01C7"/>
    <w:rsid w:val="00DF0EA3"/>
    <w:rsid w:val="00DF12E4"/>
    <w:rsid w:val="00DF1380"/>
    <w:rsid w:val="00DF1F98"/>
    <w:rsid w:val="00DF2A19"/>
    <w:rsid w:val="00DF5313"/>
    <w:rsid w:val="00DF568B"/>
    <w:rsid w:val="00DF644D"/>
    <w:rsid w:val="00DF6D3D"/>
    <w:rsid w:val="00DF73CE"/>
    <w:rsid w:val="00DF78A2"/>
    <w:rsid w:val="00E019F6"/>
    <w:rsid w:val="00E02069"/>
    <w:rsid w:val="00E03771"/>
    <w:rsid w:val="00E037D6"/>
    <w:rsid w:val="00E04668"/>
    <w:rsid w:val="00E04725"/>
    <w:rsid w:val="00E06761"/>
    <w:rsid w:val="00E06B3B"/>
    <w:rsid w:val="00E10409"/>
    <w:rsid w:val="00E10426"/>
    <w:rsid w:val="00E10475"/>
    <w:rsid w:val="00E1048A"/>
    <w:rsid w:val="00E108BE"/>
    <w:rsid w:val="00E10BA9"/>
    <w:rsid w:val="00E119B1"/>
    <w:rsid w:val="00E11EA9"/>
    <w:rsid w:val="00E12064"/>
    <w:rsid w:val="00E12521"/>
    <w:rsid w:val="00E12F16"/>
    <w:rsid w:val="00E13ED9"/>
    <w:rsid w:val="00E14D89"/>
    <w:rsid w:val="00E173DE"/>
    <w:rsid w:val="00E17709"/>
    <w:rsid w:val="00E206C6"/>
    <w:rsid w:val="00E207D7"/>
    <w:rsid w:val="00E20979"/>
    <w:rsid w:val="00E20AC7"/>
    <w:rsid w:val="00E2140E"/>
    <w:rsid w:val="00E216D5"/>
    <w:rsid w:val="00E22783"/>
    <w:rsid w:val="00E22D4E"/>
    <w:rsid w:val="00E23388"/>
    <w:rsid w:val="00E23942"/>
    <w:rsid w:val="00E23FD0"/>
    <w:rsid w:val="00E245C9"/>
    <w:rsid w:val="00E24D4F"/>
    <w:rsid w:val="00E24F71"/>
    <w:rsid w:val="00E2549B"/>
    <w:rsid w:val="00E254E7"/>
    <w:rsid w:val="00E26F88"/>
    <w:rsid w:val="00E27BB0"/>
    <w:rsid w:val="00E30D59"/>
    <w:rsid w:val="00E30E0A"/>
    <w:rsid w:val="00E313C6"/>
    <w:rsid w:val="00E33D06"/>
    <w:rsid w:val="00E344C5"/>
    <w:rsid w:val="00E3531F"/>
    <w:rsid w:val="00E357B8"/>
    <w:rsid w:val="00E366F7"/>
    <w:rsid w:val="00E375CC"/>
    <w:rsid w:val="00E37B76"/>
    <w:rsid w:val="00E37E50"/>
    <w:rsid w:val="00E37E97"/>
    <w:rsid w:val="00E37FDC"/>
    <w:rsid w:val="00E413C6"/>
    <w:rsid w:val="00E41FC5"/>
    <w:rsid w:val="00E4210E"/>
    <w:rsid w:val="00E42798"/>
    <w:rsid w:val="00E432FC"/>
    <w:rsid w:val="00E4461D"/>
    <w:rsid w:val="00E4468A"/>
    <w:rsid w:val="00E4498B"/>
    <w:rsid w:val="00E45235"/>
    <w:rsid w:val="00E4553C"/>
    <w:rsid w:val="00E45AF3"/>
    <w:rsid w:val="00E465F7"/>
    <w:rsid w:val="00E517BB"/>
    <w:rsid w:val="00E5276C"/>
    <w:rsid w:val="00E52793"/>
    <w:rsid w:val="00E52A53"/>
    <w:rsid w:val="00E5369F"/>
    <w:rsid w:val="00E53842"/>
    <w:rsid w:val="00E53B0A"/>
    <w:rsid w:val="00E53DB0"/>
    <w:rsid w:val="00E54092"/>
    <w:rsid w:val="00E546E0"/>
    <w:rsid w:val="00E547E1"/>
    <w:rsid w:val="00E54A47"/>
    <w:rsid w:val="00E54CF5"/>
    <w:rsid w:val="00E55C41"/>
    <w:rsid w:val="00E55C9B"/>
    <w:rsid w:val="00E55CEE"/>
    <w:rsid w:val="00E600A2"/>
    <w:rsid w:val="00E602E6"/>
    <w:rsid w:val="00E60434"/>
    <w:rsid w:val="00E61F58"/>
    <w:rsid w:val="00E62372"/>
    <w:rsid w:val="00E62F2D"/>
    <w:rsid w:val="00E63E08"/>
    <w:rsid w:val="00E63EE3"/>
    <w:rsid w:val="00E6494B"/>
    <w:rsid w:val="00E65F05"/>
    <w:rsid w:val="00E660D8"/>
    <w:rsid w:val="00E662E7"/>
    <w:rsid w:val="00E66391"/>
    <w:rsid w:val="00E66392"/>
    <w:rsid w:val="00E66ECB"/>
    <w:rsid w:val="00E674C4"/>
    <w:rsid w:val="00E67A05"/>
    <w:rsid w:val="00E67B71"/>
    <w:rsid w:val="00E70AF2"/>
    <w:rsid w:val="00E7108B"/>
    <w:rsid w:val="00E713FC"/>
    <w:rsid w:val="00E725AE"/>
    <w:rsid w:val="00E730B2"/>
    <w:rsid w:val="00E7311F"/>
    <w:rsid w:val="00E745F8"/>
    <w:rsid w:val="00E74F33"/>
    <w:rsid w:val="00E75131"/>
    <w:rsid w:val="00E75515"/>
    <w:rsid w:val="00E75C44"/>
    <w:rsid w:val="00E763B6"/>
    <w:rsid w:val="00E77C0A"/>
    <w:rsid w:val="00E80067"/>
    <w:rsid w:val="00E81B86"/>
    <w:rsid w:val="00E81C86"/>
    <w:rsid w:val="00E81CF0"/>
    <w:rsid w:val="00E81F12"/>
    <w:rsid w:val="00E8205B"/>
    <w:rsid w:val="00E82238"/>
    <w:rsid w:val="00E827BA"/>
    <w:rsid w:val="00E82CB5"/>
    <w:rsid w:val="00E83362"/>
    <w:rsid w:val="00E83A32"/>
    <w:rsid w:val="00E83E03"/>
    <w:rsid w:val="00E83F35"/>
    <w:rsid w:val="00E85182"/>
    <w:rsid w:val="00E8588A"/>
    <w:rsid w:val="00E860F0"/>
    <w:rsid w:val="00E8612D"/>
    <w:rsid w:val="00E8649D"/>
    <w:rsid w:val="00E866D6"/>
    <w:rsid w:val="00E90214"/>
    <w:rsid w:val="00E907FE"/>
    <w:rsid w:val="00E9081E"/>
    <w:rsid w:val="00E90942"/>
    <w:rsid w:val="00E914E0"/>
    <w:rsid w:val="00E91814"/>
    <w:rsid w:val="00E92B06"/>
    <w:rsid w:val="00E92F00"/>
    <w:rsid w:val="00E92F9A"/>
    <w:rsid w:val="00E932E0"/>
    <w:rsid w:val="00E939B8"/>
    <w:rsid w:val="00E93B93"/>
    <w:rsid w:val="00E94216"/>
    <w:rsid w:val="00E9467A"/>
    <w:rsid w:val="00E94B29"/>
    <w:rsid w:val="00E957D4"/>
    <w:rsid w:val="00E95DD2"/>
    <w:rsid w:val="00E95E0E"/>
    <w:rsid w:val="00E95EE9"/>
    <w:rsid w:val="00E97057"/>
    <w:rsid w:val="00E97105"/>
    <w:rsid w:val="00E9723D"/>
    <w:rsid w:val="00EA005A"/>
    <w:rsid w:val="00EA0659"/>
    <w:rsid w:val="00EA14E1"/>
    <w:rsid w:val="00EA3E56"/>
    <w:rsid w:val="00EA4783"/>
    <w:rsid w:val="00EA544B"/>
    <w:rsid w:val="00EA596E"/>
    <w:rsid w:val="00EA5DA8"/>
    <w:rsid w:val="00EA69E3"/>
    <w:rsid w:val="00EA75F6"/>
    <w:rsid w:val="00EA7F55"/>
    <w:rsid w:val="00EB0789"/>
    <w:rsid w:val="00EB0C22"/>
    <w:rsid w:val="00EB0F45"/>
    <w:rsid w:val="00EB2007"/>
    <w:rsid w:val="00EB2B8E"/>
    <w:rsid w:val="00EB2DBA"/>
    <w:rsid w:val="00EB2EB6"/>
    <w:rsid w:val="00EB374D"/>
    <w:rsid w:val="00EB38F8"/>
    <w:rsid w:val="00EB3DFC"/>
    <w:rsid w:val="00EB43F7"/>
    <w:rsid w:val="00EB4433"/>
    <w:rsid w:val="00EB4C6B"/>
    <w:rsid w:val="00EB5CAC"/>
    <w:rsid w:val="00EC0804"/>
    <w:rsid w:val="00EC11F4"/>
    <w:rsid w:val="00EC1672"/>
    <w:rsid w:val="00EC18CE"/>
    <w:rsid w:val="00EC298B"/>
    <w:rsid w:val="00EC2B2E"/>
    <w:rsid w:val="00EC3B6E"/>
    <w:rsid w:val="00EC4532"/>
    <w:rsid w:val="00EC5174"/>
    <w:rsid w:val="00EC5A1D"/>
    <w:rsid w:val="00EC6E50"/>
    <w:rsid w:val="00EC793D"/>
    <w:rsid w:val="00EC7A05"/>
    <w:rsid w:val="00EC7A13"/>
    <w:rsid w:val="00EC7B70"/>
    <w:rsid w:val="00ED0039"/>
    <w:rsid w:val="00ED0137"/>
    <w:rsid w:val="00ED0D6C"/>
    <w:rsid w:val="00ED1C4F"/>
    <w:rsid w:val="00ED211A"/>
    <w:rsid w:val="00ED23AD"/>
    <w:rsid w:val="00ED3035"/>
    <w:rsid w:val="00ED4067"/>
    <w:rsid w:val="00ED4260"/>
    <w:rsid w:val="00ED6261"/>
    <w:rsid w:val="00EE0BF8"/>
    <w:rsid w:val="00EE0F60"/>
    <w:rsid w:val="00EE19F7"/>
    <w:rsid w:val="00EE211E"/>
    <w:rsid w:val="00EE492E"/>
    <w:rsid w:val="00EE4A0D"/>
    <w:rsid w:val="00EE512D"/>
    <w:rsid w:val="00EE5384"/>
    <w:rsid w:val="00EE53DD"/>
    <w:rsid w:val="00EE5A49"/>
    <w:rsid w:val="00EE61B8"/>
    <w:rsid w:val="00EE636D"/>
    <w:rsid w:val="00EE759D"/>
    <w:rsid w:val="00EE78FB"/>
    <w:rsid w:val="00EE7D2C"/>
    <w:rsid w:val="00EF056E"/>
    <w:rsid w:val="00EF10DD"/>
    <w:rsid w:val="00EF211C"/>
    <w:rsid w:val="00EF25BB"/>
    <w:rsid w:val="00EF3560"/>
    <w:rsid w:val="00EF3B6C"/>
    <w:rsid w:val="00EF43B8"/>
    <w:rsid w:val="00EF48A7"/>
    <w:rsid w:val="00EF49B7"/>
    <w:rsid w:val="00EF4A34"/>
    <w:rsid w:val="00EF4BD5"/>
    <w:rsid w:val="00EF5EA8"/>
    <w:rsid w:val="00EF627D"/>
    <w:rsid w:val="00EF63E9"/>
    <w:rsid w:val="00EF6A46"/>
    <w:rsid w:val="00EF6E13"/>
    <w:rsid w:val="00EF7000"/>
    <w:rsid w:val="00EF766C"/>
    <w:rsid w:val="00EF7CA2"/>
    <w:rsid w:val="00F01925"/>
    <w:rsid w:val="00F01CD0"/>
    <w:rsid w:val="00F02061"/>
    <w:rsid w:val="00F02558"/>
    <w:rsid w:val="00F025DF"/>
    <w:rsid w:val="00F03361"/>
    <w:rsid w:val="00F03E39"/>
    <w:rsid w:val="00F0418C"/>
    <w:rsid w:val="00F0480D"/>
    <w:rsid w:val="00F048A8"/>
    <w:rsid w:val="00F04A83"/>
    <w:rsid w:val="00F04DF3"/>
    <w:rsid w:val="00F054C0"/>
    <w:rsid w:val="00F05CF4"/>
    <w:rsid w:val="00F0631A"/>
    <w:rsid w:val="00F06535"/>
    <w:rsid w:val="00F06FBD"/>
    <w:rsid w:val="00F0732C"/>
    <w:rsid w:val="00F07C5D"/>
    <w:rsid w:val="00F10345"/>
    <w:rsid w:val="00F1068D"/>
    <w:rsid w:val="00F10AEE"/>
    <w:rsid w:val="00F1106A"/>
    <w:rsid w:val="00F11F64"/>
    <w:rsid w:val="00F13079"/>
    <w:rsid w:val="00F133F7"/>
    <w:rsid w:val="00F13E5A"/>
    <w:rsid w:val="00F13ED9"/>
    <w:rsid w:val="00F14118"/>
    <w:rsid w:val="00F14C1F"/>
    <w:rsid w:val="00F1570F"/>
    <w:rsid w:val="00F1581F"/>
    <w:rsid w:val="00F16573"/>
    <w:rsid w:val="00F16714"/>
    <w:rsid w:val="00F1736A"/>
    <w:rsid w:val="00F17E1F"/>
    <w:rsid w:val="00F17F8C"/>
    <w:rsid w:val="00F225F7"/>
    <w:rsid w:val="00F229E2"/>
    <w:rsid w:val="00F229FB"/>
    <w:rsid w:val="00F23043"/>
    <w:rsid w:val="00F235CA"/>
    <w:rsid w:val="00F23C87"/>
    <w:rsid w:val="00F23D2D"/>
    <w:rsid w:val="00F24943"/>
    <w:rsid w:val="00F2506D"/>
    <w:rsid w:val="00F250EA"/>
    <w:rsid w:val="00F254DA"/>
    <w:rsid w:val="00F255FB"/>
    <w:rsid w:val="00F25EC2"/>
    <w:rsid w:val="00F26326"/>
    <w:rsid w:val="00F26DEE"/>
    <w:rsid w:val="00F2703B"/>
    <w:rsid w:val="00F27A67"/>
    <w:rsid w:val="00F27B11"/>
    <w:rsid w:val="00F27B8F"/>
    <w:rsid w:val="00F30183"/>
    <w:rsid w:val="00F308D3"/>
    <w:rsid w:val="00F3097C"/>
    <w:rsid w:val="00F30A20"/>
    <w:rsid w:val="00F310DF"/>
    <w:rsid w:val="00F31C98"/>
    <w:rsid w:val="00F32122"/>
    <w:rsid w:val="00F321A3"/>
    <w:rsid w:val="00F3221F"/>
    <w:rsid w:val="00F33691"/>
    <w:rsid w:val="00F338B6"/>
    <w:rsid w:val="00F33BF3"/>
    <w:rsid w:val="00F342F9"/>
    <w:rsid w:val="00F34B58"/>
    <w:rsid w:val="00F350A7"/>
    <w:rsid w:val="00F35261"/>
    <w:rsid w:val="00F356E6"/>
    <w:rsid w:val="00F35DEC"/>
    <w:rsid w:val="00F368A1"/>
    <w:rsid w:val="00F369BA"/>
    <w:rsid w:val="00F3744B"/>
    <w:rsid w:val="00F37910"/>
    <w:rsid w:val="00F37DB7"/>
    <w:rsid w:val="00F40864"/>
    <w:rsid w:val="00F4112B"/>
    <w:rsid w:val="00F41A51"/>
    <w:rsid w:val="00F41FE7"/>
    <w:rsid w:val="00F4207D"/>
    <w:rsid w:val="00F42DFE"/>
    <w:rsid w:val="00F43439"/>
    <w:rsid w:val="00F434E9"/>
    <w:rsid w:val="00F440B8"/>
    <w:rsid w:val="00F440BF"/>
    <w:rsid w:val="00F4466F"/>
    <w:rsid w:val="00F4490D"/>
    <w:rsid w:val="00F44AF3"/>
    <w:rsid w:val="00F4510F"/>
    <w:rsid w:val="00F45640"/>
    <w:rsid w:val="00F458DC"/>
    <w:rsid w:val="00F461F5"/>
    <w:rsid w:val="00F46222"/>
    <w:rsid w:val="00F466BE"/>
    <w:rsid w:val="00F473AE"/>
    <w:rsid w:val="00F47842"/>
    <w:rsid w:val="00F50367"/>
    <w:rsid w:val="00F50773"/>
    <w:rsid w:val="00F51F26"/>
    <w:rsid w:val="00F5277B"/>
    <w:rsid w:val="00F535A3"/>
    <w:rsid w:val="00F538F8"/>
    <w:rsid w:val="00F540BA"/>
    <w:rsid w:val="00F5591F"/>
    <w:rsid w:val="00F56ED0"/>
    <w:rsid w:val="00F57175"/>
    <w:rsid w:val="00F57E59"/>
    <w:rsid w:val="00F57E62"/>
    <w:rsid w:val="00F60725"/>
    <w:rsid w:val="00F60867"/>
    <w:rsid w:val="00F610CC"/>
    <w:rsid w:val="00F616F1"/>
    <w:rsid w:val="00F61B86"/>
    <w:rsid w:val="00F626AC"/>
    <w:rsid w:val="00F62B1C"/>
    <w:rsid w:val="00F63C2C"/>
    <w:rsid w:val="00F64CF8"/>
    <w:rsid w:val="00F65226"/>
    <w:rsid w:val="00F66515"/>
    <w:rsid w:val="00F677DC"/>
    <w:rsid w:val="00F70227"/>
    <w:rsid w:val="00F71392"/>
    <w:rsid w:val="00F7197E"/>
    <w:rsid w:val="00F719E8"/>
    <w:rsid w:val="00F71FC7"/>
    <w:rsid w:val="00F73088"/>
    <w:rsid w:val="00F743B6"/>
    <w:rsid w:val="00F744C4"/>
    <w:rsid w:val="00F74CBB"/>
    <w:rsid w:val="00F754B8"/>
    <w:rsid w:val="00F75EEC"/>
    <w:rsid w:val="00F766DC"/>
    <w:rsid w:val="00F76C4F"/>
    <w:rsid w:val="00F76F16"/>
    <w:rsid w:val="00F77CE0"/>
    <w:rsid w:val="00F77D76"/>
    <w:rsid w:val="00F804D0"/>
    <w:rsid w:val="00F805A8"/>
    <w:rsid w:val="00F8079B"/>
    <w:rsid w:val="00F811A8"/>
    <w:rsid w:val="00F81289"/>
    <w:rsid w:val="00F819A8"/>
    <w:rsid w:val="00F81BD8"/>
    <w:rsid w:val="00F825E8"/>
    <w:rsid w:val="00F828D8"/>
    <w:rsid w:val="00F8374B"/>
    <w:rsid w:val="00F8403E"/>
    <w:rsid w:val="00F8415E"/>
    <w:rsid w:val="00F8430D"/>
    <w:rsid w:val="00F85227"/>
    <w:rsid w:val="00F85FDF"/>
    <w:rsid w:val="00F87178"/>
    <w:rsid w:val="00F8772B"/>
    <w:rsid w:val="00F906F4"/>
    <w:rsid w:val="00F90966"/>
    <w:rsid w:val="00F920E5"/>
    <w:rsid w:val="00F92173"/>
    <w:rsid w:val="00F92B8B"/>
    <w:rsid w:val="00F92F45"/>
    <w:rsid w:val="00F93079"/>
    <w:rsid w:val="00F938E6"/>
    <w:rsid w:val="00F9438A"/>
    <w:rsid w:val="00F94613"/>
    <w:rsid w:val="00F94882"/>
    <w:rsid w:val="00F9534E"/>
    <w:rsid w:val="00F95F44"/>
    <w:rsid w:val="00F96AF9"/>
    <w:rsid w:val="00F96C48"/>
    <w:rsid w:val="00F96CE0"/>
    <w:rsid w:val="00F97452"/>
    <w:rsid w:val="00F976E5"/>
    <w:rsid w:val="00F978A8"/>
    <w:rsid w:val="00FA0982"/>
    <w:rsid w:val="00FA1060"/>
    <w:rsid w:val="00FA1499"/>
    <w:rsid w:val="00FA218D"/>
    <w:rsid w:val="00FA2263"/>
    <w:rsid w:val="00FA26F3"/>
    <w:rsid w:val="00FA2925"/>
    <w:rsid w:val="00FA2D22"/>
    <w:rsid w:val="00FA3322"/>
    <w:rsid w:val="00FA3631"/>
    <w:rsid w:val="00FA4934"/>
    <w:rsid w:val="00FA5095"/>
    <w:rsid w:val="00FA5D17"/>
    <w:rsid w:val="00FA67B2"/>
    <w:rsid w:val="00FA70AA"/>
    <w:rsid w:val="00FA779C"/>
    <w:rsid w:val="00FB0332"/>
    <w:rsid w:val="00FB092C"/>
    <w:rsid w:val="00FB12BE"/>
    <w:rsid w:val="00FB1625"/>
    <w:rsid w:val="00FB1BC1"/>
    <w:rsid w:val="00FB2314"/>
    <w:rsid w:val="00FB2B8E"/>
    <w:rsid w:val="00FB3A1F"/>
    <w:rsid w:val="00FB448F"/>
    <w:rsid w:val="00FB458D"/>
    <w:rsid w:val="00FB4796"/>
    <w:rsid w:val="00FB4C6B"/>
    <w:rsid w:val="00FB4E9F"/>
    <w:rsid w:val="00FB4EA1"/>
    <w:rsid w:val="00FB5D7B"/>
    <w:rsid w:val="00FB5FB6"/>
    <w:rsid w:val="00FB63CB"/>
    <w:rsid w:val="00FB7460"/>
    <w:rsid w:val="00FB777C"/>
    <w:rsid w:val="00FC24C5"/>
    <w:rsid w:val="00FC260F"/>
    <w:rsid w:val="00FC2F0D"/>
    <w:rsid w:val="00FC3214"/>
    <w:rsid w:val="00FC41EC"/>
    <w:rsid w:val="00FC522A"/>
    <w:rsid w:val="00FC547C"/>
    <w:rsid w:val="00FC5673"/>
    <w:rsid w:val="00FC56DB"/>
    <w:rsid w:val="00FC5E8A"/>
    <w:rsid w:val="00FC61A4"/>
    <w:rsid w:val="00FC6252"/>
    <w:rsid w:val="00FC6D27"/>
    <w:rsid w:val="00FC6E6B"/>
    <w:rsid w:val="00FD0D60"/>
    <w:rsid w:val="00FD1839"/>
    <w:rsid w:val="00FD1BB6"/>
    <w:rsid w:val="00FD2355"/>
    <w:rsid w:val="00FD2358"/>
    <w:rsid w:val="00FD23A9"/>
    <w:rsid w:val="00FD3626"/>
    <w:rsid w:val="00FD40FC"/>
    <w:rsid w:val="00FD4338"/>
    <w:rsid w:val="00FD5842"/>
    <w:rsid w:val="00FD5CAA"/>
    <w:rsid w:val="00FD6329"/>
    <w:rsid w:val="00FD7454"/>
    <w:rsid w:val="00FD7F2F"/>
    <w:rsid w:val="00FE0692"/>
    <w:rsid w:val="00FE105A"/>
    <w:rsid w:val="00FE1CF4"/>
    <w:rsid w:val="00FE1F52"/>
    <w:rsid w:val="00FE257E"/>
    <w:rsid w:val="00FE35B9"/>
    <w:rsid w:val="00FE42CB"/>
    <w:rsid w:val="00FE48DF"/>
    <w:rsid w:val="00FE4BF0"/>
    <w:rsid w:val="00FE4D0E"/>
    <w:rsid w:val="00FE566B"/>
    <w:rsid w:val="00FE61B3"/>
    <w:rsid w:val="00FE624E"/>
    <w:rsid w:val="00FE64CF"/>
    <w:rsid w:val="00FE6983"/>
    <w:rsid w:val="00FE6C09"/>
    <w:rsid w:val="00FE6D4E"/>
    <w:rsid w:val="00FE7329"/>
    <w:rsid w:val="00FF07C7"/>
    <w:rsid w:val="00FF0B8B"/>
    <w:rsid w:val="00FF1434"/>
    <w:rsid w:val="00FF1A7C"/>
    <w:rsid w:val="00FF2716"/>
    <w:rsid w:val="00FF30D2"/>
    <w:rsid w:val="00FF3140"/>
    <w:rsid w:val="00FF326D"/>
    <w:rsid w:val="00FF389E"/>
    <w:rsid w:val="00FF42F8"/>
    <w:rsid w:val="00FF442D"/>
    <w:rsid w:val="00FF4A71"/>
    <w:rsid w:val="00FF4B88"/>
    <w:rsid w:val="00FF4C9E"/>
    <w:rsid w:val="00FF4CC8"/>
    <w:rsid w:val="00FF51AB"/>
    <w:rsid w:val="00FF57B4"/>
    <w:rsid w:val="00FF5928"/>
    <w:rsid w:val="00FF5FDC"/>
    <w:rsid w:val="00FF6014"/>
    <w:rsid w:val="00FF67F5"/>
    <w:rsid w:val="00FF730A"/>
    <w:rsid w:val="00FF7BCD"/>
    <w:rsid w:val="012501BE"/>
    <w:rsid w:val="018856AF"/>
    <w:rsid w:val="01C42561"/>
    <w:rsid w:val="02406EDB"/>
    <w:rsid w:val="027D557F"/>
    <w:rsid w:val="03291191"/>
    <w:rsid w:val="03505C77"/>
    <w:rsid w:val="03F31506"/>
    <w:rsid w:val="049D3B67"/>
    <w:rsid w:val="06A23CB0"/>
    <w:rsid w:val="06C42A6F"/>
    <w:rsid w:val="06F2019A"/>
    <w:rsid w:val="07534F9F"/>
    <w:rsid w:val="07604124"/>
    <w:rsid w:val="077E3ED4"/>
    <w:rsid w:val="078B2A58"/>
    <w:rsid w:val="07B45450"/>
    <w:rsid w:val="07DE071F"/>
    <w:rsid w:val="07F8578E"/>
    <w:rsid w:val="08740970"/>
    <w:rsid w:val="09E57B43"/>
    <w:rsid w:val="0A092E33"/>
    <w:rsid w:val="0A892BC4"/>
    <w:rsid w:val="0AE46D6B"/>
    <w:rsid w:val="0B574A70"/>
    <w:rsid w:val="0BC33EB3"/>
    <w:rsid w:val="0BCB0FBA"/>
    <w:rsid w:val="0C132553"/>
    <w:rsid w:val="0C1858BE"/>
    <w:rsid w:val="0C3721AC"/>
    <w:rsid w:val="0C3E79DE"/>
    <w:rsid w:val="0C751537"/>
    <w:rsid w:val="0C9D49CF"/>
    <w:rsid w:val="0CB90E13"/>
    <w:rsid w:val="0CE2552D"/>
    <w:rsid w:val="0E9038DF"/>
    <w:rsid w:val="0E9570FF"/>
    <w:rsid w:val="0EB2328C"/>
    <w:rsid w:val="0EF56A7A"/>
    <w:rsid w:val="0FE4264A"/>
    <w:rsid w:val="102C7AE5"/>
    <w:rsid w:val="10B97633"/>
    <w:rsid w:val="10C120B2"/>
    <w:rsid w:val="11800151"/>
    <w:rsid w:val="11A958FA"/>
    <w:rsid w:val="120877AE"/>
    <w:rsid w:val="123029BC"/>
    <w:rsid w:val="12703686"/>
    <w:rsid w:val="12AB5425"/>
    <w:rsid w:val="12CF1390"/>
    <w:rsid w:val="13041F12"/>
    <w:rsid w:val="13497394"/>
    <w:rsid w:val="13AB468B"/>
    <w:rsid w:val="13E723D4"/>
    <w:rsid w:val="148E281C"/>
    <w:rsid w:val="15FF452C"/>
    <w:rsid w:val="170F6F6A"/>
    <w:rsid w:val="17222910"/>
    <w:rsid w:val="17A841B8"/>
    <w:rsid w:val="17AC00A5"/>
    <w:rsid w:val="17AC6FD4"/>
    <w:rsid w:val="180A4C18"/>
    <w:rsid w:val="186C02C4"/>
    <w:rsid w:val="18713654"/>
    <w:rsid w:val="18E9605D"/>
    <w:rsid w:val="19460D53"/>
    <w:rsid w:val="1A475CB0"/>
    <w:rsid w:val="1AC25486"/>
    <w:rsid w:val="1BA521E6"/>
    <w:rsid w:val="1BB83309"/>
    <w:rsid w:val="1BEF125A"/>
    <w:rsid w:val="1C2B4F89"/>
    <w:rsid w:val="1C3A1F70"/>
    <w:rsid w:val="1D3D339A"/>
    <w:rsid w:val="1DAB2744"/>
    <w:rsid w:val="1E0A7F4F"/>
    <w:rsid w:val="1E346569"/>
    <w:rsid w:val="1E562965"/>
    <w:rsid w:val="1E592455"/>
    <w:rsid w:val="1EC30769"/>
    <w:rsid w:val="1EE2244B"/>
    <w:rsid w:val="1F226CEB"/>
    <w:rsid w:val="1F941997"/>
    <w:rsid w:val="1F9D6372"/>
    <w:rsid w:val="20825C93"/>
    <w:rsid w:val="209A0F98"/>
    <w:rsid w:val="210F504D"/>
    <w:rsid w:val="214C797C"/>
    <w:rsid w:val="21957C48"/>
    <w:rsid w:val="21F4671D"/>
    <w:rsid w:val="22ED4FEA"/>
    <w:rsid w:val="23334FB2"/>
    <w:rsid w:val="239A1BA6"/>
    <w:rsid w:val="23CD2CCB"/>
    <w:rsid w:val="249475EC"/>
    <w:rsid w:val="249F2F21"/>
    <w:rsid w:val="24A42AE0"/>
    <w:rsid w:val="256040C9"/>
    <w:rsid w:val="256C2A6E"/>
    <w:rsid w:val="25710085"/>
    <w:rsid w:val="26151358"/>
    <w:rsid w:val="26204336"/>
    <w:rsid w:val="26B20955"/>
    <w:rsid w:val="27615D7C"/>
    <w:rsid w:val="27633147"/>
    <w:rsid w:val="27DE1338"/>
    <w:rsid w:val="282C4473"/>
    <w:rsid w:val="297840D8"/>
    <w:rsid w:val="297D240D"/>
    <w:rsid w:val="29BD5F8E"/>
    <w:rsid w:val="29FC1D70"/>
    <w:rsid w:val="2A4D19DD"/>
    <w:rsid w:val="2AF761B7"/>
    <w:rsid w:val="2BC77D44"/>
    <w:rsid w:val="2C3416C8"/>
    <w:rsid w:val="2C5030EA"/>
    <w:rsid w:val="2C675063"/>
    <w:rsid w:val="2CA823B6"/>
    <w:rsid w:val="2CDF7FCA"/>
    <w:rsid w:val="2D9278AF"/>
    <w:rsid w:val="2DC86CB0"/>
    <w:rsid w:val="2E4C78E1"/>
    <w:rsid w:val="2E8636C1"/>
    <w:rsid w:val="2EF35FAE"/>
    <w:rsid w:val="2FC242FE"/>
    <w:rsid w:val="2FEA73B1"/>
    <w:rsid w:val="311961A0"/>
    <w:rsid w:val="31314B51"/>
    <w:rsid w:val="314D6B89"/>
    <w:rsid w:val="321A2EEF"/>
    <w:rsid w:val="32285D68"/>
    <w:rsid w:val="324C6101"/>
    <w:rsid w:val="33294694"/>
    <w:rsid w:val="33557238"/>
    <w:rsid w:val="33963EB2"/>
    <w:rsid w:val="348D2AF3"/>
    <w:rsid w:val="34C80753"/>
    <w:rsid w:val="350D601C"/>
    <w:rsid w:val="35325A82"/>
    <w:rsid w:val="36CF6437"/>
    <w:rsid w:val="374720D9"/>
    <w:rsid w:val="379A1BAE"/>
    <w:rsid w:val="379E4713"/>
    <w:rsid w:val="37B96D06"/>
    <w:rsid w:val="37F74C56"/>
    <w:rsid w:val="37F8140E"/>
    <w:rsid w:val="38077CB7"/>
    <w:rsid w:val="382947EF"/>
    <w:rsid w:val="384D2BD3"/>
    <w:rsid w:val="38A30B62"/>
    <w:rsid w:val="394B7691"/>
    <w:rsid w:val="396B16A3"/>
    <w:rsid w:val="39D215E2"/>
    <w:rsid w:val="3A1432C9"/>
    <w:rsid w:val="3AB111F7"/>
    <w:rsid w:val="3B210A02"/>
    <w:rsid w:val="3BCD632C"/>
    <w:rsid w:val="3D477FAC"/>
    <w:rsid w:val="3D7B7044"/>
    <w:rsid w:val="3E044A53"/>
    <w:rsid w:val="3E502AD5"/>
    <w:rsid w:val="3F2A5A1C"/>
    <w:rsid w:val="3F5D7180"/>
    <w:rsid w:val="3FB36CA3"/>
    <w:rsid w:val="3FBD32CD"/>
    <w:rsid w:val="3FC77F4D"/>
    <w:rsid w:val="3FDF236F"/>
    <w:rsid w:val="401364B0"/>
    <w:rsid w:val="4037219F"/>
    <w:rsid w:val="40532D51"/>
    <w:rsid w:val="40664832"/>
    <w:rsid w:val="406F69D3"/>
    <w:rsid w:val="40941596"/>
    <w:rsid w:val="416702DC"/>
    <w:rsid w:val="41AA3945"/>
    <w:rsid w:val="421213DC"/>
    <w:rsid w:val="421F4213"/>
    <w:rsid w:val="422920DD"/>
    <w:rsid w:val="423F65F6"/>
    <w:rsid w:val="425F59DD"/>
    <w:rsid w:val="42AF0E27"/>
    <w:rsid w:val="43BC5ACE"/>
    <w:rsid w:val="43C5564A"/>
    <w:rsid w:val="443F0E41"/>
    <w:rsid w:val="449F47B6"/>
    <w:rsid w:val="4528655A"/>
    <w:rsid w:val="453A628D"/>
    <w:rsid w:val="45817493"/>
    <w:rsid w:val="459B010B"/>
    <w:rsid w:val="466A598A"/>
    <w:rsid w:val="467D47B6"/>
    <w:rsid w:val="46D52711"/>
    <w:rsid w:val="472F35E1"/>
    <w:rsid w:val="475D584F"/>
    <w:rsid w:val="4760647F"/>
    <w:rsid w:val="482968A5"/>
    <w:rsid w:val="48632057"/>
    <w:rsid w:val="48EC5AF0"/>
    <w:rsid w:val="48FD73FC"/>
    <w:rsid w:val="491C711C"/>
    <w:rsid w:val="494678A8"/>
    <w:rsid w:val="49BF133E"/>
    <w:rsid w:val="49CA0BD6"/>
    <w:rsid w:val="49CF169A"/>
    <w:rsid w:val="4A0330F2"/>
    <w:rsid w:val="4A1E25E0"/>
    <w:rsid w:val="4AF22FD6"/>
    <w:rsid w:val="4B2D2643"/>
    <w:rsid w:val="4CED0A31"/>
    <w:rsid w:val="4D220B91"/>
    <w:rsid w:val="4E266033"/>
    <w:rsid w:val="4E47442F"/>
    <w:rsid w:val="4E571C5E"/>
    <w:rsid w:val="4E65413E"/>
    <w:rsid w:val="4E965416"/>
    <w:rsid w:val="4F18319B"/>
    <w:rsid w:val="4F8E7DA6"/>
    <w:rsid w:val="4FBF7ABB"/>
    <w:rsid w:val="4FCB70FE"/>
    <w:rsid w:val="505E2AC4"/>
    <w:rsid w:val="50C730CB"/>
    <w:rsid w:val="50D253CB"/>
    <w:rsid w:val="51D14D0B"/>
    <w:rsid w:val="52151C14"/>
    <w:rsid w:val="52305BD9"/>
    <w:rsid w:val="52587DD1"/>
    <w:rsid w:val="526F40E7"/>
    <w:rsid w:val="52AC42CF"/>
    <w:rsid w:val="52DF4EC6"/>
    <w:rsid w:val="540A72B3"/>
    <w:rsid w:val="544B5F4C"/>
    <w:rsid w:val="54AA0D3A"/>
    <w:rsid w:val="55120F3F"/>
    <w:rsid w:val="55A21255"/>
    <w:rsid w:val="55D80063"/>
    <w:rsid w:val="565E627F"/>
    <w:rsid w:val="56A9509E"/>
    <w:rsid w:val="56B063AF"/>
    <w:rsid w:val="581C3185"/>
    <w:rsid w:val="58CC108D"/>
    <w:rsid w:val="58CD149A"/>
    <w:rsid w:val="58EE4F3B"/>
    <w:rsid w:val="59521705"/>
    <w:rsid w:val="59A00251"/>
    <w:rsid w:val="59BB5797"/>
    <w:rsid w:val="59DD74BB"/>
    <w:rsid w:val="5A490EFE"/>
    <w:rsid w:val="5A4A36E7"/>
    <w:rsid w:val="5A9102A6"/>
    <w:rsid w:val="5AEA4C8B"/>
    <w:rsid w:val="5AF74B28"/>
    <w:rsid w:val="5B1530DE"/>
    <w:rsid w:val="5BA87F9D"/>
    <w:rsid w:val="5C181CF9"/>
    <w:rsid w:val="5CA361A0"/>
    <w:rsid w:val="5DEF7563"/>
    <w:rsid w:val="5E1978DE"/>
    <w:rsid w:val="5ECA25C2"/>
    <w:rsid w:val="5EE27322"/>
    <w:rsid w:val="5F685A79"/>
    <w:rsid w:val="5FC30F01"/>
    <w:rsid w:val="5FC64A26"/>
    <w:rsid w:val="609003E7"/>
    <w:rsid w:val="60C50CB6"/>
    <w:rsid w:val="60ED64CB"/>
    <w:rsid w:val="615C0620"/>
    <w:rsid w:val="61671820"/>
    <w:rsid w:val="618A2ED8"/>
    <w:rsid w:val="61CC18CA"/>
    <w:rsid w:val="631F2F02"/>
    <w:rsid w:val="640218E8"/>
    <w:rsid w:val="64801AB7"/>
    <w:rsid w:val="65436640"/>
    <w:rsid w:val="659A2704"/>
    <w:rsid w:val="66111721"/>
    <w:rsid w:val="6625321E"/>
    <w:rsid w:val="66384A6E"/>
    <w:rsid w:val="663C374F"/>
    <w:rsid w:val="66653722"/>
    <w:rsid w:val="66C33EDD"/>
    <w:rsid w:val="67254DB7"/>
    <w:rsid w:val="67681BF7"/>
    <w:rsid w:val="67A86FBE"/>
    <w:rsid w:val="68244CA7"/>
    <w:rsid w:val="6828669F"/>
    <w:rsid w:val="68E753EF"/>
    <w:rsid w:val="69142E64"/>
    <w:rsid w:val="69FC1BE0"/>
    <w:rsid w:val="6AF54D50"/>
    <w:rsid w:val="6B0D3978"/>
    <w:rsid w:val="6B1663F2"/>
    <w:rsid w:val="6B194795"/>
    <w:rsid w:val="6B5577E6"/>
    <w:rsid w:val="6B591852"/>
    <w:rsid w:val="6B841ED8"/>
    <w:rsid w:val="6B96571C"/>
    <w:rsid w:val="6BDB3A77"/>
    <w:rsid w:val="6C7F2654"/>
    <w:rsid w:val="6CCC09BE"/>
    <w:rsid w:val="6D082649"/>
    <w:rsid w:val="6DA2289E"/>
    <w:rsid w:val="6DF55396"/>
    <w:rsid w:val="6E9248C1"/>
    <w:rsid w:val="6ECB392F"/>
    <w:rsid w:val="6ECF29BA"/>
    <w:rsid w:val="6EDC241C"/>
    <w:rsid w:val="6F4A519B"/>
    <w:rsid w:val="6F8E020F"/>
    <w:rsid w:val="704E4817"/>
    <w:rsid w:val="70775726"/>
    <w:rsid w:val="709541F4"/>
    <w:rsid w:val="70A64653"/>
    <w:rsid w:val="71131E24"/>
    <w:rsid w:val="71A00ED1"/>
    <w:rsid w:val="71E56FF0"/>
    <w:rsid w:val="71FF2D02"/>
    <w:rsid w:val="7251239D"/>
    <w:rsid w:val="72B52A24"/>
    <w:rsid w:val="72EE0337"/>
    <w:rsid w:val="72F53670"/>
    <w:rsid w:val="73532145"/>
    <w:rsid w:val="742D29CF"/>
    <w:rsid w:val="746A3313"/>
    <w:rsid w:val="748C0004"/>
    <w:rsid w:val="75126FAE"/>
    <w:rsid w:val="754E166F"/>
    <w:rsid w:val="765D72EE"/>
    <w:rsid w:val="76AA4601"/>
    <w:rsid w:val="76FB4FCD"/>
    <w:rsid w:val="773C4086"/>
    <w:rsid w:val="77614CE6"/>
    <w:rsid w:val="77AD4519"/>
    <w:rsid w:val="77B9252A"/>
    <w:rsid w:val="77D472F9"/>
    <w:rsid w:val="78BF6B5E"/>
    <w:rsid w:val="790C1713"/>
    <w:rsid w:val="79E47F9A"/>
    <w:rsid w:val="79EC486D"/>
    <w:rsid w:val="7A1750E8"/>
    <w:rsid w:val="7A9F7BB3"/>
    <w:rsid w:val="7AC878BC"/>
    <w:rsid w:val="7AEA6B74"/>
    <w:rsid w:val="7B1C44EF"/>
    <w:rsid w:val="7B9B28DB"/>
    <w:rsid w:val="7BDF5AD0"/>
    <w:rsid w:val="7BFE2A44"/>
    <w:rsid w:val="7C613180"/>
    <w:rsid w:val="7C6333F8"/>
    <w:rsid w:val="7DBA14EA"/>
    <w:rsid w:val="7DC501C1"/>
    <w:rsid w:val="7E3747C3"/>
    <w:rsid w:val="7E8B6C36"/>
    <w:rsid w:val="7EF46ED2"/>
    <w:rsid w:val="7F7C0D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qFormat="1" w:uiPriority="39" w:name="toc 4"/>
    <w:lsdException w:uiPriority="39" w:name="toc 5"/>
    <w:lsdException w:uiPriority="39" w:name="toc 6"/>
    <w:lsdException w:uiPriority="39" w:name="toc 7"/>
    <w:lsdException w:uiPriority="39" w:name="toc 8"/>
    <w:lsdException w:qFormat="1" w:uiPriority="39" w:name="toc 9"/>
    <w:lsdException w:qFormat="1" w:uiPriority="0" w:semiHidden="0"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qFormat="1" w:uiPriority="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qFormat="1"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unhideWhenUsed="0" w:uiPriority="20" w:semiHidden="0" w:name="Emphasis"/>
    <w:lsdException w:qFormat="1" w:uiPriority="99" w:name="Document Map"/>
    <w:lsdException w:qFormat="1" w:uiPriority="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name="Balloon Text"/>
    <w:lsdException w:qFormat="1"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Times New Roman" w:hAnsi="Times New Roman" w:eastAsia="宋体" w:cstheme="minorBidi"/>
      <w:snapToGrid w:val="0"/>
      <w:kern w:val="0"/>
      <w:sz w:val="24"/>
      <w:szCs w:val="21"/>
      <w:lang w:val="en-US" w:eastAsia="zh-CN" w:bidi="ar-SA"/>
    </w:rPr>
  </w:style>
  <w:style w:type="paragraph" w:styleId="3">
    <w:name w:val="heading 1"/>
    <w:basedOn w:val="4"/>
    <w:next w:val="1"/>
    <w:link w:val="45"/>
    <w:qFormat/>
    <w:uiPriority w:val="0"/>
    <w:pPr>
      <w:tabs>
        <w:tab w:val="left" w:pos="0"/>
      </w:tabs>
      <w:spacing w:before="50" w:beforeLines="50"/>
      <w:jc w:val="left"/>
      <w:outlineLvl w:val="0"/>
    </w:pPr>
    <w:rPr>
      <w:b/>
      <w:sz w:val="28"/>
      <w:szCs w:val="44"/>
    </w:rPr>
  </w:style>
  <w:style w:type="paragraph" w:styleId="5">
    <w:name w:val="heading 2"/>
    <w:basedOn w:val="1"/>
    <w:next w:val="1"/>
    <w:link w:val="48"/>
    <w:unhideWhenUsed/>
    <w:qFormat/>
    <w:uiPriority w:val="9"/>
    <w:pPr>
      <w:ind w:firstLine="0" w:firstLineChars="0"/>
      <w:outlineLvl w:val="1"/>
    </w:pPr>
    <w:rPr>
      <w:rFonts w:eastAsia="黑体" w:cstheme="majorBidi"/>
      <w:bCs/>
      <w:szCs w:val="32"/>
    </w:rPr>
  </w:style>
  <w:style w:type="paragraph" w:styleId="4">
    <w:name w:val="heading 3"/>
    <w:basedOn w:val="1"/>
    <w:next w:val="1"/>
    <w:link w:val="49"/>
    <w:unhideWhenUsed/>
    <w:qFormat/>
    <w:uiPriority w:val="9"/>
    <w:pPr>
      <w:ind w:firstLine="0" w:firstLineChars="0"/>
      <w:outlineLvl w:val="2"/>
    </w:pPr>
    <w:rPr>
      <w:rFonts w:eastAsia="黑体"/>
      <w:bCs/>
      <w:snapToGrid/>
      <w:szCs w:val="32"/>
    </w:rPr>
  </w:style>
  <w:style w:type="paragraph" w:styleId="6">
    <w:name w:val="heading 4"/>
    <w:basedOn w:val="1"/>
    <w:next w:val="1"/>
    <w:link w:val="50"/>
    <w:unhideWhenUsed/>
    <w:qFormat/>
    <w:uiPriority w:val="9"/>
    <w:pPr>
      <w:keepNext/>
      <w:keepLines/>
      <w:adjustRightInd w:val="0"/>
      <w:snapToGrid w:val="0"/>
      <w:spacing w:line="480" w:lineRule="exact"/>
      <w:ind w:firstLine="0" w:firstLineChars="0"/>
      <w:outlineLvl w:val="3"/>
    </w:pPr>
    <w:rPr>
      <w:rFonts w:cstheme="majorBidi"/>
      <w:bCs/>
      <w:szCs w:val="28"/>
    </w:rPr>
  </w:style>
  <w:style w:type="paragraph" w:styleId="7">
    <w:name w:val="heading 5"/>
    <w:basedOn w:val="1"/>
    <w:next w:val="1"/>
    <w:link w:val="61"/>
    <w:qFormat/>
    <w:uiPriority w:val="9"/>
    <w:pPr>
      <w:keepNext/>
      <w:keepLines/>
      <w:widowControl/>
      <w:spacing w:before="280" w:after="290" w:line="376" w:lineRule="auto"/>
      <w:ind w:left="1008" w:hanging="1008"/>
      <w:jc w:val="left"/>
      <w:outlineLvl w:val="4"/>
    </w:pPr>
    <w:rPr>
      <w:rFonts w:cs="Times New Roman"/>
      <w:b/>
      <w:bCs/>
      <w:sz w:val="28"/>
      <w:szCs w:val="28"/>
    </w:rPr>
  </w:style>
  <w:style w:type="paragraph" w:styleId="8">
    <w:name w:val="heading 6"/>
    <w:basedOn w:val="1"/>
    <w:next w:val="1"/>
    <w:link w:val="62"/>
    <w:qFormat/>
    <w:uiPriority w:val="9"/>
    <w:pPr>
      <w:keepNext/>
      <w:keepLines/>
      <w:widowControl/>
      <w:spacing w:before="240" w:after="64" w:line="320" w:lineRule="auto"/>
      <w:ind w:left="1152" w:hanging="1152"/>
      <w:jc w:val="left"/>
      <w:outlineLvl w:val="5"/>
    </w:pPr>
    <w:rPr>
      <w:rFonts w:ascii="Calibri Light" w:hAnsi="Calibri Light" w:cs="Times New Roman"/>
      <w:b/>
      <w:bCs/>
      <w:szCs w:val="24"/>
    </w:rPr>
  </w:style>
  <w:style w:type="paragraph" w:styleId="9">
    <w:name w:val="heading 7"/>
    <w:basedOn w:val="1"/>
    <w:next w:val="1"/>
    <w:link w:val="63"/>
    <w:qFormat/>
    <w:uiPriority w:val="9"/>
    <w:pPr>
      <w:keepNext/>
      <w:keepLines/>
      <w:widowControl/>
      <w:spacing w:before="240" w:after="64" w:line="320" w:lineRule="auto"/>
      <w:ind w:left="1296" w:hanging="1296"/>
      <w:jc w:val="left"/>
      <w:outlineLvl w:val="6"/>
    </w:pPr>
    <w:rPr>
      <w:rFonts w:cs="Times New Roman"/>
      <w:b/>
      <w:bCs/>
      <w:szCs w:val="24"/>
    </w:rPr>
  </w:style>
  <w:style w:type="paragraph" w:styleId="10">
    <w:name w:val="heading 8"/>
    <w:basedOn w:val="1"/>
    <w:next w:val="1"/>
    <w:link w:val="64"/>
    <w:qFormat/>
    <w:uiPriority w:val="9"/>
    <w:pPr>
      <w:keepNext/>
      <w:keepLines/>
      <w:widowControl/>
      <w:spacing w:before="240" w:after="64" w:line="320" w:lineRule="auto"/>
      <w:ind w:left="1440" w:hanging="1440"/>
      <w:jc w:val="left"/>
      <w:outlineLvl w:val="7"/>
    </w:pPr>
    <w:rPr>
      <w:rFonts w:ascii="Calibri Light" w:hAnsi="Calibri Light" w:cs="Times New Roman"/>
      <w:szCs w:val="24"/>
    </w:rPr>
  </w:style>
  <w:style w:type="paragraph" w:styleId="11">
    <w:name w:val="heading 9"/>
    <w:basedOn w:val="1"/>
    <w:next w:val="1"/>
    <w:link w:val="65"/>
    <w:qFormat/>
    <w:uiPriority w:val="9"/>
    <w:pPr>
      <w:keepNext/>
      <w:keepLines/>
      <w:widowControl/>
      <w:spacing w:before="240" w:after="64" w:line="320" w:lineRule="auto"/>
      <w:ind w:left="1584" w:hanging="1584"/>
      <w:jc w:val="left"/>
      <w:outlineLvl w:val="8"/>
    </w:pPr>
    <w:rPr>
      <w:rFonts w:ascii="Calibri Light" w:hAnsi="Calibri Light" w:cs="Times New Roman"/>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Block Text"/>
    <w:basedOn w:val="1"/>
    <w:qFormat/>
    <w:uiPriority w:val="0"/>
    <w:pPr>
      <w:ind w:left="-113" w:right="-105" w:rightChars="-50"/>
      <w:jc w:val="left"/>
    </w:pPr>
    <w:rPr>
      <w:rFonts w:ascii="宋体"/>
      <w:kern w:val="0"/>
      <w:sz w:val="19"/>
      <w:szCs w:val="19"/>
    </w:rPr>
  </w:style>
  <w:style w:type="paragraph" w:styleId="12">
    <w:name w:val="Normal Indent"/>
    <w:basedOn w:val="1"/>
    <w:next w:val="13"/>
    <w:unhideWhenUsed/>
    <w:qFormat/>
    <w:uiPriority w:val="0"/>
    <w:pPr>
      <w:ind w:firstLine="420" w:firstLineChars="200"/>
    </w:pPr>
    <w:rPr>
      <w:szCs w:val="20"/>
    </w:rPr>
  </w:style>
  <w:style w:type="paragraph" w:styleId="13">
    <w:name w:val="Title"/>
    <w:basedOn w:val="1"/>
    <w:next w:val="1"/>
    <w:qFormat/>
    <w:uiPriority w:val="99"/>
    <w:pPr>
      <w:spacing w:before="100" w:after="100" w:line="480" w:lineRule="exact"/>
      <w:jc w:val="left"/>
      <w:outlineLvl w:val="0"/>
    </w:pPr>
    <w:rPr>
      <w:rFonts w:ascii="Times New Roman" w:cs="Arial"/>
      <w:b/>
      <w:bCs/>
      <w:spacing w:val="5"/>
      <w:sz w:val="28"/>
      <w:szCs w:val="32"/>
    </w:rPr>
  </w:style>
  <w:style w:type="paragraph" w:styleId="14">
    <w:name w:val="Document Map"/>
    <w:basedOn w:val="1"/>
    <w:link w:val="70"/>
    <w:semiHidden/>
    <w:unhideWhenUsed/>
    <w:qFormat/>
    <w:uiPriority w:val="99"/>
    <w:rPr>
      <w:rFonts w:ascii="宋体" w:cs="Times New Roman"/>
      <w:sz w:val="18"/>
      <w:szCs w:val="18"/>
    </w:rPr>
  </w:style>
  <w:style w:type="paragraph" w:styleId="15">
    <w:name w:val="annotation text"/>
    <w:basedOn w:val="1"/>
    <w:link w:val="85"/>
    <w:unhideWhenUsed/>
    <w:qFormat/>
    <w:uiPriority w:val="0"/>
    <w:pPr>
      <w:jc w:val="left"/>
    </w:pPr>
  </w:style>
  <w:style w:type="paragraph" w:styleId="16">
    <w:name w:val="Body Text"/>
    <w:basedOn w:val="1"/>
    <w:link w:val="69"/>
    <w:semiHidden/>
    <w:unhideWhenUsed/>
    <w:qFormat/>
    <w:uiPriority w:val="99"/>
    <w:pPr>
      <w:spacing w:after="120"/>
    </w:pPr>
  </w:style>
  <w:style w:type="paragraph" w:styleId="17">
    <w:name w:val="Body Text Indent"/>
    <w:basedOn w:val="1"/>
    <w:next w:val="1"/>
    <w:link w:val="68"/>
    <w:qFormat/>
    <w:uiPriority w:val="99"/>
    <w:pPr>
      <w:spacing w:after="120"/>
      <w:ind w:left="420" w:leftChars="200"/>
    </w:pPr>
    <w:rPr>
      <w:rFonts w:cs="Times New Roman"/>
      <w:szCs w:val="24"/>
    </w:rPr>
  </w:style>
  <w:style w:type="paragraph" w:styleId="18">
    <w:name w:val="Plain Text"/>
    <w:basedOn w:val="1"/>
    <w:link w:val="116"/>
    <w:semiHidden/>
    <w:unhideWhenUsed/>
    <w:qFormat/>
    <w:uiPriority w:val="0"/>
    <w:rPr>
      <w:rFonts w:ascii="宋体" w:hAnsi="Courier New" w:cs="Courier New"/>
      <w:sz w:val="21"/>
    </w:rPr>
  </w:style>
  <w:style w:type="paragraph" w:styleId="19">
    <w:name w:val="Date"/>
    <w:basedOn w:val="1"/>
    <w:next w:val="1"/>
    <w:link w:val="82"/>
    <w:semiHidden/>
    <w:unhideWhenUsed/>
    <w:qFormat/>
    <w:uiPriority w:val="0"/>
    <w:pPr>
      <w:ind w:left="100" w:leftChars="2500"/>
    </w:pPr>
  </w:style>
  <w:style w:type="paragraph" w:styleId="20">
    <w:name w:val="Balloon Text"/>
    <w:basedOn w:val="1"/>
    <w:link w:val="60"/>
    <w:semiHidden/>
    <w:unhideWhenUsed/>
    <w:qFormat/>
    <w:uiPriority w:val="0"/>
    <w:rPr>
      <w:sz w:val="18"/>
      <w:szCs w:val="18"/>
    </w:rPr>
  </w:style>
  <w:style w:type="paragraph" w:styleId="21">
    <w:name w:val="footer"/>
    <w:basedOn w:val="1"/>
    <w:link w:val="53"/>
    <w:unhideWhenUsed/>
    <w:qFormat/>
    <w:uiPriority w:val="99"/>
    <w:pPr>
      <w:tabs>
        <w:tab w:val="center" w:pos="4153"/>
        <w:tab w:val="right" w:pos="8306"/>
      </w:tabs>
      <w:snapToGrid w:val="0"/>
      <w:jc w:val="left"/>
    </w:pPr>
    <w:rPr>
      <w:sz w:val="18"/>
      <w:szCs w:val="18"/>
    </w:rPr>
  </w:style>
  <w:style w:type="paragraph" w:styleId="22">
    <w:name w:val="header"/>
    <w:basedOn w:val="1"/>
    <w:link w:val="52"/>
    <w:unhideWhenUsed/>
    <w:qFormat/>
    <w:uiPriority w:val="99"/>
    <w:pPr>
      <w:pBdr>
        <w:bottom w:val="single" w:color="auto" w:sz="6" w:space="1"/>
      </w:pBdr>
      <w:tabs>
        <w:tab w:val="center" w:pos="4153"/>
        <w:tab w:val="right" w:pos="8306"/>
      </w:tabs>
      <w:snapToGrid w:val="0"/>
      <w:jc w:val="center"/>
    </w:pPr>
    <w:rPr>
      <w:sz w:val="18"/>
      <w:szCs w:val="18"/>
    </w:rPr>
  </w:style>
  <w:style w:type="paragraph" w:styleId="23">
    <w:name w:val="toc 1"/>
    <w:basedOn w:val="1"/>
    <w:next w:val="1"/>
    <w:unhideWhenUsed/>
    <w:qFormat/>
    <w:uiPriority w:val="39"/>
    <w:pPr>
      <w:ind w:firstLine="0" w:firstLineChars="0"/>
    </w:pPr>
    <w:rPr>
      <w:rFonts w:eastAsia="楷体"/>
      <w:b/>
    </w:rPr>
  </w:style>
  <w:style w:type="paragraph" w:styleId="24">
    <w:name w:val="toc 4"/>
    <w:basedOn w:val="1"/>
    <w:next w:val="1"/>
    <w:semiHidden/>
    <w:unhideWhenUsed/>
    <w:qFormat/>
    <w:uiPriority w:val="39"/>
    <w:pPr>
      <w:ind w:left="1260" w:leftChars="600"/>
    </w:pPr>
  </w:style>
  <w:style w:type="paragraph" w:styleId="25">
    <w:name w:val="Body Text Indent 3"/>
    <w:basedOn w:val="1"/>
    <w:link w:val="71"/>
    <w:semiHidden/>
    <w:unhideWhenUsed/>
    <w:qFormat/>
    <w:uiPriority w:val="99"/>
    <w:pPr>
      <w:spacing w:after="120"/>
      <w:ind w:left="420" w:leftChars="200"/>
    </w:pPr>
    <w:rPr>
      <w:rFonts w:cs="Times New Roman"/>
      <w:sz w:val="16"/>
      <w:szCs w:val="16"/>
    </w:rPr>
  </w:style>
  <w:style w:type="paragraph" w:styleId="26">
    <w:name w:val="toc 2"/>
    <w:basedOn w:val="1"/>
    <w:next w:val="1"/>
    <w:unhideWhenUsed/>
    <w:qFormat/>
    <w:uiPriority w:val="39"/>
    <w:pPr>
      <w:tabs>
        <w:tab w:val="right" w:leader="dot" w:pos="9060"/>
      </w:tabs>
      <w:ind w:left="482" w:leftChars="200" w:firstLine="0" w:firstLineChars="0"/>
    </w:pPr>
    <w:rPr>
      <w:rFonts w:eastAsia="楷体"/>
    </w:rPr>
  </w:style>
  <w:style w:type="paragraph" w:styleId="27">
    <w:name w:val="toc 9"/>
    <w:basedOn w:val="1"/>
    <w:next w:val="1"/>
    <w:semiHidden/>
    <w:unhideWhenUsed/>
    <w:qFormat/>
    <w:uiPriority w:val="39"/>
    <w:pPr>
      <w:ind w:left="3360" w:leftChars="1600"/>
    </w:pPr>
    <w:rPr>
      <w:rFonts w:cs="Times New Roman"/>
      <w:szCs w:val="20"/>
    </w:rPr>
  </w:style>
  <w:style w:type="paragraph" w:styleId="28">
    <w:name w:val="Normal (Web)"/>
    <w:basedOn w:val="1"/>
    <w:semiHidden/>
    <w:unhideWhenUsed/>
    <w:qFormat/>
    <w:uiPriority w:val="99"/>
    <w:pPr>
      <w:widowControl/>
      <w:spacing w:before="100" w:beforeAutospacing="1" w:after="100" w:afterAutospacing="1" w:line="240" w:lineRule="auto"/>
      <w:ind w:firstLine="0" w:firstLineChars="0"/>
      <w:jc w:val="left"/>
    </w:pPr>
    <w:rPr>
      <w:rFonts w:ascii="宋体" w:hAnsi="宋体" w:cs="宋体"/>
      <w:snapToGrid/>
      <w:szCs w:val="24"/>
    </w:rPr>
  </w:style>
  <w:style w:type="paragraph" w:styleId="29">
    <w:name w:val="annotation subject"/>
    <w:basedOn w:val="15"/>
    <w:next w:val="15"/>
    <w:link w:val="86"/>
    <w:unhideWhenUsed/>
    <w:qFormat/>
    <w:uiPriority w:val="99"/>
    <w:rPr>
      <w:b/>
      <w:bCs/>
    </w:rPr>
  </w:style>
  <w:style w:type="paragraph" w:styleId="30">
    <w:name w:val="Body Text First Indent"/>
    <w:basedOn w:val="1"/>
    <w:next w:val="17"/>
    <w:qFormat/>
    <w:uiPriority w:val="0"/>
    <w:pPr>
      <w:widowControl w:val="0"/>
      <w:spacing w:after="120" w:line="320" w:lineRule="exact"/>
      <w:ind w:firstLine="420" w:firstLineChars="100"/>
      <w:jc w:val="both"/>
    </w:pPr>
    <w:rPr>
      <w:rFonts w:ascii="宋体" w:hAnsi="宋体"/>
      <w:kern w:val="2"/>
      <w:sz w:val="24"/>
      <w:szCs w:val="24"/>
      <w:lang w:val="en-US" w:eastAsia="zh-CN" w:bidi="ar-SA"/>
    </w:rPr>
  </w:style>
  <w:style w:type="paragraph" w:styleId="31">
    <w:name w:val="Body Text First Indent 2"/>
    <w:basedOn w:val="17"/>
    <w:next w:val="30"/>
    <w:qFormat/>
    <w:uiPriority w:val="0"/>
    <w:pPr>
      <w:spacing w:after="120" w:line="240" w:lineRule="auto"/>
      <w:ind w:left="420" w:leftChars="200" w:firstLine="420" w:firstLineChars="200"/>
    </w:pPr>
    <w:rPr>
      <w:sz w:val="21"/>
    </w:rPr>
  </w:style>
  <w:style w:type="table" w:styleId="33">
    <w:name w:val="Table Grid"/>
    <w:basedOn w:val="3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basedOn w:val="34"/>
    <w:qFormat/>
    <w:uiPriority w:val="22"/>
    <w:rPr>
      <w:b/>
      <w:bCs/>
    </w:rPr>
  </w:style>
  <w:style w:type="character" w:styleId="36">
    <w:name w:val="Hyperlink"/>
    <w:unhideWhenUsed/>
    <w:qFormat/>
    <w:uiPriority w:val="99"/>
    <w:rPr>
      <w:color w:val="0000FF"/>
      <w:u w:val="single"/>
    </w:rPr>
  </w:style>
  <w:style w:type="character" w:styleId="37">
    <w:name w:val="annotation reference"/>
    <w:basedOn w:val="34"/>
    <w:unhideWhenUsed/>
    <w:qFormat/>
    <w:uiPriority w:val="99"/>
    <w:rPr>
      <w:sz w:val="21"/>
      <w:szCs w:val="21"/>
    </w:rPr>
  </w:style>
  <w:style w:type="paragraph" w:customStyle="1" w:styleId="38">
    <w:name w:val="Default"/>
    <w:basedOn w:val="39"/>
    <w:next w:val="31"/>
    <w:qFormat/>
    <w:uiPriority w:val="0"/>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39">
    <w:name w:val="纯文本1"/>
    <w:basedOn w:val="1"/>
    <w:qFormat/>
    <w:uiPriority w:val="0"/>
    <w:rPr>
      <w:rFonts w:ascii="宋体" w:hAnsi="Courier New" w:cs="Courier New"/>
      <w:kern w:val="2"/>
      <w:sz w:val="21"/>
      <w:szCs w:val="21"/>
    </w:rPr>
  </w:style>
  <w:style w:type="paragraph" w:customStyle="1" w:styleId="40">
    <w:name w:val="1 表头"/>
    <w:basedOn w:val="1"/>
    <w:qFormat/>
    <w:uiPriority w:val="0"/>
    <w:pPr>
      <w:adjustRightInd w:val="0"/>
      <w:snapToGrid w:val="0"/>
      <w:spacing w:line="240" w:lineRule="auto"/>
      <w:ind w:firstLine="0" w:firstLineChars="0"/>
      <w:jc w:val="center"/>
    </w:pPr>
    <w:rPr>
      <w:b/>
      <w:color w:val="000000"/>
      <w:sz w:val="21"/>
      <w:szCs w:val="21"/>
    </w:rPr>
  </w:style>
  <w:style w:type="paragraph" w:customStyle="1" w:styleId="41">
    <w:name w:val="style4"/>
    <w:basedOn w:val="1"/>
    <w:next w:val="42"/>
    <w:qFormat/>
    <w:uiPriority w:val="0"/>
    <w:pPr>
      <w:widowControl/>
      <w:spacing w:before="280" w:after="280"/>
    </w:pPr>
    <w:rPr>
      <w:rFonts w:ascii="宋体"/>
      <w:sz w:val="18"/>
    </w:rPr>
  </w:style>
  <w:style w:type="paragraph" w:customStyle="1" w:styleId="42">
    <w:name w:val="2"/>
    <w:basedOn w:val="1"/>
    <w:next w:val="1"/>
    <w:qFormat/>
    <w:uiPriority w:val="0"/>
    <w:pPr>
      <w:widowControl w:val="0"/>
      <w:jc w:val="both"/>
    </w:pPr>
    <w:rPr>
      <w:rFonts w:ascii="Calibri" w:hAnsi="Calibri"/>
      <w:sz w:val="21"/>
      <w:szCs w:val="22"/>
      <w:lang w:val="en-US" w:eastAsia="zh-CN" w:bidi="ar-SA"/>
    </w:rPr>
  </w:style>
  <w:style w:type="paragraph" w:customStyle="1" w:styleId="43">
    <w:name w:val="表格内字体"/>
    <w:basedOn w:val="18"/>
    <w:link w:val="114"/>
    <w:qFormat/>
    <w:uiPriority w:val="0"/>
    <w:pPr>
      <w:adjustRightInd w:val="0"/>
      <w:snapToGrid w:val="0"/>
      <w:spacing w:line="240" w:lineRule="auto"/>
      <w:ind w:firstLine="0" w:firstLineChars="0"/>
      <w:jc w:val="center"/>
    </w:pPr>
    <w:rPr>
      <w:rFonts w:asciiTheme="minorHAnsi" w:hAnsiTheme="minorHAnsi" w:eastAsiaTheme="minorEastAsia" w:cstheme="minorBidi"/>
      <w:snapToGrid/>
      <w:kern w:val="2"/>
    </w:rPr>
  </w:style>
  <w:style w:type="paragraph" w:customStyle="1" w:styleId="44">
    <w:name w:val="表头字体"/>
    <w:next w:val="1"/>
    <w:link w:val="115"/>
    <w:qFormat/>
    <w:uiPriority w:val="0"/>
    <w:pPr>
      <w:spacing w:line="360" w:lineRule="auto"/>
      <w:jc w:val="center"/>
    </w:pPr>
    <w:rPr>
      <w:rFonts w:ascii="Times New Roman" w:hAnsi="Times New Roman" w:cs="Times New Roman" w:eastAsiaTheme="minorEastAsia"/>
      <w:b/>
      <w:kern w:val="2"/>
      <w:sz w:val="24"/>
      <w:szCs w:val="21"/>
      <w:lang w:val="en-US" w:eastAsia="zh-CN" w:bidi="ar-SA"/>
    </w:rPr>
  </w:style>
  <w:style w:type="character" w:customStyle="1" w:styleId="45">
    <w:name w:val="标题 1 Char"/>
    <w:basedOn w:val="34"/>
    <w:link w:val="3"/>
    <w:qFormat/>
    <w:uiPriority w:val="0"/>
    <w:rPr>
      <w:rFonts w:ascii="Times New Roman" w:hAnsi="Times New Roman" w:eastAsia="宋体"/>
      <w:b/>
      <w:bCs/>
      <w:kern w:val="0"/>
      <w:sz w:val="28"/>
      <w:szCs w:val="44"/>
    </w:rPr>
  </w:style>
  <w:style w:type="paragraph" w:customStyle="1" w:styleId="46">
    <w:name w:val="lh-图题-报告书概述"/>
    <w:next w:val="47"/>
    <w:link w:val="58"/>
    <w:qFormat/>
    <w:uiPriority w:val="0"/>
    <w:pPr>
      <w:numPr>
        <w:ilvl w:val="0"/>
        <w:numId w:val="1"/>
      </w:numPr>
      <w:ind w:left="0" w:firstLine="0"/>
      <w:jc w:val="center"/>
    </w:pPr>
    <w:rPr>
      <w:rFonts w:ascii="Times New Roman" w:hAnsi="Times New Roman" w:eastAsia="宋体" w:cstheme="minorBidi"/>
      <w:snapToGrid w:val="0"/>
      <w:kern w:val="0"/>
      <w:sz w:val="24"/>
      <w:szCs w:val="21"/>
      <w:lang w:val="en-US" w:eastAsia="zh-CN" w:bidi="ar-SA"/>
    </w:rPr>
  </w:style>
  <w:style w:type="paragraph" w:customStyle="1" w:styleId="47">
    <w:name w:val="lh-正文-报告书"/>
    <w:link w:val="56"/>
    <w:qFormat/>
    <w:uiPriority w:val="0"/>
    <w:pPr>
      <w:widowControl w:val="0"/>
      <w:adjustRightInd w:val="0"/>
      <w:snapToGrid w:val="0"/>
      <w:spacing w:line="500" w:lineRule="exact"/>
      <w:ind w:firstLine="200" w:firstLineChars="200"/>
      <w:jc w:val="both"/>
    </w:pPr>
    <w:rPr>
      <w:rFonts w:ascii="Times New Roman" w:hAnsi="Times New Roman" w:eastAsia="楷体" w:cs="Times New Roman"/>
      <w:snapToGrid w:val="0"/>
      <w:kern w:val="0"/>
      <w:sz w:val="28"/>
      <w:szCs w:val="21"/>
      <w:lang w:val="en-GB" w:eastAsia="zh-CN" w:bidi="ar-SA"/>
    </w:rPr>
  </w:style>
  <w:style w:type="character" w:customStyle="1" w:styleId="48">
    <w:name w:val="标题 2 Char"/>
    <w:basedOn w:val="34"/>
    <w:link w:val="5"/>
    <w:qFormat/>
    <w:uiPriority w:val="9"/>
    <w:rPr>
      <w:rFonts w:ascii="Times New Roman" w:hAnsi="Times New Roman" w:eastAsia="黑体" w:cstheme="majorBidi"/>
      <w:bCs/>
      <w:snapToGrid w:val="0"/>
      <w:kern w:val="0"/>
      <w:sz w:val="24"/>
      <w:szCs w:val="32"/>
    </w:rPr>
  </w:style>
  <w:style w:type="character" w:customStyle="1" w:styleId="49">
    <w:name w:val="标题 3 Char"/>
    <w:basedOn w:val="34"/>
    <w:link w:val="4"/>
    <w:qFormat/>
    <w:uiPriority w:val="9"/>
    <w:rPr>
      <w:rFonts w:ascii="Times New Roman" w:hAnsi="Times New Roman" w:eastAsia="黑体"/>
      <w:bCs/>
      <w:kern w:val="0"/>
      <w:sz w:val="24"/>
      <w:szCs w:val="32"/>
    </w:rPr>
  </w:style>
  <w:style w:type="character" w:customStyle="1" w:styleId="50">
    <w:name w:val="标题 4 Char"/>
    <w:basedOn w:val="34"/>
    <w:link w:val="6"/>
    <w:qFormat/>
    <w:uiPriority w:val="9"/>
    <w:rPr>
      <w:rFonts w:ascii="Times New Roman" w:hAnsi="Times New Roman" w:eastAsia="宋体" w:cstheme="majorBidi"/>
      <w:bCs/>
      <w:snapToGrid w:val="0"/>
      <w:kern w:val="0"/>
      <w:sz w:val="24"/>
      <w:szCs w:val="28"/>
    </w:rPr>
  </w:style>
  <w:style w:type="character" w:customStyle="1" w:styleId="51">
    <w:name w:val="Subtle Emphasis"/>
    <w:basedOn w:val="34"/>
    <w:qFormat/>
    <w:uiPriority w:val="19"/>
    <w:rPr>
      <w:i/>
      <w:iCs/>
      <w:color w:val="404040" w:themeColor="text1" w:themeTint="BF"/>
      <w14:textFill>
        <w14:solidFill>
          <w14:schemeClr w14:val="tx1">
            <w14:lumMod w14:val="75000"/>
            <w14:lumOff w14:val="25000"/>
          </w14:schemeClr>
        </w14:solidFill>
      </w14:textFill>
    </w:rPr>
  </w:style>
  <w:style w:type="character" w:customStyle="1" w:styleId="52">
    <w:name w:val="页眉 Char"/>
    <w:basedOn w:val="34"/>
    <w:link w:val="22"/>
    <w:qFormat/>
    <w:uiPriority w:val="99"/>
    <w:rPr>
      <w:sz w:val="18"/>
      <w:szCs w:val="18"/>
    </w:rPr>
  </w:style>
  <w:style w:type="character" w:customStyle="1" w:styleId="53">
    <w:name w:val="页脚 Char"/>
    <w:basedOn w:val="34"/>
    <w:link w:val="21"/>
    <w:qFormat/>
    <w:uiPriority w:val="99"/>
    <w:rPr>
      <w:sz w:val="18"/>
      <w:szCs w:val="18"/>
    </w:rPr>
  </w:style>
  <w:style w:type="paragraph" w:customStyle="1" w:styleId="54">
    <w:name w:val="lh-表题-报告书概述"/>
    <w:next w:val="55"/>
    <w:qFormat/>
    <w:uiPriority w:val="0"/>
    <w:pPr>
      <w:numPr>
        <w:ilvl w:val="0"/>
        <w:numId w:val="2"/>
      </w:numPr>
      <w:spacing w:before="50" w:beforeLines="50"/>
      <w:ind w:left="0" w:firstLine="0"/>
      <w:jc w:val="center"/>
    </w:pPr>
    <w:rPr>
      <w:rFonts w:ascii="Times New Roman" w:hAnsi="Times New Roman" w:eastAsia="宋体" w:cstheme="minorBidi"/>
      <w:snapToGrid w:val="0"/>
      <w:kern w:val="0"/>
      <w:sz w:val="24"/>
      <w:szCs w:val="21"/>
      <w:lang w:val="en-US" w:eastAsia="zh-CN" w:bidi="ar-SA"/>
    </w:rPr>
  </w:style>
  <w:style w:type="paragraph" w:customStyle="1" w:styleId="55">
    <w:name w:val="lh-表格文字-报告书"/>
    <w:link w:val="57"/>
    <w:qFormat/>
    <w:uiPriority w:val="0"/>
    <w:pPr>
      <w:adjustRightInd w:val="0"/>
      <w:snapToGrid w:val="0"/>
      <w:spacing w:line="300" w:lineRule="exact"/>
      <w:jc w:val="center"/>
    </w:pPr>
    <w:rPr>
      <w:rFonts w:ascii="Times New Roman" w:hAnsi="Times New Roman" w:eastAsia="楷体" w:cstheme="minorBidi"/>
      <w:snapToGrid w:val="0"/>
      <w:kern w:val="0"/>
      <w:sz w:val="24"/>
      <w:szCs w:val="24"/>
      <w:lang w:val="en-US" w:eastAsia="zh-CN" w:bidi="ar-SA"/>
    </w:rPr>
  </w:style>
  <w:style w:type="character" w:customStyle="1" w:styleId="56">
    <w:name w:val="lh-表题-报告书概述 Char"/>
    <w:basedOn w:val="34"/>
    <w:link w:val="47"/>
    <w:qFormat/>
    <w:uiPriority w:val="0"/>
    <w:rPr>
      <w:rFonts w:ascii="Times New Roman" w:hAnsi="Times New Roman" w:eastAsia="楷体"/>
      <w:snapToGrid w:val="0"/>
      <w:kern w:val="0"/>
      <w:sz w:val="28"/>
    </w:rPr>
  </w:style>
  <w:style w:type="character" w:customStyle="1" w:styleId="57">
    <w:name w:val="lh-表格文字-报告书 Char"/>
    <w:basedOn w:val="56"/>
    <w:link w:val="55"/>
    <w:qFormat/>
    <w:uiPriority w:val="0"/>
    <w:rPr>
      <w:rFonts w:ascii="Times New Roman" w:hAnsi="Times New Roman" w:eastAsia="楷体"/>
      <w:snapToGrid/>
      <w:kern w:val="0"/>
      <w:sz w:val="24"/>
      <w:szCs w:val="24"/>
    </w:rPr>
  </w:style>
  <w:style w:type="character" w:customStyle="1" w:styleId="58">
    <w:name w:val="lh-图题-报告书概述 Char"/>
    <w:basedOn w:val="34"/>
    <w:link w:val="46"/>
    <w:qFormat/>
    <w:uiPriority w:val="0"/>
    <w:rPr>
      <w:rFonts w:ascii="Times New Roman" w:hAnsi="Times New Roman" w:eastAsia="宋体"/>
      <w:snapToGrid w:val="0"/>
      <w:kern w:val="0"/>
      <w:sz w:val="24"/>
    </w:rPr>
  </w:style>
  <w:style w:type="character" w:customStyle="1" w:styleId="59">
    <w:name w:val="批注文字 Char1"/>
    <w:basedOn w:val="34"/>
    <w:semiHidden/>
    <w:qFormat/>
    <w:uiPriority w:val="99"/>
  </w:style>
  <w:style w:type="character" w:customStyle="1" w:styleId="60">
    <w:name w:val="批注框文本 Char"/>
    <w:basedOn w:val="34"/>
    <w:link w:val="20"/>
    <w:semiHidden/>
    <w:qFormat/>
    <w:uiPriority w:val="0"/>
    <w:rPr>
      <w:sz w:val="18"/>
      <w:szCs w:val="18"/>
    </w:rPr>
  </w:style>
  <w:style w:type="character" w:customStyle="1" w:styleId="61">
    <w:name w:val="标题 5 Char"/>
    <w:basedOn w:val="34"/>
    <w:link w:val="7"/>
    <w:qFormat/>
    <w:uiPriority w:val="9"/>
    <w:rPr>
      <w:rFonts w:ascii="Times New Roman" w:hAnsi="Times New Roman" w:eastAsia="宋体" w:cs="Times New Roman"/>
      <w:b/>
      <w:bCs/>
      <w:kern w:val="0"/>
      <w:sz w:val="28"/>
      <w:szCs w:val="28"/>
    </w:rPr>
  </w:style>
  <w:style w:type="character" w:customStyle="1" w:styleId="62">
    <w:name w:val="标题 6 Char"/>
    <w:basedOn w:val="34"/>
    <w:link w:val="8"/>
    <w:qFormat/>
    <w:uiPriority w:val="9"/>
    <w:rPr>
      <w:rFonts w:ascii="Calibri Light" w:hAnsi="Calibri Light" w:eastAsia="宋体" w:cs="Times New Roman"/>
      <w:b/>
      <w:bCs/>
      <w:kern w:val="0"/>
      <w:sz w:val="24"/>
      <w:szCs w:val="24"/>
    </w:rPr>
  </w:style>
  <w:style w:type="character" w:customStyle="1" w:styleId="63">
    <w:name w:val="标题 7 Char"/>
    <w:basedOn w:val="34"/>
    <w:link w:val="9"/>
    <w:qFormat/>
    <w:uiPriority w:val="9"/>
    <w:rPr>
      <w:rFonts w:ascii="Times New Roman" w:hAnsi="Times New Roman" w:eastAsia="宋体" w:cs="Times New Roman"/>
      <w:b/>
      <w:bCs/>
      <w:kern w:val="0"/>
      <w:sz w:val="24"/>
      <w:szCs w:val="24"/>
    </w:rPr>
  </w:style>
  <w:style w:type="character" w:customStyle="1" w:styleId="64">
    <w:name w:val="标题 8 Char"/>
    <w:basedOn w:val="34"/>
    <w:link w:val="10"/>
    <w:qFormat/>
    <w:uiPriority w:val="9"/>
    <w:rPr>
      <w:rFonts w:ascii="Calibri Light" w:hAnsi="Calibri Light" w:eastAsia="宋体" w:cs="Times New Roman"/>
      <w:kern w:val="0"/>
      <w:sz w:val="24"/>
      <w:szCs w:val="24"/>
    </w:rPr>
  </w:style>
  <w:style w:type="character" w:customStyle="1" w:styleId="65">
    <w:name w:val="标题 9 Char"/>
    <w:basedOn w:val="34"/>
    <w:link w:val="11"/>
    <w:qFormat/>
    <w:uiPriority w:val="9"/>
    <w:rPr>
      <w:rFonts w:ascii="Calibri Light" w:hAnsi="Calibri Light" w:eastAsia="宋体" w:cs="Times New Roman"/>
      <w:kern w:val="0"/>
    </w:rPr>
  </w:style>
  <w:style w:type="character" w:styleId="66">
    <w:name w:val="Placeholder Text"/>
    <w:basedOn w:val="34"/>
    <w:semiHidden/>
    <w:qFormat/>
    <w:uiPriority w:val="99"/>
    <w:rPr>
      <w:color w:val="808080"/>
    </w:rPr>
  </w:style>
  <w:style w:type="character" w:customStyle="1" w:styleId="67">
    <w:name w:val="正文文本缩进 Char"/>
    <w:basedOn w:val="34"/>
    <w:semiHidden/>
    <w:qFormat/>
    <w:uiPriority w:val="99"/>
  </w:style>
  <w:style w:type="character" w:customStyle="1" w:styleId="68">
    <w:name w:val="正文文本缩进 Char1"/>
    <w:link w:val="17"/>
    <w:qFormat/>
    <w:uiPriority w:val="0"/>
    <w:rPr>
      <w:rFonts w:ascii="Times New Roman" w:hAnsi="Times New Roman" w:eastAsia="宋体" w:cs="Times New Roman"/>
      <w:szCs w:val="24"/>
    </w:rPr>
  </w:style>
  <w:style w:type="character" w:customStyle="1" w:styleId="69">
    <w:name w:val="正文文本 Char"/>
    <w:basedOn w:val="34"/>
    <w:link w:val="16"/>
    <w:semiHidden/>
    <w:qFormat/>
    <w:uiPriority w:val="99"/>
  </w:style>
  <w:style w:type="character" w:customStyle="1" w:styleId="70">
    <w:name w:val="文档结构图 Char"/>
    <w:basedOn w:val="34"/>
    <w:link w:val="14"/>
    <w:semiHidden/>
    <w:qFormat/>
    <w:uiPriority w:val="99"/>
    <w:rPr>
      <w:rFonts w:ascii="宋体" w:hAnsi="Times New Roman" w:eastAsia="宋体" w:cs="Times New Roman"/>
      <w:sz w:val="18"/>
      <w:szCs w:val="18"/>
    </w:rPr>
  </w:style>
  <w:style w:type="character" w:customStyle="1" w:styleId="71">
    <w:name w:val="正文文本缩进 3 Char"/>
    <w:basedOn w:val="34"/>
    <w:link w:val="25"/>
    <w:semiHidden/>
    <w:qFormat/>
    <w:uiPriority w:val="99"/>
    <w:rPr>
      <w:rFonts w:ascii="Times New Roman" w:hAnsi="Times New Roman" w:eastAsia="宋体" w:cs="Times New Roman"/>
      <w:sz w:val="16"/>
      <w:szCs w:val="16"/>
    </w:rPr>
  </w:style>
  <w:style w:type="table" w:customStyle="1" w:styleId="72">
    <w:name w:val="样式1"/>
    <w:basedOn w:val="32"/>
    <w:qFormat/>
    <w:uiPriority w:val="0"/>
    <w:pPr>
      <w:jc w:val="center"/>
    </w:pPr>
    <w:rPr>
      <w:rFonts w:ascii="Times New Roman" w:hAnsi="Times New Roman" w:eastAsia="宋体" w:cs="Times New Roman"/>
      <w:kern w:val="0"/>
      <w:szCs w:val="20"/>
    </w:rPr>
    <w:tblPr>
      <w:tblBorders>
        <w:top w:val="single" w:color="auto" w:sz="12" w:space="0"/>
        <w:bottom w:val="single" w:color="auto" w:sz="12" w:space="0"/>
        <w:insideH w:val="single" w:color="auto" w:sz="4" w:space="0"/>
        <w:insideV w:val="single" w:color="auto" w:sz="4" w:space="0"/>
      </w:tblBorders>
    </w:tblPr>
    <w:tcPr>
      <w:vAlign w:val="center"/>
    </w:tcPr>
    <w:tblStylePr w:type="firstRow">
      <w:tcPr>
        <w:tcBorders>
          <w:top w:val="single" w:color="auto" w:sz="12" w:space="0"/>
        </w:tcBorders>
      </w:tcPr>
    </w:tblStylePr>
    <w:tblStylePr w:type="lastRow">
      <w:pPr>
        <w:jc w:val="center"/>
      </w:pPr>
      <w:rPr>
        <w:rFonts w:ascii="Times New Roman" w:hAnsi="Times New Roman" w:eastAsia="宋体"/>
      </w:rPr>
      <w:tcPr>
        <w:tcBorders>
          <w:top w:val="nil"/>
          <w:bottom w:val="single" w:color="auto" w:sz="12" w:space="0"/>
        </w:tcBorders>
      </w:tcPr>
    </w:tblStylePr>
  </w:style>
  <w:style w:type="table" w:customStyle="1" w:styleId="73">
    <w:name w:val="网格型1"/>
    <w:basedOn w:val="32"/>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4">
    <w:name w:val="lh-表注"/>
    <w:link w:val="75"/>
    <w:qFormat/>
    <w:uiPriority w:val="0"/>
    <w:pPr>
      <w:textAlignment w:val="baseline"/>
    </w:pPr>
    <w:rPr>
      <w:rFonts w:ascii="Times New Roman" w:hAnsi="Times New Roman" w:eastAsia="宋体" w:cstheme="minorBidi"/>
      <w:snapToGrid w:val="0"/>
      <w:kern w:val="0"/>
      <w:sz w:val="21"/>
      <w:szCs w:val="21"/>
      <w:lang w:val="en-US" w:eastAsia="zh-CN" w:bidi="ar-SA"/>
    </w:rPr>
  </w:style>
  <w:style w:type="character" w:customStyle="1" w:styleId="75">
    <w:name w:val="lh-表注 Char"/>
    <w:basedOn w:val="34"/>
    <w:link w:val="74"/>
    <w:qFormat/>
    <w:uiPriority w:val="0"/>
    <w:rPr>
      <w:rFonts w:ascii="Times New Roman" w:hAnsi="Times New Roman" w:eastAsia="宋体"/>
      <w:snapToGrid w:val="0"/>
      <w:kern w:val="0"/>
    </w:rPr>
  </w:style>
  <w:style w:type="paragraph" w:styleId="76">
    <w:name w:val="Quote"/>
    <w:basedOn w:val="1"/>
    <w:next w:val="1"/>
    <w:link w:val="77"/>
    <w:qFormat/>
    <w:uiPriority w:val="29"/>
    <w:pPr>
      <w:spacing w:before="200" w:after="160"/>
      <w:ind w:left="864" w:right="864"/>
      <w:jc w:val="center"/>
    </w:pPr>
    <w:rPr>
      <w:i/>
      <w:iCs/>
      <w:snapToGrid/>
      <w:color w:val="404040" w:themeColor="text1" w:themeTint="BF"/>
      <w14:textFill>
        <w14:solidFill>
          <w14:schemeClr w14:val="tx1">
            <w14:lumMod w14:val="75000"/>
            <w14:lumOff w14:val="25000"/>
          </w14:schemeClr>
        </w14:solidFill>
      </w14:textFill>
    </w:rPr>
  </w:style>
  <w:style w:type="character" w:customStyle="1" w:styleId="77">
    <w:name w:val="引用 Char"/>
    <w:basedOn w:val="34"/>
    <w:link w:val="76"/>
    <w:qFormat/>
    <w:uiPriority w:val="29"/>
    <w:rPr>
      <w:rFonts w:ascii="Times New Roman" w:hAnsi="Times New Roman" w:eastAsia="宋体"/>
      <w:i/>
      <w:iCs/>
      <w:snapToGrid w:val="0"/>
      <w:color w:val="404040" w:themeColor="text1" w:themeTint="BF"/>
      <w:kern w:val="0"/>
      <w:sz w:val="24"/>
      <w14:textFill>
        <w14:solidFill>
          <w14:schemeClr w14:val="tx1">
            <w14:lumMod w14:val="75000"/>
            <w14:lumOff w14:val="25000"/>
          </w14:schemeClr>
        </w14:solidFill>
      </w14:textFill>
    </w:rPr>
  </w:style>
  <w:style w:type="paragraph" w:customStyle="1" w:styleId="78">
    <w:name w:val="lh-概述标题"/>
    <w:next w:val="47"/>
    <w:link w:val="79"/>
    <w:qFormat/>
    <w:uiPriority w:val="0"/>
    <w:pPr>
      <w:pageBreakBefore/>
      <w:spacing w:line="480" w:lineRule="auto"/>
      <w:jc w:val="center"/>
      <w:outlineLvl w:val="0"/>
    </w:pPr>
    <w:rPr>
      <w:rFonts w:ascii="Times New Roman" w:hAnsi="Times New Roman" w:eastAsia="黑体" w:cstheme="minorBidi"/>
      <w:bCs/>
      <w:snapToGrid w:val="0"/>
      <w:kern w:val="44"/>
      <w:sz w:val="30"/>
      <w:szCs w:val="44"/>
      <w:lang w:val="en-US" w:eastAsia="zh-CN" w:bidi="ar-SA"/>
    </w:rPr>
  </w:style>
  <w:style w:type="character" w:customStyle="1" w:styleId="79">
    <w:name w:val="lh-概述标题 Char"/>
    <w:basedOn w:val="34"/>
    <w:link w:val="78"/>
    <w:qFormat/>
    <w:uiPriority w:val="0"/>
    <w:rPr>
      <w:rFonts w:ascii="Times New Roman" w:hAnsi="Times New Roman" w:eastAsia="黑体"/>
      <w:bCs/>
      <w:snapToGrid w:val="0"/>
      <w:kern w:val="44"/>
      <w:sz w:val="30"/>
      <w:szCs w:val="44"/>
    </w:rPr>
  </w:style>
  <w:style w:type="paragraph" w:customStyle="1" w:styleId="80">
    <w:name w:val="lh-概述1级标题"/>
    <w:next w:val="47"/>
    <w:link w:val="81"/>
    <w:qFormat/>
    <w:uiPriority w:val="0"/>
    <w:pPr>
      <w:keepNext/>
      <w:numPr>
        <w:ilvl w:val="0"/>
        <w:numId w:val="3"/>
      </w:numPr>
      <w:spacing w:line="360" w:lineRule="auto"/>
      <w:outlineLvl w:val="1"/>
    </w:pPr>
    <w:rPr>
      <w:rFonts w:ascii="Times New Roman" w:hAnsi="Times New Roman" w:eastAsia="黑体" w:cstheme="minorBidi"/>
      <w:snapToGrid w:val="0"/>
      <w:kern w:val="0"/>
      <w:sz w:val="24"/>
      <w:szCs w:val="21"/>
      <w:lang w:val="en-US" w:eastAsia="zh-CN" w:bidi="ar-SA"/>
    </w:rPr>
  </w:style>
  <w:style w:type="character" w:customStyle="1" w:styleId="81">
    <w:name w:val="lh-概述1级标题 Char"/>
    <w:basedOn w:val="34"/>
    <w:link w:val="80"/>
    <w:qFormat/>
    <w:uiPriority w:val="0"/>
    <w:rPr>
      <w:rFonts w:ascii="Times New Roman" w:hAnsi="Times New Roman" w:eastAsia="黑体"/>
      <w:snapToGrid w:val="0"/>
      <w:kern w:val="0"/>
      <w:sz w:val="24"/>
    </w:rPr>
  </w:style>
  <w:style w:type="character" w:customStyle="1" w:styleId="82">
    <w:name w:val="日期 Char"/>
    <w:basedOn w:val="34"/>
    <w:link w:val="19"/>
    <w:semiHidden/>
    <w:qFormat/>
    <w:uiPriority w:val="0"/>
    <w:rPr>
      <w:rFonts w:ascii="Times New Roman" w:hAnsi="Times New Roman" w:eastAsia="宋体"/>
      <w:snapToGrid w:val="0"/>
      <w:kern w:val="0"/>
      <w:sz w:val="24"/>
    </w:rPr>
  </w:style>
  <w:style w:type="paragraph" w:styleId="83">
    <w:name w:val="List Paragraph"/>
    <w:basedOn w:val="1"/>
    <w:link w:val="84"/>
    <w:qFormat/>
    <w:uiPriority w:val="34"/>
    <w:pPr>
      <w:widowControl/>
      <w:spacing w:line="240" w:lineRule="auto"/>
      <w:ind w:firstLine="420"/>
      <w:jc w:val="left"/>
    </w:pPr>
    <w:rPr>
      <w:rFonts w:cs="Times New Roman"/>
      <w:snapToGrid/>
      <w:kern w:val="2"/>
      <w:sz w:val="21"/>
      <w:szCs w:val="24"/>
    </w:rPr>
  </w:style>
  <w:style w:type="character" w:customStyle="1" w:styleId="84">
    <w:name w:val="列出段落 Char"/>
    <w:basedOn w:val="34"/>
    <w:link w:val="83"/>
    <w:qFormat/>
    <w:uiPriority w:val="34"/>
    <w:rPr>
      <w:rFonts w:ascii="Times New Roman" w:hAnsi="Times New Roman" w:eastAsia="宋体" w:cs="Times New Roman"/>
      <w:szCs w:val="24"/>
    </w:rPr>
  </w:style>
  <w:style w:type="character" w:customStyle="1" w:styleId="85">
    <w:name w:val="批注文字 Char"/>
    <w:basedOn w:val="34"/>
    <w:link w:val="15"/>
    <w:qFormat/>
    <w:uiPriority w:val="0"/>
    <w:rPr>
      <w:rFonts w:ascii="Times New Roman" w:hAnsi="Times New Roman" w:eastAsia="宋体"/>
      <w:snapToGrid w:val="0"/>
      <w:kern w:val="0"/>
      <w:sz w:val="24"/>
    </w:rPr>
  </w:style>
  <w:style w:type="character" w:customStyle="1" w:styleId="86">
    <w:name w:val="批注主题 Char"/>
    <w:basedOn w:val="85"/>
    <w:link w:val="29"/>
    <w:semiHidden/>
    <w:qFormat/>
    <w:uiPriority w:val="99"/>
    <w:rPr>
      <w:rFonts w:ascii="Times New Roman" w:hAnsi="Times New Roman" w:eastAsia="宋体"/>
      <w:b/>
      <w:bCs/>
      <w:snapToGrid w:val="0"/>
      <w:kern w:val="0"/>
      <w:sz w:val="24"/>
    </w:rPr>
  </w:style>
  <w:style w:type="paragraph" w:customStyle="1" w:styleId="87">
    <w:name w:val="lh-概述2级标题"/>
    <w:next w:val="47"/>
    <w:link w:val="89"/>
    <w:qFormat/>
    <w:uiPriority w:val="0"/>
    <w:pPr>
      <w:numPr>
        <w:ilvl w:val="1"/>
        <w:numId w:val="3"/>
      </w:numPr>
      <w:spacing w:line="360" w:lineRule="auto"/>
      <w:outlineLvl w:val="2"/>
    </w:pPr>
    <w:rPr>
      <w:rFonts w:ascii="Times New Roman" w:hAnsi="Times New Roman" w:eastAsia="黑体" w:cstheme="minorBidi"/>
      <w:snapToGrid w:val="0"/>
      <w:kern w:val="0"/>
      <w:sz w:val="24"/>
      <w:szCs w:val="21"/>
      <w:lang w:val="en-US" w:eastAsia="zh-CN" w:bidi="ar-SA"/>
    </w:rPr>
  </w:style>
  <w:style w:type="paragraph" w:customStyle="1" w:styleId="88">
    <w:name w:val="lh-1级标题报告书"/>
    <w:next w:val="47"/>
    <w:link w:val="91"/>
    <w:qFormat/>
    <w:uiPriority w:val="0"/>
    <w:pPr>
      <w:keepNext/>
      <w:pageBreakBefore/>
      <w:numPr>
        <w:ilvl w:val="0"/>
        <w:numId w:val="4"/>
      </w:numPr>
      <w:adjustRightInd w:val="0"/>
      <w:snapToGrid w:val="0"/>
      <w:spacing w:before="260" w:after="260" w:line="360" w:lineRule="auto"/>
      <w:outlineLvl w:val="0"/>
    </w:pPr>
    <w:rPr>
      <w:rFonts w:ascii="Times New Roman" w:hAnsi="Times New Roman" w:eastAsia="黑体" w:cstheme="minorBidi"/>
      <w:bCs/>
      <w:snapToGrid w:val="0"/>
      <w:kern w:val="0"/>
      <w:sz w:val="32"/>
      <w:szCs w:val="44"/>
      <w:lang w:val="en-US" w:eastAsia="zh-CN" w:bidi="ar-SA"/>
    </w:rPr>
  </w:style>
  <w:style w:type="character" w:customStyle="1" w:styleId="89">
    <w:name w:val="lh-概述2级标题 Char"/>
    <w:basedOn w:val="34"/>
    <w:link w:val="87"/>
    <w:qFormat/>
    <w:uiPriority w:val="0"/>
    <w:rPr>
      <w:rFonts w:ascii="Times New Roman" w:hAnsi="Times New Roman" w:eastAsia="黑体"/>
      <w:snapToGrid w:val="0"/>
      <w:kern w:val="0"/>
      <w:sz w:val="24"/>
    </w:rPr>
  </w:style>
  <w:style w:type="paragraph" w:customStyle="1" w:styleId="90">
    <w:name w:val="lh-2级标题-报告书"/>
    <w:next w:val="47"/>
    <w:link w:val="93"/>
    <w:qFormat/>
    <w:uiPriority w:val="0"/>
    <w:pPr>
      <w:keepNext/>
      <w:numPr>
        <w:ilvl w:val="1"/>
        <w:numId w:val="4"/>
      </w:numPr>
      <w:adjustRightInd w:val="0"/>
      <w:snapToGrid w:val="0"/>
      <w:spacing w:before="260" w:after="260" w:line="360" w:lineRule="auto"/>
      <w:outlineLvl w:val="1"/>
    </w:pPr>
    <w:rPr>
      <w:rFonts w:ascii="Times New Roman" w:hAnsi="Times New Roman" w:eastAsia="黑体" w:cstheme="minorBidi"/>
      <w:bCs/>
      <w:kern w:val="0"/>
      <w:sz w:val="30"/>
      <w:szCs w:val="32"/>
      <w:lang w:val="en-US" w:eastAsia="zh-CN" w:bidi="ar-SA"/>
    </w:rPr>
  </w:style>
  <w:style w:type="character" w:customStyle="1" w:styleId="91">
    <w:name w:val="lh-1级标题报告书 Char"/>
    <w:basedOn w:val="34"/>
    <w:link w:val="88"/>
    <w:qFormat/>
    <w:uiPriority w:val="0"/>
    <w:rPr>
      <w:rFonts w:ascii="Times New Roman" w:hAnsi="Times New Roman" w:eastAsia="黑体"/>
      <w:bCs/>
      <w:snapToGrid w:val="0"/>
      <w:kern w:val="0"/>
      <w:sz w:val="32"/>
      <w:szCs w:val="44"/>
    </w:rPr>
  </w:style>
  <w:style w:type="paragraph" w:customStyle="1" w:styleId="92">
    <w:name w:val="lh-3级标题报告书"/>
    <w:next w:val="47"/>
    <w:link w:val="95"/>
    <w:qFormat/>
    <w:uiPriority w:val="0"/>
    <w:pPr>
      <w:keepNext/>
      <w:numPr>
        <w:ilvl w:val="2"/>
        <w:numId w:val="4"/>
      </w:numPr>
      <w:adjustRightInd w:val="0"/>
      <w:snapToGrid w:val="0"/>
      <w:spacing w:before="260" w:after="260" w:line="360" w:lineRule="auto"/>
      <w:outlineLvl w:val="2"/>
    </w:pPr>
    <w:rPr>
      <w:rFonts w:ascii="Times New Roman" w:hAnsi="Times New Roman" w:eastAsia="黑体" w:cs="Times New Roman"/>
      <w:kern w:val="0"/>
      <w:sz w:val="28"/>
      <w:szCs w:val="24"/>
      <w:lang w:val="en-US" w:eastAsia="zh-CN" w:bidi="ar-SA"/>
    </w:rPr>
  </w:style>
  <w:style w:type="character" w:customStyle="1" w:styleId="93">
    <w:name w:val="lh-2级标题-报告书 Char"/>
    <w:basedOn w:val="34"/>
    <w:link w:val="90"/>
    <w:qFormat/>
    <w:uiPriority w:val="0"/>
    <w:rPr>
      <w:rFonts w:ascii="Times New Roman" w:hAnsi="Times New Roman" w:eastAsia="黑体"/>
      <w:bCs/>
      <w:kern w:val="0"/>
      <w:sz w:val="30"/>
      <w:szCs w:val="32"/>
    </w:rPr>
  </w:style>
  <w:style w:type="paragraph" w:customStyle="1" w:styleId="94">
    <w:name w:val="lh-表题-报告书正文"/>
    <w:next w:val="55"/>
    <w:link w:val="97"/>
    <w:qFormat/>
    <w:uiPriority w:val="0"/>
    <w:pPr>
      <w:keepNext/>
      <w:numPr>
        <w:ilvl w:val="3"/>
        <w:numId w:val="4"/>
      </w:numPr>
      <w:tabs>
        <w:tab w:val="left" w:pos="5061"/>
        <w:tab w:val="clear" w:pos="0"/>
      </w:tabs>
      <w:adjustRightInd w:val="0"/>
      <w:snapToGrid w:val="0"/>
      <w:spacing w:before="50" w:beforeLines="50"/>
      <w:jc w:val="center"/>
    </w:pPr>
    <w:rPr>
      <w:rFonts w:ascii="Times New Roman" w:hAnsi="Times New Roman" w:eastAsia="楷体" w:cstheme="minorBidi"/>
      <w:b/>
      <w:snapToGrid w:val="0"/>
      <w:kern w:val="0"/>
      <w:sz w:val="24"/>
      <w:szCs w:val="21"/>
      <w:lang w:val="en-US" w:eastAsia="zh-CN" w:bidi="ar-SA"/>
    </w:rPr>
  </w:style>
  <w:style w:type="character" w:customStyle="1" w:styleId="95">
    <w:name w:val="lh-3级标题报告书 Char"/>
    <w:basedOn w:val="34"/>
    <w:link w:val="92"/>
    <w:qFormat/>
    <w:uiPriority w:val="0"/>
    <w:rPr>
      <w:rFonts w:ascii="Times New Roman" w:hAnsi="Times New Roman" w:eastAsia="黑体" w:cs="Times New Roman"/>
      <w:kern w:val="0"/>
      <w:sz w:val="28"/>
      <w:szCs w:val="24"/>
    </w:rPr>
  </w:style>
  <w:style w:type="paragraph" w:customStyle="1" w:styleId="96">
    <w:name w:val="lh-4级标题-报告书"/>
    <w:next w:val="47"/>
    <w:link w:val="99"/>
    <w:qFormat/>
    <w:uiPriority w:val="0"/>
    <w:pPr>
      <w:numPr>
        <w:ilvl w:val="4"/>
        <w:numId w:val="4"/>
      </w:numPr>
      <w:spacing w:line="360" w:lineRule="auto"/>
      <w:outlineLvl w:val="3"/>
    </w:pPr>
    <w:rPr>
      <w:rFonts w:ascii="Times New Roman" w:hAnsi="Times New Roman" w:eastAsia="楷体" w:cstheme="minorBidi"/>
      <w:snapToGrid w:val="0"/>
      <w:kern w:val="0"/>
      <w:sz w:val="28"/>
      <w:szCs w:val="21"/>
      <w:lang w:val="en-US" w:eastAsia="zh-CN" w:bidi="ar-SA"/>
    </w:rPr>
  </w:style>
  <w:style w:type="character" w:customStyle="1" w:styleId="97">
    <w:name w:val="lh-表题-报告书正文 Char"/>
    <w:basedOn w:val="34"/>
    <w:link w:val="94"/>
    <w:qFormat/>
    <w:uiPriority w:val="0"/>
    <w:rPr>
      <w:rFonts w:ascii="Times New Roman" w:hAnsi="Times New Roman" w:eastAsia="楷体"/>
      <w:b/>
      <w:snapToGrid w:val="0"/>
      <w:kern w:val="0"/>
      <w:sz w:val="24"/>
    </w:rPr>
  </w:style>
  <w:style w:type="paragraph" w:customStyle="1" w:styleId="98">
    <w:name w:val="lh-图题-报告书正文"/>
    <w:next w:val="47"/>
    <w:link w:val="100"/>
    <w:qFormat/>
    <w:uiPriority w:val="0"/>
    <w:pPr>
      <w:numPr>
        <w:ilvl w:val="5"/>
        <w:numId w:val="4"/>
      </w:numPr>
      <w:spacing w:line="360" w:lineRule="auto"/>
      <w:jc w:val="center"/>
    </w:pPr>
    <w:rPr>
      <w:rFonts w:ascii="Times New Roman" w:hAnsi="Times New Roman" w:eastAsia="楷体" w:cstheme="minorBidi"/>
      <w:b/>
      <w:kern w:val="0"/>
      <w:sz w:val="24"/>
      <w:szCs w:val="21"/>
      <w:lang w:val="en-US" w:eastAsia="zh-CN" w:bidi="ar-SA"/>
    </w:rPr>
  </w:style>
  <w:style w:type="character" w:customStyle="1" w:styleId="99">
    <w:name w:val="lh-4级标题-报告书 Char"/>
    <w:basedOn w:val="34"/>
    <w:link w:val="96"/>
    <w:qFormat/>
    <w:uiPriority w:val="0"/>
    <w:rPr>
      <w:rFonts w:ascii="Times New Roman" w:hAnsi="Times New Roman" w:eastAsia="楷体"/>
      <w:snapToGrid w:val="0"/>
      <w:kern w:val="0"/>
      <w:sz w:val="28"/>
    </w:rPr>
  </w:style>
  <w:style w:type="character" w:customStyle="1" w:styleId="100">
    <w:name w:val="lh-图题-报告书正文 Char"/>
    <w:basedOn w:val="34"/>
    <w:link w:val="98"/>
    <w:qFormat/>
    <w:uiPriority w:val="0"/>
    <w:rPr>
      <w:rFonts w:ascii="Times New Roman" w:hAnsi="Times New Roman" w:eastAsia="楷体"/>
      <w:b/>
      <w:kern w:val="0"/>
      <w:sz w:val="24"/>
    </w:rPr>
  </w:style>
  <w:style w:type="paragraph" w:customStyle="1" w:styleId="101">
    <w:name w:val="lh-表格文字-报告表"/>
    <w:basedOn w:val="1"/>
    <w:link w:val="102"/>
    <w:qFormat/>
    <w:uiPriority w:val="0"/>
    <w:pPr>
      <w:spacing w:line="240" w:lineRule="auto"/>
      <w:ind w:firstLine="0" w:firstLineChars="0"/>
      <w:jc w:val="center"/>
    </w:pPr>
    <w:rPr>
      <w:snapToGrid/>
      <w:sz w:val="21"/>
      <w:szCs w:val="24"/>
    </w:rPr>
  </w:style>
  <w:style w:type="character" w:customStyle="1" w:styleId="102">
    <w:name w:val="lh-表格文字-报告表 Char"/>
    <w:basedOn w:val="34"/>
    <w:link w:val="101"/>
    <w:qFormat/>
    <w:uiPriority w:val="0"/>
    <w:rPr>
      <w:rFonts w:ascii="Times New Roman" w:hAnsi="Times New Roman" w:eastAsia="宋体"/>
      <w:kern w:val="0"/>
      <w:szCs w:val="24"/>
    </w:rPr>
  </w:style>
  <w:style w:type="paragraph" w:customStyle="1" w:styleId="103">
    <w:name w:val="lh-正文-报告表"/>
    <w:basedOn w:val="1"/>
    <w:link w:val="104"/>
    <w:qFormat/>
    <w:uiPriority w:val="0"/>
    <w:pPr>
      <w:ind w:firstLine="480"/>
    </w:pPr>
    <w:rPr>
      <w:snapToGrid/>
    </w:rPr>
  </w:style>
  <w:style w:type="character" w:customStyle="1" w:styleId="104">
    <w:name w:val="lh-正文-报告表 Char"/>
    <w:basedOn w:val="34"/>
    <w:link w:val="103"/>
    <w:qFormat/>
    <w:uiPriority w:val="0"/>
    <w:rPr>
      <w:rFonts w:ascii="Times New Roman" w:hAnsi="Times New Roman" w:eastAsia="宋体"/>
      <w:kern w:val="0"/>
      <w:sz w:val="24"/>
    </w:rPr>
  </w:style>
  <w:style w:type="paragraph" w:customStyle="1" w:styleId="105">
    <w:name w:val="lh-表题-报告表"/>
    <w:basedOn w:val="103"/>
    <w:next w:val="101"/>
    <w:link w:val="106"/>
    <w:qFormat/>
    <w:uiPriority w:val="0"/>
    <w:pPr>
      <w:spacing w:before="50" w:beforeLines="50" w:line="240" w:lineRule="auto"/>
      <w:ind w:firstLine="0" w:firstLineChars="0"/>
      <w:jc w:val="center"/>
    </w:pPr>
  </w:style>
  <w:style w:type="character" w:customStyle="1" w:styleId="106">
    <w:name w:val="lh-表题-报告表 Char"/>
    <w:basedOn w:val="104"/>
    <w:link w:val="105"/>
    <w:qFormat/>
    <w:uiPriority w:val="0"/>
    <w:rPr>
      <w:rFonts w:ascii="Times New Roman" w:hAnsi="Times New Roman" w:eastAsia="宋体"/>
      <w:kern w:val="0"/>
      <w:sz w:val="24"/>
    </w:rPr>
  </w:style>
  <w:style w:type="character" w:customStyle="1" w:styleId="107">
    <w:name w:val="批注文字 字符"/>
    <w:qFormat/>
    <w:uiPriority w:val="99"/>
    <w:rPr>
      <w:rFonts w:ascii="Times New Roman" w:hAnsi="Times New Roman" w:eastAsia="宋体"/>
      <w:snapToGrid w:val="0"/>
      <w:kern w:val="0"/>
      <w:sz w:val="24"/>
    </w:rPr>
  </w:style>
  <w:style w:type="paragraph" w:customStyle="1" w:styleId="108">
    <w:name w:val="lh-3级标题-报告表"/>
    <w:basedOn w:val="1"/>
    <w:next w:val="103"/>
    <w:qFormat/>
    <w:uiPriority w:val="0"/>
    <w:pPr>
      <w:ind w:firstLine="0" w:firstLineChars="0"/>
      <w:outlineLvl w:val="3"/>
    </w:pPr>
    <w:rPr>
      <w:rFonts w:eastAsia="黑体" w:cs="Times New Roman"/>
      <w:bCs/>
      <w:szCs w:val="24"/>
    </w:rPr>
  </w:style>
  <w:style w:type="paragraph" w:customStyle="1" w:styleId="109">
    <w:name w:val="lh-基本情况内容-报告表"/>
    <w:qFormat/>
    <w:uiPriority w:val="0"/>
    <w:pPr>
      <w:jc w:val="center"/>
    </w:pPr>
    <w:rPr>
      <w:rFonts w:ascii="Times New Roman" w:hAnsi="Times New Roman" w:eastAsia="宋体" w:cstheme="minorBidi"/>
      <w:kern w:val="0"/>
      <w:sz w:val="24"/>
      <w:szCs w:val="24"/>
      <w:lang w:val="en-US" w:eastAsia="zh-CN" w:bidi="ar-SA"/>
    </w:rPr>
  </w:style>
  <w:style w:type="paragraph" w:customStyle="1" w:styleId="110">
    <w:name w:val="lh-0级标题-报告表"/>
    <w:basedOn w:val="1"/>
    <w:next w:val="103"/>
    <w:qFormat/>
    <w:uiPriority w:val="0"/>
    <w:pPr>
      <w:tabs>
        <w:tab w:val="left" w:pos="0"/>
      </w:tabs>
      <w:ind w:firstLine="0" w:firstLineChars="0"/>
      <w:jc w:val="left"/>
      <w:outlineLvl w:val="0"/>
    </w:pPr>
    <w:rPr>
      <w:b/>
      <w:bCs/>
      <w:snapToGrid/>
      <w:sz w:val="28"/>
      <w:szCs w:val="44"/>
    </w:rPr>
  </w:style>
  <w:style w:type="character" w:customStyle="1" w:styleId="111">
    <w:name w:val="批注文字 Char2"/>
    <w:basedOn w:val="34"/>
    <w:qFormat/>
    <w:uiPriority w:val="99"/>
    <w:rPr>
      <w:rFonts w:ascii="Times New Roman" w:hAnsi="Times New Roman" w:eastAsia="宋体"/>
      <w:snapToGrid w:val="0"/>
      <w:kern w:val="0"/>
      <w:sz w:val="24"/>
    </w:rPr>
  </w:style>
  <w:style w:type="paragraph" w:customStyle="1" w:styleId="112">
    <w:name w:val="lh-基本情况名称-报告表"/>
    <w:basedOn w:val="1"/>
    <w:qFormat/>
    <w:uiPriority w:val="0"/>
    <w:pPr>
      <w:spacing w:line="240" w:lineRule="auto"/>
      <w:ind w:firstLine="0" w:firstLineChars="0"/>
      <w:jc w:val="center"/>
    </w:pPr>
    <w:rPr>
      <w:rFonts w:eastAsia="黑体" w:cs="宋体"/>
      <w:snapToGrid/>
      <w:kern w:val="2"/>
      <w:szCs w:val="24"/>
    </w:rPr>
  </w:style>
  <w:style w:type="paragraph" w:customStyle="1" w:styleId="113">
    <w:name w:val="Revision"/>
    <w:hidden/>
    <w:semiHidden/>
    <w:qFormat/>
    <w:uiPriority w:val="99"/>
    <w:rPr>
      <w:rFonts w:ascii="Times New Roman" w:hAnsi="Times New Roman" w:eastAsia="宋体" w:cstheme="minorBidi"/>
      <w:snapToGrid w:val="0"/>
      <w:kern w:val="0"/>
      <w:sz w:val="24"/>
      <w:szCs w:val="21"/>
      <w:lang w:val="en-US" w:eastAsia="zh-CN" w:bidi="ar-SA"/>
    </w:rPr>
  </w:style>
  <w:style w:type="character" w:customStyle="1" w:styleId="114">
    <w:name w:val="表格内字体 Char"/>
    <w:link w:val="43"/>
    <w:qFormat/>
    <w:uiPriority w:val="0"/>
  </w:style>
  <w:style w:type="character" w:customStyle="1" w:styleId="115">
    <w:name w:val="表头字体 Char"/>
    <w:link w:val="44"/>
    <w:qFormat/>
    <w:uiPriority w:val="0"/>
    <w:rPr>
      <w:rFonts w:ascii="Times New Roman" w:hAnsi="Times New Roman" w:cs="Times New Roman"/>
      <w:b/>
      <w:sz w:val="24"/>
    </w:rPr>
  </w:style>
  <w:style w:type="character" w:customStyle="1" w:styleId="116">
    <w:name w:val="纯文本 Char"/>
    <w:basedOn w:val="34"/>
    <w:link w:val="18"/>
    <w:semiHidden/>
    <w:qFormat/>
    <w:uiPriority w:val="0"/>
    <w:rPr>
      <w:rFonts w:ascii="宋体" w:hAnsi="Courier New" w:eastAsia="宋体" w:cs="Courier New"/>
      <w:snapToGrid w:val="0"/>
      <w:kern w:val="0"/>
    </w:rPr>
  </w:style>
  <w:style w:type="table" w:customStyle="1" w:styleId="117">
    <w:name w:val="表2"/>
    <w:basedOn w:val="3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8">
    <w:name w:val="样式 正文文本 + 首行缩进:  2 字符"/>
    <w:basedOn w:val="16"/>
    <w:next w:val="1"/>
    <w:qFormat/>
    <w:uiPriority w:val="99"/>
    <w:pPr>
      <w:spacing w:after="200" w:line="480" w:lineRule="exact"/>
      <w:ind w:firstLine="480" w:firstLineChars="200"/>
    </w:pPr>
    <w:rPr>
      <w:rFonts w:ascii="宋体" w:hAnsi="宋体"/>
      <w:sz w:val="24"/>
      <w:lang w:val="en-US" w:eastAsia="zh-CN" w:bidi="ar-SA"/>
    </w:rPr>
  </w:style>
  <w:style w:type="paragraph" w:customStyle="1" w:styleId="119">
    <w:name w:val="三级标题"/>
    <w:basedOn w:val="1"/>
    <w:next w:val="1"/>
    <w:qFormat/>
    <w:uiPriority w:val="0"/>
    <w:pPr>
      <w:spacing w:line="360" w:lineRule="auto"/>
    </w:pPr>
    <w:rPr>
      <w:rFonts w:ascii="宋体" w:hAnsi="宋体"/>
      <w:sz w:val="24"/>
    </w:rPr>
  </w:style>
  <w:style w:type="paragraph" w:customStyle="1" w:styleId="120">
    <w:name w:val="cy-表格文字-报告表"/>
    <w:autoRedefine/>
    <w:qFormat/>
    <w:uiPriority w:val="0"/>
    <w:pPr>
      <w:jc w:val="center"/>
    </w:pPr>
    <w:rPr>
      <w:rFonts w:ascii="Times New Roman" w:hAnsi="Times New Roman" w:eastAsia="宋体" w:cs="Times New Roman"/>
      <w:snapToGrid w:val="0"/>
      <w:sz w:val="21"/>
      <w:szCs w:val="24"/>
      <w:lang w:val="en-US" w:eastAsia="zh-CN" w:bidi="ar-SA"/>
    </w:rPr>
  </w:style>
  <w:style w:type="paragraph" w:customStyle="1" w:styleId="121">
    <w:name w:val="表格1"/>
    <w:basedOn w:val="1"/>
    <w:next w:val="1"/>
    <w:qFormat/>
    <w:uiPriority w:val="0"/>
    <w:pPr>
      <w:adjustRightInd w:val="0"/>
      <w:snapToGrid w:val="0"/>
      <w:spacing w:line="240" w:lineRule="auto"/>
      <w:ind w:firstLine="0" w:firstLineChars="0"/>
      <w:jc w:val="center"/>
    </w:pPr>
    <w:rPr>
      <w:rFonts w:ascii="Times New Roman" w:hAnsi="Times New Roman" w:eastAsia="宋体"/>
      <w:kern w:val="0"/>
      <w:sz w:val="21"/>
      <w:szCs w:val="21"/>
    </w:rPr>
  </w:style>
  <w:style w:type="paragraph" w:customStyle="1" w:styleId="122">
    <w:name w:val="1.危废库"/>
    <w:basedOn w:val="1"/>
    <w:qFormat/>
    <w:uiPriority w:val="0"/>
    <w:pPr>
      <w:spacing w:line="360" w:lineRule="auto"/>
      <w:ind w:firstLine="480" w:firstLineChars="200"/>
    </w:pPr>
    <w:rPr>
      <w:rFonts w:ascii="Times New Roman" w:hAnsi="Times New Roman" w:eastAsia="宋体" w:cs="Times New Roman"/>
      <w:snapToGrid w:val="0"/>
      <w:color w:val="000000"/>
      <w:kern w:val="0"/>
      <w:sz w:val="24"/>
    </w:rPr>
  </w:style>
  <w:style w:type="paragraph" w:customStyle="1" w:styleId="123">
    <w:name w:val="Table Paragraph"/>
    <w:basedOn w:val="1"/>
    <w:qFormat/>
    <w:uiPriority w:val="1"/>
    <w:pPr>
      <w:jc w:val="center"/>
    </w:pPr>
    <w:rPr>
      <w:rFonts w:ascii="宋体" w:hAnsi="宋体" w:eastAsia="宋体" w:cs="宋体"/>
      <w:lang w:val="zh-CN" w:eastAsia="zh-CN" w:bidi="zh-CN"/>
    </w:rPr>
  </w:style>
  <w:style w:type="paragraph" w:customStyle="1" w:styleId="124">
    <w:name w:val="表头A"/>
    <w:basedOn w:val="125"/>
    <w:qFormat/>
    <w:uiPriority w:val="0"/>
    <w:pPr>
      <w:widowControl w:val="0"/>
      <w:overflowPunct w:val="0"/>
      <w:autoSpaceDE w:val="0"/>
      <w:autoSpaceDN w:val="0"/>
      <w:adjustRightInd w:val="0"/>
      <w:snapToGrid w:val="0"/>
      <w:spacing w:line="400" w:lineRule="exact"/>
      <w:jc w:val="center"/>
    </w:pPr>
    <w:rPr>
      <w:rFonts w:ascii="Times New Roman" w:hAnsi="Times New Roman" w:eastAsia="宋体"/>
    </w:rPr>
  </w:style>
  <w:style w:type="paragraph" w:customStyle="1" w:styleId="125">
    <w:name w:val="表头"/>
    <w:basedOn w:val="12"/>
    <w:next w:val="1"/>
    <w:qFormat/>
    <w:uiPriority w:val="0"/>
    <w:pPr>
      <w:widowControl w:val="0"/>
      <w:spacing w:line="500" w:lineRule="exact"/>
      <w:jc w:val="center"/>
    </w:pPr>
    <w:rPr>
      <w:rFonts w:ascii="楷体_GB2312" w:hAnsi="楷体_GB2312" w:eastAsia="楷体_GB2312" w:cs="楷体_GB2312"/>
      <w:b/>
      <w:kern w:val="2"/>
      <w:sz w:val="24"/>
      <w:szCs w:val="24"/>
      <w:lang w:val="en-US" w:eastAsia="zh-CN" w:bidi="ar-SA"/>
    </w:rPr>
  </w:style>
  <w:style w:type="paragraph" w:customStyle="1" w:styleId="126">
    <w:name w:val="表格中字"/>
    <w:qFormat/>
    <w:uiPriority w:val="0"/>
    <w:pPr>
      <w:widowControl w:val="0"/>
      <w:overflowPunct w:val="0"/>
      <w:autoSpaceDE w:val="0"/>
      <w:autoSpaceDN w:val="0"/>
      <w:adjustRightInd w:val="0"/>
      <w:snapToGrid w:val="0"/>
      <w:spacing w:line="300" w:lineRule="atLeast"/>
      <w:jc w:val="center"/>
      <w:textAlignment w:val="baseline"/>
    </w:pPr>
    <w:rPr>
      <w:rFonts w:ascii="Times New Roman" w:hAnsi="Times New Roman" w:eastAsia="宋体" w:cs="Times New Roman"/>
      <w:sz w:val="21"/>
      <w:lang w:val="en-US" w:eastAsia="zh-CN" w:bidi="ar-SA"/>
    </w:rPr>
  </w:style>
  <w:style w:type="paragraph" w:customStyle="1" w:styleId="127">
    <w:name w:val="表格"/>
    <w:basedOn w:val="1"/>
    <w:qFormat/>
    <w:uiPriority w:val="0"/>
    <w:pPr>
      <w:widowControl/>
      <w:spacing w:line="240" w:lineRule="auto"/>
      <w:ind w:firstLine="0" w:firstLineChars="0"/>
      <w:jc w:val="center"/>
    </w:pPr>
    <w:rPr>
      <w:rFonts w:hint="eastAsia" w:ascii="Times New Roman" w:hAnsi="Times New Roman" w:eastAsia="宋体"/>
      <w:color w:val="000000"/>
      <w:sz w:val="21"/>
      <w:szCs w:val="21"/>
      <w:lang w:val="en-US" w:bidi="ar"/>
    </w:rPr>
  </w:style>
  <w:style w:type="paragraph" w:customStyle="1" w:styleId="128">
    <w:name w:val="报告正文"/>
    <w:basedOn w:val="1"/>
    <w:qFormat/>
    <w:uiPriority w:val="0"/>
    <w:pPr>
      <w:spacing w:line="360" w:lineRule="auto"/>
      <w:ind w:firstLine="480" w:firstLineChars="200"/>
    </w:pPr>
    <w:rPr>
      <w:color w:val="000000"/>
      <w:sz w:val="24"/>
      <w:szCs w:val="22"/>
    </w:rPr>
  </w:style>
  <w:style w:type="paragraph" w:customStyle="1" w:styleId="129">
    <w:name w:val="表格-0"/>
    <w:qFormat/>
    <w:uiPriority w:val="0"/>
    <w:pPr>
      <w:widowControl/>
      <w:autoSpaceDE/>
      <w:autoSpaceDN/>
      <w:spacing w:line="240" w:lineRule="auto"/>
      <w:ind w:left="24" w:leftChars="10" w:right="24" w:rightChars="10" w:firstLine="0" w:firstLineChars="0"/>
      <w:jc w:val="left"/>
    </w:pPr>
    <w:rPr>
      <w:rFonts w:ascii="Times New Roman" w:hAnsi="Times New Roman" w:eastAsia="宋体" w:cs="Times New Roman"/>
      <w:snapToGrid w:val="0"/>
      <w:sz w:val="21"/>
      <w:szCs w:val="21"/>
    </w:rPr>
  </w:style>
  <w:style w:type="paragraph" w:customStyle="1" w:styleId="130">
    <w:name w:val="lh-表题--报告表"/>
    <w:basedOn w:val="1"/>
    <w:next w:val="101"/>
    <w:autoRedefine/>
    <w:qFormat/>
    <w:uiPriority w:val="0"/>
    <w:pPr>
      <w:keepNext/>
      <w:widowControl/>
      <w:numPr>
        <w:ilvl w:val="0"/>
        <w:numId w:val="5"/>
      </w:numPr>
      <w:spacing w:before="50" w:beforeLines="50"/>
      <w:ind w:left="0" w:firstLine="0"/>
      <w:jc w:val="center"/>
    </w:pPr>
    <w:rPr>
      <w:b/>
      <w:snapToGrid w:val="0"/>
      <w:kern w:val="0"/>
      <w:sz w:val="24"/>
      <w:szCs w:val="21"/>
    </w:rPr>
  </w:style>
  <w:style w:type="paragraph" w:customStyle="1" w:styleId="131">
    <w:name w:val="环评正文"/>
    <w:basedOn w:val="1"/>
    <w:qFormat/>
    <w:uiPriority w:val="0"/>
    <w:pPr>
      <w:spacing w:line="360" w:lineRule="auto"/>
      <w:ind w:firstLine="482" w:firstLineChars="200"/>
      <w:jc w:val="both"/>
    </w:pPr>
    <w:rPr>
      <w:rFonts w:ascii="Times New Roman" w:hAnsi="Times New Roman" w:eastAsia="宋体"/>
      <w:color w:val="000000"/>
      <w:kern w:val="0"/>
      <w:sz w:val="24"/>
      <w:szCs w:val="24"/>
    </w:rPr>
  </w:style>
  <w:style w:type="paragraph" w:customStyle="1" w:styleId="132">
    <w:name w:val="表文"/>
    <w:basedOn w:val="1"/>
    <w:qFormat/>
    <w:uiPriority w:val="1"/>
    <w:pPr>
      <w:spacing w:line="240" w:lineRule="auto"/>
      <w:ind w:firstLine="0" w:firstLineChars="0"/>
      <w:jc w:val="center"/>
    </w:pPr>
    <w:rPr>
      <w:sz w:val="21"/>
      <w:szCs w:val="21"/>
    </w:rPr>
  </w:style>
  <w:style w:type="table" w:customStyle="1" w:styleId="133">
    <w:name w:val="Table Normal"/>
    <w:semiHidden/>
    <w:unhideWhenUsed/>
    <w:qFormat/>
    <w:uiPriority w:val="0"/>
    <w:tblPr>
      <w:tblCellMar>
        <w:top w:w="0" w:type="dxa"/>
        <w:left w:w="0" w:type="dxa"/>
        <w:bottom w:w="0" w:type="dxa"/>
        <w:right w:w="0" w:type="dxa"/>
      </w:tblCellMar>
    </w:tblPr>
  </w:style>
  <w:style w:type="paragraph" w:customStyle="1" w:styleId="134">
    <w:name w:val="表格-0.3"/>
    <w:qFormat/>
    <w:uiPriority w:val="0"/>
    <w:pPr>
      <w:keepNext/>
      <w:adjustRightInd w:val="0"/>
      <w:snapToGrid w:val="0"/>
      <w:spacing w:line="240" w:lineRule="auto"/>
      <w:ind w:left="-66" w:leftChars="-30" w:right="-66" w:rightChars="-30"/>
      <w:jc w:val="center"/>
    </w:pPr>
    <w:rPr>
      <w:rFonts w:ascii="Times New Roman" w:hAnsi="Times New Roman" w:eastAsia="宋体" w:cs="Times New Roman"/>
      <w:sz w:val="21"/>
      <w:szCs w:val="24"/>
    </w:rPr>
  </w:style>
  <w:style w:type="paragraph" w:customStyle="1" w:styleId="135">
    <w:name w:val="表格内容居中"/>
    <w:qFormat/>
    <w:uiPriority w:val="0"/>
    <w:pPr>
      <w:adjustRightInd w:val="0"/>
      <w:snapToGrid w:val="0"/>
      <w:jc w:val="center"/>
    </w:pPr>
    <w:rPr>
      <w:rFonts w:ascii="Times New Roman" w:hAnsi="Times New Roman" w:eastAsia="宋体" w:cs="Times New Roman"/>
      <w:snapToGrid w:val="0"/>
      <w:sz w:val="21"/>
      <w:szCs w:val="21"/>
      <w:lang w:val="en-US" w:eastAsia="zh-CN" w:bidi="ar-SA"/>
    </w:rPr>
  </w:style>
  <w:style w:type="paragraph" w:customStyle="1" w:styleId="136">
    <w:name w:val="cy-正文-报告表"/>
    <w:basedOn w:val="1"/>
    <w:autoRedefine/>
    <w:qFormat/>
    <w:uiPriority w:val="0"/>
    <w:pPr>
      <w:spacing w:line="360" w:lineRule="auto"/>
      <w:ind w:firstLine="480" w:firstLineChars="200"/>
    </w:pPr>
    <w:rPr>
      <w:rFonts w:ascii="Times New Roman" w:hAnsi="Times New Roman" w:eastAsia="宋体"/>
      <w:kern w:val="0"/>
      <w:sz w:val="24"/>
      <w:szCs w:val="21"/>
    </w:rPr>
  </w:style>
  <w:style w:type="paragraph" w:customStyle="1" w:styleId="137">
    <w:name w:val="cy-表题--报告表"/>
    <w:basedOn w:val="1"/>
    <w:next w:val="120"/>
    <w:autoRedefine/>
    <w:qFormat/>
    <w:uiPriority w:val="0"/>
    <w:pPr>
      <w:keepNext/>
      <w:widowControl/>
      <w:numPr>
        <w:ilvl w:val="0"/>
        <w:numId w:val="6"/>
      </w:numPr>
      <w:spacing w:before="50" w:beforeLines="50"/>
      <w:ind w:left="0" w:firstLine="0"/>
      <w:jc w:val="center"/>
    </w:pPr>
    <w:rPr>
      <w:rFonts w:ascii="Times New Roman" w:hAnsi="Times New Roman" w:eastAsia="宋体"/>
      <w:b/>
      <w:snapToGrid w:val="0"/>
      <w:kern w:val="0"/>
      <w:sz w:val="24"/>
      <w:szCs w:val="21"/>
    </w:rPr>
  </w:style>
  <w:style w:type="paragraph" w:customStyle="1" w:styleId="138">
    <w:name w:val="zwb-图表标题"/>
    <w:basedOn w:val="1"/>
    <w:qFormat/>
    <w:uiPriority w:val="0"/>
    <w:pPr>
      <w:spacing w:line="360" w:lineRule="auto"/>
      <w:jc w:val="center"/>
    </w:pPr>
    <w:rPr>
      <w:b/>
      <w:sz w:val="24"/>
    </w:rPr>
  </w:style>
  <w:style w:type="paragraph" w:customStyle="1" w:styleId="139">
    <w:name w:val="Body text|1"/>
    <w:basedOn w:val="1"/>
    <w:qFormat/>
    <w:uiPriority w:val="0"/>
    <w:pPr>
      <w:widowControl w:val="0"/>
      <w:shd w:val="clear" w:color="auto" w:fill="auto"/>
      <w:spacing w:line="418" w:lineRule="auto"/>
      <w:ind w:firstLine="400"/>
    </w:pPr>
    <w:rPr>
      <w:rFonts w:ascii="宋体" w:hAnsi="宋体" w:eastAsia="宋体" w:cs="宋体"/>
      <w:sz w:val="22"/>
      <w:szCs w:val="22"/>
      <w:u w:val="none"/>
      <w:shd w:val="clear" w:color="auto" w:fill="auto"/>
      <w:lang w:val="zh-TW" w:eastAsia="zh-TW" w:bidi="zh-TW"/>
    </w:rPr>
  </w:style>
  <w:style w:type="paragraph" w:customStyle="1" w:styleId="140">
    <w:name w:val="正文小四首缩1.3行距"/>
    <w:basedOn w:val="1"/>
    <w:qFormat/>
    <w:uiPriority w:val="0"/>
    <w:pPr>
      <w:spacing w:line="360" w:lineRule="auto"/>
      <w:ind w:firstLine="480" w:firstLineChars="200"/>
    </w:pPr>
    <w:rPr>
      <w:bCs/>
      <w:kern w:val="0"/>
      <w:sz w:val="24"/>
      <w:szCs w:val="24"/>
    </w:rPr>
  </w:style>
  <w:style w:type="paragraph" w:customStyle="1" w:styleId="141">
    <w:name w:val="表内文字"/>
    <w:basedOn w:val="1"/>
    <w:qFormat/>
    <w:uiPriority w:val="0"/>
    <w:pPr>
      <w:spacing w:line="360" w:lineRule="atLeast"/>
      <w:ind w:firstLine="0" w:firstLineChars="0"/>
      <w:jc w:val="center"/>
    </w:pPr>
    <w:rPr>
      <w:sz w:val="21"/>
    </w:rPr>
  </w:style>
  <w:style w:type="paragraph" w:customStyle="1" w:styleId="142">
    <w:name w:val="表中文字"/>
    <w:basedOn w:val="1"/>
    <w:qFormat/>
    <w:uiPriority w:val="0"/>
    <w:pPr>
      <w:spacing w:line="400" w:lineRule="exact"/>
      <w:ind w:firstLine="0" w:firstLineChars="0"/>
      <w:jc w:val="center"/>
    </w:pPr>
    <w:rPr>
      <w:rFonts w:ascii="Times New Roman" w:hAnsi="Times New Roman" w:eastAsia="宋体"/>
      <w:sz w:val="21"/>
    </w:rPr>
  </w:style>
  <w:style w:type="paragraph" w:customStyle="1" w:styleId="143">
    <w:name w:val="表头，alt+D"/>
    <w:basedOn w:val="1"/>
    <w:qFormat/>
    <w:uiPriority w:val="0"/>
    <w:pPr>
      <w:spacing w:before="60" w:after="60" w:line="240" w:lineRule="atLeast"/>
      <w:ind w:left="-113" w:right="-113"/>
      <w:jc w:val="center"/>
      <w:textAlignment w:val="center"/>
    </w:pPr>
    <w:rPr>
      <w:color w:val="808000"/>
    </w:rPr>
  </w:style>
  <w:style w:type="paragraph" w:customStyle="1" w:styleId="144">
    <w:name w:val="表内字"/>
    <w:qFormat/>
    <w:uiPriority w:val="0"/>
    <w:pPr>
      <w:widowControl w:val="0"/>
      <w:jc w:val="center"/>
    </w:pPr>
    <w:rPr>
      <w:rFonts w:ascii="Calibri" w:hAnsi="Calibri" w:eastAsia="宋体" w:cs="Times New Roman"/>
      <w:sz w:val="21"/>
      <w:szCs w:val="24"/>
      <w:lang w:val="en-US" w:eastAsia="zh-CN" w:bidi="ar-SA"/>
    </w:rPr>
  </w:style>
  <w:style w:type="paragraph" w:customStyle="1" w:styleId="145">
    <w:name w:val="表格-0.1"/>
    <w:qFormat/>
    <w:uiPriority w:val="0"/>
    <w:pPr>
      <w:spacing w:line="240" w:lineRule="auto"/>
      <w:ind w:left="-22" w:leftChars="-10" w:right="-22" w:rightChars="-10"/>
      <w:jc w:val="center"/>
    </w:pPr>
    <w:rPr>
      <w:rFonts w:ascii="Times New Roman" w:hAnsi="Times New Roman" w:eastAsia="宋体" w:cs="Times New Roman"/>
      <w:snapToGrid w:val="0"/>
      <w:sz w:val="21"/>
      <w:szCs w:val="21"/>
    </w:rPr>
  </w:style>
  <w:style w:type="paragraph" w:customStyle="1" w:styleId="146">
    <w:name w:val="XA表头"/>
    <w:autoRedefine/>
    <w:qFormat/>
    <w:uiPriority w:val="0"/>
    <w:pPr>
      <w:spacing w:line="420" w:lineRule="exact"/>
      <w:ind w:firstLine="200" w:firstLineChars="200"/>
      <w:jc w:val="center"/>
    </w:pPr>
    <w:rPr>
      <w:rFonts w:ascii="Times New Roman" w:hAnsi="Times New Roman" w:eastAsia="楷体" w:cs="Times New Roman"/>
      <w:b/>
      <w:kern w:val="2"/>
      <w:sz w:val="21"/>
      <w:szCs w:val="24"/>
      <w:lang w:val="en-US" w:eastAsia="zh-CN" w:bidi="ar-SA"/>
    </w:rPr>
  </w:style>
  <w:style w:type="paragraph" w:customStyle="1" w:styleId="147">
    <w:name w:val="Table Text"/>
    <w:basedOn w:val="1"/>
    <w:autoRedefine/>
    <w:semiHidden/>
    <w:qFormat/>
    <w:uiPriority w:val="0"/>
    <w:rPr>
      <w:rFonts w:ascii="宋体" w:hAnsi="宋体" w:eastAsia="宋体" w:cs="宋体"/>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2" Type="http://schemas.openxmlformats.org/officeDocument/2006/relationships/fontTable" Target="fontTable.xml"/><Relationship Id="rId51" Type="http://schemas.openxmlformats.org/officeDocument/2006/relationships/numbering" Target="numbering.xml"/><Relationship Id="rId50" Type="http://schemas.openxmlformats.org/officeDocument/2006/relationships/customXml" Target="../customXml/item1.xml"/><Relationship Id="rId5" Type="http://schemas.openxmlformats.org/officeDocument/2006/relationships/header" Target="header1.xml"/><Relationship Id="rId49" Type="http://schemas.openxmlformats.org/officeDocument/2006/relationships/image" Target="media/image22.png"/><Relationship Id="rId48" Type="http://schemas.openxmlformats.org/officeDocument/2006/relationships/image" Target="media/image21.png"/><Relationship Id="rId47" Type="http://schemas.openxmlformats.org/officeDocument/2006/relationships/image" Target="media/image20.png"/><Relationship Id="rId46" Type="http://schemas.openxmlformats.org/officeDocument/2006/relationships/image" Target="media/image19.jpeg"/><Relationship Id="rId45" Type="http://schemas.openxmlformats.org/officeDocument/2006/relationships/image" Target="media/image18.png"/><Relationship Id="rId44" Type="http://schemas.openxmlformats.org/officeDocument/2006/relationships/image" Target="media/image17.jpeg"/><Relationship Id="rId43" Type="http://schemas.openxmlformats.org/officeDocument/2006/relationships/image" Target="media/image16.png"/><Relationship Id="rId42" Type="http://schemas.openxmlformats.org/officeDocument/2006/relationships/image" Target="media/image15.png"/><Relationship Id="rId41" Type="http://schemas.openxmlformats.org/officeDocument/2006/relationships/image" Target="media/image14.png"/><Relationship Id="rId40" Type="http://schemas.openxmlformats.org/officeDocument/2006/relationships/image" Target="media/image13.png"/><Relationship Id="rId4" Type="http://schemas.openxmlformats.org/officeDocument/2006/relationships/endnotes" Target="endnotes.xml"/><Relationship Id="rId39" Type="http://schemas.openxmlformats.org/officeDocument/2006/relationships/chart" Target="charts/chart8.xml"/><Relationship Id="rId38" Type="http://schemas.openxmlformats.org/officeDocument/2006/relationships/chart" Target="charts/chart7.xml"/><Relationship Id="rId37" Type="http://schemas.openxmlformats.org/officeDocument/2006/relationships/chart" Target="charts/chart6.xml"/><Relationship Id="rId36" Type="http://schemas.openxmlformats.org/officeDocument/2006/relationships/chart" Target="charts/chart5.xml"/><Relationship Id="rId35" Type="http://schemas.openxmlformats.org/officeDocument/2006/relationships/chart" Target="charts/chart4.xml"/><Relationship Id="rId34" Type="http://schemas.openxmlformats.org/officeDocument/2006/relationships/chart" Target="charts/chart3.xml"/><Relationship Id="rId33" Type="http://schemas.openxmlformats.org/officeDocument/2006/relationships/chart" Target="charts/chart2.xml"/><Relationship Id="rId32" Type="http://schemas.openxmlformats.org/officeDocument/2006/relationships/chart" Target="charts/chart1.xml"/><Relationship Id="rId31" Type="http://schemas.openxmlformats.org/officeDocument/2006/relationships/image" Target="media/image12.wmf"/><Relationship Id="rId30" Type="http://schemas.openxmlformats.org/officeDocument/2006/relationships/oleObject" Target="embeddings/oleObject5.bin"/><Relationship Id="rId3" Type="http://schemas.openxmlformats.org/officeDocument/2006/relationships/footnotes" Target="footnotes.xml"/><Relationship Id="rId29" Type="http://schemas.openxmlformats.org/officeDocument/2006/relationships/image" Target="media/image11.png"/><Relationship Id="rId28" Type="http://schemas.openxmlformats.org/officeDocument/2006/relationships/image" Target="media/image10.emf"/><Relationship Id="rId27" Type="http://schemas.openxmlformats.org/officeDocument/2006/relationships/image" Target="media/image9.emf"/><Relationship Id="rId26" Type="http://schemas.openxmlformats.org/officeDocument/2006/relationships/image" Target="media/image8.jpeg"/><Relationship Id="rId25" Type="http://schemas.openxmlformats.org/officeDocument/2006/relationships/image" Target="media/image7.wmf"/><Relationship Id="rId24" Type="http://schemas.openxmlformats.org/officeDocument/2006/relationships/oleObject" Target="embeddings/oleObject4.bin"/><Relationship Id="rId23" Type="http://schemas.openxmlformats.org/officeDocument/2006/relationships/image" Target="media/image6.png"/><Relationship Id="rId22" Type="http://schemas.openxmlformats.org/officeDocument/2006/relationships/image" Target="media/image5.emf"/><Relationship Id="rId21" Type="http://schemas.openxmlformats.org/officeDocument/2006/relationships/oleObject" Target="embeddings/oleObject3.bin"/><Relationship Id="rId20" Type="http://schemas.openxmlformats.org/officeDocument/2006/relationships/image" Target="media/image4.png"/><Relationship Id="rId2" Type="http://schemas.openxmlformats.org/officeDocument/2006/relationships/settings" Target="settings.xml"/><Relationship Id="rId19" Type="http://schemas.openxmlformats.org/officeDocument/2006/relationships/image" Target="media/image3.emf"/><Relationship Id="rId18" Type="http://schemas.openxmlformats.org/officeDocument/2006/relationships/oleObject" Target="embeddings/oleObject2.bin"/><Relationship Id="rId17" Type="http://schemas.openxmlformats.org/officeDocument/2006/relationships/image" Target="media/image2.wmf"/><Relationship Id="rId16" Type="http://schemas.openxmlformats.org/officeDocument/2006/relationships/oleObject" Target="embeddings/oleObject1.bin"/><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20219;&#21153;\&#36716;&#23703;\&#19968;&#33324;&#24037;&#19994;&#31867;&#25253;&#21578;&#20070;&#65288;&#21457;&#24067;&#31295;&#65289;-20200507(1)\2.%20lh-&#25253;&#21578;&#20070;&#27169;&#26495;-20200507.dot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E:\&#26700;&#38754;\&#39034;&#24179;&#37329;&#20809;&#22609;&#26009;\&#39044;&#27979;\&#37329;&#20809;&#22320;&#19979;&#27700;&#39044;&#27979;\&#22320;&#19979;&#27700;&#39044;&#27979;&#34920;.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26700;&#38754;\&#39034;&#24179;&#37329;&#20809;&#22609;&#26009;\&#39044;&#27979;\&#37329;&#20809;&#22320;&#19979;&#27700;&#39044;&#27979;\&#22320;&#19979;&#27700;&#39044;&#27979;&#34920;.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26700;&#38754;\&#39034;&#24179;&#37329;&#20809;&#22609;&#26009;\&#39044;&#27979;\&#37329;&#20809;&#22320;&#19979;&#27700;&#39044;&#27979;\&#22320;&#19979;&#27700;&#39044;&#27979;&#34920;.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E:\&#26700;&#38754;\&#39034;&#24179;&#37329;&#20809;&#22609;&#26009;\&#39044;&#27979;\&#37329;&#20809;&#22320;&#19979;&#27700;&#39044;&#27979;\&#22320;&#19979;&#27700;&#39044;&#27979;&#34920;.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E:\&#26700;&#38754;\&#39034;&#24179;&#37329;&#20809;&#22609;&#26009;\&#39044;&#27979;\&#37329;&#20809;&#22320;&#19979;&#27700;&#39044;&#27979;\&#22320;&#19979;&#27700;&#39044;&#27979;&#34920;.xl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E:\&#26700;&#38754;\&#39034;&#24179;&#37329;&#20809;&#22609;&#26009;\&#39044;&#27979;\&#37329;&#20809;&#22320;&#19979;&#27700;&#39044;&#27979;\&#22320;&#19979;&#27700;&#39044;&#27979;&#34920;.xls"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E:\&#26700;&#38754;\&#39034;&#24179;&#37329;&#20809;&#22609;&#26009;\&#39044;&#27979;\&#37329;&#20809;&#22320;&#19979;&#27700;&#39044;&#27979;\&#22320;&#19979;&#27700;&#39044;&#27979;&#34920;.xls"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E:\&#26700;&#38754;\&#39034;&#24179;&#37329;&#20809;&#22609;&#26009;\&#39044;&#27979;\&#37329;&#20809;&#22320;&#19979;&#27700;&#39044;&#27979;\&#22320;&#19979;&#27700;&#39044;&#27979;&#34920;.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[地下水预测表.xls]COD!$B$2</c:f>
              <c:strCache>
                <c:ptCount val="1"/>
                <c:pt idx="0">
                  <c:v>浓度</c:v>
                </c:pt>
              </c:strCache>
            </c:strRef>
          </c:tx>
          <c:spPr>
            <a:ln w="19050" cap="rnd" cmpd="sng" algn="ctr">
              <a:solidFill>
                <a:schemeClr val="accent1"/>
              </a:solidFill>
              <a:prstDash val="solid"/>
              <a:round/>
            </a:ln>
            <a:effectLst/>
          </c:spPr>
          <c:marker>
            <c:symbol val="circle"/>
            <c:size val="5"/>
            <c:spPr>
              <a:solidFill>
                <a:schemeClr val="accent1"/>
              </a:solidFill>
              <a:ln w="9525" cap="flat" cmpd="sng" algn="ctr">
                <a:solidFill>
                  <a:schemeClr val="accent1"/>
                </a:solidFill>
                <a:prstDash val="solid"/>
                <a:round/>
              </a:ln>
              <a:effectLst/>
            </c:spPr>
          </c:marker>
          <c:dLbls>
            <c:delete val="1"/>
          </c:dLbls>
          <c:xVal>
            <c:numRef>
              <c:f>[地下水预测表.xls]COD!$A$3:$A$35</c:f>
              <c:numCache>
                <c:formatCode>General</c:formatCode>
                <c:ptCount val="33"/>
                <c:pt idx="0">
                  <c:v>0</c:v>
                </c:pt>
                <c:pt idx="1">
                  <c:v>2</c:v>
                </c:pt>
                <c:pt idx="2">
                  <c:v>4</c:v>
                </c:pt>
                <c:pt idx="3">
                  <c:v>10</c:v>
                </c:pt>
                <c:pt idx="4">
                  <c:v>20</c:v>
                </c:pt>
                <c:pt idx="5">
                  <c:v>30</c:v>
                </c:pt>
                <c:pt idx="6">
                  <c:v>40</c:v>
                </c:pt>
                <c:pt idx="7">
                  <c:v>50</c:v>
                </c:pt>
                <c:pt idx="8">
                  <c:v>60</c:v>
                </c:pt>
                <c:pt idx="9">
                  <c:v>70</c:v>
                </c:pt>
                <c:pt idx="10">
                  <c:v>80</c:v>
                </c:pt>
                <c:pt idx="11">
                  <c:v>90</c:v>
                </c:pt>
                <c:pt idx="12">
                  <c:v>100</c:v>
                </c:pt>
                <c:pt idx="13">
                  <c:v>110</c:v>
                </c:pt>
                <c:pt idx="14">
                  <c:v>120</c:v>
                </c:pt>
                <c:pt idx="15">
                  <c:v>130</c:v>
                </c:pt>
                <c:pt idx="16">
                  <c:v>140</c:v>
                </c:pt>
                <c:pt idx="17">
                  <c:v>150</c:v>
                </c:pt>
                <c:pt idx="18">
                  <c:v>160</c:v>
                </c:pt>
                <c:pt idx="19">
                  <c:v>170</c:v>
                </c:pt>
                <c:pt idx="20">
                  <c:v>180</c:v>
                </c:pt>
                <c:pt idx="21">
                  <c:v>190</c:v>
                </c:pt>
                <c:pt idx="22">
                  <c:v>200</c:v>
                </c:pt>
                <c:pt idx="23">
                  <c:v>210</c:v>
                </c:pt>
                <c:pt idx="24">
                  <c:v>220</c:v>
                </c:pt>
                <c:pt idx="25">
                  <c:v>230</c:v>
                </c:pt>
                <c:pt idx="26">
                  <c:v>240</c:v>
                </c:pt>
                <c:pt idx="27">
                  <c:v>250</c:v>
                </c:pt>
                <c:pt idx="28">
                  <c:v>260</c:v>
                </c:pt>
                <c:pt idx="29">
                  <c:v>270</c:v>
                </c:pt>
                <c:pt idx="30">
                  <c:v>280</c:v>
                </c:pt>
                <c:pt idx="31">
                  <c:v>290</c:v>
                </c:pt>
                <c:pt idx="32">
                  <c:v>300</c:v>
                </c:pt>
              </c:numCache>
            </c:numRef>
          </c:xVal>
          <c:yVal>
            <c:numRef>
              <c:f>[地下水预测表.xls]COD!$B$3:$B$35</c:f>
              <c:numCache>
                <c:formatCode>0.00_ </c:formatCode>
                <c:ptCount val="33"/>
                <c:pt idx="0">
                  <c:v>300</c:v>
                </c:pt>
                <c:pt idx="1" c:formatCode="0.000_ ">
                  <c:v>14.4</c:v>
                </c:pt>
                <c:pt idx="2" c:formatCode="0.000_ ">
                  <c:v>0.0182</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numCache>
            </c:numRef>
          </c:yVal>
          <c:smooth val="0"/>
        </c:ser>
        <c:dLbls>
          <c:showLegendKey val="0"/>
          <c:showVal val="0"/>
          <c:showCatName val="0"/>
          <c:showSerName val="0"/>
          <c:showPercent val="0"/>
          <c:showBubbleSize val="0"/>
        </c:dLbls>
        <c:axId val="899198150"/>
        <c:axId val="933707114"/>
      </c:scatterChart>
      <c:valAx>
        <c:axId val="899198150"/>
        <c:scaling>
          <c:orientation val="minMax"/>
        </c:scaling>
        <c:delete val="0"/>
        <c:axPos val="b"/>
        <c:majorGridlines>
          <c:spPr>
            <a:ln w="9525" cap="flat" cmpd="sng" algn="ctr">
              <a:solidFill>
                <a:schemeClr val="lt1">
                  <a:lumMod val="90200"/>
                </a:schemeClr>
              </a:solidFill>
              <a:prstDash val="solid"/>
              <a:round/>
            </a:ln>
            <a:effectLst/>
          </c:spPr>
        </c:majorGridlines>
        <c:title>
          <c:tx>
            <c:rich>
              <a:bodyPr rot="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rPr sz="1000" b="0" i="0" u="none" strike="noStrike" baseline="0">
                    <a:solidFill>
                      <a:srgbClr val="333333"/>
                    </a:solidFill>
                    <a:latin typeface="宋体" panose="02010600030101010101" charset="-122"/>
                    <a:ea typeface="宋体" panose="02010600030101010101" charset="-122"/>
                    <a:cs typeface="宋体" panose="02010600030101010101" charset="-122"/>
                  </a:rPr>
                  <a:t>距离</a:t>
                </a:r>
                <a:r>
                  <a:rPr lang="en-US" altLang="zh-CN" sz="1000" b="0" i="0" u="none" strike="noStrike" baseline="0">
                    <a:solidFill>
                      <a:srgbClr val="333333"/>
                    </a:solidFill>
                    <a:latin typeface="Calibri" panose="020F0502020204030204" pitchFamily="2" charset="0"/>
                    <a:ea typeface="Calibri" panose="020F0502020204030204" pitchFamily="2" charset="0"/>
                    <a:cs typeface="Calibri" panose="020F0502020204030204" pitchFamily="2" charset="0"/>
                  </a:rPr>
                  <a:t>m</a:t>
                </a:r>
                <a:endParaRPr lang="en-US" altLang="zh-CN" sz="1200" b="0" i="0" u="none" strike="noStrike" baseline="0">
                  <a:solidFill>
                    <a:srgbClr val="000000"/>
                  </a:solidFill>
                  <a:latin typeface="宋体" panose="02010600030101010101" charset="-122"/>
                  <a:ea typeface="宋体" panose="02010600030101010101" charset="-122"/>
                  <a:cs typeface="宋体" panose="02010600030101010101" charset="-122"/>
                </a:endParaRPr>
              </a:p>
            </c:rich>
          </c:tx>
          <c:layout/>
          <c:overlay val="0"/>
          <c:spPr>
            <a:noFill/>
            <a:ln>
              <a:noFill/>
            </a:ln>
            <a:effectLst/>
          </c:spPr>
        </c:title>
        <c:numFmt formatCode="General" sourceLinked="1"/>
        <c:majorTickMark val="out"/>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33707114"/>
        <c:crosses val="autoZero"/>
        <c:crossBetween val="midCat"/>
      </c:valAx>
      <c:valAx>
        <c:axId val="933707114"/>
        <c:scaling>
          <c:orientation val="minMax"/>
        </c:scaling>
        <c:delete val="0"/>
        <c:axPos val="l"/>
        <c:majorGridlines>
          <c:spPr>
            <a:ln w="9525" cap="flat" cmpd="sng" algn="ctr">
              <a:solidFill>
                <a:schemeClr val="lt1">
                  <a:lumMod val="90200"/>
                </a:schemeClr>
              </a:solidFill>
              <a:prstDash val="solid"/>
              <a:round/>
            </a:ln>
            <a:effectLst/>
          </c:spPr>
        </c:majorGridlines>
        <c:title>
          <c:tx>
            <c:rich>
              <a:bodyPr rot="-540000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rPr sz="1000" b="0" i="0" u="none" strike="noStrike" baseline="0">
                    <a:solidFill>
                      <a:srgbClr val="333333"/>
                    </a:solidFill>
                    <a:latin typeface="宋体" panose="02010600030101010101" charset="-122"/>
                    <a:ea typeface="宋体" panose="02010600030101010101" charset="-122"/>
                    <a:cs typeface="宋体" panose="02010600030101010101" charset="-122"/>
                  </a:rPr>
                  <a:t>浓度</a:t>
                </a:r>
                <a:r>
                  <a:rPr lang="en-US" altLang="zh-CN" sz="1000" b="0" i="0" u="none" strike="noStrike" baseline="0">
                    <a:solidFill>
                      <a:srgbClr val="333333"/>
                    </a:solidFill>
                    <a:latin typeface="Calibri" panose="020F0502020204030204" pitchFamily="2" charset="0"/>
                    <a:ea typeface="Calibri" panose="020F0502020204030204" pitchFamily="2" charset="0"/>
                    <a:cs typeface="Calibri" panose="020F0502020204030204" pitchFamily="2" charset="0"/>
                  </a:rPr>
                  <a:t>mg/l</a:t>
                </a:r>
                <a:endParaRPr lang="en-US" altLang="zh-CN" sz="1200" b="0" i="0" u="none" strike="noStrike" baseline="0">
                  <a:solidFill>
                    <a:srgbClr val="000000"/>
                  </a:solidFill>
                  <a:latin typeface="宋体" panose="02010600030101010101" charset="-122"/>
                  <a:ea typeface="宋体" panose="02010600030101010101" charset="-122"/>
                  <a:cs typeface="宋体" panose="02010600030101010101" charset="-122"/>
                </a:endParaRPr>
              </a:p>
            </c:rich>
          </c:tx>
          <c:layout/>
          <c:overlay val="0"/>
          <c:spPr>
            <a:noFill/>
            <a:ln>
              <a:noFill/>
            </a:ln>
            <a:effectLst/>
          </c:spPr>
        </c:title>
        <c:numFmt formatCode="0.00_ " sourceLinked="1"/>
        <c:majorTickMark val="out"/>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99198150"/>
        <c:crosses val="autoZero"/>
        <c:crossBetween val="midCat"/>
      </c:valAx>
      <c:spPr>
        <a:noFill/>
        <a:ln w="9525" cap="flat" cmpd="sng" algn="ctr">
          <a:solidFill>
            <a:schemeClr val="tx1">
              <a:lumMod val="15000"/>
              <a:lumOff val="85000"/>
            </a:schemeClr>
          </a:solidFill>
          <a:round/>
        </a:ln>
        <a:effectLst/>
      </c:spPr>
    </c:plotArea>
    <c:plotVisOnly val="1"/>
    <c:dispBlanksAs val="gap"/>
    <c:showDLblsOverMax val="0"/>
    <c:extLst>
      <c:ext uri="{0b15fc19-7d7d-44ad-8c2d-2c3a37ce22c3}">
        <chartProps xmlns="https://web.wps.cn/et/2018/main" chartId="{e4d5e279-e752-4dc1-86ec-6f4750c9ee40}"/>
      </c:ext>
    </c:extLst>
  </c:chart>
  <c:spPr>
    <a:solidFill>
      <a:schemeClr val="bg1"/>
    </a:solidFill>
    <a:ln w="9525" cap="flat" cmpd="sng" algn="ctr">
      <a:solidFill>
        <a:schemeClr val="tx1">
          <a:lumMod val="15000"/>
          <a:lumOff val="85000"/>
        </a:schemeClr>
      </a:solidFill>
      <a:prstDash val="solid"/>
      <a:round/>
    </a:ln>
    <a:effectLst/>
  </c:spPr>
  <c:txPr>
    <a:bodyPr wrap="square"/>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[地下水预测表.xls]COD!$B$39</c:f>
              <c:strCache>
                <c:ptCount val="1"/>
                <c:pt idx="0">
                  <c:v>浓度</c:v>
                </c:pt>
              </c:strCache>
            </c:strRef>
          </c:tx>
          <c:spPr>
            <a:ln w="19050" cap="rnd" cmpd="sng" algn="ctr">
              <a:solidFill>
                <a:schemeClr val="accent1"/>
              </a:solidFill>
              <a:prstDash val="solid"/>
              <a:round/>
            </a:ln>
            <a:effectLst/>
          </c:spPr>
          <c:marker>
            <c:symbol val="circle"/>
            <c:size val="5"/>
            <c:spPr>
              <a:solidFill>
                <a:schemeClr val="accent1"/>
              </a:solidFill>
              <a:ln w="9525" cap="flat" cmpd="sng" algn="ctr">
                <a:solidFill>
                  <a:schemeClr val="accent1"/>
                </a:solidFill>
                <a:prstDash val="solid"/>
                <a:round/>
              </a:ln>
              <a:effectLst/>
            </c:spPr>
          </c:marker>
          <c:dLbls>
            <c:delete val="1"/>
          </c:dLbls>
          <c:xVal>
            <c:numRef>
              <c:f>[地下水预测表.xls]COD!$A$40:$A$72</c:f>
              <c:numCache>
                <c:formatCode>General</c:formatCode>
                <c:ptCount val="33"/>
                <c:pt idx="0">
                  <c:v>0</c:v>
                </c:pt>
                <c:pt idx="1">
                  <c:v>2</c:v>
                </c:pt>
                <c:pt idx="2">
                  <c:v>4</c:v>
                </c:pt>
                <c:pt idx="3">
                  <c:v>10</c:v>
                </c:pt>
                <c:pt idx="4">
                  <c:v>20</c:v>
                </c:pt>
                <c:pt idx="5">
                  <c:v>30</c:v>
                </c:pt>
                <c:pt idx="6">
                  <c:v>40</c:v>
                </c:pt>
                <c:pt idx="7">
                  <c:v>50</c:v>
                </c:pt>
                <c:pt idx="8">
                  <c:v>60</c:v>
                </c:pt>
                <c:pt idx="9">
                  <c:v>70</c:v>
                </c:pt>
                <c:pt idx="10">
                  <c:v>80</c:v>
                </c:pt>
                <c:pt idx="11">
                  <c:v>90</c:v>
                </c:pt>
                <c:pt idx="12">
                  <c:v>100</c:v>
                </c:pt>
                <c:pt idx="13">
                  <c:v>110</c:v>
                </c:pt>
                <c:pt idx="14">
                  <c:v>120</c:v>
                </c:pt>
                <c:pt idx="15">
                  <c:v>130</c:v>
                </c:pt>
                <c:pt idx="16">
                  <c:v>140</c:v>
                </c:pt>
                <c:pt idx="17">
                  <c:v>150</c:v>
                </c:pt>
                <c:pt idx="18">
                  <c:v>160</c:v>
                </c:pt>
                <c:pt idx="19">
                  <c:v>170</c:v>
                </c:pt>
                <c:pt idx="20">
                  <c:v>180</c:v>
                </c:pt>
                <c:pt idx="21">
                  <c:v>190</c:v>
                </c:pt>
                <c:pt idx="22">
                  <c:v>200</c:v>
                </c:pt>
                <c:pt idx="23">
                  <c:v>210</c:v>
                </c:pt>
                <c:pt idx="24">
                  <c:v>220</c:v>
                </c:pt>
                <c:pt idx="25">
                  <c:v>230</c:v>
                </c:pt>
                <c:pt idx="26">
                  <c:v>240</c:v>
                </c:pt>
                <c:pt idx="27">
                  <c:v>250</c:v>
                </c:pt>
                <c:pt idx="28">
                  <c:v>260</c:v>
                </c:pt>
                <c:pt idx="29">
                  <c:v>270</c:v>
                </c:pt>
                <c:pt idx="30">
                  <c:v>280</c:v>
                </c:pt>
                <c:pt idx="31">
                  <c:v>290</c:v>
                </c:pt>
                <c:pt idx="32">
                  <c:v>300</c:v>
                </c:pt>
              </c:numCache>
            </c:numRef>
          </c:xVal>
          <c:yVal>
            <c:numRef>
              <c:f>[地下水预测表.xls]COD!$B$40:$B$72</c:f>
              <c:numCache>
                <c:formatCode>0.000_ </c:formatCode>
                <c:ptCount val="33"/>
                <c:pt idx="0">
                  <c:v>2.71</c:v>
                </c:pt>
                <c:pt idx="1">
                  <c:v>15.8</c:v>
                </c:pt>
                <c:pt idx="2">
                  <c:v>3.82</c:v>
                </c:pt>
                <c:pt idx="3">
                  <c:v>7.55e-6</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numCache>
            </c:numRef>
          </c:yVal>
          <c:smooth val="0"/>
        </c:ser>
        <c:dLbls>
          <c:showLegendKey val="0"/>
          <c:showVal val="0"/>
          <c:showCatName val="0"/>
          <c:showSerName val="0"/>
          <c:showPercent val="0"/>
          <c:showBubbleSize val="0"/>
        </c:dLbls>
        <c:axId val="866573246"/>
        <c:axId val="961381189"/>
      </c:scatterChart>
      <c:valAx>
        <c:axId val="866573246"/>
        <c:scaling>
          <c:orientation val="minMax"/>
        </c:scaling>
        <c:delete val="0"/>
        <c:axPos val="b"/>
        <c:majorGridlines>
          <c:spPr>
            <a:ln w="9525" cap="flat" cmpd="sng" algn="ctr">
              <a:solidFill>
                <a:schemeClr val="lt1">
                  <a:lumMod val="90200"/>
                </a:schemeClr>
              </a:solidFill>
              <a:prstDash val="solid"/>
              <a:round/>
            </a:ln>
            <a:effectLst/>
          </c:spPr>
        </c:majorGridlines>
        <c:title>
          <c:tx>
            <c:rich>
              <a:bodyPr rot="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rPr sz="1000" b="0" i="0" u="none" strike="noStrike" baseline="0">
                    <a:solidFill>
                      <a:srgbClr val="333333"/>
                    </a:solidFill>
                    <a:latin typeface="宋体" panose="02010600030101010101" charset="-122"/>
                    <a:ea typeface="宋体" panose="02010600030101010101" charset="-122"/>
                    <a:cs typeface="宋体" panose="02010600030101010101" charset="-122"/>
                  </a:rPr>
                  <a:t>距离</a:t>
                </a:r>
                <a:r>
                  <a:rPr lang="en-US" altLang="zh-CN" sz="1000" b="0" i="0" u="none" strike="noStrike" baseline="0">
                    <a:solidFill>
                      <a:srgbClr val="333333"/>
                    </a:solidFill>
                    <a:latin typeface="Calibri" panose="020F0502020204030204" pitchFamily="2" charset="0"/>
                    <a:ea typeface="Calibri" panose="020F0502020204030204" pitchFamily="2" charset="0"/>
                    <a:cs typeface="Calibri" panose="020F0502020204030204" pitchFamily="2" charset="0"/>
                  </a:rPr>
                  <a:t>m</a:t>
                </a:r>
                <a:endParaRPr lang="en-US" altLang="zh-CN" sz="1200" b="0" i="0" u="none" strike="noStrike" baseline="0">
                  <a:solidFill>
                    <a:srgbClr val="000000"/>
                  </a:solidFill>
                  <a:latin typeface="宋体" panose="02010600030101010101" charset="-122"/>
                  <a:ea typeface="宋体" panose="02010600030101010101" charset="-122"/>
                  <a:cs typeface="宋体" panose="02010600030101010101" charset="-122"/>
                </a:endParaRP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61381189"/>
        <c:crosses val="autoZero"/>
        <c:crossBetween val="midCat"/>
      </c:valAx>
      <c:valAx>
        <c:axId val="961381189"/>
        <c:scaling>
          <c:orientation val="minMax"/>
        </c:scaling>
        <c:delete val="0"/>
        <c:axPos val="l"/>
        <c:majorGridlines>
          <c:spPr>
            <a:ln w="9525" cap="flat" cmpd="sng" algn="ctr">
              <a:solidFill>
                <a:schemeClr val="lt1">
                  <a:lumMod val="90200"/>
                </a:schemeClr>
              </a:solidFill>
              <a:prstDash val="solid"/>
              <a:round/>
            </a:ln>
            <a:effectLst/>
          </c:spPr>
        </c:majorGridlines>
        <c:title>
          <c:tx>
            <c:rich>
              <a:bodyPr rot="-540000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rPr sz="1000" b="0" i="0" u="none" strike="noStrike" baseline="0">
                    <a:solidFill>
                      <a:srgbClr val="333333"/>
                    </a:solidFill>
                    <a:latin typeface="宋体" panose="02010600030101010101" charset="-122"/>
                    <a:ea typeface="宋体" panose="02010600030101010101" charset="-122"/>
                    <a:cs typeface="宋体" panose="02010600030101010101" charset="-122"/>
                  </a:rPr>
                  <a:t>浓度</a:t>
                </a:r>
                <a:r>
                  <a:rPr lang="en-US" altLang="zh-CN" sz="1000" b="0" i="0" u="none" strike="noStrike" baseline="0">
                    <a:solidFill>
                      <a:srgbClr val="333333"/>
                    </a:solidFill>
                    <a:latin typeface="Calibri" panose="020F0502020204030204" pitchFamily="2" charset="0"/>
                    <a:ea typeface="Calibri" panose="020F0502020204030204" pitchFamily="2" charset="0"/>
                    <a:cs typeface="Calibri" panose="020F0502020204030204" pitchFamily="2" charset="0"/>
                  </a:rPr>
                  <a:t>mg/l</a:t>
                </a:r>
                <a:endParaRPr lang="en-US" altLang="zh-CN" sz="1200" b="0" i="0" u="none" strike="noStrike" baseline="0">
                  <a:solidFill>
                    <a:srgbClr val="000000"/>
                  </a:solidFill>
                  <a:latin typeface="宋体" panose="02010600030101010101" charset="-122"/>
                  <a:ea typeface="宋体" panose="02010600030101010101" charset="-122"/>
                  <a:cs typeface="宋体" panose="02010600030101010101" charset="-122"/>
                </a:endParaRPr>
              </a:p>
            </c:rich>
          </c:tx>
          <c:layout/>
          <c:overlay val="0"/>
          <c:spPr>
            <a:noFill/>
            <a:ln>
              <a:noFill/>
            </a:ln>
            <a:effectLst/>
          </c:spPr>
        </c:title>
        <c:numFmt formatCode="0.000_ "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66573246"/>
        <c:crosses val="autoZero"/>
        <c:crossBetween val="midCat"/>
      </c:valAx>
      <c:spPr>
        <a:noFill/>
        <a:ln w="9525" cap="flat" cmpd="sng" algn="ctr">
          <a:solidFill>
            <a:schemeClr val="tx1">
              <a:lumMod val="15000"/>
              <a:lumOff val="85000"/>
            </a:schemeClr>
          </a:solidFill>
          <a:round/>
        </a:ln>
        <a:effectLst/>
      </c:spPr>
    </c:plotArea>
    <c:plotVisOnly val="1"/>
    <c:dispBlanksAs val="gap"/>
    <c:showDLblsOverMax val="0"/>
    <c:extLst>
      <c:ext uri="{0b15fc19-7d7d-44ad-8c2d-2c3a37ce22c3}">
        <chartProps xmlns="https://web.wps.cn/et/2018/main" chartId="{dea858e7-6e02-46b3-af9c-2899bce29589}"/>
      </c:ext>
    </c:extLst>
  </c:chart>
  <c:spPr>
    <a:solidFill>
      <a:schemeClr val="bg1"/>
    </a:solidFill>
    <a:ln w="9525" cap="flat" cmpd="sng" algn="ctr">
      <a:solidFill>
        <a:schemeClr val="tx1">
          <a:lumMod val="15000"/>
          <a:lumOff val="85000"/>
        </a:schemeClr>
      </a:solidFill>
      <a:prstDash val="solid"/>
      <a:round/>
    </a:ln>
    <a:effectLst/>
  </c:spPr>
  <c:txPr>
    <a:bodyPr wrap="square"/>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[地下水预测表.xls]COD!$B$117</c:f>
              <c:strCache>
                <c:ptCount val="1"/>
                <c:pt idx="0">
                  <c:v>浓度</c:v>
                </c:pt>
              </c:strCache>
            </c:strRef>
          </c:tx>
          <c:spPr>
            <a:ln w="19050" cap="rnd" cmpd="sng" algn="ctr">
              <a:solidFill>
                <a:schemeClr val="accent1"/>
              </a:solidFill>
              <a:prstDash val="solid"/>
              <a:round/>
            </a:ln>
            <a:effectLst/>
          </c:spPr>
          <c:marker>
            <c:symbol val="circle"/>
            <c:size val="5"/>
            <c:spPr>
              <a:solidFill>
                <a:schemeClr val="accent1"/>
              </a:solidFill>
              <a:ln w="9525" cap="flat" cmpd="sng" algn="ctr">
                <a:solidFill>
                  <a:schemeClr val="accent1"/>
                </a:solidFill>
                <a:prstDash val="solid"/>
                <a:round/>
              </a:ln>
              <a:effectLst/>
            </c:spPr>
          </c:marker>
          <c:dLbls>
            <c:delete val="1"/>
          </c:dLbls>
          <c:xVal>
            <c:numRef>
              <c:f>[地下水预测表.xls]COD!$A$118:$A$150</c:f>
              <c:numCache>
                <c:formatCode>General</c:formatCode>
                <c:ptCount val="33"/>
                <c:pt idx="0">
                  <c:v>0</c:v>
                </c:pt>
                <c:pt idx="1">
                  <c:v>2</c:v>
                </c:pt>
                <c:pt idx="2">
                  <c:v>4</c:v>
                </c:pt>
                <c:pt idx="3">
                  <c:v>10</c:v>
                </c:pt>
                <c:pt idx="4">
                  <c:v>20</c:v>
                </c:pt>
                <c:pt idx="5">
                  <c:v>30</c:v>
                </c:pt>
                <c:pt idx="6">
                  <c:v>40</c:v>
                </c:pt>
                <c:pt idx="7">
                  <c:v>50</c:v>
                </c:pt>
                <c:pt idx="8">
                  <c:v>60</c:v>
                </c:pt>
                <c:pt idx="9">
                  <c:v>70</c:v>
                </c:pt>
                <c:pt idx="10">
                  <c:v>80</c:v>
                </c:pt>
                <c:pt idx="11">
                  <c:v>90</c:v>
                </c:pt>
                <c:pt idx="12">
                  <c:v>100</c:v>
                </c:pt>
                <c:pt idx="13">
                  <c:v>110</c:v>
                </c:pt>
                <c:pt idx="14">
                  <c:v>120</c:v>
                </c:pt>
                <c:pt idx="15">
                  <c:v>130</c:v>
                </c:pt>
                <c:pt idx="16">
                  <c:v>140</c:v>
                </c:pt>
                <c:pt idx="17">
                  <c:v>150</c:v>
                </c:pt>
                <c:pt idx="18">
                  <c:v>160</c:v>
                </c:pt>
                <c:pt idx="19">
                  <c:v>170</c:v>
                </c:pt>
                <c:pt idx="20">
                  <c:v>180</c:v>
                </c:pt>
                <c:pt idx="21">
                  <c:v>190</c:v>
                </c:pt>
                <c:pt idx="22">
                  <c:v>200</c:v>
                </c:pt>
                <c:pt idx="23">
                  <c:v>210</c:v>
                </c:pt>
                <c:pt idx="24">
                  <c:v>220</c:v>
                </c:pt>
                <c:pt idx="25">
                  <c:v>230</c:v>
                </c:pt>
                <c:pt idx="26">
                  <c:v>240</c:v>
                </c:pt>
                <c:pt idx="27">
                  <c:v>250</c:v>
                </c:pt>
                <c:pt idx="28">
                  <c:v>260</c:v>
                </c:pt>
                <c:pt idx="29">
                  <c:v>270</c:v>
                </c:pt>
                <c:pt idx="30">
                  <c:v>280</c:v>
                </c:pt>
                <c:pt idx="31">
                  <c:v>290</c:v>
                </c:pt>
                <c:pt idx="32">
                  <c:v>300</c:v>
                </c:pt>
              </c:numCache>
            </c:numRef>
          </c:xVal>
          <c:yVal>
            <c:numRef>
              <c:f>[地下水预测表.xls]COD!$B$118:$B$150</c:f>
              <c:numCache>
                <c:formatCode>0.000_ </c:formatCode>
                <c:ptCount val="33"/>
                <c:pt idx="0">
                  <c:v>1.3</c:v>
                </c:pt>
                <c:pt idx="1">
                  <c:v>4.17</c:v>
                </c:pt>
                <c:pt idx="2">
                  <c:v>4.83</c:v>
                </c:pt>
                <c:pt idx="3">
                  <c:v>0.405</c:v>
                </c:pt>
                <c:pt idx="4">
                  <c:v>2.79e-6</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numCache>
            </c:numRef>
          </c:yVal>
          <c:smooth val="0"/>
        </c:ser>
        <c:dLbls>
          <c:showLegendKey val="0"/>
          <c:showVal val="0"/>
          <c:showCatName val="0"/>
          <c:showSerName val="0"/>
          <c:showPercent val="0"/>
          <c:showBubbleSize val="0"/>
        </c:dLbls>
        <c:axId val="155180137"/>
        <c:axId val="99678172"/>
      </c:scatterChart>
      <c:valAx>
        <c:axId val="155180137"/>
        <c:scaling>
          <c:orientation val="minMax"/>
        </c:scaling>
        <c:delete val="0"/>
        <c:axPos val="b"/>
        <c:majorGridlines>
          <c:spPr>
            <a:ln w="9525" cap="flat" cmpd="sng" algn="ctr">
              <a:solidFill>
                <a:schemeClr val="lt1">
                  <a:lumMod val="90200"/>
                </a:schemeClr>
              </a:solidFill>
              <a:prstDash val="solid"/>
              <a:round/>
            </a:ln>
            <a:effectLst/>
          </c:spPr>
        </c:majorGridlines>
        <c:title>
          <c:tx>
            <c:rich>
              <a:bodyPr rot="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rPr sz="1000" b="0" i="0" u="none" strike="noStrike" baseline="0">
                    <a:solidFill>
                      <a:srgbClr val="333333"/>
                    </a:solidFill>
                    <a:latin typeface="宋体" panose="02010600030101010101" charset="-122"/>
                    <a:ea typeface="宋体" panose="02010600030101010101" charset="-122"/>
                    <a:cs typeface="宋体" panose="02010600030101010101" charset="-122"/>
                  </a:rPr>
                  <a:t>距离</a:t>
                </a:r>
                <a:r>
                  <a:rPr lang="en-US" altLang="zh-CN" sz="1000" b="0" i="0" u="none" strike="noStrike" baseline="0">
                    <a:solidFill>
                      <a:srgbClr val="333333"/>
                    </a:solidFill>
                    <a:latin typeface="Calibri" panose="020F0502020204030204" pitchFamily="2" charset="0"/>
                    <a:ea typeface="Calibri" panose="020F0502020204030204" pitchFamily="2" charset="0"/>
                    <a:cs typeface="Calibri" panose="020F0502020204030204" pitchFamily="2" charset="0"/>
                  </a:rPr>
                  <a:t>m</a:t>
                </a:r>
                <a:endParaRPr lang="en-US" altLang="zh-CN" sz="1200" b="0" i="0" u="none" strike="noStrike" baseline="0">
                  <a:solidFill>
                    <a:srgbClr val="000000"/>
                  </a:solidFill>
                  <a:latin typeface="宋体" panose="02010600030101010101" charset="-122"/>
                  <a:ea typeface="宋体" panose="02010600030101010101" charset="-122"/>
                  <a:cs typeface="宋体" panose="02010600030101010101" charset="-122"/>
                </a:endParaRPr>
              </a:p>
            </c:rich>
          </c:tx>
          <c:layout/>
          <c:overlay val="0"/>
          <c:spPr>
            <a:noFill/>
            <a:ln>
              <a:noFill/>
            </a:ln>
            <a:effectLst/>
          </c:spPr>
        </c:title>
        <c:numFmt formatCode="General" sourceLinked="1"/>
        <c:majorTickMark val="out"/>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9678172"/>
        <c:crosses val="autoZero"/>
        <c:crossBetween val="midCat"/>
      </c:valAx>
      <c:valAx>
        <c:axId val="99678172"/>
        <c:scaling>
          <c:orientation val="minMax"/>
        </c:scaling>
        <c:delete val="0"/>
        <c:axPos val="l"/>
        <c:majorGridlines>
          <c:spPr>
            <a:ln w="9525" cap="flat" cmpd="sng" algn="ctr">
              <a:solidFill>
                <a:schemeClr val="lt1">
                  <a:lumMod val="90200"/>
                </a:schemeClr>
              </a:solidFill>
              <a:prstDash val="solid"/>
              <a:round/>
            </a:ln>
            <a:effectLst/>
          </c:spPr>
        </c:majorGridlines>
        <c:title>
          <c:tx>
            <c:rich>
              <a:bodyPr rot="-540000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rPr sz="1000" b="0" i="0" u="none" strike="noStrike" baseline="0">
                    <a:solidFill>
                      <a:srgbClr val="333333"/>
                    </a:solidFill>
                    <a:latin typeface="宋体" panose="02010600030101010101" charset="-122"/>
                    <a:ea typeface="宋体" panose="02010600030101010101" charset="-122"/>
                    <a:cs typeface="宋体" panose="02010600030101010101" charset="-122"/>
                  </a:rPr>
                  <a:t>浓度</a:t>
                </a:r>
                <a:r>
                  <a:rPr lang="en-US" altLang="zh-CN" sz="1000" b="0" i="0" u="none" strike="noStrike" baseline="0">
                    <a:solidFill>
                      <a:srgbClr val="333333"/>
                    </a:solidFill>
                    <a:latin typeface="Calibri" panose="020F0502020204030204" pitchFamily="2" charset="0"/>
                    <a:ea typeface="Calibri" panose="020F0502020204030204" pitchFamily="2" charset="0"/>
                    <a:cs typeface="Calibri" panose="020F0502020204030204" pitchFamily="2" charset="0"/>
                  </a:rPr>
                  <a:t>mg/l</a:t>
                </a:r>
                <a:endParaRPr lang="en-US" altLang="zh-CN" sz="1200" b="0" i="0" u="none" strike="noStrike" baseline="0">
                  <a:solidFill>
                    <a:srgbClr val="000000"/>
                  </a:solidFill>
                  <a:latin typeface="宋体" panose="02010600030101010101" charset="-122"/>
                  <a:ea typeface="宋体" panose="02010600030101010101" charset="-122"/>
                  <a:cs typeface="宋体" panose="02010600030101010101" charset="-122"/>
                </a:endParaRPr>
              </a:p>
            </c:rich>
          </c:tx>
          <c:layout/>
          <c:overlay val="0"/>
          <c:spPr>
            <a:noFill/>
            <a:ln>
              <a:noFill/>
            </a:ln>
            <a:effectLst/>
          </c:spPr>
        </c:title>
        <c:numFmt formatCode="0.000_ " sourceLinked="1"/>
        <c:majorTickMark val="out"/>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55180137"/>
        <c:crosses val="autoZero"/>
        <c:crossBetween val="midCat"/>
      </c:valAx>
      <c:spPr>
        <a:noFill/>
        <a:ln w="9525" cap="flat" cmpd="sng" algn="ctr">
          <a:solidFill>
            <a:schemeClr val="tx1">
              <a:lumMod val="15000"/>
              <a:lumOff val="85000"/>
            </a:schemeClr>
          </a:solidFill>
          <a:round/>
        </a:ln>
        <a:effectLst/>
      </c:spPr>
    </c:plotArea>
    <c:plotVisOnly val="1"/>
    <c:dispBlanksAs val="gap"/>
    <c:showDLblsOverMax val="0"/>
    <c:extLst>
      <c:ext uri="{0b15fc19-7d7d-44ad-8c2d-2c3a37ce22c3}">
        <chartProps xmlns="https://web.wps.cn/et/2018/main" chartId="{5d50adf3-2309-4f7d-8e27-03d5477f8bd7}"/>
      </c:ext>
    </c:extLst>
  </c:chart>
  <c:spPr>
    <a:solidFill>
      <a:schemeClr val="bg1"/>
    </a:solidFill>
    <a:ln w="9525" cap="flat" cmpd="sng" algn="ctr">
      <a:solidFill>
        <a:schemeClr val="tx1">
          <a:lumMod val="15000"/>
          <a:lumOff val="85000"/>
        </a:schemeClr>
      </a:solidFill>
      <a:prstDash val="solid"/>
      <a:round/>
    </a:ln>
    <a:effectLst/>
  </c:spPr>
  <c:txPr>
    <a:bodyPr wrap="square"/>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[地下水预测表.xls]COD!$B$78</c:f>
              <c:strCache>
                <c:ptCount val="1"/>
                <c:pt idx="0">
                  <c:v>浓度</c:v>
                </c:pt>
              </c:strCache>
            </c:strRef>
          </c:tx>
          <c:spPr>
            <a:ln w="19050" cap="rnd" cmpd="sng" algn="ctr">
              <a:solidFill>
                <a:schemeClr val="accent1"/>
              </a:solidFill>
              <a:prstDash val="solid"/>
              <a:round/>
            </a:ln>
            <a:effectLst/>
          </c:spPr>
          <c:marker>
            <c:symbol val="circle"/>
            <c:size val="5"/>
            <c:spPr>
              <a:solidFill>
                <a:schemeClr val="accent1"/>
              </a:solidFill>
              <a:ln w="9525" cap="flat" cmpd="sng" algn="ctr">
                <a:solidFill>
                  <a:schemeClr val="accent1"/>
                </a:solidFill>
                <a:prstDash val="solid"/>
                <a:round/>
              </a:ln>
              <a:effectLst/>
            </c:spPr>
          </c:marker>
          <c:dLbls>
            <c:delete val="1"/>
          </c:dLbls>
          <c:xVal>
            <c:numRef>
              <c:f>[地下水预测表.xls]COD!$A$79:$A$111</c:f>
              <c:numCache>
                <c:formatCode>General</c:formatCode>
                <c:ptCount val="33"/>
                <c:pt idx="0">
                  <c:v>0</c:v>
                </c:pt>
                <c:pt idx="1">
                  <c:v>2</c:v>
                </c:pt>
                <c:pt idx="2">
                  <c:v>4</c:v>
                </c:pt>
                <c:pt idx="3">
                  <c:v>10</c:v>
                </c:pt>
                <c:pt idx="4">
                  <c:v>20</c:v>
                </c:pt>
                <c:pt idx="5">
                  <c:v>30</c:v>
                </c:pt>
                <c:pt idx="6">
                  <c:v>40</c:v>
                </c:pt>
                <c:pt idx="7">
                  <c:v>50</c:v>
                </c:pt>
                <c:pt idx="8">
                  <c:v>60</c:v>
                </c:pt>
                <c:pt idx="9">
                  <c:v>70</c:v>
                </c:pt>
                <c:pt idx="10">
                  <c:v>80</c:v>
                </c:pt>
                <c:pt idx="11">
                  <c:v>90</c:v>
                </c:pt>
                <c:pt idx="12">
                  <c:v>100</c:v>
                </c:pt>
                <c:pt idx="13">
                  <c:v>110</c:v>
                </c:pt>
                <c:pt idx="14">
                  <c:v>120</c:v>
                </c:pt>
                <c:pt idx="15">
                  <c:v>130</c:v>
                </c:pt>
                <c:pt idx="16">
                  <c:v>140</c:v>
                </c:pt>
                <c:pt idx="17">
                  <c:v>150</c:v>
                </c:pt>
                <c:pt idx="18">
                  <c:v>160</c:v>
                </c:pt>
                <c:pt idx="19">
                  <c:v>170</c:v>
                </c:pt>
                <c:pt idx="20">
                  <c:v>180</c:v>
                </c:pt>
                <c:pt idx="21">
                  <c:v>190</c:v>
                </c:pt>
                <c:pt idx="22">
                  <c:v>200</c:v>
                </c:pt>
                <c:pt idx="23">
                  <c:v>210</c:v>
                </c:pt>
                <c:pt idx="24">
                  <c:v>220</c:v>
                </c:pt>
                <c:pt idx="25">
                  <c:v>230</c:v>
                </c:pt>
                <c:pt idx="26">
                  <c:v>240</c:v>
                </c:pt>
                <c:pt idx="27">
                  <c:v>250</c:v>
                </c:pt>
                <c:pt idx="28">
                  <c:v>260</c:v>
                </c:pt>
                <c:pt idx="29">
                  <c:v>270</c:v>
                </c:pt>
                <c:pt idx="30">
                  <c:v>280</c:v>
                </c:pt>
                <c:pt idx="31">
                  <c:v>290</c:v>
                </c:pt>
                <c:pt idx="32">
                  <c:v>300</c:v>
                </c:pt>
              </c:numCache>
            </c:numRef>
          </c:xVal>
          <c:yVal>
            <c:numRef>
              <c:f>[地下水预测表.xls]COD!$B$79:$B$111</c:f>
              <c:numCache>
                <c:formatCode>0.000_ </c:formatCode>
                <c:ptCount val="33"/>
                <c:pt idx="0">
                  <c:v>0.726</c:v>
                </c:pt>
                <c:pt idx="1">
                  <c:v>1.44</c:v>
                </c:pt>
                <c:pt idx="2">
                  <c:v>2.02</c:v>
                </c:pt>
                <c:pt idx="3">
                  <c:v>1.64</c:v>
                </c:pt>
                <c:pt idx="4">
                  <c:v>0.0555</c:v>
                </c:pt>
                <c:pt idx="5">
                  <c:v>6.33e-5</c:v>
                </c:pt>
                <c:pt idx="6">
                  <c:v>2.77e-9</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numCache>
            </c:numRef>
          </c:yVal>
          <c:smooth val="0"/>
        </c:ser>
        <c:dLbls>
          <c:showLegendKey val="0"/>
          <c:showVal val="0"/>
          <c:showCatName val="0"/>
          <c:showSerName val="0"/>
          <c:showPercent val="0"/>
          <c:showBubbleSize val="0"/>
        </c:dLbls>
        <c:axId val="902960170"/>
        <c:axId val="730819031"/>
      </c:scatterChart>
      <c:valAx>
        <c:axId val="902960170"/>
        <c:scaling>
          <c:orientation val="minMax"/>
        </c:scaling>
        <c:delete val="0"/>
        <c:axPos val="b"/>
        <c:majorGridlines>
          <c:spPr>
            <a:ln w="9525" cap="flat" cmpd="sng" algn="ctr">
              <a:solidFill>
                <a:schemeClr val="lt1">
                  <a:lumMod val="90200"/>
                </a:schemeClr>
              </a:solidFill>
              <a:prstDash val="solid"/>
              <a:round/>
            </a:ln>
            <a:effectLst/>
          </c:spPr>
        </c:majorGridlines>
        <c:title>
          <c:tx>
            <c:rich>
              <a:bodyPr rot="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rPr sz="1000" b="0" i="0" u="none" strike="noStrike" baseline="0">
                    <a:solidFill>
                      <a:srgbClr val="333333"/>
                    </a:solidFill>
                    <a:latin typeface="宋体" panose="02010600030101010101" charset="-122"/>
                    <a:ea typeface="宋体" panose="02010600030101010101" charset="-122"/>
                    <a:cs typeface="宋体" panose="02010600030101010101" charset="-122"/>
                  </a:rPr>
                  <a:t>距离</a:t>
                </a:r>
                <a:r>
                  <a:rPr lang="en-US" altLang="zh-CN" sz="1000" b="0" i="0" u="none" strike="noStrike" baseline="0">
                    <a:solidFill>
                      <a:srgbClr val="333333"/>
                    </a:solidFill>
                    <a:latin typeface="Calibri" panose="020F0502020204030204" pitchFamily="2" charset="0"/>
                    <a:ea typeface="Calibri" panose="020F0502020204030204" pitchFamily="2" charset="0"/>
                    <a:cs typeface="Calibri" panose="020F0502020204030204" pitchFamily="2" charset="0"/>
                  </a:rPr>
                  <a:t>m</a:t>
                </a:r>
                <a:endParaRPr lang="en-US" altLang="zh-CN" sz="1200" b="0" i="0" u="none" strike="noStrike" baseline="0">
                  <a:solidFill>
                    <a:srgbClr val="000000"/>
                  </a:solidFill>
                  <a:latin typeface="宋体" panose="02010600030101010101" charset="-122"/>
                  <a:ea typeface="宋体" panose="02010600030101010101" charset="-122"/>
                  <a:cs typeface="宋体" panose="02010600030101010101" charset="-122"/>
                </a:endParaRP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30819031"/>
        <c:crosses val="autoZero"/>
        <c:crossBetween val="midCat"/>
      </c:valAx>
      <c:valAx>
        <c:axId val="730819031"/>
        <c:scaling>
          <c:orientation val="minMax"/>
        </c:scaling>
        <c:delete val="0"/>
        <c:axPos val="l"/>
        <c:majorGridlines>
          <c:spPr>
            <a:ln w="9525" cap="flat" cmpd="sng" algn="ctr">
              <a:solidFill>
                <a:schemeClr val="lt1">
                  <a:lumMod val="90200"/>
                </a:schemeClr>
              </a:solidFill>
              <a:prstDash val="solid"/>
              <a:round/>
            </a:ln>
            <a:effectLst/>
          </c:spPr>
        </c:majorGridlines>
        <c:title>
          <c:tx>
            <c:rich>
              <a:bodyPr rot="-540000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rPr sz="1000" b="0" i="0" u="none" strike="noStrike" baseline="0">
                    <a:solidFill>
                      <a:srgbClr val="333333"/>
                    </a:solidFill>
                    <a:latin typeface="宋体" panose="02010600030101010101" charset="-122"/>
                    <a:ea typeface="宋体" panose="02010600030101010101" charset="-122"/>
                    <a:cs typeface="宋体" panose="02010600030101010101" charset="-122"/>
                  </a:rPr>
                  <a:t>浓度</a:t>
                </a:r>
                <a:r>
                  <a:rPr lang="en-US" altLang="zh-CN" sz="1000" b="0" i="0" u="none" strike="noStrike" baseline="0">
                    <a:solidFill>
                      <a:srgbClr val="333333"/>
                    </a:solidFill>
                    <a:latin typeface="Calibri" panose="020F0502020204030204" pitchFamily="2" charset="0"/>
                    <a:ea typeface="Calibri" panose="020F0502020204030204" pitchFamily="2" charset="0"/>
                    <a:cs typeface="Calibri" panose="020F0502020204030204" pitchFamily="2" charset="0"/>
                  </a:rPr>
                  <a:t>mg/</a:t>
                </a:r>
                <a:endParaRPr lang="en-US" altLang="zh-CN" sz="1200" b="0" i="0" u="none" strike="noStrike" baseline="0">
                  <a:solidFill>
                    <a:srgbClr val="000000"/>
                  </a:solidFill>
                  <a:latin typeface="宋体" panose="02010600030101010101" charset="-122"/>
                  <a:ea typeface="宋体" panose="02010600030101010101" charset="-122"/>
                  <a:cs typeface="宋体" panose="02010600030101010101" charset="-122"/>
                </a:endParaRPr>
              </a:p>
            </c:rich>
          </c:tx>
          <c:layout/>
          <c:overlay val="0"/>
          <c:spPr>
            <a:noFill/>
            <a:ln>
              <a:noFill/>
            </a:ln>
            <a:effectLst/>
          </c:spPr>
        </c:title>
        <c:numFmt formatCode="0.000_ "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02960170"/>
        <c:crosses val="autoZero"/>
        <c:crossBetween val="midCat"/>
      </c:valAx>
      <c:spPr>
        <a:noFill/>
        <a:ln w="9525" cap="flat" cmpd="sng" algn="ctr">
          <a:solidFill>
            <a:schemeClr val="tx1">
              <a:lumMod val="15000"/>
              <a:lumOff val="85000"/>
            </a:schemeClr>
          </a:solidFill>
          <a:round/>
        </a:ln>
        <a:effectLst/>
      </c:spPr>
    </c:plotArea>
    <c:plotVisOnly val="1"/>
    <c:dispBlanksAs val="gap"/>
    <c:showDLblsOverMax val="0"/>
    <c:extLst>
      <c:ext uri="{0b15fc19-7d7d-44ad-8c2d-2c3a37ce22c3}">
        <chartProps xmlns="https://web.wps.cn/et/2018/main" chartId="{7e704461-06ae-4f9b-8e88-2fb89ed49250}"/>
      </c:ext>
    </c:extLst>
  </c:chart>
  <c:spPr>
    <a:solidFill>
      <a:schemeClr val="bg1"/>
    </a:solidFill>
    <a:ln w="9525" cap="flat" cmpd="sng" algn="ctr">
      <a:solidFill>
        <a:schemeClr val="tx1">
          <a:lumMod val="15000"/>
          <a:lumOff val="85000"/>
        </a:schemeClr>
      </a:solidFill>
      <a:prstDash val="solid"/>
      <a:round/>
    </a:ln>
    <a:effectLst/>
  </c:spPr>
  <c:txPr>
    <a:bodyPr wrap="square"/>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[地下水预测表.xls]氨氮!$B$2</c:f>
              <c:strCache>
                <c:ptCount val="1"/>
                <c:pt idx="0">
                  <c:v>浓度</c:v>
                </c:pt>
              </c:strCache>
            </c:strRef>
          </c:tx>
          <c:spPr>
            <a:ln w="19050" cap="rnd" cmpd="sng" algn="ctr">
              <a:solidFill>
                <a:schemeClr val="accent1"/>
              </a:solidFill>
              <a:prstDash val="solid"/>
              <a:round/>
            </a:ln>
            <a:effectLst/>
          </c:spPr>
          <c:marker>
            <c:symbol val="circle"/>
            <c:size val="5"/>
            <c:spPr>
              <a:solidFill>
                <a:schemeClr val="accent1"/>
              </a:solidFill>
              <a:ln w="9525" cap="flat" cmpd="sng" algn="ctr">
                <a:solidFill>
                  <a:schemeClr val="accent1"/>
                </a:solidFill>
                <a:prstDash val="solid"/>
                <a:round/>
              </a:ln>
              <a:effectLst/>
            </c:spPr>
          </c:marker>
          <c:dLbls>
            <c:delete val="1"/>
          </c:dLbls>
          <c:xVal>
            <c:numRef>
              <c:f>[地下水预测表.xls]氨氮!$A$3:$A$35</c:f>
              <c:numCache>
                <c:formatCode>General</c:formatCode>
                <c:ptCount val="33"/>
                <c:pt idx="0">
                  <c:v>0</c:v>
                </c:pt>
                <c:pt idx="1">
                  <c:v>2</c:v>
                </c:pt>
                <c:pt idx="2">
                  <c:v>4</c:v>
                </c:pt>
                <c:pt idx="3">
                  <c:v>10</c:v>
                </c:pt>
                <c:pt idx="4">
                  <c:v>20</c:v>
                </c:pt>
                <c:pt idx="5">
                  <c:v>30</c:v>
                </c:pt>
                <c:pt idx="6">
                  <c:v>40</c:v>
                </c:pt>
                <c:pt idx="7">
                  <c:v>50</c:v>
                </c:pt>
                <c:pt idx="8">
                  <c:v>60</c:v>
                </c:pt>
                <c:pt idx="9">
                  <c:v>70</c:v>
                </c:pt>
                <c:pt idx="10">
                  <c:v>80</c:v>
                </c:pt>
                <c:pt idx="11">
                  <c:v>90</c:v>
                </c:pt>
                <c:pt idx="12">
                  <c:v>100</c:v>
                </c:pt>
                <c:pt idx="13">
                  <c:v>110</c:v>
                </c:pt>
                <c:pt idx="14">
                  <c:v>120</c:v>
                </c:pt>
                <c:pt idx="15">
                  <c:v>130</c:v>
                </c:pt>
                <c:pt idx="16">
                  <c:v>140</c:v>
                </c:pt>
                <c:pt idx="17">
                  <c:v>150</c:v>
                </c:pt>
                <c:pt idx="18">
                  <c:v>160</c:v>
                </c:pt>
                <c:pt idx="19">
                  <c:v>170</c:v>
                </c:pt>
                <c:pt idx="20">
                  <c:v>180</c:v>
                </c:pt>
                <c:pt idx="21">
                  <c:v>190</c:v>
                </c:pt>
                <c:pt idx="22">
                  <c:v>200</c:v>
                </c:pt>
                <c:pt idx="23">
                  <c:v>210</c:v>
                </c:pt>
                <c:pt idx="24">
                  <c:v>220</c:v>
                </c:pt>
                <c:pt idx="25">
                  <c:v>230</c:v>
                </c:pt>
                <c:pt idx="26">
                  <c:v>240</c:v>
                </c:pt>
                <c:pt idx="27">
                  <c:v>250</c:v>
                </c:pt>
                <c:pt idx="28">
                  <c:v>260</c:v>
                </c:pt>
                <c:pt idx="29">
                  <c:v>270</c:v>
                </c:pt>
                <c:pt idx="30">
                  <c:v>280</c:v>
                </c:pt>
                <c:pt idx="31">
                  <c:v>290</c:v>
                </c:pt>
                <c:pt idx="32">
                  <c:v>300</c:v>
                </c:pt>
              </c:numCache>
            </c:numRef>
          </c:xVal>
          <c:yVal>
            <c:numRef>
              <c:f>[地下水预测表.xls]氨氮!$B$3:$B$35</c:f>
              <c:numCache>
                <c:formatCode>0.000_ </c:formatCode>
                <c:ptCount val="33"/>
                <c:pt idx="0">
                  <c:v>20</c:v>
                </c:pt>
                <c:pt idx="1">
                  <c:v>0.962</c:v>
                </c:pt>
                <c:pt idx="2">
                  <c:v>0.00122</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numCache>
            </c:numRef>
          </c:yVal>
          <c:smooth val="0"/>
        </c:ser>
        <c:dLbls>
          <c:showLegendKey val="0"/>
          <c:showVal val="0"/>
          <c:showCatName val="0"/>
          <c:showSerName val="0"/>
          <c:showPercent val="0"/>
          <c:showBubbleSize val="0"/>
        </c:dLbls>
        <c:axId val="671384679"/>
        <c:axId val="70382312"/>
      </c:scatterChart>
      <c:valAx>
        <c:axId val="671384679"/>
        <c:scaling>
          <c:orientation val="minMax"/>
        </c:scaling>
        <c:delete val="0"/>
        <c:axPos val="b"/>
        <c:majorGridlines>
          <c:spPr>
            <a:ln w="9525" cap="flat" cmpd="sng" algn="ctr">
              <a:solidFill>
                <a:schemeClr val="lt1">
                  <a:lumMod val="90200"/>
                </a:schemeClr>
              </a:solidFill>
              <a:prstDash val="solid"/>
              <a:round/>
            </a:ln>
            <a:effectLst/>
          </c:spPr>
        </c:majorGridlines>
        <c:title>
          <c:tx>
            <c:rich>
              <a:bodyPr rot="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rPr sz="1000" b="0" i="0" u="none" strike="noStrike" baseline="0">
                    <a:solidFill>
                      <a:srgbClr val="333333"/>
                    </a:solidFill>
                    <a:latin typeface="宋体" panose="02010600030101010101" charset="-122"/>
                    <a:ea typeface="宋体" panose="02010600030101010101" charset="-122"/>
                    <a:cs typeface="宋体" panose="02010600030101010101" charset="-122"/>
                  </a:rPr>
                  <a:t>距离</a:t>
                </a:r>
                <a:r>
                  <a:rPr lang="en-US" altLang="zh-CN" sz="1000" b="0" i="0" u="none" strike="noStrike" baseline="0">
                    <a:solidFill>
                      <a:srgbClr val="333333"/>
                    </a:solidFill>
                    <a:latin typeface="Calibri" panose="020F0502020204030204" pitchFamily="2" charset="0"/>
                    <a:ea typeface="Calibri" panose="020F0502020204030204" pitchFamily="2" charset="0"/>
                    <a:cs typeface="Calibri" panose="020F0502020204030204" pitchFamily="2" charset="0"/>
                  </a:rPr>
                  <a:t>m</a:t>
                </a:r>
                <a:endParaRPr lang="en-US" altLang="zh-CN" sz="1200" b="0" i="0" u="none" strike="noStrike" baseline="0">
                  <a:solidFill>
                    <a:srgbClr val="000000"/>
                  </a:solidFill>
                  <a:latin typeface="宋体" panose="02010600030101010101" charset="-122"/>
                  <a:ea typeface="宋体" panose="02010600030101010101" charset="-122"/>
                  <a:cs typeface="宋体" panose="02010600030101010101" charset="-122"/>
                </a:endParaRPr>
              </a:p>
            </c:rich>
          </c:tx>
          <c:layout>
            <c:manualLayout>
              <c:xMode val="edge"/>
              <c:yMode val="edge"/>
              <c:x val="0.489151315789474"/>
              <c:y val="0.884027777777778"/>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0382312"/>
        <c:crosses val="autoZero"/>
        <c:crossBetween val="midCat"/>
      </c:valAx>
      <c:valAx>
        <c:axId val="70382312"/>
        <c:scaling>
          <c:orientation val="minMax"/>
        </c:scaling>
        <c:delete val="0"/>
        <c:axPos val="l"/>
        <c:majorGridlines>
          <c:spPr>
            <a:ln w="9525" cap="flat" cmpd="sng" algn="ctr">
              <a:solidFill>
                <a:schemeClr val="lt1">
                  <a:lumMod val="90200"/>
                </a:schemeClr>
              </a:solidFill>
              <a:prstDash val="solid"/>
              <a:round/>
            </a:ln>
            <a:effectLst/>
          </c:spPr>
        </c:majorGridlines>
        <c:title>
          <c:tx>
            <c:rich>
              <a:bodyPr rot="-540000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rPr sz="1000" b="0" i="0" u="none" strike="noStrike" baseline="0">
                    <a:solidFill>
                      <a:srgbClr val="333333"/>
                    </a:solidFill>
                    <a:latin typeface="宋体" panose="02010600030101010101" charset="-122"/>
                    <a:ea typeface="宋体" panose="02010600030101010101" charset="-122"/>
                    <a:cs typeface="宋体" panose="02010600030101010101" charset="-122"/>
                  </a:rPr>
                  <a:t>浓度</a:t>
                </a:r>
                <a:r>
                  <a:rPr lang="en-US" altLang="zh-CN" sz="1000" b="0" i="0" u="none" strike="noStrike" baseline="0">
                    <a:solidFill>
                      <a:srgbClr val="333333"/>
                    </a:solidFill>
                    <a:latin typeface="Calibri" panose="020F0502020204030204" pitchFamily="2" charset="0"/>
                    <a:ea typeface="Calibri" panose="020F0502020204030204" pitchFamily="2" charset="0"/>
                    <a:cs typeface="Calibri" panose="020F0502020204030204" pitchFamily="2" charset="0"/>
                  </a:rPr>
                  <a:t>mg/l</a:t>
                </a:r>
                <a:endParaRPr lang="en-US" altLang="zh-CN" sz="1200" b="0" i="0" u="none" strike="noStrike" baseline="0">
                  <a:solidFill>
                    <a:srgbClr val="000000"/>
                  </a:solidFill>
                  <a:latin typeface="宋体" panose="02010600030101010101" charset="-122"/>
                  <a:ea typeface="宋体" panose="02010600030101010101" charset="-122"/>
                  <a:cs typeface="宋体" panose="02010600030101010101" charset="-122"/>
                </a:endParaRPr>
              </a:p>
            </c:rich>
          </c:tx>
          <c:layout/>
          <c:overlay val="0"/>
          <c:spPr>
            <a:noFill/>
            <a:ln>
              <a:noFill/>
            </a:ln>
            <a:effectLst/>
          </c:spPr>
        </c:title>
        <c:numFmt formatCode="0.000_ "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71384679"/>
        <c:crosses val="autoZero"/>
        <c:crossBetween val="midCat"/>
      </c:valAx>
      <c:spPr>
        <a:noFill/>
        <a:ln w="9525" cap="flat" cmpd="sng" algn="ctr">
          <a:solidFill>
            <a:schemeClr val="tx1">
              <a:lumMod val="15000"/>
              <a:lumOff val="85000"/>
            </a:schemeClr>
          </a:solidFill>
          <a:round/>
        </a:ln>
        <a:effectLst/>
      </c:spPr>
    </c:plotArea>
    <c:plotVisOnly val="1"/>
    <c:dispBlanksAs val="gap"/>
    <c:showDLblsOverMax val="0"/>
    <c:extLst>
      <c:ext uri="{0b15fc19-7d7d-44ad-8c2d-2c3a37ce22c3}">
        <chartProps xmlns="https://web.wps.cn/et/2018/main" chartId="{17d914a0-a62f-47ae-b38d-cdbd8d23cf6b}"/>
      </c:ext>
    </c:extLst>
  </c:chart>
  <c:spPr>
    <a:solidFill>
      <a:schemeClr val="bg1"/>
    </a:solidFill>
    <a:ln w="9525" cap="flat" cmpd="sng" algn="ctr">
      <a:solidFill>
        <a:schemeClr val="tx1">
          <a:lumMod val="15000"/>
          <a:lumOff val="85000"/>
        </a:schemeClr>
      </a:solidFill>
      <a:prstDash val="solid"/>
      <a:round/>
    </a:ln>
    <a:effectLst/>
  </c:spPr>
  <c:txPr>
    <a:bodyPr wrap="square"/>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[地下水预测表.xls]氨氮!$B$39</c:f>
              <c:strCache>
                <c:ptCount val="1"/>
                <c:pt idx="0">
                  <c:v>浓度</c:v>
                </c:pt>
              </c:strCache>
            </c:strRef>
          </c:tx>
          <c:spPr>
            <a:ln w="19050" cap="rnd" cmpd="sng" algn="ctr">
              <a:solidFill>
                <a:schemeClr val="accent1"/>
              </a:solidFill>
              <a:prstDash val="solid"/>
              <a:round/>
            </a:ln>
            <a:effectLst/>
          </c:spPr>
          <c:marker>
            <c:symbol val="circle"/>
            <c:size val="5"/>
            <c:spPr>
              <a:solidFill>
                <a:schemeClr val="accent1"/>
              </a:solidFill>
              <a:ln w="9525" cap="flat" cmpd="sng" algn="ctr">
                <a:solidFill>
                  <a:schemeClr val="accent1"/>
                </a:solidFill>
                <a:prstDash val="solid"/>
                <a:round/>
              </a:ln>
              <a:effectLst/>
            </c:spPr>
          </c:marker>
          <c:dLbls>
            <c:delete val="1"/>
          </c:dLbls>
          <c:xVal>
            <c:numRef>
              <c:f>[地下水预测表.xls]氨氮!$A$40:$A$72</c:f>
              <c:numCache>
                <c:formatCode>General</c:formatCode>
                <c:ptCount val="33"/>
                <c:pt idx="0">
                  <c:v>0</c:v>
                </c:pt>
                <c:pt idx="1">
                  <c:v>2</c:v>
                </c:pt>
                <c:pt idx="2">
                  <c:v>4</c:v>
                </c:pt>
                <c:pt idx="3">
                  <c:v>10</c:v>
                </c:pt>
                <c:pt idx="4">
                  <c:v>20</c:v>
                </c:pt>
                <c:pt idx="5">
                  <c:v>30</c:v>
                </c:pt>
                <c:pt idx="6">
                  <c:v>40</c:v>
                </c:pt>
                <c:pt idx="7">
                  <c:v>50</c:v>
                </c:pt>
                <c:pt idx="8">
                  <c:v>60</c:v>
                </c:pt>
                <c:pt idx="9">
                  <c:v>70</c:v>
                </c:pt>
                <c:pt idx="10">
                  <c:v>80</c:v>
                </c:pt>
                <c:pt idx="11">
                  <c:v>90</c:v>
                </c:pt>
                <c:pt idx="12">
                  <c:v>100</c:v>
                </c:pt>
                <c:pt idx="13">
                  <c:v>110</c:v>
                </c:pt>
                <c:pt idx="14">
                  <c:v>120</c:v>
                </c:pt>
                <c:pt idx="15">
                  <c:v>130</c:v>
                </c:pt>
                <c:pt idx="16">
                  <c:v>140</c:v>
                </c:pt>
                <c:pt idx="17">
                  <c:v>150</c:v>
                </c:pt>
                <c:pt idx="18">
                  <c:v>160</c:v>
                </c:pt>
                <c:pt idx="19">
                  <c:v>170</c:v>
                </c:pt>
                <c:pt idx="20">
                  <c:v>180</c:v>
                </c:pt>
                <c:pt idx="21">
                  <c:v>190</c:v>
                </c:pt>
                <c:pt idx="22">
                  <c:v>200</c:v>
                </c:pt>
                <c:pt idx="23">
                  <c:v>210</c:v>
                </c:pt>
                <c:pt idx="24">
                  <c:v>220</c:v>
                </c:pt>
                <c:pt idx="25">
                  <c:v>230</c:v>
                </c:pt>
                <c:pt idx="26">
                  <c:v>240</c:v>
                </c:pt>
                <c:pt idx="27">
                  <c:v>250</c:v>
                </c:pt>
                <c:pt idx="28">
                  <c:v>260</c:v>
                </c:pt>
                <c:pt idx="29">
                  <c:v>270</c:v>
                </c:pt>
                <c:pt idx="30">
                  <c:v>280</c:v>
                </c:pt>
                <c:pt idx="31">
                  <c:v>290</c:v>
                </c:pt>
                <c:pt idx="32">
                  <c:v>300</c:v>
                </c:pt>
              </c:numCache>
            </c:numRef>
          </c:xVal>
          <c:yVal>
            <c:numRef>
              <c:f>[地下水预测表.xls]氨氮!$B$40:$B$72</c:f>
              <c:numCache>
                <c:formatCode>0.000_ </c:formatCode>
                <c:ptCount val="33"/>
                <c:pt idx="0">
                  <c:v>0.181</c:v>
                </c:pt>
                <c:pt idx="1">
                  <c:v>1.05</c:v>
                </c:pt>
                <c:pt idx="2">
                  <c:v>0.255</c:v>
                </c:pt>
                <c:pt idx="3">
                  <c:v>5.03e-7</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numCache>
            </c:numRef>
          </c:yVal>
          <c:smooth val="0"/>
        </c:ser>
        <c:dLbls>
          <c:showLegendKey val="0"/>
          <c:showVal val="0"/>
          <c:showCatName val="0"/>
          <c:showSerName val="0"/>
          <c:showPercent val="0"/>
          <c:showBubbleSize val="0"/>
        </c:dLbls>
        <c:axId val="33012069"/>
        <c:axId val="219003571"/>
      </c:scatterChart>
      <c:valAx>
        <c:axId val="33012069"/>
        <c:scaling>
          <c:orientation val="minMax"/>
        </c:scaling>
        <c:delete val="0"/>
        <c:axPos val="b"/>
        <c:majorGridlines>
          <c:spPr>
            <a:ln w="9525" cap="flat" cmpd="sng" algn="ctr">
              <a:solidFill>
                <a:schemeClr val="lt1">
                  <a:lumMod val="90200"/>
                </a:schemeClr>
              </a:solidFill>
              <a:prstDash val="solid"/>
              <a:round/>
            </a:ln>
            <a:effectLst/>
          </c:spPr>
        </c:majorGridlines>
        <c:title>
          <c:tx>
            <c:rich>
              <a:bodyPr rot="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rPr sz="1000" b="0" i="0" u="none" strike="noStrike" baseline="0">
                    <a:solidFill>
                      <a:srgbClr val="333333"/>
                    </a:solidFill>
                    <a:latin typeface="宋体" panose="02010600030101010101" charset="-122"/>
                    <a:ea typeface="宋体" panose="02010600030101010101" charset="-122"/>
                    <a:cs typeface="宋体" panose="02010600030101010101" charset="-122"/>
                  </a:rPr>
                  <a:t>距离</a:t>
                </a:r>
                <a:r>
                  <a:rPr lang="en-US" altLang="zh-CN" sz="1000" b="0" i="0" u="none" strike="noStrike" baseline="0">
                    <a:solidFill>
                      <a:srgbClr val="333333"/>
                    </a:solidFill>
                    <a:latin typeface="Calibri" panose="020F0502020204030204" pitchFamily="2" charset="0"/>
                    <a:ea typeface="Calibri" panose="020F0502020204030204" pitchFamily="2" charset="0"/>
                    <a:cs typeface="Calibri" panose="020F0502020204030204" pitchFamily="2" charset="0"/>
                  </a:rPr>
                  <a:t>m</a:t>
                </a:r>
                <a:endParaRPr lang="en-US" altLang="zh-CN" sz="1200" b="0" i="0" u="none" strike="noStrike" baseline="0">
                  <a:solidFill>
                    <a:srgbClr val="000000"/>
                  </a:solidFill>
                  <a:latin typeface="宋体" panose="02010600030101010101" charset="-122"/>
                  <a:ea typeface="宋体" panose="02010600030101010101" charset="-122"/>
                  <a:cs typeface="宋体" panose="02010600030101010101" charset="-122"/>
                </a:endParaRP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19003571"/>
        <c:crosses val="autoZero"/>
        <c:crossBetween val="midCat"/>
      </c:valAx>
      <c:valAx>
        <c:axId val="219003571"/>
        <c:scaling>
          <c:orientation val="minMax"/>
        </c:scaling>
        <c:delete val="0"/>
        <c:axPos val="l"/>
        <c:majorGridlines>
          <c:spPr>
            <a:ln w="9525" cap="flat" cmpd="sng" algn="ctr">
              <a:solidFill>
                <a:schemeClr val="lt1">
                  <a:lumMod val="90200"/>
                </a:schemeClr>
              </a:solidFill>
              <a:prstDash val="solid"/>
              <a:round/>
            </a:ln>
            <a:effectLst/>
          </c:spPr>
        </c:majorGridlines>
        <c:title>
          <c:tx>
            <c:rich>
              <a:bodyPr rot="-540000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rPr sz="1000" b="0" i="0" u="none" strike="noStrike" baseline="0">
                    <a:solidFill>
                      <a:srgbClr val="333333"/>
                    </a:solidFill>
                    <a:latin typeface="宋体" panose="02010600030101010101" charset="-122"/>
                    <a:ea typeface="宋体" panose="02010600030101010101" charset="-122"/>
                    <a:cs typeface="宋体" panose="02010600030101010101" charset="-122"/>
                  </a:rPr>
                  <a:t>浓度</a:t>
                </a:r>
                <a:r>
                  <a:rPr lang="en-US" altLang="zh-CN" sz="1000" b="0" i="0" u="none" strike="noStrike" baseline="0">
                    <a:solidFill>
                      <a:srgbClr val="333333"/>
                    </a:solidFill>
                    <a:latin typeface="Calibri" panose="020F0502020204030204" pitchFamily="2" charset="0"/>
                    <a:ea typeface="Calibri" panose="020F0502020204030204" pitchFamily="2" charset="0"/>
                    <a:cs typeface="Calibri" panose="020F0502020204030204" pitchFamily="2" charset="0"/>
                  </a:rPr>
                  <a:t>mg/l</a:t>
                </a:r>
                <a:endParaRPr lang="en-US" altLang="zh-CN" sz="1200" b="0" i="0" u="none" strike="noStrike" baseline="0">
                  <a:solidFill>
                    <a:srgbClr val="000000"/>
                  </a:solidFill>
                  <a:latin typeface="宋体" panose="02010600030101010101" charset="-122"/>
                  <a:ea typeface="宋体" panose="02010600030101010101" charset="-122"/>
                  <a:cs typeface="宋体" panose="02010600030101010101" charset="-122"/>
                </a:endParaRPr>
              </a:p>
            </c:rich>
          </c:tx>
          <c:layout/>
          <c:overlay val="0"/>
          <c:spPr>
            <a:noFill/>
            <a:ln>
              <a:noFill/>
            </a:ln>
            <a:effectLst/>
          </c:spPr>
        </c:title>
        <c:numFmt formatCode="0.000_ "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3012069"/>
        <c:crosses val="autoZero"/>
        <c:crossBetween val="midCat"/>
      </c:valAx>
      <c:spPr>
        <a:noFill/>
        <a:ln w="9525" cap="flat" cmpd="sng" algn="ctr">
          <a:solidFill>
            <a:schemeClr val="tx1">
              <a:lumMod val="15000"/>
              <a:lumOff val="85000"/>
            </a:schemeClr>
          </a:solidFill>
          <a:round/>
        </a:ln>
        <a:effectLst/>
      </c:spPr>
    </c:plotArea>
    <c:plotVisOnly val="1"/>
    <c:dispBlanksAs val="gap"/>
    <c:showDLblsOverMax val="0"/>
    <c:extLst>
      <c:ext uri="{0b15fc19-7d7d-44ad-8c2d-2c3a37ce22c3}">
        <chartProps xmlns="https://web.wps.cn/et/2018/main" chartId="{b9cddf9c-09a9-486c-92f1-d4d9053d6573}"/>
      </c:ext>
    </c:extLst>
  </c:chart>
  <c:spPr>
    <a:solidFill>
      <a:schemeClr val="bg1"/>
    </a:solidFill>
    <a:ln w="9525" cap="flat" cmpd="sng" algn="ctr">
      <a:solidFill>
        <a:schemeClr val="tx1">
          <a:lumMod val="15000"/>
          <a:lumOff val="85000"/>
        </a:schemeClr>
      </a:solidFill>
      <a:prstDash val="solid"/>
      <a:round/>
    </a:ln>
    <a:effectLst/>
  </c:spPr>
  <c:txPr>
    <a:bodyPr wrap="square"/>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[地下水预测表.xls]氨氮!$B$75</c:f>
              <c:strCache>
                <c:ptCount val="1"/>
                <c:pt idx="0">
                  <c:v>浓度</c:v>
                </c:pt>
              </c:strCache>
            </c:strRef>
          </c:tx>
          <c:spPr>
            <a:ln w="19050" cap="rnd" cmpd="sng" algn="ctr">
              <a:solidFill>
                <a:schemeClr val="accent1"/>
              </a:solidFill>
              <a:prstDash val="solid"/>
              <a:round/>
            </a:ln>
            <a:effectLst/>
          </c:spPr>
          <c:marker>
            <c:symbol val="circle"/>
            <c:size val="5"/>
            <c:spPr>
              <a:solidFill>
                <a:schemeClr val="accent1"/>
              </a:solidFill>
              <a:ln w="9525" cap="flat" cmpd="sng" algn="ctr">
                <a:solidFill>
                  <a:schemeClr val="accent1"/>
                </a:solidFill>
                <a:prstDash val="solid"/>
                <a:round/>
              </a:ln>
              <a:effectLst/>
            </c:spPr>
          </c:marker>
          <c:dLbls>
            <c:delete val="1"/>
          </c:dLbls>
          <c:xVal>
            <c:numRef>
              <c:f>[地下水预测表.xls]氨氮!$A$76:$A$108</c:f>
              <c:numCache>
                <c:formatCode>General</c:formatCode>
                <c:ptCount val="33"/>
                <c:pt idx="0">
                  <c:v>0</c:v>
                </c:pt>
                <c:pt idx="1">
                  <c:v>2</c:v>
                </c:pt>
                <c:pt idx="2">
                  <c:v>4</c:v>
                </c:pt>
                <c:pt idx="3">
                  <c:v>10</c:v>
                </c:pt>
                <c:pt idx="4">
                  <c:v>20</c:v>
                </c:pt>
                <c:pt idx="5">
                  <c:v>30</c:v>
                </c:pt>
                <c:pt idx="6">
                  <c:v>40</c:v>
                </c:pt>
                <c:pt idx="7">
                  <c:v>50</c:v>
                </c:pt>
                <c:pt idx="8">
                  <c:v>60</c:v>
                </c:pt>
                <c:pt idx="9">
                  <c:v>70</c:v>
                </c:pt>
                <c:pt idx="10">
                  <c:v>80</c:v>
                </c:pt>
                <c:pt idx="11">
                  <c:v>90</c:v>
                </c:pt>
                <c:pt idx="12">
                  <c:v>100</c:v>
                </c:pt>
                <c:pt idx="13">
                  <c:v>110</c:v>
                </c:pt>
                <c:pt idx="14">
                  <c:v>120</c:v>
                </c:pt>
                <c:pt idx="15">
                  <c:v>130</c:v>
                </c:pt>
                <c:pt idx="16">
                  <c:v>140</c:v>
                </c:pt>
                <c:pt idx="17">
                  <c:v>150</c:v>
                </c:pt>
                <c:pt idx="18">
                  <c:v>160</c:v>
                </c:pt>
                <c:pt idx="19">
                  <c:v>170</c:v>
                </c:pt>
                <c:pt idx="20">
                  <c:v>180</c:v>
                </c:pt>
                <c:pt idx="21">
                  <c:v>190</c:v>
                </c:pt>
                <c:pt idx="22">
                  <c:v>200</c:v>
                </c:pt>
                <c:pt idx="23">
                  <c:v>210</c:v>
                </c:pt>
                <c:pt idx="24">
                  <c:v>220</c:v>
                </c:pt>
                <c:pt idx="25">
                  <c:v>230</c:v>
                </c:pt>
                <c:pt idx="26">
                  <c:v>240</c:v>
                </c:pt>
                <c:pt idx="27">
                  <c:v>250</c:v>
                </c:pt>
                <c:pt idx="28">
                  <c:v>260</c:v>
                </c:pt>
                <c:pt idx="29">
                  <c:v>270</c:v>
                </c:pt>
                <c:pt idx="30">
                  <c:v>280</c:v>
                </c:pt>
                <c:pt idx="31">
                  <c:v>290</c:v>
                </c:pt>
                <c:pt idx="32">
                  <c:v>300</c:v>
                </c:pt>
              </c:numCache>
            </c:numRef>
          </c:xVal>
          <c:yVal>
            <c:numRef>
              <c:f>[地下水预测表.xls]氨氮!$B$76:$B$108</c:f>
              <c:numCache>
                <c:formatCode>0.000_ </c:formatCode>
                <c:ptCount val="33"/>
                <c:pt idx="0">
                  <c:v>0.0864</c:v>
                </c:pt>
                <c:pt idx="1">
                  <c:v>0.278</c:v>
                </c:pt>
                <c:pt idx="2">
                  <c:v>0.322</c:v>
                </c:pt>
                <c:pt idx="3">
                  <c:v>0.027</c:v>
                </c:pt>
                <c:pt idx="4">
                  <c:v>1.86e-7</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numCache>
            </c:numRef>
          </c:yVal>
          <c:smooth val="0"/>
        </c:ser>
        <c:dLbls>
          <c:showLegendKey val="0"/>
          <c:showVal val="0"/>
          <c:showCatName val="0"/>
          <c:showSerName val="0"/>
          <c:showPercent val="0"/>
          <c:showBubbleSize val="0"/>
        </c:dLbls>
        <c:axId val="861062490"/>
        <c:axId val="483831828"/>
      </c:scatterChart>
      <c:valAx>
        <c:axId val="861062490"/>
        <c:scaling>
          <c:orientation val="minMax"/>
        </c:scaling>
        <c:delete val="0"/>
        <c:axPos val="b"/>
        <c:majorGridlines>
          <c:spPr>
            <a:ln w="9525" cap="flat" cmpd="sng" algn="ctr">
              <a:solidFill>
                <a:schemeClr val="lt1">
                  <a:lumMod val="90200"/>
                </a:schemeClr>
              </a:solidFill>
              <a:prstDash val="solid"/>
              <a:round/>
            </a:ln>
            <a:effectLst/>
          </c:spPr>
        </c:majorGridlines>
        <c:title>
          <c:tx>
            <c:rich>
              <a:bodyPr rot="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rPr sz="1000" b="0" i="0" u="none" strike="noStrike" baseline="0">
                    <a:solidFill>
                      <a:srgbClr val="333333"/>
                    </a:solidFill>
                    <a:latin typeface="宋体" panose="02010600030101010101" charset="-122"/>
                    <a:ea typeface="宋体" panose="02010600030101010101" charset="-122"/>
                    <a:cs typeface="宋体" panose="02010600030101010101" charset="-122"/>
                  </a:rPr>
                  <a:t>距离</a:t>
                </a:r>
                <a:r>
                  <a:rPr lang="en-US" altLang="zh-CN" sz="1000" b="0" i="0" u="none" strike="noStrike" baseline="0">
                    <a:solidFill>
                      <a:srgbClr val="333333"/>
                    </a:solidFill>
                    <a:latin typeface="Calibri" panose="020F0502020204030204" pitchFamily="2" charset="0"/>
                    <a:ea typeface="Calibri" panose="020F0502020204030204" pitchFamily="2" charset="0"/>
                    <a:cs typeface="Calibri" panose="020F0502020204030204" pitchFamily="2" charset="0"/>
                  </a:rPr>
                  <a:t>m</a:t>
                </a:r>
                <a:endParaRPr lang="en-US" altLang="zh-CN" sz="1200" b="0" i="0" u="none" strike="noStrike" baseline="0">
                  <a:solidFill>
                    <a:srgbClr val="000000"/>
                  </a:solidFill>
                  <a:latin typeface="宋体" panose="02010600030101010101" charset="-122"/>
                  <a:ea typeface="宋体" panose="02010600030101010101" charset="-122"/>
                  <a:cs typeface="宋体" panose="02010600030101010101" charset="-122"/>
                </a:endParaRP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83831828"/>
        <c:crosses val="autoZero"/>
        <c:crossBetween val="midCat"/>
      </c:valAx>
      <c:valAx>
        <c:axId val="483831828"/>
        <c:scaling>
          <c:orientation val="minMax"/>
        </c:scaling>
        <c:delete val="0"/>
        <c:axPos val="l"/>
        <c:majorGridlines>
          <c:spPr>
            <a:ln w="9525" cap="flat" cmpd="sng" algn="ctr">
              <a:solidFill>
                <a:schemeClr val="lt1">
                  <a:lumMod val="90200"/>
                </a:schemeClr>
              </a:solidFill>
              <a:prstDash val="solid"/>
              <a:round/>
            </a:ln>
            <a:effectLst/>
          </c:spPr>
        </c:majorGridlines>
        <c:title>
          <c:tx>
            <c:rich>
              <a:bodyPr rot="-540000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rPr sz="1000" b="0" i="0" u="none" strike="noStrike" baseline="0">
                    <a:solidFill>
                      <a:srgbClr val="333333"/>
                    </a:solidFill>
                    <a:latin typeface="宋体" panose="02010600030101010101" charset="-122"/>
                    <a:ea typeface="宋体" panose="02010600030101010101" charset="-122"/>
                    <a:cs typeface="宋体" panose="02010600030101010101" charset="-122"/>
                  </a:rPr>
                  <a:t>浓度</a:t>
                </a:r>
                <a:r>
                  <a:rPr lang="en-US" altLang="zh-CN" sz="1000" b="0" i="0" u="none" strike="noStrike" baseline="0">
                    <a:solidFill>
                      <a:srgbClr val="333333"/>
                    </a:solidFill>
                    <a:latin typeface="Calibri" panose="020F0502020204030204" pitchFamily="2" charset="0"/>
                    <a:ea typeface="Calibri" panose="020F0502020204030204" pitchFamily="2" charset="0"/>
                    <a:cs typeface="Calibri" panose="020F0502020204030204" pitchFamily="2" charset="0"/>
                  </a:rPr>
                  <a:t>mg/l</a:t>
                </a:r>
                <a:endParaRPr lang="en-US" altLang="zh-CN" sz="1200" b="0" i="0" u="none" strike="noStrike" baseline="0">
                  <a:solidFill>
                    <a:srgbClr val="000000"/>
                  </a:solidFill>
                  <a:latin typeface="宋体" panose="02010600030101010101" charset="-122"/>
                  <a:ea typeface="宋体" panose="02010600030101010101" charset="-122"/>
                  <a:cs typeface="宋体" panose="02010600030101010101" charset="-122"/>
                </a:endParaRPr>
              </a:p>
            </c:rich>
          </c:tx>
          <c:layout/>
          <c:overlay val="0"/>
          <c:spPr>
            <a:noFill/>
            <a:ln>
              <a:noFill/>
            </a:ln>
            <a:effectLst/>
          </c:spPr>
        </c:title>
        <c:numFmt formatCode="0.000_ "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61062490"/>
        <c:crosses val="autoZero"/>
        <c:crossBetween val="midCat"/>
      </c:valAx>
      <c:spPr>
        <a:noFill/>
        <a:ln w="9525" cap="flat" cmpd="sng" algn="ctr">
          <a:solidFill>
            <a:schemeClr val="tx1">
              <a:lumMod val="15000"/>
              <a:lumOff val="85000"/>
            </a:schemeClr>
          </a:solidFill>
          <a:round/>
        </a:ln>
        <a:effectLst/>
      </c:spPr>
    </c:plotArea>
    <c:plotVisOnly val="1"/>
    <c:dispBlanksAs val="gap"/>
    <c:showDLblsOverMax val="0"/>
    <c:extLst>
      <c:ext uri="{0b15fc19-7d7d-44ad-8c2d-2c3a37ce22c3}">
        <chartProps xmlns="https://web.wps.cn/et/2018/main" chartId="{624a556a-7c94-48b3-8abd-14d0c82914c8}"/>
      </c:ext>
    </c:extLst>
  </c:chart>
  <c:spPr>
    <a:solidFill>
      <a:schemeClr val="bg1"/>
    </a:solidFill>
    <a:ln w="9525" cap="flat" cmpd="sng" algn="ctr">
      <a:solidFill>
        <a:schemeClr val="tx1">
          <a:lumMod val="15000"/>
          <a:lumOff val="85000"/>
        </a:schemeClr>
      </a:solidFill>
      <a:prstDash val="solid"/>
      <a:round/>
    </a:ln>
    <a:effectLst/>
  </c:spPr>
  <c:txPr>
    <a:bodyPr wrap="square"/>
    <a:lstStyle/>
    <a:p>
      <a:pPr>
        <a:defRPr lang="zh-CN"/>
      </a:pP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19050" cap="rnd" cmpd="sng" algn="ctr">
              <a:solidFill>
                <a:schemeClr val="accent1"/>
              </a:solidFill>
              <a:prstDash val="solid"/>
              <a:round/>
            </a:ln>
            <a:effectLst/>
          </c:spPr>
          <c:marker>
            <c:symbol val="circle"/>
            <c:size val="5"/>
            <c:spPr>
              <a:solidFill>
                <a:schemeClr val="accent1"/>
              </a:solidFill>
              <a:ln w="9525" cap="flat" cmpd="sng" algn="ctr">
                <a:solidFill>
                  <a:schemeClr val="accent1"/>
                </a:solidFill>
                <a:prstDash val="solid"/>
                <a:round/>
              </a:ln>
              <a:effectLst/>
            </c:spPr>
          </c:marker>
          <c:dLbls>
            <c:delete val="1"/>
          </c:dLbls>
          <c:xVal>
            <c:numRef>
              <c:f>[地下水预测表.xls]氨氮!$A$114:$A$146</c:f>
              <c:numCache>
                <c:formatCode>General</c:formatCode>
                <c:ptCount val="33"/>
                <c:pt idx="0">
                  <c:v>0</c:v>
                </c:pt>
                <c:pt idx="1">
                  <c:v>2</c:v>
                </c:pt>
                <c:pt idx="2">
                  <c:v>4</c:v>
                </c:pt>
                <c:pt idx="3">
                  <c:v>10</c:v>
                </c:pt>
                <c:pt idx="4">
                  <c:v>20</c:v>
                </c:pt>
                <c:pt idx="5">
                  <c:v>30</c:v>
                </c:pt>
                <c:pt idx="6">
                  <c:v>40</c:v>
                </c:pt>
                <c:pt idx="7">
                  <c:v>50</c:v>
                </c:pt>
                <c:pt idx="8">
                  <c:v>60</c:v>
                </c:pt>
                <c:pt idx="9">
                  <c:v>70</c:v>
                </c:pt>
                <c:pt idx="10">
                  <c:v>80</c:v>
                </c:pt>
                <c:pt idx="11">
                  <c:v>90</c:v>
                </c:pt>
                <c:pt idx="12">
                  <c:v>100</c:v>
                </c:pt>
                <c:pt idx="13">
                  <c:v>110</c:v>
                </c:pt>
                <c:pt idx="14">
                  <c:v>120</c:v>
                </c:pt>
                <c:pt idx="15">
                  <c:v>130</c:v>
                </c:pt>
                <c:pt idx="16">
                  <c:v>140</c:v>
                </c:pt>
                <c:pt idx="17">
                  <c:v>150</c:v>
                </c:pt>
                <c:pt idx="18">
                  <c:v>160</c:v>
                </c:pt>
                <c:pt idx="19">
                  <c:v>170</c:v>
                </c:pt>
                <c:pt idx="20">
                  <c:v>180</c:v>
                </c:pt>
                <c:pt idx="21">
                  <c:v>190</c:v>
                </c:pt>
                <c:pt idx="22">
                  <c:v>200</c:v>
                </c:pt>
                <c:pt idx="23">
                  <c:v>210</c:v>
                </c:pt>
                <c:pt idx="24">
                  <c:v>220</c:v>
                </c:pt>
                <c:pt idx="25">
                  <c:v>230</c:v>
                </c:pt>
                <c:pt idx="26">
                  <c:v>240</c:v>
                </c:pt>
                <c:pt idx="27">
                  <c:v>250</c:v>
                </c:pt>
                <c:pt idx="28">
                  <c:v>260</c:v>
                </c:pt>
                <c:pt idx="29">
                  <c:v>270</c:v>
                </c:pt>
                <c:pt idx="30">
                  <c:v>280</c:v>
                </c:pt>
                <c:pt idx="31">
                  <c:v>290</c:v>
                </c:pt>
                <c:pt idx="32">
                  <c:v>300</c:v>
                </c:pt>
              </c:numCache>
            </c:numRef>
          </c:xVal>
          <c:yVal>
            <c:numRef>
              <c:f>[地下水预测表.xls]氨氮!$B$114:$B$146</c:f>
              <c:numCache>
                <c:formatCode>0.000_ </c:formatCode>
                <c:ptCount val="33"/>
                <c:pt idx="0">
                  <c:v>0.0484</c:v>
                </c:pt>
                <c:pt idx="1">
                  <c:v>0.0963</c:v>
                </c:pt>
                <c:pt idx="2">
                  <c:v>0.135</c:v>
                </c:pt>
                <c:pt idx="3">
                  <c:v>0.11</c:v>
                </c:pt>
                <c:pt idx="4">
                  <c:v>0.0037</c:v>
                </c:pt>
                <c:pt idx="5">
                  <c:v>4.22e-6</c:v>
                </c:pt>
                <c:pt idx="6">
                  <c:v>1.85e-10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numCache>
            </c:numRef>
          </c:yVal>
          <c:smooth val="0"/>
        </c:ser>
        <c:dLbls>
          <c:showLegendKey val="0"/>
          <c:showVal val="0"/>
          <c:showCatName val="0"/>
          <c:showSerName val="0"/>
          <c:showPercent val="0"/>
          <c:showBubbleSize val="0"/>
        </c:dLbls>
        <c:axId val="860261817"/>
        <c:axId val="886445208"/>
      </c:scatterChart>
      <c:valAx>
        <c:axId val="860261817"/>
        <c:scaling>
          <c:orientation val="minMax"/>
        </c:scaling>
        <c:delete val="0"/>
        <c:axPos val="b"/>
        <c:majorGridlines>
          <c:spPr>
            <a:ln w="9525" cap="flat" cmpd="sng" algn="ctr">
              <a:solidFill>
                <a:schemeClr val="lt1">
                  <a:lumMod val="90200"/>
                </a:schemeClr>
              </a:solidFill>
              <a:prstDash val="solid"/>
              <a:round/>
            </a:ln>
            <a:effectLst/>
          </c:spPr>
        </c:majorGridlines>
        <c:title>
          <c:tx>
            <c:rich>
              <a:bodyPr rot="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rPr sz="1000" b="0" i="0" u="none" strike="noStrike" baseline="0">
                    <a:solidFill>
                      <a:srgbClr val="333333"/>
                    </a:solidFill>
                    <a:latin typeface="宋体" panose="02010600030101010101" charset="-122"/>
                    <a:ea typeface="宋体" panose="02010600030101010101" charset="-122"/>
                    <a:cs typeface="宋体" panose="02010600030101010101" charset="-122"/>
                  </a:rPr>
                  <a:t>距离</a:t>
                </a:r>
                <a:r>
                  <a:rPr lang="en-US" altLang="zh-CN" sz="1000" b="0" i="0" u="none" strike="noStrike" baseline="0">
                    <a:solidFill>
                      <a:srgbClr val="333333"/>
                    </a:solidFill>
                    <a:latin typeface="Calibri" panose="020F0502020204030204" pitchFamily="2" charset="0"/>
                    <a:ea typeface="Calibri" panose="020F0502020204030204" pitchFamily="2" charset="0"/>
                    <a:cs typeface="Calibri" panose="020F0502020204030204" pitchFamily="2" charset="0"/>
                  </a:rPr>
                  <a:t>m</a:t>
                </a:r>
                <a:endParaRPr lang="en-US" altLang="zh-CN" sz="1200" b="0" i="0" u="none" strike="noStrike" baseline="0">
                  <a:solidFill>
                    <a:srgbClr val="000000"/>
                  </a:solidFill>
                  <a:latin typeface="宋体" panose="02010600030101010101" charset="-122"/>
                  <a:ea typeface="宋体" panose="02010600030101010101" charset="-122"/>
                  <a:cs typeface="宋体" panose="02010600030101010101" charset="-122"/>
                </a:endParaRP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86445208"/>
        <c:crosses val="autoZero"/>
        <c:crossBetween val="midCat"/>
      </c:valAx>
      <c:valAx>
        <c:axId val="886445208"/>
        <c:scaling>
          <c:orientation val="minMax"/>
        </c:scaling>
        <c:delete val="0"/>
        <c:axPos val="l"/>
        <c:majorGridlines>
          <c:spPr>
            <a:ln w="9525" cap="flat" cmpd="sng" algn="ctr">
              <a:solidFill>
                <a:schemeClr val="lt1">
                  <a:lumMod val="90200"/>
                </a:schemeClr>
              </a:solidFill>
              <a:prstDash val="solid"/>
              <a:round/>
            </a:ln>
            <a:effectLst/>
          </c:spPr>
        </c:majorGridlines>
        <c:title>
          <c:tx>
            <c:rich>
              <a:bodyPr rot="-540000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rPr sz="1000" b="0" i="0" u="none" strike="noStrike" baseline="0">
                    <a:solidFill>
                      <a:srgbClr val="333333"/>
                    </a:solidFill>
                    <a:latin typeface="宋体" panose="02010600030101010101" charset="-122"/>
                    <a:ea typeface="宋体" panose="02010600030101010101" charset="-122"/>
                    <a:cs typeface="宋体" panose="02010600030101010101" charset="-122"/>
                  </a:rPr>
                  <a:t>浓度</a:t>
                </a:r>
                <a:r>
                  <a:rPr lang="en-US" altLang="zh-CN" sz="1000" b="0" i="0" u="none" strike="noStrike" baseline="0">
                    <a:solidFill>
                      <a:srgbClr val="333333"/>
                    </a:solidFill>
                    <a:latin typeface="Calibri" panose="020F0502020204030204" pitchFamily="2" charset="0"/>
                    <a:ea typeface="Calibri" panose="020F0502020204030204" pitchFamily="2" charset="0"/>
                    <a:cs typeface="Calibri" panose="020F0502020204030204" pitchFamily="2" charset="0"/>
                  </a:rPr>
                  <a:t>mg/l</a:t>
                </a:r>
                <a:endParaRPr lang="en-US" altLang="zh-CN" sz="1200" b="0" i="0" u="none" strike="noStrike" baseline="0">
                  <a:solidFill>
                    <a:srgbClr val="000000"/>
                  </a:solidFill>
                  <a:latin typeface="宋体" panose="02010600030101010101" charset="-122"/>
                  <a:ea typeface="宋体" panose="02010600030101010101" charset="-122"/>
                  <a:cs typeface="宋体" panose="02010600030101010101" charset="-122"/>
                </a:endParaRPr>
              </a:p>
            </c:rich>
          </c:tx>
          <c:layout/>
          <c:overlay val="0"/>
          <c:spPr>
            <a:noFill/>
            <a:ln>
              <a:noFill/>
            </a:ln>
            <a:effectLst/>
          </c:spPr>
        </c:title>
        <c:numFmt formatCode="0.000_ "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60261817"/>
        <c:crosses val="autoZero"/>
        <c:crossBetween val="midCat"/>
      </c:valAx>
      <c:spPr>
        <a:noFill/>
        <a:ln w="9525" cap="flat" cmpd="sng" algn="ctr">
          <a:solidFill>
            <a:schemeClr val="tx1">
              <a:lumMod val="15000"/>
              <a:lumOff val="85000"/>
            </a:schemeClr>
          </a:solidFill>
          <a:round/>
        </a:ln>
        <a:effectLst/>
      </c:spPr>
    </c:plotArea>
    <c:plotVisOnly val="1"/>
    <c:dispBlanksAs val="gap"/>
    <c:showDLblsOverMax val="0"/>
    <c:extLst>
      <c:ext uri="{0b15fc19-7d7d-44ad-8c2d-2c3a37ce22c3}">
        <chartProps xmlns="https://web.wps.cn/et/2018/main" chartId="{e9f5896c-bb90-4097-8d4f-1d09e0a08f9f}"/>
      </c:ext>
    </c:extLst>
  </c:chart>
  <c:spPr>
    <a:solidFill>
      <a:schemeClr val="bg1"/>
    </a:solidFill>
    <a:ln w="9525" cap="flat" cmpd="sng" algn="ctr">
      <a:solidFill>
        <a:schemeClr val="tx1">
          <a:lumMod val="15000"/>
          <a:lumOff val="85000"/>
        </a:schemeClr>
      </a:solidFill>
      <a:prstDash val="solid"/>
      <a:round/>
    </a:ln>
    <a:effectLst/>
  </c:spPr>
  <c:txPr>
    <a:bodyPr wrap="square"/>
    <a:lstStyle/>
    <a:p>
      <a:pPr>
        <a:defRPr lang="zh-CN"/>
      </a:pPr>
    </a:p>
  </c:txPr>
  <c:externalData r:id="rId1">
    <c:autoUpdate val="0"/>
  </c:externalData>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2. lh-报告书模板-20200507</Template>
  <Pages>186</Pages>
  <Words>9274</Words>
  <Characters>9886</Characters>
  <Lines>1</Lines>
  <Paragraphs>1</Paragraphs>
  <TotalTime>54</TotalTime>
  <ScaleCrop>false</ScaleCrop>
  <LinksUpToDate>false</LinksUpToDate>
  <CharactersWithSpaces>10020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2020-12-15T04:04:00Z</dcterms:created>
  <dc:creator>傅蕾</dc:creator>
  <cp:lastModifiedBy>LWF</cp:lastModifiedBy>
  <cp:lastPrinted>2025-02-05T08:40:00Z</cp:lastPrinted>
  <dcterms:modified xsi:type="dcterms:W3CDTF">2025-02-08T13:25:50Z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9B0E5AB9C39644CF964DEA75470CB1E9_13</vt:lpwstr>
  </property>
  <property fmtid="{D5CDD505-2E9C-101B-9397-08002B2CF9AE}" pid="4" name="KSOTemplateDocerSaveRecord">
    <vt:lpwstr>eyJoZGlkIjoiN2YzNjBkOTgyNWQ1YTMxYzM3MzMwNWFiODNmOWIzYWMifQ==</vt:lpwstr>
  </property>
</Properties>
</file>