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60" w:lineRule="exact"/>
        <w:ind w:right="70"/>
        <w:jc w:val="center"/>
        <w:rPr>
          <w:rFonts w:hint="eastAsia" w:ascii="Times New Roman" w:hAnsi="Times New Roman" w:cs="Times New Roman"/>
          <w:b/>
          <w:bCs/>
          <w:sz w:val="48"/>
          <w:szCs w:val="48"/>
          <w:lang w:eastAsia="zh-CN"/>
        </w:rPr>
      </w:pPr>
    </w:p>
    <w:p>
      <w:pPr>
        <w:spacing w:line="660" w:lineRule="exact"/>
        <w:ind w:right="70"/>
        <w:jc w:val="both"/>
        <w:rPr>
          <w:rFonts w:hint="eastAsia" w:ascii="Times New Roman" w:hAnsi="Times New Roman" w:cs="Times New Roman"/>
          <w:b/>
          <w:bCs/>
          <w:sz w:val="48"/>
          <w:szCs w:val="48"/>
          <w:lang w:eastAsia="zh-CN"/>
        </w:rPr>
      </w:pPr>
    </w:p>
    <w:p>
      <w:pPr>
        <w:spacing w:line="660" w:lineRule="exact"/>
        <w:ind w:right="70"/>
        <w:jc w:val="center"/>
        <w:rPr>
          <w:rFonts w:hint="default" w:ascii="Times New Roman" w:hAnsi="Times New Roman" w:cs="Times New Roman"/>
          <w:b/>
          <w:bCs/>
          <w:sz w:val="48"/>
          <w:szCs w:val="48"/>
        </w:rPr>
      </w:pPr>
      <w:r>
        <w:rPr>
          <w:rFonts w:hint="eastAsia" w:ascii="Times New Roman" w:hAnsi="Times New Roman" w:cs="Times New Roman"/>
          <w:b/>
          <w:bCs/>
          <w:sz w:val="48"/>
          <w:szCs w:val="48"/>
          <w:lang w:eastAsia="zh-CN"/>
        </w:rPr>
        <w:t>江西伟航新材料有限公司水泥构件及电力设施器材制造项目项目</w:t>
      </w:r>
      <w:r>
        <w:rPr>
          <w:rFonts w:hint="default" w:ascii="Times New Roman" w:hAnsi="Times New Roman" w:cs="Times New Roman"/>
          <w:b/>
          <w:bCs/>
          <w:sz w:val="48"/>
          <w:szCs w:val="48"/>
        </w:rPr>
        <w:t>竣工环境保护验收监测报告表</w:t>
      </w:r>
    </w:p>
    <w:p>
      <w:pPr>
        <w:rPr>
          <w:rFonts w:hint="default" w:ascii="Times New Roman" w:hAnsi="Times New Roman" w:cs="Times New Roman"/>
        </w:rPr>
      </w:pPr>
    </w:p>
    <w:p>
      <w:pPr>
        <w:ind w:firstLine="3360" w:firstLineChars="1600"/>
        <w:rPr>
          <w:rFonts w:hint="default" w:ascii="Times New Roman" w:hAnsi="Times New Roman" w:cs="Times New Roman"/>
        </w:rPr>
      </w:pPr>
    </w:p>
    <w:p>
      <w:pPr>
        <w:ind w:firstLine="3360" w:firstLineChars="1600"/>
        <w:rPr>
          <w:rFonts w:hint="default" w:ascii="Times New Roman" w:hAnsi="Times New Roman" w:cs="Times New Roman"/>
        </w:rPr>
      </w:pPr>
    </w:p>
    <w:p>
      <w:pPr>
        <w:ind w:firstLine="3360" w:firstLineChars="1600"/>
        <w:rPr>
          <w:rFonts w:hint="default" w:ascii="Times New Roman" w:hAnsi="Times New Roman" w:cs="Times New Roman"/>
        </w:rPr>
      </w:pPr>
    </w:p>
    <w:p>
      <w:pPr>
        <w:pStyle w:val="28"/>
        <w:rPr>
          <w:rFonts w:hint="default" w:ascii="Times New Roman" w:hAnsi="Times New Roman" w:eastAsia="宋体" w:cs="Times New Roman"/>
        </w:rPr>
      </w:pPr>
    </w:p>
    <w:p>
      <w:pPr>
        <w:pStyle w:val="9"/>
        <w:ind w:firstLine="0"/>
        <w:rPr>
          <w:rFonts w:hint="default" w:ascii="Times New Roman" w:hAnsi="Times New Roman" w:eastAsia="宋体" w:cs="Times New Roman"/>
        </w:rPr>
      </w:pPr>
    </w:p>
    <w:p>
      <w:pPr>
        <w:pStyle w:val="9"/>
        <w:ind w:firstLine="0"/>
        <w:rPr>
          <w:rFonts w:hint="default" w:ascii="Times New Roman" w:hAnsi="Times New Roman" w:eastAsia="宋体" w:cs="Times New Roman"/>
        </w:rPr>
      </w:pPr>
    </w:p>
    <w:p>
      <w:pPr>
        <w:rPr>
          <w:rFonts w:hint="default" w:ascii="Times New Roman" w:hAnsi="Times New Roman" w:cs="Times New Roman"/>
        </w:rPr>
      </w:pPr>
    </w:p>
    <w:p>
      <w:pPr>
        <w:rPr>
          <w:rFonts w:hint="default" w:ascii="Times New Roman" w:hAnsi="Times New Roman" w:cs="Times New Roman"/>
        </w:rPr>
      </w:pPr>
    </w:p>
    <w:p>
      <w:pPr>
        <w:pStyle w:val="26"/>
        <w:jc w:val="center"/>
        <w:rPr>
          <w:rFonts w:hint="eastAsia" w:ascii="Times New Roman" w:hAnsi="Times New Roman" w:cs="Times New Roman"/>
          <w:kern w:val="2"/>
          <w:sz w:val="36"/>
          <w:szCs w:val="36"/>
          <w:lang w:eastAsia="zh-CN"/>
        </w:rPr>
      </w:pPr>
      <w:r>
        <w:rPr>
          <w:rFonts w:hint="default" w:ascii="Times New Roman" w:hAnsi="Times New Roman" w:cs="Times New Roman"/>
          <w:sz w:val="36"/>
          <w:szCs w:val="36"/>
        </w:rPr>
        <w:t>建设单位</w:t>
      </w:r>
      <w:r>
        <w:rPr>
          <w:rFonts w:hint="default" w:ascii="Times New Roman" w:hAnsi="Times New Roman" w:cs="Times New Roman"/>
          <w:kern w:val="2"/>
          <w:sz w:val="36"/>
          <w:szCs w:val="36"/>
        </w:rPr>
        <w:t>：</w:t>
      </w:r>
      <w:r>
        <w:rPr>
          <w:rFonts w:hint="eastAsia" w:ascii="Times New Roman" w:hAnsi="Times New Roman" w:cs="Times New Roman"/>
          <w:kern w:val="2"/>
          <w:sz w:val="36"/>
          <w:szCs w:val="36"/>
          <w:lang w:eastAsia="zh-CN"/>
        </w:rPr>
        <w:t>江西伟航新材料有限公司</w:t>
      </w:r>
    </w:p>
    <w:p>
      <w:pPr>
        <w:pStyle w:val="26"/>
        <w:jc w:val="center"/>
        <w:rPr>
          <w:rFonts w:hint="default" w:ascii="Times New Roman" w:hAnsi="Times New Roman" w:cs="Times New Roman"/>
          <w:kern w:val="2"/>
          <w:sz w:val="36"/>
          <w:szCs w:val="36"/>
          <w:lang w:val="en-US" w:eastAsia="zh-CN"/>
        </w:rPr>
      </w:pPr>
      <w:r>
        <w:rPr>
          <w:rFonts w:hint="default" w:ascii="Times New Roman" w:hAnsi="Times New Roman" w:cs="Times New Roman"/>
          <w:kern w:val="2"/>
          <w:sz w:val="36"/>
          <w:szCs w:val="36"/>
          <w:lang w:eastAsia="zh-CN"/>
        </w:rPr>
        <w:t>编制单位：</w:t>
      </w:r>
      <w:r>
        <w:rPr>
          <w:rFonts w:hint="eastAsia" w:ascii="Times New Roman" w:hAnsi="Times New Roman" w:cs="Times New Roman"/>
          <w:kern w:val="2"/>
          <w:sz w:val="36"/>
          <w:szCs w:val="36"/>
          <w:lang w:val="en-US" w:eastAsia="zh-CN"/>
        </w:rPr>
        <w:t>江西六佳环保科技有限公司</w:t>
      </w:r>
    </w:p>
    <w:p>
      <w:pPr>
        <w:jc w:val="center"/>
        <w:rPr>
          <w:rFonts w:hint="default" w:ascii="Times New Roman" w:hAnsi="Times New Roman" w:cs="Times New Roman"/>
          <w:spacing w:val="40"/>
          <w:sz w:val="36"/>
          <w:szCs w:val="32"/>
        </w:rPr>
      </w:pPr>
    </w:p>
    <w:p>
      <w:pPr>
        <w:rPr>
          <w:rFonts w:hint="default" w:ascii="Times New Roman" w:hAnsi="Times New Roman" w:cs="Times New Roman"/>
          <w:spacing w:val="40"/>
          <w:sz w:val="36"/>
          <w:szCs w:val="32"/>
        </w:rPr>
      </w:pPr>
    </w:p>
    <w:p>
      <w:pPr>
        <w:rPr>
          <w:rFonts w:hint="default" w:ascii="Times New Roman" w:hAnsi="Times New Roman" w:cs="Times New Roman"/>
          <w:spacing w:val="40"/>
          <w:sz w:val="36"/>
          <w:szCs w:val="32"/>
        </w:rPr>
      </w:pPr>
    </w:p>
    <w:p>
      <w:pPr>
        <w:rPr>
          <w:rFonts w:hint="default" w:ascii="Times New Roman" w:hAnsi="Times New Roman" w:cs="Times New Roman"/>
          <w:color w:val="auto"/>
          <w:spacing w:val="40"/>
          <w:sz w:val="36"/>
          <w:szCs w:val="32"/>
        </w:rPr>
      </w:pPr>
    </w:p>
    <w:p>
      <w:pPr>
        <w:jc w:val="center"/>
        <w:rPr>
          <w:rFonts w:hint="default" w:ascii="Times New Roman" w:hAnsi="Times New Roman" w:cs="Times New Roman"/>
          <w:color w:val="auto"/>
          <w:spacing w:val="40"/>
          <w:sz w:val="36"/>
          <w:szCs w:val="32"/>
        </w:rPr>
      </w:pPr>
      <w:r>
        <w:rPr>
          <w:rFonts w:hint="default" w:ascii="Times New Roman" w:hAnsi="Times New Roman" w:cs="Times New Roman"/>
          <w:color w:val="auto"/>
          <w:spacing w:val="40"/>
          <w:sz w:val="36"/>
          <w:szCs w:val="32"/>
        </w:rPr>
        <w:t>20</w:t>
      </w:r>
      <w:r>
        <w:rPr>
          <w:rFonts w:hint="eastAsia" w:cs="Times New Roman"/>
          <w:color w:val="auto"/>
          <w:spacing w:val="40"/>
          <w:sz w:val="36"/>
          <w:szCs w:val="32"/>
          <w:lang w:val="en-US" w:eastAsia="zh-CN"/>
        </w:rPr>
        <w:t>24</w:t>
      </w:r>
      <w:r>
        <w:rPr>
          <w:rFonts w:hint="default" w:ascii="Times New Roman" w:hAnsi="Times New Roman" w:cs="Times New Roman"/>
          <w:color w:val="auto"/>
          <w:spacing w:val="40"/>
          <w:sz w:val="36"/>
          <w:szCs w:val="32"/>
        </w:rPr>
        <w:t>年</w:t>
      </w:r>
      <w:r>
        <w:rPr>
          <w:rFonts w:hint="eastAsia" w:cs="Times New Roman"/>
          <w:color w:val="auto"/>
          <w:spacing w:val="40"/>
          <w:sz w:val="36"/>
          <w:szCs w:val="32"/>
          <w:lang w:val="en-US" w:eastAsia="zh-CN"/>
        </w:rPr>
        <w:t>5</w:t>
      </w:r>
      <w:r>
        <w:rPr>
          <w:rFonts w:hint="default" w:ascii="Times New Roman" w:hAnsi="Times New Roman" w:cs="Times New Roman"/>
          <w:color w:val="auto"/>
          <w:spacing w:val="40"/>
          <w:sz w:val="36"/>
          <w:szCs w:val="32"/>
        </w:rPr>
        <w:t>月</w:t>
      </w:r>
    </w:p>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r>
        <w:rPr>
          <w:rFonts w:hint="eastAsia"/>
          <w:sz w:val="28"/>
          <w:szCs w:val="28"/>
          <w:lang w:val="en-US" w:eastAsia="zh-CN"/>
        </w:rPr>
        <w:t xml:space="preserve">建设单位法人代表：                    </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r>
        <w:rPr>
          <w:rFonts w:hint="eastAsia"/>
          <w:sz w:val="28"/>
          <w:szCs w:val="28"/>
          <w:lang w:val="en-US" w:eastAsia="zh-CN"/>
        </w:rPr>
        <w:t xml:space="preserve">编制单位法人代表：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pStyle w:val="30"/>
        <w:outlineLvl w:val="9"/>
        <w:rPr>
          <w:rFonts w:hint="eastAsia"/>
          <w:sz w:val="28"/>
          <w:szCs w:val="28"/>
          <w:lang w:val="en-US" w:eastAsia="zh-CN"/>
        </w:rPr>
      </w:pPr>
    </w:p>
    <w:p>
      <w:pPr>
        <w:pStyle w:val="26"/>
        <w:rPr>
          <w:rFonts w:hint="eastAsia"/>
          <w:sz w:val="28"/>
          <w:szCs w:val="28"/>
          <w:lang w:val="en-US" w:eastAsia="zh-CN"/>
        </w:rPr>
      </w:pPr>
    </w:p>
    <w:p>
      <w:pPr>
        <w:rPr>
          <w:rFonts w:hint="eastAsia"/>
          <w:lang w:val="en-US" w:eastAsia="zh-CN"/>
        </w:rPr>
      </w:pPr>
    </w:p>
    <w:p>
      <w:pPr>
        <w:pStyle w:val="30"/>
        <w:outlineLvl w:val="9"/>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default"/>
          <w:lang w:val="en-US" w:eastAsia="zh-CN"/>
        </w:rPr>
      </w:pPr>
      <w:r>
        <w:rPr>
          <w:rFonts w:hint="eastAsia" w:ascii="宋体" w:hAnsi="宋体" w:eastAsia="宋体" w:cs="宋体"/>
          <w:color w:val="auto"/>
          <w:sz w:val="24"/>
          <w:lang w:val="en-US" w:eastAsia="zh-CN"/>
        </w:rPr>
        <w:t>建设单位:江西伟航新材料有限公司 编制单位:江西六佳环保科技有限公司         地址：</w:t>
      </w:r>
      <w:r>
        <w:rPr>
          <w:rFonts w:hint="eastAsia" w:eastAsia="宋体"/>
          <w:spacing w:val="-2"/>
          <w:lang w:eastAsia="zh-CN"/>
        </w:rPr>
        <w:t>江西省宜春市袁州区彬江镇工业大道31号</w:t>
      </w:r>
      <w:r>
        <w:rPr>
          <w:rFonts w:hint="eastAsia"/>
          <w:spacing w:val="-2"/>
          <w:lang w:val="en-US" w:eastAsia="zh-CN"/>
        </w:rPr>
        <w:t xml:space="preserve">       </w:t>
      </w:r>
      <w:r>
        <w:rPr>
          <w:rFonts w:hint="eastAsia" w:ascii="宋体" w:hAnsi="宋体" w:eastAsia="宋体" w:cs="宋体"/>
          <w:color w:val="auto"/>
          <w:sz w:val="24"/>
          <w:lang w:val="en-US" w:eastAsia="zh-CN"/>
        </w:rPr>
        <w:t>地址：宜春市袁州区</w:t>
      </w:r>
    </w:p>
    <w:p>
      <w:pPr>
        <w:keepNext w:val="0"/>
        <w:keepLines w:val="0"/>
        <w:pageBreakBefore w:val="0"/>
        <w:widowControl w:val="0"/>
        <w:kinsoku/>
        <w:wordWrap/>
        <w:overflowPunct/>
        <w:topLinePunct w:val="0"/>
        <w:bidi w:val="0"/>
        <w:adjustRightInd/>
        <w:snapToGrid/>
        <w:spacing w:line="360" w:lineRule="auto"/>
        <w:ind w:left="4800" w:hanging="4800" w:hangingChars="2000"/>
        <w:textAlignment w:val="auto"/>
        <w:rPr>
          <w:rFonts w:hint="default"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 xml:space="preserve">                                        </w:t>
      </w:r>
    </w:p>
    <w:p>
      <w:pPr>
        <w:rPr>
          <w:rFonts w:hint="eastAsia" w:ascii="Times New Roman" w:hAnsi="Times New Roman" w:cs="Times New Roman"/>
          <w:color w:val="auto"/>
          <w:sz w:val="24"/>
          <w:lang w:val="en-US" w:eastAsia="zh-CN"/>
        </w:rPr>
      </w:pPr>
    </w:p>
    <w:p>
      <w:pPr>
        <w:rPr>
          <w:rFonts w:hint="eastAsia" w:ascii="Times New Roman" w:hAnsi="Times New Roman" w:cs="Times New Roman"/>
          <w:color w:val="auto"/>
          <w:sz w:val="24"/>
          <w:lang w:val="en-US" w:eastAsia="zh-CN"/>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Times New Roman" w:hAnsi="Times New Roman" w:cs="Times New Roman"/>
          <w:color w:val="auto"/>
          <w:sz w:val="24"/>
          <w:lang w:val="en-US" w:eastAsia="zh-CN"/>
        </w:rPr>
        <w:t xml:space="preserve">                         </w:t>
      </w:r>
    </w:p>
    <w:p>
      <w:pPr>
        <w:pStyle w:val="5"/>
        <w:rPr>
          <w:rFonts w:hint="default" w:ascii="Times New Roman" w:hAnsi="Times New Roman" w:eastAsia="宋体" w:cs="Times New Roman"/>
          <w:b/>
          <w:bCs w:val="0"/>
          <w:kern w:val="44"/>
          <w:sz w:val="30"/>
          <w:szCs w:val="30"/>
          <w:lang w:val="en-US" w:eastAsia="zh-CN" w:bidi="ar"/>
        </w:rPr>
      </w:pPr>
      <w:r>
        <w:rPr>
          <w:rFonts w:hint="default" w:ascii="Times New Roman" w:hAnsi="Times New Roman" w:eastAsia="宋体" w:cs="Times New Roman"/>
          <w:b/>
          <w:bCs w:val="0"/>
          <w:kern w:val="44"/>
          <w:sz w:val="30"/>
          <w:szCs w:val="30"/>
          <w:lang w:val="en-US" w:eastAsia="zh-CN" w:bidi="ar"/>
        </w:rPr>
        <w:t>表一、项目基本情况</w:t>
      </w:r>
    </w:p>
    <w:tbl>
      <w:tblPr>
        <w:tblStyle w:val="21"/>
        <w:tblW w:w="963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
        <w:gridCol w:w="844"/>
        <w:gridCol w:w="1128"/>
        <w:gridCol w:w="1966"/>
        <w:gridCol w:w="398"/>
        <w:gridCol w:w="1379"/>
        <w:gridCol w:w="534"/>
        <w:gridCol w:w="1556"/>
        <w:gridCol w:w="860"/>
        <w:gridCol w:w="864"/>
        <w:gridCol w:w="2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gridBefore w:val="1"/>
          <w:gridAfter w:val="1"/>
          <w:wBefore w:w="90" w:type="dxa"/>
          <w:wAfter w:w="20" w:type="dxa"/>
          <w:trHeight w:val="227" w:hRule="atLeast"/>
          <w:jc w:val="center"/>
        </w:trPr>
        <w:tc>
          <w:tcPr>
            <w:tcW w:w="1972" w:type="dxa"/>
            <w:gridSpan w:val="2"/>
            <w:tcBorders>
              <w:top w:val="single" w:color="auto" w:sz="12" w:space="0"/>
            </w:tcBorders>
            <w:noWrap w:val="0"/>
            <w:vAlign w:val="center"/>
          </w:tcPr>
          <w:p>
            <w:pPr>
              <w:jc w:val="center"/>
              <w:rPr>
                <w:rFonts w:hint="default" w:ascii="Times New Roman" w:hAnsi="Times New Roman" w:cs="Times New Roman"/>
                <w:b/>
                <w:bCs/>
                <w:szCs w:val="21"/>
              </w:rPr>
            </w:pPr>
            <w:bookmarkStart w:id="0" w:name="_Hlk11314558"/>
            <w:bookmarkStart w:id="1" w:name="_Hlk11314254"/>
            <w:r>
              <w:rPr>
                <w:rFonts w:hint="default" w:ascii="Times New Roman" w:hAnsi="Times New Roman" w:cs="Times New Roman"/>
                <w:b/>
                <w:bCs/>
                <w:szCs w:val="21"/>
              </w:rPr>
              <w:t>建设项目名称</w:t>
            </w:r>
          </w:p>
        </w:tc>
        <w:tc>
          <w:tcPr>
            <w:tcW w:w="7557" w:type="dxa"/>
            <w:gridSpan w:val="7"/>
            <w:tcBorders>
              <w:top w:val="single" w:color="auto" w:sz="12" w:space="0"/>
            </w:tcBorders>
            <w:noWrap w:val="0"/>
            <w:vAlign w:val="center"/>
          </w:tcPr>
          <w:p>
            <w:pPr>
              <w:widowControl/>
              <w:jc w:val="center"/>
              <w:rPr>
                <w:rFonts w:hint="default" w:ascii="Times New Roman" w:hAnsi="Times New Roman" w:cs="Times New Roman"/>
                <w:color w:val="auto"/>
                <w:lang w:val="en-US" w:eastAsia="zh-CN"/>
              </w:rPr>
            </w:pPr>
            <w:r>
              <w:rPr>
                <w:rFonts w:hint="eastAsia" w:ascii="Times New Roman" w:hAnsi="Times New Roman" w:cs="Times New Roman"/>
                <w:color w:val="auto"/>
                <w:lang w:eastAsia="zh-CN"/>
              </w:rPr>
              <w:t>江西伟航新材料有限公司水泥构件及电力设施器材制造项目</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Before w:val="1"/>
          <w:gridAfter w:val="1"/>
          <w:wBefore w:w="90" w:type="dxa"/>
          <w:wAfter w:w="20" w:type="dxa"/>
          <w:trHeight w:val="227" w:hRule="atLeast"/>
          <w:jc w:val="center"/>
        </w:trPr>
        <w:tc>
          <w:tcPr>
            <w:tcW w:w="1972" w:type="dxa"/>
            <w:gridSpan w:val="2"/>
            <w:noWrap w:val="0"/>
            <w:vAlign w:val="center"/>
          </w:tcPr>
          <w:p>
            <w:pPr>
              <w:jc w:val="center"/>
              <w:rPr>
                <w:rFonts w:hint="default" w:ascii="Times New Roman" w:hAnsi="Times New Roman" w:cs="Times New Roman"/>
                <w:b/>
                <w:bCs/>
                <w:szCs w:val="21"/>
              </w:rPr>
            </w:pPr>
            <w:r>
              <w:rPr>
                <w:rFonts w:hint="default" w:ascii="Times New Roman" w:hAnsi="Times New Roman" w:cs="Times New Roman"/>
                <w:b/>
                <w:bCs/>
                <w:szCs w:val="21"/>
              </w:rPr>
              <w:t>建设单位名称</w:t>
            </w:r>
          </w:p>
        </w:tc>
        <w:tc>
          <w:tcPr>
            <w:tcW w:w="7557" w:type="dxa"/>
            <w:gridSpan w:val="7"/>
            <w:noWrap w:val="0"/>
            <w:vAlign w:val="center"/>
          </w:tcPr>
          <w:p>
            <w:pPr>
              <w:widowControl/>
              <w:jc w:val="center"/>
              <w:rPr>
                <w:rFonts w:hint="default" w:ascii="Times New Roman" w:hAnsi="Times New Roman" w:cs="Times New Roman"/>
                <w:color w:val="auto"/>
                <w:lang w:val="en-US" w:eastAsia="zh-CN"/>
              </w:rPr>
            </w:pPr>
            <w:r>
              <w:rPr>
                <w:rFonts w:hint="eastAsia" w:ascii="Times New Roman" w:hAnsi="Times New Roman" w:cs="Times New Roman"/>
                <w:color w:val="auto"/>
                <w:lang w:eastAsia="zh-CN"/>
              </w:rPr>
              <w:t>江西伟航新材料有限公司</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Before w:val="1"/>
          <w:gridAfter w:val="1"/>
          <w:wBefore w:w="90" w:type="dxa"/>
          <w:wAfter w:w="20" w:type="dxa"/>
          <w:trHeight w:val="227" w:hRule="atLeast"/>
          <w:jc w:val="center"/>
        </w:trPr>
        <w:tc>
          <w:tcPr>
            <w:tcW w:w="1972" w:type="dxa"/>
            <w:gridSpan w:val="2"/>
            <w:noWrap w:val="0"/>
            <w:vAlign w:val="center"/>
          </w:tcPr>
          <w:p>
            <w:pPr>
              <w:jc w:val="center"/>
              <w:rPr>
                <w:rFonts w:hint="default" w:ascii="Times New Roman" w:hAnsi="Times New Roman" w:cs="Times New Roman"/>
                <w:b/>
                <w:bCs/>
                <w:szCs w:val="21"/>
              </w:rPr>
            </w:pPr>
            <w:r>
              <w:rPr>
                <w:rFonts w:hint="default" w:ascii="Times New Roman" w:hAnsi="Times New Roman" w:cs="Times New Roman"/>
                <w:b/>
                <w:bCs/>
                <w:szCs w:val="21"/>
              </w:rPr>
              <w:t>建设性质</w:t>
            </w:r>
          </w:p>
        </w:tc>
        <w:tc>
          <w:tcPr>
            <w:tcW w:w="7557" w:type="dxa"/>
            <w:gridSpan w:val="7"/>
            <w:noWrap w:val="0"/>
            <w:vAlign w:val="center"/>
          </w:tcPr>
          <w:p>
            <w:pPr>
              <w:widowControl/>
              <w:jc w:val="center"/>
              <w:rPr>
                <w:rFonts w:hint="default" w:ascii="Times New Roman" w:hAnsi="Times New Roman" w:cs="Times New Roman"/>
                <w:color w:val="auto"/>
                <w:lang w:eastAsia="zh-CN"/>
              </w:rPr>
            </w:pPr>
            <w:r>
              <w:rPr>
                <w:rFonts w:hint="default" w:ascii="Times New Roman" w:hAnsi="Times New Roman" w:cs="Times New Roman"/>
                <w:color w:val="auto"/>
                <w:lang w:eastAsia="zh-CN"/>
              </w:rPr>
              <w:t>新建   改扩建√  技改   迁建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Before w:val="1"/>
          <w:gridAfter w:val="1"/>
          <w:wBefore w:w="90" w:type="dxa"/>
          <w:wAfter w:w="20" w:type="dxa"/>
          <w:trHeight w:val="256" w:hRule="atLeast"/>
          <w:jc w:val="center"/>
        </w:trPr>
        <w:tc>
          <w:tcPr>
            <w:tcW w:w="1972" w:type="dxa"/>
            <w:gridSpan w:val="2"/>
            <w:noWrap w:val="0"/>
            <w:vAlign w:val="center"/>
          </w:tcPr>
          <w:p>
            <w:pPr>
              <w:jc w:val="center"/>
              <w:rPr>
                <w:rFonts w:hint="default" w:ascii="Times New Roman" w:hAnsi="Times New Roman" w:cs="Times New Roman"/>
                <w:b/>
                <w:bCs/>
                <w:szCs w:val="21"/>
              </w:rPr>
            </w:pPr>
            <w:r>
              <w:rPr>
                <w:rFonts w:hint="default" w:ascii="Times New Roman" w:hAnsi="Times New Roman" w:cs="Times New Roman"/>
                <w:b/>
                <w:bCs/>
                <w:szCs w:val="21"/>
              </w:rPr>
              <w:t>建设地点</w:t>
            </w:r>
          </w:p>
        </w:tc>
        <w:tc>
          <w:tcPr>
            <w:tcW w:w="7557" w:type="dxa"/>
            <w:gridSpan w:val="7"/>
            <w:noWrap w:val="0"/>
            <w:vAlign w:val="center"/>
          </w:tcPr>
          <w:p>
            <w:pPr>
              <w:widowControl/>
              <w:jc w:val="both"/>
              <w:rPr>
                <w:rFonts w:hint="default" w:ascii="Times New Roman" w:hAnsi="Times New Roman" w:cs="Times New Roman"/>
                <w:color w:val="auto"/>
                <w:lang w:eastAsia="zh-CN"/>
              </w:rPr>
            </w:pPr>
            <w:r>
              <w:rPr>
                <w:rFonts w:hint="eastAsia" w:ascii="Times New Roman" w:hAnsi="Times New Roman" w:cs="Times New Roman"/>
                <w:color w:val="auto"/>
                <w:lang w:val="en-US" w:eastAsia="zh-CN"/>
              </w:rPr>
              <w:t>江西省宜春市袁州区彬江镇工业大道31号</w:t>
            </w:r>
            <w:r>
              <w:rPr>
                <w:rFonts w:hint="eastAsia" w:ascii="Times New Roman" w:hAnsi="Times New Roman" w:cs="Times New Roman"/>
                <w:color w:val="auto"/>
                <w:lang w:eastAsia="zh-CN"/>
              </w:rPr>
              <w:t>（114度32分36.540秒，27度48分09.657秒）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Before w:val="1"/>
          <w:gridAfter w:val="1"/>
          <w:wBefore w:w="90" w:type="dxa"/>
          <w:wAfter w:w="20" w:type="dxa"/>
          <w:trHeight w:val="227" w:hRule="atLeast"/>
          <w:jc w:val="center"/>
        </w:trPr>
        <w:tc>
          <w:tcPr>
            <w:tcW w:w="1972" w:type="dxa"/>
            <w:gridSpan w:val="2"/>
            <w:noWrap w:val="0"/>
            <w:vAlign w:val="center"/>
          </w:tcPr>
          <w:p>
            <w:pPr>
              <w:jc w:val="center"/>
              <w:rPr>
                <w:rFonts w:hint="default" w:ascii="Times New Roman" w:hAnsi="Times New Roman" w:cs="Times New Roman"/>
                <w:b/>
                <w:bCs/>
                <w:szCs w:val="21"/>
              </w:rPr>
            </w:pPr>
            <w:r>
              <w:rPr>
                <w:rFonts w:hint="default" w:ascii="Times New Roman" w:hAnsi="Times New Roman" w:cs="Times New Roman"/>
                <w:b/>
                <w:bCs/>
                <w:szCs w:val="21"/>
              </w:rPr>
              <w:t>法人代表</w:t>
            </w:r>
          </w:p>
        </w:tc>
        <w:tc>
          <w:tcPr>
            <w:tcW w:w="1966" w:type="dxa"/>
            <w:noWrap w:val="0"/>
            <w:vAlign w:val="center"/>
          </w:tcPr>
          <w:p>
            <w:pPr>
              <w:widowControl/>
              <w:jc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柳伟成</w:t>
            </w:r>
          </w:p>
        </w:tc>
        <w:tc>
          <w:tcPr>
            <w:tcW w:w="1777" w:type="dxa"/>
            <w:gridSpan w:val="2"/>
            <w:noWrap w:val="0"/>
            <w:vAlign w:val="center"/>
          </w:tcPr>
          <w:p>
            <w:pPr>
              <w:widowControl/>
              <w:jc w:val="center"/>
              <w:rPr>
                <w:rFonts w:hint="default" w:ascii="Times New Roman" w:hAnsi="Times New Roman" w:cs="Times New Roman"/>
                <w:b/>
                <w:bCs/>
                <w:color w:val="auto"/>
              </w:rPr>
            </w:pPr>
            <w:r>
              <w:rPr>
                <w:rFonts w:hint="default" w:ascii="Times New Roman" w:hAnsi="Times New Roman" w:cs="Times New Roman"/>
                <w:b/>
                <w:bCs/>
                <w:color w:val="auto"/>
              </w:rPr>
              <w:t>联系人</w:t>
            </w:r>
          </w:p>
        </w:tc>
        <w:tc>
          <w:tcPr>
            <w:tcW w:w="3814" w:type="dxa"/>
            <w:gridSpan w:val="4"/>
            <w:noWrap w:val="0"/>
            <w:vAlign w:val="center"/>
          </w:tcPr>
          <w:p>
            <w:pPr>
              <w:widowControl/>
              <w:jc w:val="center"/>
              <w:rPr>
                <w:rFonts w:hint="eastAsia" w:ascii="Times New Roman" w:hAnsi="Times New Roman" w:eastAsia="宋体" w:cs="Times New Roman"/>
                <w:color w:val="auto"/>
                <w:lang w:val="en-US" w:eastAsia="zh-CN"/>
              </w:rPr>
            </w:pPr>
            <w:r>
              <w:rPr>
                <w:rFonts w:hint="eastAsia"/>
                <w:color w:val="000000"/>
                <w:kern w:val="2"/>
                <w:lang w:val="en-US" w:eastAsia="zh-CN"/>
              </w:rPr>
              <w:t>柳伟成</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Before w:val="1"/>
          <w:gridAfter w:val="1"/>
          <w:wBefore w:w="90" w:type="dxa"/>
          <w:wAfter w:w="20" w:type="dxa"/>
          <w:trHeight w:val="227" w:hRule="atLeast"/>
          <w:jc w:val="center"/>
        </w:trPr>
        <w:tc>
          <w:tcPr>
            <w:tcW w:w="1972" w:type="dxa"/>
            <w:gridSpan w:val="2"/>
            <w:noWrap w:val="0"/>
            <w:vAlign w:val="center"/>
          </w:tcPr>
          <w:p>
            <w:pPr>
              <w:jc w:val="center"/>
              <w:rPr>
                <w:rFonts w:hint="default" w:ascii="Times New Roman" w:hAnsi="Times New Roman" w:cs="Times New Roman"/>
                <w:b/>
                <w:bCs/>
                <w:szCs w:val="21"/>
              </w:rPr>
            </w:pPr>
            <w:r>
              <w:rPr>
                <w:rFonts w:hint="default" w:ascii="Times New Roman" w:hAnsi="Times New Roman" w:cs="Times New Roman"/>
                <w:b/>
                <w:bCs/>
                <w:szCs w:val="21"/>
              </w:rPr>
              <w:t>联系方式</w:t>
            </w:r>
          </w:p>
        </w:tc>
        <w:tc>
          <w:tcPr>
            <w:tcW w:w="1966" w:type="dxa"/>
            <w:noWrap w:val="0"/>
            <w:vAlign w:val="center"/>
          </w:tcPr>
          <w:p>
            <w:pPr>
              <w:widowControl/>
              <w:jc w:val="center"/>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18879590719</w:t>
            </w:r>
          </w:p>
        </w:tc>
        <w:tc>
          <w:tcPr>
            <w:tcW w:w="1777" w:type="dxa"/>
            <w:gridSpan w:val="2"/>
            <w:noWrap w:val="0"/>
            <w:vAlign w:val="center"/>
          </w:tcPr>
          <w:p>
            <w:pPr>
              <w:jc w:val="center"/>
              <w:rPr>
                <w:rFonts w:hint="default" w:ascii="Times New Roman" w:hAnsi="Times New Roman" w:cs="Times New Roman"/>
                <w:b/>
                <w:bCs/>
                <w:color w:val="auto"/>
              </w:rPr>
            </w:pPr>
            <w:r>
              <w:rPr>
                <w:rFonts w:hint="default" w:ascii="Times New Roman" w:hAnsi="Times New Roman" w:cs="Times New Roman"/>
                <w:b/>
                <w:bCs/>
                <w:color w:val="auto"/>
                <w:szCs w:val="21"/>
              </w:rPr>
              <w:t>行业类别及代码</w:t>
            </w:r>
          </w:p>
        </w:tc>
        <w:tc>
          <w:tcPr>
            <w:tcW w:w="3814" w:type="dxa"/>
            <w:gridSpan w:val="4"/>
            <w:noWrap w:val="0"/>
            <w:vAlign w:val="center"/>
          </w:tcPr>
          <w:p>
            <w:pPr>
              <w:widowControl/>
              <w:jc w:val="both"/>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t>C3985 电子专用材料材料制造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Before w:val="1"/>
          <w:gridAfter w:val="1"/>
          <w:wBefore w:w="90" w:type="dxa"/>
          <w:wAfter w:w="20" w:type="dxa"/>
          <w:trHeight w:val="227" w:hRule="atLeast"/>
          <w:jc w:val="center"/>
        </w:trPr>
        <w:tc>
          <w:tcPr>
            <w:tcW w:w="1972" w:type="dxa"/>
            <w:gridSpan w:val="2"/>
            <w:noWrap w:val="0"/>
            <w:vAlign w:val="center"/>
          </w:tcPr>
          <w:p>
            <w:pPr>
              <w:jc w:val="center"/>
              <w:rPr>
                <w:rFonts w:hint="default" w:ascii="Times New Roman" w:hAnsi="Times New Roman" w:cs="Times New Roman"/>
                <w:b/>
                <w:bCs/>
                <w:szCs w:val="21"/>
              </w:rPr>
            </w:pPr>
            <w:r>
              <w:rPr>
                <w:rFonts w:hint="default" w:ascii="Times New Roman" w:hAnsi="Times New Roman" w:cs="Times New Roman"/>
                <w:b/>
                <w:bCs/>
                <w:szCs w:val="21"/>
              </w:rPr>
              <w:t>主要产品名称</w:t>
            </w:r>
          </w:p>
        </w:tc>
        <w:tc>
          <w:tcPr>
            <w:tcW w:w="7557" w:type="dxa"/>
            <w:gridSpan w:val="7"/>
            <w:noWrap w:val="0"/>
            <w:vAlign w:val="center"/>
          </w:tcPr>
          <w:p>
            <w:pPr>
              <w:jc w:val="center"/>
              <w:rPr>
                <w:rFonts w:hint="eastAsia" w:ascii="Times New Roman" w:hAnsi="Times New Roman" w:eastAsia="宋体" w:cs="Times New Roman"/>
                <w:color w:val="auto"/>
                <w:szCs w:val="21"/>
                <w:lang w:val="en-US" w:eastAsia="zh-CN"/>
              </w:rPr>
            </w:pPr>
            <w:r>
              <w:rPr>
                <w:rFonts w:hint="eastAsia" w:ascii="Times New Roman" w:hAnsi="Times New Roman" w:cs="Times New Roman"/>
                <w:color w:val="auto"/>
                <w:lang w:eastAsia="zh-CN"/>
              </w:rPr>
              <w:t>水泥构件及电力设施器材制造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Before w:val="1"/>
          <w:gridAfter w:val="1"/>
          <w:wBefore w:w="90" w:type="dxa"/>
          <w:wAfter w:w="20" w:type="dxa"/>
          <w:trHeight w:val="227" w:hRule="atLeast"/>
          <w:jc w:val="center"/>
        </w:trPr>
        <w:tc>
          <w:tcPr>
            <w:tcW w:w="1972" w:type="dxa"/>
            <w:gridSpan w:val="2"/>
            <w:noWrap w:val="0"/>
            <w:vAlign w:val="center"/>
          </w:tcPr>
          <w:p>
            <w:pPr>
              <w:jc w:val="center"/>
              <w:rPr>
                <w:rFonts w:hint="default" w:ascii="Times New Roman" w:hAnsi="Times New Roman" w:cs="Times New Roman"/>
                <w:b/>
                <w:bCs/>
                <w:szCs w:val="21"/>
              </w:rPr>
            </w:pPr>
            <w:r>
              <w:rPr>
                <w:rFonts w:hint="default" w:ascii="Times New Roman" w:hAnsi="Times New Roman" w:cs="Times New Roman"/>
                <w:b/>
                <w:bCs/>
                <w:szCs w:val="21"/>
              </w:rPr>
              <w:t>设计生产能力</w:t>
            </w:r>
          </w:p>
        </w:tc>
        <w:tc>
          <w:tcPr>
            <w:tcW w:w="7557" w:type="dxa"/>
            <w:gridSpan w:val="7"/>
            <w:noWrap w:val="0"/>
            <w:vAlign w:val="center"/>
          </w:tcPr>
          <w:p>
            <w:pPr>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color w:val="auto"/>
                <w:lang w:eastAsia="zh-CN"/>
              </w:rPr>
              <w:t>水泥构件</w:t>
            </w:r>
            <w:r>
              <w:rPr>
                <w:rFonts w:hint="eastAsia" w:ascii="Times New Roman" w:hAnsi="Times New Roman" w:cs="Times New Roman"/>
                <w:color w:val="auto"/>
                <w:lang w:val="en-US" w:eastAsia="zh-CN"/>
              </w:rPr>
              <w:t>1000套及</w:t>
            </w:r>
            <w:r>
              <w:rPr>
                <w:rFonts w:hint="eastAsia" w:ascii="Times New Roman" w:hAnsi="Times New Roman" w:cs="Times New Roman"/>
                <w:color w:val="auto"/>
                <w:lang w:eastAsia="zh-CN"/>
              </w:rPr>
              <w:t>电力设施器材</w:t>
            </w:r>
            <w:r>
              <w:rPr>
                <w:rFonts w:hint="eastAsia" w:ascii="Times New Roman" w:hAnsi="Times New Roman" w:cs="Times New Roman"/>
                <w:color w:val="auto"/>
                <w:lang w:val="en-US" w:eastAsia="zh-CN"/>
              </w:rPr>
              <w:t>4000套</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Before w:val="1"/>
          <w:gridAfter w:val="1"/>
          <w:wBefore w:w="90" w:type="dxa"/>
          <w:wAfter w:w="20" w:type="dxa"/>
          <w:trHeight w:val="227" w:hRule="atLeast"/>
          <w:jc w:val="center"/>
        </w:trPr>
        <w:tc>
          <w:tcPr>
            <w:tcW w:w="1972" w:type="dxa"/>
            <w:gridSpan w:val="2"/>
            <w:noWrap w:val="0"/>
            <w:vAlign w:val="center"/>
          </w:tcPr>
          <w:p>
            <w:pPr>
              <w:jc w:val="center"/>
              <w:rPr>
                <w:rFonts w:hint="default" w:ascii="Times New Roman" w:hAnsi="Times New Roman" w:cs="Times New Roman"/>
                <w:b/>
                <w:bCs/>
                <w:szCs w:val="21"/>
              </w:rPr>
            </w:pPr>
            <w:r>
              <w:rPr>
                <w:rFonts w:hint="default" w:ascii="Times New Roman" w:hAnsi="Times New Roman" w:cs="Times New Roman"/>
                <w:b/>
                <w:bCs/>
                <w:szCs w:val="21"/>
              </w:rPr>
              <w:t>实际生产能力</w:t>
            </w:r>
          </w:p>
        </w:tc>
        <w:tc>
          <w:tcPr>
            <w:tcW w:w="7557" w:type="dxa"/>
            <w:gridSpan w:val="7"/>
            <w:noWrap w:val="0"/>
            <w:vAlign w:val="center"/>
          </w:tcPr>
          <w:p>
            <w:pPr>
              <w:jc w:val="center"/>
              <w:rPr>
                <w:rFonts w:hint="default" w:ascii="Times New Roman" w:hAnsi="Times New Roman" w:cs="Times New Roman"/>
                <w:color w:val="auto"/>
                <w:szCs w:val="21"/>
                <w:lang w:val="en-US" w:eastAsia="zh-CN"/>
              </w:rPr>
            </w:pPr>
            <w:r>
              <w:rPr>
                <w:rFonts w:hint="eastAsia" w:ascii="Times New Roman" w:hAnsi="Times New Roman" w:cs="Times New Roman"/>
                <w:color w:val="auto"/>
                <w:lang w:eastAsia="zh-CN"/>
              </w:rPr>
              <w:t>水泥构件</w:t>
            </w:r>
            <w:r>
              <w:rPr>
                <w:rFonts w:hint="eastAsia" w:ascii="Times New Roman" w:hAnsi="Times New Roman" w:cs="Times New Roman"/>
                <w:color w:val="auto"/>
                <w:lang w:val="en-US" w:eastAsia="zh-CN"/>
              </w:rPr>
              <w:t>1000套</w:t>
            </w:r>
            <w:r>
              <w:rPr>
                <w:rFonts w:hint="eastAsia" w:ascii="Times New Roman" w:hAnsi="Times New Roman" w:cs="Times New Roman"/>
                <w:color w:val="auto"/>
                <w:lang w:eastAsia="zh-CN"/>
              </w:rPr>
              <w:t>及电力设施器材</w:t>
            </w:r>
            <w:r>
              <w:rPr>
                <w:rFonts w:hint="eastAsia" w:ascii="Times New Roman" w:hAnsi="Times New Roman" w:cs="Times New Roman"/>
                <w:color w:val="auto"/>
                <w:lang w:val="en-US" w:eastAsia="zh-CN"/>
              </w:rPr>
              <w:t>4000套</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Before w:val="1"/>
          <w:gridAfter w:val="1"/>
          <w:wBefore w:w="90" w:type="dxa"/>
          <w:wAfter w:w="20" w:type="dxa"/>
          <w:trHeight w:val="227" w:hRule="atLeast"/>
          <w:jc w:val="center"/>
        </w:trPr>
        <w:tc>
          <w:tcPr>
            <w:tcW w:w="1972" w:type="dxa"/>
            <w:gridSpan w:val="2"/>
            <w:noWrap w:val="0"/>
            <w:vAlign w:val="center"/>
          </w:tcPr>
          <w:p>
            <w:pPr>
              <w:jc w:val="center"/>
              <w:rPr>
                <w:rFonts w:hint="default" w:ascii="Times New Roman" w:hAnsi="Times New Roman" w:cs="Times New Roman"/>
                <w:b/>
                <w:bCs/>
                <w:szCs w:val="21"/>
              </w:rPr>
            </w:pPr>
            <w:r>
              <w:rPr>
                <w:rFonts w:hint="default" w:ascii="Times New Roman" w:hAnsi="Times New Roman" w:cs="Times New Roman"/>
                <w:b/>
                <w:bCs/>
                <w:szCs w:val="21"/>
              </w:rPr>
              <w:t>建设项目环评时间</w:t>
            </w:r>
          </w:p>
        </w:tc>
        <w:tc>
          <w:tcPr>
            <w:tcW w:w="2364" w:type="dxa"/>
            <w:gridSpan w:val="2"/>
            <w:noWrap w:val="0"/>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20</w:t>
            </w:r>
            <w:r>
              <w:rPr>
                <w:rFonts w:hint="eastAsia" w:ascii="Times New Roman" w:hAnsi="Times New Roman" w:cs="Times New Roman"/>
                <w:color w:val="auto"/>
                <w:szCs w:val="21"/>
                <w:lang w:val="en-US" w:eastAsia="zh-CN"/>
              </w:rPr>
              <w:t>23</w:t>
            </w:r>
            <w:r>
              <w:rPr>
                <w:rFonts w:hint="default" w:ascii="Times New Roman" w:hAnsi="Times New Roman" w:cs="Times New Roman"/>
                <w:color w:val="auto"/>
                <w:szCs w:val="21"/>
              </w:rPr>
              <w:t>年</w:t>
            </w:r>
            <w:r>
              <w:rPr>
                <w:rFonts w:hint="eastAsia" w:ascii="Times New Roman" w:hAnsi="Times New Roman" w:cs="Times New Roman"/>
                <w:color w:val="auto"/>
                <w:szCs w:val="21"/>
                <w:lang w:val="en-US" w:eastAsia="zh-CN"/>
              </w:rPr>
              <w:t>10</w:t>
            </w:r>
            <w:r>
              <w:rPr>
                <w:rFonts w:hint="default" w:ascii="Times New Roman" w:hAnsi="Times New Roman" w:cs="Times New Roman"/>
                <w:color w:val="auto"/>
                <w:szCs w:val="21"/>
              </w:rPr>
              <w:t>月</w:t>
            </w:r>
          </w:p>
        </w:tc>
        <w:tc>
          <w:tcPr>
            <w:tcW w:w="1913" w:type="dxa"/>
            <w:gridSpan w:val="2"/>
            <w:noWrap w:val="0"/>
            <w:vAlign w:val="center"/>
          </w:tcPr>
          <w:p>
            <w:pPr>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环评批复时间</w:t>
            </w:r>
          </w:p>
        </w:tc>
        <w:tc>
          <w:tcPr>
            <w:tcW w:w="3280" w:type="dxa"/>
            <w:gridSpan w:val="3"/>
            <w:noWrap w:val="0"/>
            <w:vAlign w:val="center"/>
          </w:tcPr>
          <w:p>
            <w:pPr>
              <w:jc w:val="center"/>
              <w:rPr>
                <w:rFonts w:hint="default" w:ascii="Times New Roman" w:hAnsi="Times New Roman" w:cs="Times New Roman"/>
                <w:color w:val="auto"/>
                <w:szCs w:val="21"/>
              </w:rPr>
            </w:pPr>
            <w:r>
              <w:rPr>
                <w:rFonts w:hint="default" w:ascii="Times New Roman" w:hAnsi="Times New Roman" w:cs="Times New Roman"/>
                <w:color w:val="auto"/>
                <w:szCs w:val="21"/>
              </w:rPr>
              <w:t>20</w:t>
            </w:r>
            <w:r>
              <w:rPr>
                <w:rFonts w:hint="eastAsia" w:ascii="Times New Roman" w:hAnsi="Times New Roman" w:cs="Times New Roman"/>
                <w:color w:val="auto"/>
                <w:szCs w:val="21"/>
                <w:lang w:val="en-US" w:eastAsia="zh-CN"/>
              </w:rPr>
              <w:t>24</w:t>
            </w:r>
            <w:r>
              <w:rPr>
                <w:rFonts w:hint="default" w:ascii="Times New Roman" w:hAnsi="Times New Roman" w:cs="Times New Roman"/>
                <w:color w:val="auto"/>
                <w:szCs w:val="21"/>
              </w:rPr>
              <w:t>年</w:t>
            </w:r>
            <w:r>
              <w:rPr>
                <w:rFonts w:hint="eastAsia" w:ascii="Times New Roman" w:hAnsi="Times New Roman" w:cs="Times New Roman"/>
                <w:color w:val="auto"/>
                <w:szCs w:val="21"/>
                <w:lang w:val="en-US" w:eastAsia="zh-CN"/>
              </w:rPr>
              <w:t>02</w:t>
            </w:r>
            <w:r>
              <w:rPr>
                <w:rFonts w:hint="default" w:ascii="Times New Roman" w:hAnsi="Times New Roman" w:cs="Times New Roman"/>
                <w:color w:val="auto"/>
                <w:szCs w:val="21"/>
              </w:rPr>
              <w:t>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Before w:val="1"/>
          <w:gridAfter w:val="1"/>
          <w:wBefore w:w="90" w:type="dxa"/>
          <w:wAfter w:w="20" w:type="dxa"/>
          <w:trHeight w:val="227" w:hRule="atLeast"/>
          <w:jc w:val="center"/>
        </w:trPr>
        <w:tc>
          <w:tcPr>
            <w:tcW w:w="1972" w:type="dxa"/>
            <w:gridSpan w:val="2"/>
            <w:noWrap w:val="0"/>
            <w:vAlign w:val="center"/>
          </w:tcPr>
          <w:p>
            <w:pPr>
              <w:jc w:val="center"/>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开工建设时间</w:t>
            </w:r>
          </w:p>
        </w:tc>
        <w:tc>
          <w:tcPr>
            <w:tcW w:w="2364" w:type="dxa"/>
            <w:gridSpan w:val="2"/>
            <w:noWrap w:val="0"/>
            <w:vAlign w:val="center"/>
          </w:tcPr>
          <w:p>
            <w:pPr>
              <w:jc w:val="center"/>
              <w:rPr>
                <w:rFonts w:hint="default" w:ascii="Times New Roman" w:hAnsi="Times New Roman" w:cs="Times New Roman" w:eastAsiaTheme="minorEastAsia"/>
                <w:color w:val="auto"/>
                <w:szCs w:val="21"/>
                <w:highlight w:val="none"/>
                <w:lang w:val="en-US" w:eastAsia="zh-CN"/>
              </w:rPr>
            </w:pPr>
            <w:r>
              <w:rPr>
                <w:rFonts w:hint="eastAsia" w:ascii="Times New Roman" w:hAnsi="Times New Roman" w:cs="Times New Roman"/>
                <w:color w:val="auto"/>
                <w:szCs w:val="21"/>
                <w:highlight w:val="none"/>
                <w:lang w:val="en-US" w:eastAsia="zh-CN"/>
              </w:rPr>
              <w:t>2023年11月</w:t>
            </w:r>
          </w:p>
        </w:tc>
        <w:tc>
          <w:tcPr>
            <w:tcW w:w="1913" w:type="dxa"/>
            <w:gridSpan w:val="2"/>
            <w:noWrap w:val="0"/>
            <w:vAlign w:val="center"/>
          </w:tcPr>
          <w:p>
            <w:pPr>
              <w:jc w:val="center"/>
              <w:rPr>
                <w:rFonts w:hint="default" w:ascii="Times New Roman" w:hAnsi="Times New Roman" w:cs="Times New Roman"/>
                <w:b/>
                <w:bCs/>
                <w:color w:val="auto"/>
                <w:szCs w:val="21"/>
                <w:highlight w:val="yellow"/>
              </w:rPr>
            </w:pPr>
            <w:r>
              <w:rPr>
                <w:rFonts w:hint="default" w:ascii="Times New Roman" w:hAnsi="Times New Roman" w:cs="Times New Roman"/>
                <w:b/>
                <w:bCs/>
                <w:color w:val="auto"/>
                <w:szCs w:val="21"/>
                <w:highlight w:val="none"/>
              </w:rPr>
              <w:t>开始营运时间</w:t>
            </w:r>
          </w:p>
        </w:tc>
        <w:tc>
          <w:tcPr>
            <w:tcW w:w="3280" w:type="dxa"/>
            <w:gridSpan w:val="3"/>
            <w:noWrap w:val="0"/>
            <w:vAlign w:val="center"/>
          </w:tcPr>
          <w:p>
            <w:pPr>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color w:val="auto"/>
                <w:szCs w:val="21"/>
                <w:lang w:val="en-US" w:eastAsia="zh-CN"/>
              </w:rPr>
              <w:t>2023年12月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Before w:val="1"/>
          <w:gridAfter w:val="1"/>
          <w:wBefore w:w="90" w:type="dxa"/>
          <w:wAfter w:w="20" w:type="dxa"/>
          <w:trHeight w:val="227" w:hRule="atLeast"/>
          <w:jc w:val="center"/>
        </w:trPr>
        <w:tc>
          <w:tcPr>
            <w:tcW w:w="1972" w:type="dxa"/>
            <w:gridSpan w:val="2"/>
            <w:noWrap w:val="0"/>
            <w:vAlign w:val="center"/>
          </w:tcPr>
          <w:p>
            <w:pPr>
              <w:jc w:val="center"/>
              <w:rPr>
                <w:rFonts w:hint="default" w:ascii="Times New Roman" w:hAnsi="Times New Roman" w:cs="Times New Roman"/>
                <w:b/>
                <w:bCs/>
                <w:szCs w:val="21"/>
              </w:rPr>
            </w:pPr>
            <w:r>
              <w:rPr>
                <w:rFonts w:hint="default" w:ascii="Times New Roman" w:hAnsi="Times New Roman" w:cs="Times New Roman"/>
                <w:b/>
                <w:bCs/>
                <w:szCs w:val="21"/>
              </w:rPr>
              <w:t>环评报告表</w:t>
            </w:r>
          </w:p>
          <w:p>
            <w:pPr>
              <w:jc w:val="center"/>
              <w:rPr>
                <w:rFonts w:hint="default" w:ascii="Times New Roman" w:hAnsi="Times New Roman" w:cs="Times New Roman"/>
                <w:b/>
                <w:bCs/>
                <w:szCs w:val="21"/>
              </w:rPr>
            </w:pPr>
            <w:r>
              <w:rPr>
                <w:rFonts w:hint="default" w:ascii="Times New Roman" w:hAnsi="Times New Roman" w:cs="Times New Roman"/>
                <w:b/>
                <w:bCs/>
                <w:szCs w:val="21"/>
              </w:rPr>
              <w:t>审批部门</w:t>
            </w:r>
          </w:p>
        </w:tc>
        <w:tc>
          <w:tcPr>
            <w:tcW w:w="2364" w:type="dxa"/>
            <w:gridSpan w:val="2"/>
            <w:noWrap w:val="0"/>
            <w:vAlign w:val="center"/>
          </w:tcPr>
          <w:p>
            <w:pPr>
              <w:jc w:val="center"/>
              <w:rPr>
                <w:rFonts w:hint="eastAsia" w:ascii="Times New Roman" w:hAnsi="Times New Roman" w:cs="Times New Roman" w:eastAsiaTheme="minorEastAsia"/>
                <w:color w:val="auto"/>
                <w:szCs w:val="21"/>
                <w:lang w:eastAsia="zh-CN"/>
              </w:rPr>
            </w:pPr>
            <w:r>
              <w:rPr>
                <w:rFonts w:hint="eastAsia" w:ascii="Times New Roman" w:hAnsi="Times New Roman" w:cs="Times New Roman"/>
                <w:color w:val="auto"/>
                <w:szCs w:val="21"/>
                <w:lang w:eastAsia="zh-CN"/>
              </w:rPr>
              <w:t>宜春市袁州生态环境局</w:t>
            </w:r>
          </w:p>
        </w:tc>
        <w:tc>
          <w:tcPr>
            <w:tcW w:w="1913" w:type="dxa"/>
            <w:gridSpan w:val="2"/>
            <w:noWrap w:val="0"/>
            <w:vAlign w:val="center"/>
          </w:tcPr>
          <w:p>
            <w:pPr>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环评报告表</w:t>
            </w:r>
          </w:p>
          <w:p>
            <w:pPr>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编制单位</w:t>
            </w:r>
          </w:p>
        </w:tc>
        <w:tc>
          <w:tcPr>
            <w:tcW w:w="3280" w:type="dxa"/>
            <w:gridSpan w:val="3"/>
            <w:tcBorders>
              <w:bottom w:val="single" w:color="auto" w:sz="4" w:space="0"/>
            </w:tcBorders>
            <w:noWrap w:val="0"/>
            <w:vAlign w:val="center"/>
          </w:tcPr>
          <w:p>
            <w:pPr>
              <w:jc w:val="center"/>
              <w:rPr>
                <w:rFonts w:hint="default" w:ascii="Times New Roman" w:hAnsi="Times New Roman" w:eastAsia="宋体" w:cs="Times New Roman"/>
                <w:color w:val="auto"/>
                <w:szCs w:val="21"/>
                <w:lang w:eastAsia="zh-CN"/>
              </w:rPr>
            </w:pPr>
            <w:r>
              <w:rPr>
                <w:rFonts w:hint="eastAsia" w:ascii="Times New Roman" w:hAnsi="Times New Roman" w:eastAsia="宋体" w:cs="Times New Roman"/>
                <w:color w:val="auto"/>
                <w:szCs w:val="21"/>
                <w:lang w:eastAsia="zh-CN"/>
              </w:rPr>
              <w:t>江西六佳环保科技有限公司</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Before w:val="1"/>
          <w:gridAfter w:val="1"/>
          <w:wBefore w:w="90" w:type="dxa"/>
          <w:wAfter w:w="20" w:type="dxa"/>
          <w:trHeight w:val="227" w:hRule="atLeast"/>
          <w:jc w:val="center"/>
        </w:trPr>
        <w:tc>
          <w:tcPr>
            <w:tcW w:w="1972" w:type="dxa"/>
            <w:gridSpan w:val="2"/>
            <w:noWrap w:val="0"/>
            <w:vAlign w:val="center"/>
          </w:tcPr>
          <w:p>
            <w:pPr>
              <w:jc w:val="center"/>
              <w:rPr>
                <w:rFonts w:hint="default" w:ascii="Times New Roman" w:hAnsi="Times New Roman" w:cs="Times New Roman"/>
                <w:b/>
                <w:bCs/>
                <w:szCs w:val="21"/>
              </w:rPr>
            </w:pPr>
            <w:r>
              <w:rPr>
                <w:rFonts w:hint="default" w:ascii="Times New Roman" w:hAnsi="Times New Roman" w:cs="Times New Roman"/>
                <w:b/>
                <w:bCs/>
                <w:szCs w:val="21"/>
              </w:rPr>
              <w:t>投资总概算</w:t>
            </w:r>
          </w:p>
        </w:tc>
        <w:tc>
          <w:tcPr>
            <w:tcW w:w="2364" w:type="dxa"/>
            <w:gridSpan w:val="2"/>
            <w:noWrap w:val="0"/>
            <w:vAlign w:val="center"/>
          </w:tcPr>
          <w:p>
            <w:pPr>
              <w:jc w:val="center"/>
              <w:rPr>
                <w:rFonts w:hint="eastAsia" w:ascii="Times New Roman" w:hAnsi="Times New Roman" w:cs="Times New Roman" w:eastAsiaTheme="minorEastAsia"/>
                <w:bCs/>
                <w:color w:val="auto"/>
                <w:szCs w:val="21"/>
                <w:lang w:val="en-US" w:eastAsia="zh-CN"/>
              </w:rPr>
            </w:pPr>
            <w:r>
              <w:rPr>
                <w:rFonts w:hint="eastAsia" w:ascii="Times New Roman" w:hAnsi="Times New Roman" w:eastAsia="宋体" w:cs="Times New Roman"/>
                <w:spacing w:val="4"/>
                <w:sz w:val="23"/>
                <w:szCs w:val="23"/>
                <w:lang w:eastAsia="zh-CN"/>
              </w:rPr>
              <w:t>12000</w:t>
            </w:r>
          </w:p>
        </w:tc>
        <w:tc>
          <w:tcPr>
            <w:tcW w:w="1913" w:type="dxa"/>
            <w:gridSpan w:val="2"/>
            <w:noWrap w:val="0"/>
            <w:vAlign w:val="center"/>
          </w:tcPr>
          <w:p>
            <w:pPr>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环保投资总概算</w:t>
            </w:r>
          </w:p>
        </w:tc>
        <w:tc>
          <w:tcPr>
            <w:tcW w:w="1556" w:type="dxa"/>
            <w:tcBorders>
              <w:top w:val="single" w:color="auto" w:sz="4" w:space="0"/>
              <w:bottom w:val="single" w:color="auto" w:sz="4" w:space="0"/>
              <w:right w:val="single" w:color="auto" w:sz="4" w:space="0"/>
            </w:tcBorders>
            <w:noWrap w:val="0"/>
            <w:vAlign w:val="center"/>
          </w:tcPr>
          <w:p>
            <w:pPr>
              <w:pStyle w:val="26"/>
              <w:jc w:val="center"/>
              <w:rPr>
                <w:rFonts w:hint="eastAsia" w:ascii="Times New Roman" w:hAnsi="Times New Roman" w:eastAsia="宋体" w:cs="Times New Roman"/>
                <w:bCs/>
                <w:color w:val="auto"/>
                <w:kern w:val="2"/>
                <w:sz w:val="21"/>
                <w:szCs w:val="21"/>
                <w:lang w:val="en-US" w:eastAsia="zh-CN"/>
              </w:rPr>
            </w:pPr>
            <w:r>
              <w:rPr>
                <w:rFonts w:hint="eastAsia" w:ascii="Times New Roman" w:hAnsi="Times New Roman" w:eastAsia="宋体" w:cs="Times New Roman"/>
                <w:spacing w:val="2"/>
                <w:sz w:val="23"/>
                <w:szCs w:val="23"/>
                <w:lang w:eastAsia="zh-CN"/>
              </w:rPr>
              <w:t>120</w:t>
            </w:r>
          </w:p>
        </w:tc>
        <w:tc>
          <w:tcPr>
            <w:tcW w:w="860"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比例</w:t>
            </w:r>
          </w:p>
        </w:tc>
        <w:tc>
          <w:tcPr>
            <w:tcW w:w="864" w:type="dxa"/>
            <w:tcBorders>
              <w:top w:val="single" w:color="auto" w:sz="4" w:space="0"/>
              <w:left w:val="single" w:color="auto" w:sz="4" w:space="0"/>
              <w:bottom w:val="single" w:color="auto" w:sz="4" w:space="0"/>
            </w:tcBorders>
            <w:noWrap w:val="0"/>
            <w:vAlign w:val="center"/>
          </w:tcPr>
          <w:p>
            <w:pPr>
              <w:pStyle w:val="26"/>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Before w:val="1"/>
          <w:gridAfter w:val="1"/>
          <w:wBefore w:w="90" w:type="dxa"/>
          <w:wAfter w:w="20" w:type="dxa"/>
          <w:trHeight w:val="227" w:hRule="atLeast"/>
          <w:jc w:val="center"/>
        </w:trPr>
        <w:tc>
          <w:tcPr>
            <w:tcW w:w="1972" w:type="dxa"/>
            <w:gridSpan w:val="2"/>
            <w:tcBorders>
              <w:bottom w:val="single" w:color="auto" w:sz="12" w:space="0"/>
            </w:tcBorders>
            <w:noWrap w:val="0"/>
            <w:vAlign w:val="center"/>
          </w:tcPr>
          <w:p>
            <w:pPr>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实际总投资</w:t>
            </w:r>
          </w:p>
        </w:tc>
        <w:tc>
          <w:tcPr>
            <w:tcW w:w="2364" w:type="dxa"/>
            <w:gridSpan w:val="2"/>
            <w:tcBorders>
              <w:bottom w:val="single" w:color="auto" w:sz="12" w:space="0"/>
            </w:tcBorders>
            <w:noWrap w:val="0"/>
            <w:vAlign w:val="center"/>
          </w:tcPr>
          <w:p>
            <w:pPr>
              <w:jc w:val="center"/>
              <w:rPr>
                <w:rFonts w:hint="eastAsia" w:ascii="Times New Roman" w:hAnsi="Times New Roman" w:cs="Times New Roman" w:eastAsiaTheme="minorEastAsia"/>
                <w:bCs/>
                <w:color w:val="auto"/>
                <w:szCs w:val="21"/>
                <w:lang w:val="en-US" w:eastAsia="zh-CN"/>
              </w:rPr>
            </w:pPr>
            <w:r>
              <w:rPr>
                <w:rFonts w:hint="eastAsia" w:ascii="Times New Roman" w:hAnsi="Times New Roman" w:eastAsia="宋体" w:cs="Times New Roman"/>
                <w:spacing w:val="4"/>
                <w:sz w:val="23"/>
                <w:szCs w:val="23"/>
                <w:lang w:eastAsia="zh-CN"/>
              </w:rPr>
              <w:t>12000</w:t>
            </w:r>
          </w:p>
        </w:tc>
        <w:tc>
          <w:tcPr>
            <w:tcW w:w="1913" w:type="dxa"/>
            <w:gridSpan w:val="2"/>
            <w:tcBorders>
              <w:bottom w:val="single" w:color="auto" w:sz="12" w:space="0"/>
            </w:tcBorders>
            <w:noWrap w:val="0"/>
            <w:vAlign w:val="center"/>
          </w:tcPr>
          <w:p>
            <w:pPr>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环保投资</w:t>
            </w:r>
          </w:p>
        </w:tc>
        <w:tc>
          <w:tcPr>
            <w:tcW w:w="1556" w:type="dxa"/>
            <w:tcBorders>
              <w:top w:val="single" w:color="auto" w:sz="4" w:space="0"/>
              <w:bottom w:val="single" w:color="auto" w:sz="12" w:space="0"/>
              <w:right w:val="single" w:color="auto" w:sz="4" w:space="0"/>
            </w:tcBorders>
            <w:noWrap w:val="0"/>
            <w:vAlign w:val="center"/>
          </w:tcPr>
          <w:p>
            <w:pPr>
              <w:pStyle w:val="26"/>
              <w:jc w:val="center"/>
              <w:rPr>
                <w:rFonts w:hint="eastAsia" w:ascii="Times New Roman" w:hAnsi="Times New Roman" w:eastAsia="宋体" w:cs="Times New Roman"/>
                <w:bCs/>
                <w:color w:val="auto"/>
                <w:kern w:val="2"/>
                <w:sz w:val="21"/>
                <w:szCs w:val="21"/>
                <w:lang w:val="en-US" w:eastAsia="zh-CN"/>
              </w:rPr>
            </w:pPr>
            <w:r>
              <w:rPr>
                <w:rFonts w:hint="eastAsia" w:ascii="Times New Roman" w:hAnsi="Times New Roman" w:eastAsia="宋体" w:cs="Times New Roman"/>
                <w:spacing w:val="2"/>
                <w:sz w:val="23"/>
                <w:szCs w:val="23"/>
                <w:lang w:eastAsia="zh-CN"/>
              </w:rPr>
              <w:t>120</w:t>
            </w:r>
          </w:p>
        </w:tc>
        <w:tc>
          <w:tcPr>
            <w:tcW w:w="860" w:type="dxa"/>
            <w:tcBorders>
              <w:top w:val="single" w:color="auto" w:sz="4" w:space="0"/>
              <w:left w:val="single" w:color="auto" w:sz="4" w:space="0"/>
              <w:bottom w:val="single" w:color="auto" w:sz="12" w:space="0"/>
              <w:right w:val="single" w:color="auto" w:sz="4" w:space="0"/>
            </w:tcBorders>
            <w:noWrap w:val="0"/>
            <w:vAlign w:val="center"/>
          </w:tcPr>
          <w:p>
            <w:pPr>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比例</w:t>
            </w:r>
          </w:p>
        </w:tc>
        <w:tc>
          <w:tcPr>
            <w:tcW w:w="864" w:type="dxa"/>
            <w:tcBorders>
              <w:top w:val="single" w:color="auto" w:sz="4" w:space="0"/>
              <w:left w:val="single" w:color="auto" w:sz="4" w:space="0"/>
              <w:bottom w:val="single" w:color="auto" w:sz="12" w:space="0"/>
            </w:tcBorders>
            <w:noWrap w:val="0"/>
            <w:vAlign w:val="center"/>
          </w:tcPr>
          <w:p>
            <w:pPr>
              <w:pStyle w:val="26"/>
              <w:jc w:val="center"/>
              <w:rPr>
                <w:rFonts w:hint="default" w:ascii="Times New Roman" w:hAnsi="Times New Roman" w:cs="Times New Roman"/>
                <w:color w:val="auto"/>
                <w:sz w:val="21"/>
                <w:szCs w:val="21"/>
              </w:rPr>
            </w:pPr>
            <w:r>
              <w:rPr>
                <w:rFonts w:hint="eastAsia" w:ascii="Times New Roman" w:hAnsi="Times New Roman" w:eastAsia="宋体" w:cs="Times New Roman"/>
                <w:color w:val="auto"/>
                <w:sz w:val="21"/>
                <w:szCs w:val="21"/>
                <w:lang w:val="en-US" w:eastAsia="zh-CN"/>
              </w:rPr>
              <w:t>1%</w:t>
            </w:r>
          </w:p>
        </w:tc>
      </w:tr>
      <w:bookmarkEnd w:id="0"/>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Before w:val="1"/>
          <w:gridAfter w:val="1"/>
          <w:wBefore w:w="90" w:type="dxa"/>
          <w:wAfter w:w="20" w:type="dxa"/>
          <w:trHeight w:val="227" w:hRule="atLeast"/>
          <w:jc w:val="center"/>
        </w:trPr>
        <w:tc>
          <w:tcPr>
            <w:tcW w:w="1972" w:type="dxa"/>
            <w:gridSpan w:val="2"/>
            <w:noWrap w:val="0"/>
            <w:vAlign w:val="center"/>
          </w:tcPr>
          <w:p>
            <w:pPr>
              <w:pStyle w:val="9"/>
              <w:ind w:firstLine="0"/>
              <w:jc w:val="center"/>
              <w:rPr>
                <w:rFonts w:hint="default" w:ascii="Times New Roman" w:hAnsi="Times New Roman" w:eastAsia="宋体" w:cs="Times New Roman"/>
                <w:b/>
                <w:bCs/>
                <w:kern w:val="0"/>
                <w:sz w:val="28"/>
                <w:szCs w:val="28"/>
              </w:rPr>
            </w:pPr>
          </w:p>
          <w:p>
            <w:pPr>
              <w:pStyle w:val="9"/>
              <w:ind w:firstLine="0"/>
              <w:jc w:val="center"/>
              <w:rPr>
                <w:rFonts w:hint="default" w:ascii="Times New Roman" w:hAnsi="Times New Roman" w:eastAsia="宋体" w:cs="Times New Roman"/>
                <w:b/>
                <w:bCs/>
                <w:kern w:val="0"/>
                <w:sz w:val="28"/>
                <w:szCs w:val="28"/>
              </w:rPr>
            </w:pPr>
          </w:p>
          <w:p>
            <w:pPr>
              <w:pStyle w:val="9"/>
              <w:ind w:firstLine="0"/>
              <w:jc w:val="center"/>
              <w:rPr>
                <w:rFonts w:hint="default" w:ascii="Times New Roman" w:hAnsi="Times New Roman" w:eastAsia="宋体" w:cs="Times New Roman"/>
                <w:b/>
                <w:bCs/>
                <w:kern w:val="0"/>
                <w:sz w:val="28"/>
                <w:szCs w:val="28"/>
              </w:rPr>
            </w:pPr>
          </w:p>
          <w:p>
            <w:pPr>
              <w:pStyle w:val="9"/>
              <w:ind w:firstLine="0"/>
              <w:jc w:val="center"/>
              <w:rPr>
                <w:rFonts w:hint="default" w:ascii="Times New Roman" w:hAnsi="Times New Roman" w:eastAsia="宋体" w:cs="Times New Roman"/>
                <w:b/>
                <w:bCs/>
                <w:kern w:val="0"/>
                <w:sz w:val="28"/>
                <w:szCs w:val="28"/>
              </w:rPr>
            </w:pPr>
          </w:p>
          <w:p>
            <w:pPr>
              <w:pStyle w:val="9"/>
              <w:ind w:firstLine="0"/>
              <w:jc w:val="center"/>
              <w:rPr>
                <w:rFonts w:hint="default" w:ascii="Times New Roman" w:hAnsi="Times New Roman" w:eastAsia="宋体" w:cs="Times New Roman"/>
                <w:b/>
                <w:bCs/>
                <w:kern w:val="0"/>
                <w:sz w:val="28"/>
                <w:szCs w:val="28"/>
              </w:rPr>
            </w:pPr>
          </w:p>
          <w:p>
            <w:pPr>
              <w:pStyle w:val="9"/>
              <w:ind w:firstLine="0"/>
              <w:jc w:val="both"/>
              <w:rPr>
                <w:rFonts w:hint="default" w:ascii="Times New Roman" w:hAnsi="Times New Roman" w:eastAsia="宋体" w:cs="Times New Roman"/>
                <w:b/>
                <w:bCs/>
                <w:kern w:val="0"/>
                <w:sz w:val="28"/>
                <w:szCs w:val="28"/>
              </w:rPr>
            </w:pPr>
            <w:r>
              <w:rPr>
                <w:rFonts w:hint="default" w:ascii="Times New Roman" w:hAnsi="Times New Roman" w:eastAsia="宋体" w:cs="Times New Roman"/>
                <w:b/>
                <w:bCs/>
                <w:kern w:val="0"/>
                <w:sz w:val="28"/>
                <w:szCs w:val="28"/>
              </w:rPr>
              <w:t>验收监测依据</w:t>
            </w:r>
          </w:p>
          <w:p>
            <w:pPr>
              <w:pStyle w:val="9"/>
              <w:ind w:firstLine="0"/>
              <w:jc w:val="both"/>
              <w:rPr>
                <w:rFonts w:hint="default" w:ascii="Times New Roman" w:hAnsi="Times New Roman" w:eastAsia="宋体" w:cs="Times New Roman"/>
                <w:b/>
                <w:bCs/>
                <w:kern w:val="0"/>
                <w:sz w:val="28"/>
                <w:szCs w:val="28"/>
              </w:rPr>
            </w:pPr>
          </w:p>
          <w:p>
            <w:pPr>
              <w:pStyle w:val="9"/>
              <w:ind w:firstLine="0"/>
              <w:jc w:val="both"/>
              <w:rPr>
                <w:rFonts w:hint="default" w:ascii="Times New Roman" w:hAnsi="Times New Roman" w:eastAsia="宋体" w:cs="Times New Roman"/>
                <w:b/>
                <w:bCs/>
                <w:kern w:val="0"/>
                <w:sz w:val="28"/>
                <w:szCs w:val="28"/>
              </w:rPr>
            </w:pPr>
          </w:p>
          <w:p>
            <w:pPr>
              <w:pStyle w:val="9"/>
              <w:ind w:firstLine="0"/>
              <w:jc w:val="both"/>
              <w:rPr>
                <w:rFonts w:hint="default" w:ascii="Times New Roman" w:hAnsi="Times New Roman" w:eastAsia="宋体" w:cs="Times New Roman"/>
                <w:b/>
                <w:bCs/>
                <w:kern w:val="0"/>
                <w:sz w:val="28"/>
                <w:szCs w:val="28"/>
              </w:rPr>
            </w:pPr>
          </w:p>
          <w:p>
            <w:pPr>
              <w:pStyle w:val="9"/>
              <w:ind w:firstLine="0"/>
              <w:jc w:val="both"/>
              <w:rPr>
                <w:rFonts w:hint="default" w:ascii="Times New Roman" w:hAnsi="Times New Roman" w:eastAsia="宋体" w:cs="Times New Roman"/>
                <w:b/>
                <w:bCs/>
                <w:kern w:val="0"/>
                <w:sz w:val="28"/>
                <w:szCs w:val="28"/>
              </w:rPr>
            </w:pPr>
          </w:p>
          <w:p>
            <w:pPr>
              <w:pStyle w:val="28"/>
              <w:rPr>
                <w:rFonts w:hint="default" w:ascii="Times New Roman" w:hAnsi="Times New Roman" w:eastAsia="宋体" w:cs="Times New Roman"/>
                <w:b w:val="0"/>
                <w:bCs/>
                <w:kern w:val="0"/>
                <w:sz w:val="28"/>
                <w:szCs w:val="28"/>
              </w:rPr>
            </w:pPr>
          </w:p>
          <w:p>
            <w:pPr>
              <w:pStyle w:val="28"/>
              <w:rPr>
                <w:rFonts w:hint="default" w:ascii="Times New Roman" w:hAnsi="Times New Roman" w:eastAsia="宋体" w:cs="Times New Roman"/>
                <w:b w:val="0"/>
                <w:bCs/>
                <w:kern w:val="0"/>
                <w:sz w:val="28"/>
                <w:szCs w:val="28"/>
              </w:rPr>
            </w:pPr>
          </w:p>
          <w:p>
            <w:pPr>
              <w:pStyle w:val="9"/>
              <w:ind w:firstLine="0"/>
              <w:jc w:val="both"/>
              <w:rPr>
                <w:rFonts w:hint="default" w:ascii="Times New Roman" w:hAnsi="Times New Roman" w:eastAsia="宋体" w:cs="Times New Roman"/>
                <w:b/>
                <w:bCs/>
                <w:kern w:val="0"/>
                <w:sz w:val="28"/>
                <w:szCs w:val="28"/>
              </w:rPr>
            </w:pPr>
          </w:p>
        </w:tc>
        <w:tc>
          <w:tcPr>
            <w:tcW w:w="7557" w:type="dxa"/>
            <w:gridSpan w:val="7"/>
            <w:vMerge w:val="restart"/>
            <w:noWrap w:val="0"/>
            <w:vAlign w:val="center"/>
          </w:tcPr>
          <w:p>
            <w:pPr>
              <w:spacing w:line="360" w:lineRule="auto"/>
              <w:ind w:firstLine="480"/>
              <w:rPr>
                <w:rFonts w:hint="default" w:ascii="Times New Roman" w:hAnsi="Times New Roman" w:cs="Times New Roman"/>
                <w:color w:val="auto"/>
                <w:sz w:val="24"/>
                <w:szCs w:val="32"/>
              </w:rPr>
            </w:pPr>
            <w:r>
              <w:rPr>
                <w:rFonts w:hint="default" w:ascii="Times New Roman" w:hAnsi="Times New Roman" w:cs="Times New Roman"/>
                <w:color w:val="auto"/>
                <w:sz w:val="24"/>
                <w:szCs w:val="32"/>
              </w:rPr>
              <w:t>1、《中华人民共和国环境保护法》（中华人民共和国第十二届全国人民代表大会常务委员会第八次会议于2014年4月24日修订通过，自2015年1月1日起施行。）；</w:t>
            </w:r>
          </w:p>
          <w:p>
            <w:pPr>
              <w:spacing w:line="360" w:lineRule="auto"/>
              <w:ind w:firstLine="480"/>
              <w:rPr>
                <w:rFonts w:hint="default" w:ascii="Times New Roman" w:hAnsi="Times New Roman" w:cs="Times New Roman"/>
                <w:color w:val="auto"/>
                <w:sz w:val="24"/>
                <w:szCs w:val="32"/>
              </w:rPr>
            </w:pPr>
            <w:r>
              <w:rPr>
                <w:rFonts w:hint="default" w:ascii="Times New Roman" w:hAnsi="Times New Roman" w:cs="Times New Roman"/>
                <w:color w:val="auto"/>
                <w:sz w:val="24"/>
                <w:szCs w:val="32"/>
              </w:rPr>
              <w:t>2、《中华人民共和国水污染防治法》（2017年6月27日第十一届全国人民代表大会常务委员会第二十八次会议《关于修改&lt;中华人民共和国水污染防治法&gt;的决定》第二次修正；2018年1月1日正式实行）；</w:t>
            </w:r>
          </w:p>
          <w:p>
            <w:pPr>
              <w:spacing w:line="360" w:lineRule="auto"/>
              <w:ind w:firstLine="480" w:firstLineChars="200"/>
              <w:rPr>
                <w:rFonts w:hint="default" w:ascii="Times New Roman" w:hAnsi="Times New Roman" w:cs="Times New Roman"/>
                <w:color w:val="auto"/>
                <w:sz w:val="24"/>
                <w:szCs w:val="32"/>
              </w:rPr>
            </w:pPr>
            <w:r>
              <w:rPr>
                <w:rFonts w:hint="default" w:ascii="Times New Roman" w:hAnsi="Times New Roman" w:cs="Times New Roman"/>
                <w:color w:val="auto"/>
                <w:sz w:val="24"/>
                <w:szCs w:val="32"/>
              </w:rPr>
              <w:t>3、《中华人民共和国固体废物污染环境防治法》</w:t>
            </w:r>
            <w:r>
              <w:rPr>
                <w:rFonts w:hint="default" w:ascii="Times New Roman" w:hAnsi="Times New Roman" w:cs="Times New Roman"/>
                <w:color w:val="auto"/>
                <w:sz w:val="24"/>
                <w:szCs w:val="24"/>
              </w:rPr>
              <w:t>（</w:t>
            </w:r>
            <w:r>
              <w:rPr>
                <w:rFonts w:hint="eastAsia" w:ascii="Times New Roman" w:hAnsi="Times New Roman" w:cs="Times New Roman"/>
                <w:color w:val="auto"/>
                <w:sz w:val="24"/>
                <w:szCs w:val="24"/>
                <w:lang w:val="en-US" w:eastAsia="zh-CN"/>
              </w:rPr>
              <w:t>2020年4月29日修订</w:t>
            </w:r>
            <w:r>
              <w:rPr>
                <w:rFonts w:hint="default" w:ascii="Times New Roman" w:hAnsi="Times New Roman" w:cs="Times New Roman"/>
                <w:color w:val="auto"/>
                <w:sz w:val="24"/>
                <w:szCs w:val="32"/>
              </w:rPr>
              <w:t>）；</w:t>
            </w:r>
          </w:p>
          <w:p>
            <w:pPr>
              <w:spacing w:line="360" w:lineRule="auto"/>
              <w:ind w:firstLine="480" w:firstLineChars="200"/>
              <w:rPr>
                <w:rFonts w:hint="default" w:ascii="Times New Roman" w:hAnsi="Times New Roman" w:cs="Times New Roman"/>
                <w:color w:val="auto"/>
                <w:sz w:val="24"/>
                <w:szCs w:val="32"/>
              </w:rPr>
            </w:pPr>
            <w:r>
              <w:rPr>
                <w:rFonts w:hint="default" w:ascii="Times New Roman" w:hAnsi="Times New Roman" w:cs="Times New Roman"/>
                <w:color w:val="auto"/>
                <w:sz w:val="24"/>
                <w:szCs w:val="32"/>
              </w:rPr>
              <w:t>4、《中华人民共和国噪声污染防治法》（2021年12月24日第十三届全国人民代表大会常务委员会第三十二次会议通过，自2022年6月5日起施行）；</w:t>
            </w:r>
          </w:p>
          <w:p>
            <w:pPr>
              <w:spacing w:line="360" w:lineRule="auto"/>
              <w:ind w:firstLine="480"/>
              <w:rPr>
                <w:rFonts w:hint="default" w:ascii="Times New Roman" w:hAnsi="Times New Roman" w:cs="Times New Roman"/>
                <w:color w:val="auto"/>
                <w:sz w:val="24"/>
                <w:szCs w:val="32"/>
              </w:rPr>
            </w:pPr>
            <w:r>
              <w:rPr>
                <w:rFonts w:hint="default" w:ascii="Times New Roman" w:hAnsi="Times New Roman" w:cs="Times New Roman"/>
                <w:color w:val="auto"/>
                <w:sz w:val="24"/>
                <w:szCs w:val="32"/>
              </w:rPr>
              <w:t>5、《建设项目环境保护管理条例》（国务院令第682号，2017年6月21日国务院第177次常务会议通过，自2017年10月1日起施行。）；</w:t>
            </w:r>
          </w:p>
          <w:p>
            <w:pPr>
              <w:spacing w:line="360" w:lineRule="auto"/>
              <w:ind w:firstLine="480"/>
              <w:rPr>
                <w:rFonts w:hint="default" w:ascii="Times New Roman" w:hAnsi="Times New Roman" w:cs="Times New Roman"/>
                <w:color w:val="auto"/>
                <w:sz w:val="24"/>
                <w:szCs w:val="32"/>
              </w:rPr>
            </w:pPr>
            <w:r>
              <w:rPr>
                <w:rFonts w:hint="default" w:ascii="Times New Roman" w:hAnsi="Times New Roman" w:cs="Times New Roman"/>
                <w:color w:val="auto"/>
                <w:sz w:val="24"/>
                <w:szCs w:val="32"/>
              </w:rPr>
              <w:t>6、《建设项目竣工环境保护验收暂行办法》（国家环境保护部国环规环评[2017]4号，2017年11月20日。）；</w:t>
            </w:r>
          </w:p>
          <w:p>
            <w:pPr>
              <w:spacing w:line="360" w:lineRule="auto"/>
              <w:ind w:firstLine="480"/>
              <w:rPr>
                <w:rFonts w:hint="default" w:ascii="Times New Roman" w:hAnsi="Times New Roman" w:eastAsia="宋体" w:cs="Times New Roman"/>
                <w:color w:val="auto"/>
                <w:sz w:val="24"/>
              </w:rPr>
            </w:pPr>
            <w:r>
              <w:rPr>
                <w:rFonts w:hint="default" w:ascii="Times New Roman" w:hAnsi="Times New Roman" w:eastAsia="宋体" w:cs="Times New Roman"/>
                <w:color w:val="auto"/>
                <w:sz w:val="24"/>
              </w:rPr>
              <w:t>7、</w:t>
            </w:r>
            <w:r>
              <w:rPr>
                <w:rFonts w:hint="eastAsia" w:ascii="Times New Roman" w:hAnsi="Times New Roman" w:eastAsia="宋体" w:cs="Times New Roman"/>
                <w:color w:val="auto"/>
                <w:sz w:val="24"/>
                <w:lang w:eastAsia="zh-CN"/>
              </w:rPr>
              <w:t>《一般工业固体废物贮存和填埋污染控制标准》（GB 18599-2020）</w:t>
            </w:r>
            <w:r>
              <w:rPr>
                <w:rFonts w:hint="default" w:ascii="Times New Roman" w:hAnsi="Times New Roman" w:eastAsia="宋体" w:cs="Times New Roman"/>
                <w:color w:val="auto"/>
                <w:sz w:val="24"/>
              </w:rPr>
              <w:t>；</w:t>
            </w:r>
          </w:p>
          <w:p>
            <w:pPr>
              <w:spacing w:line="360" w:lineRule="auto"/>
              <w:ind w:firstLine="480"/>
              <w:rPr>
                <w:rFonts w:hint="default" w:ascii="Times New Roman" w:hAnsi="Times New Roman" w:cs="Times New Roman"/>
                <w:color w:val="auto"/>
                <w:sz w:val="24"/>
              </w:rPr>
            </w:pPr>
            <w:r>
              <w:rPr>
                <w:rFonts w:hint="default" w:ascii="Times New Roman" w:hAnsi="Times New Roman" w:cs="Times New Roman"/>
                <w:color w:val="auto"/>
                <w:sz w:val="24"/>
              </w:rPr>
              <w:t>8、《建设项目竣工环境保护验收技术指南 污染影响类》（生态环境部公告，2018 年5月16日。）；</w:t>
            </w:r>
          </w:p>
          <w:p>
            <w:pPr>
              <w:spacing w:line="360" w:lineRule="auto"/>
              <w:ind w:firstLine="480"/>
              <w:rPr>
                <w:rFonts w:hint="default" w:ascii="Times New Roman" w:hAnsi="Times New Roman" w:cs="Times New Roman"/>
                <w:color w:val="auto"/>
                <w:sz w:val="24"/>
              </w:rPr>
            </w:pPr>
            <w:r>
              <w:rPr>
                <w:rFonts w:hint="default" w:ascii="Times New Roman" w:hAnsi="Times New Roman" w:cs="Times New Roman"/>
                <w:color w:val="auto"/>
                <w:sz w:val="24"/>
              </w:rPr>
              <w:t>9、《国务院关于印发打赢蓝天保卫战三年行动计划的通知》（国发[2018]22号，2018年6月27日。）；</w:t>
            </w:r>
          </w:p>
          <w:p>
            <w:pPr>
              <w:spacing w:line="360" w:lineRule="auto"/>
              <w:ind w:firstLine="480"/>
              <w:rPr>
                <w:rFonts w:hint="default" w:ascii="Times New Roman" w:hAnsi="Times New Roman" w:cs="Times New Roman"/>
                <w:color w:val="auto"/>
                <w:sz w:val="24"/>
              </w:rPr>
            </w:pPr>
            <w:r>
              <w:rPr>
                <w:rFonts w:hint="default" w:ascii="Times New Roman" w:hAnsi="Times New Roman" w:cs="Times New Roman"/>
                <w:color w:val="auto"/>
                <w:sz w:val="24"/>
              </w:rPr>
              <w:t>10、《国务院关于印发水污染防治行动计划的通知》（国发[2015]17号，2015年4月2日。）；</w:t>
            </w:r>
          </w:p>
          <w:p>
            <w:pPr>
              <w:spacing w:line="360" w:lineRule="auto"/>
              <w:ind w:firstLine="480"/>
              <w:rPr>
                <w:rFonts w:hint="default" w:ascii="Times New Roman" w:hAnsi="Times New Roman" w:cs="Times New Roman"/>
                <w:color w:val="auto"/>
                <w:sz w:val="24"/>
              </w:rPr>
            </w:pPr>
            <w:r>
              <w:rPr>
                <w:rFonts w:hint="default" w:ascii="Times New Roman" w:hAnsi="Times New Roman" w:cs="Times New Roman"/>
                <w:color w:val="auto"/>
                <w:sz w:val="24"/>
              </w:rPr>
              <w:t>11、《中华人民共和国大气污染防治法》（自2018年10月26日起施行）；</w:t>
            </w:r>
          </w:p>
          <w:p>
            <w:pPr>
              <w:spacing w:line="360" w:lineRule="auto"/>
              <w:ind w:firstLine="480"/>
              <w:rPr>
                <w:rFonts w:hint="default" w:ascii="Times New Roman" w:hAnsi="Times New Roman" w:cs="Times New Roman"/>
                <w:color w:val="auto"/>
                <w:sz w:val="24"/>
              </w:rPr>
            </w:pPr>
            <w:r>
              <w:rPr>
                <w:rFonts w:hint="default" w:ascii="Times New Roman" w:hAnsi="Times New Roman" w:cs="Times New Roman"/>
                <w:color w:val="auto"/>
                <w:sz w:val="24"/>
              </w:rPr>
              <w:t>12、</w:t>
            </w:r>
            <w:r>
              <w:rPr>
                <w:rFonts w:hint="eastAsia" w:ascii="Times New Roman" w:hAnsi="Times New Roman" w:cs="Times New Roman"/>
                <w:color w:val="auto"/>
                <w:sz w:val="24"/>
                <w:lang w:val="en-US" w:eastAsia="zh-CN"/>
              </w:rPr>
              <w:t>江西伟航新材料有限公司水泥构件及电力设施器材制造项目环境影响报告表2023年10月</w:t>
            </w:r>
            <w:r>
              <w:rPr>
                <w:rFonts w:hint="default" w:ascii="Times New Roman" w:hAnsi="Times New Roman" w:cs="Times New Roman"/>
                <w:color w:val="auto"/>
                <w:sz w:val="24"/>
              </w:rPr>
              <w:t>；</w:t>
            </w:r>
          </w:p>
          <w:p>
            <w:pPr>
              <w:spacing w:line="360" w:lineRule="auto"/>
              <w:ind w:firstLine="480"/>
              <w:rPr>
                <w:rFonts w:hint="default" w:ascii="Times New Roman" w:hAnsi="Times New Roman" w:cs="Times New Roman"/>
                <w:color w:val="auto"/>
                <w:sz w:val="24"/>
              </w:rPr>
            </w:pPr>
            <w:r>
              <w:rPr>
                <w:rFonts w:hint="default" w:ascii="Times New Roman" w:hAnsi="Times New Roman" w:cs="Times New Roman"/>
                <w:color w:val="auto"/>
                <w:sz w:val="24"/>
              </w:rPr>
              <w:t>1</w:t>
            </w:r>
            <w:r>
              <w:rPr>
                <w:rFonts w:hint="eastAsia" w:ascii="Times New Roman" w:hAnsi="Times New Roman" w:cs="Times New Roman"/>
                <w:color w:val="auto"/>
                <w:sz w:val="24"/>
                <w:lang w:val="en-US" w:eastAsia="zh-CN"/>
              </w:rPr>
              <w:t>3</w:t>
            </w:r>
            <w:r>
              <w:rPr>
                <w:rFonts w:hint="default" w:ascii="Times New Roman" w:hAnsi="Times New Roman" w:cs="Times New Roman"/>
                <w:color w:val="auto"/>
                <w:sz w:val="24"/>
              </w:rPr>
              <w:t>、</w:t>
            </w:r>
            <w:r>
              <w:rPr>
                <w:rFonts w:hint="default" w:ascii="Times New Roman" w:hAnsi="Times New Roman" w:cs="Times New Roman"/>
                <w:color w:val="auto"/>
                <w:sz w:val="24"/>
                <w:lang w:val="en-US" w:eastAsia="zh-CN"/>
              </w:rPr>
              <w:t>关于</w:t>
            </w:r>
            <w:r>
              <w:rPr>
                <w:rFonts w:hint="eastAsia" w:ascii="Times New Roman" w:hAnsi="Times New Roman" w:cs="Times New Roman"/>
                <w:color w:val="auto"/>
                <w:sz w:val="24"/>
                <w:lang w:val="en-US" w:eastAsia="zh-CN"/>
              </w:rPr>
              <w:t>江西伟航新材料有限公司水泥构件及电力设施器材制造项目环境影响报告表的批复</w:t>
            </w:r>
            <w:r>
              <w:rPr>
                <w:rFonts w:hint="default" w:ascii="Times New Roman" w:hAnsi="Times New Roman" w:cs="Times New Roman"/>
                <w:color w:val="auto"/>
                <w:sz w:val="24"/>
                <w:lang w:val="en-US" w:eastAsia="zh-CN"/>
              </w:rPr>
              <w:t>（</w:t>
            </w:r>
            <w:r>
              <w:rPr>
                <w:rFonts w:hint="eastAsia" w:ascii="Times New Roman" w:hAnsi="Times New Roman" w:cs="Times New Roman"/>
                <w:color w:val="auto"/>
                <w:sz w:val="24"/>
                <w:lang w:val="en-US" w:eastAsia="zh-CN"/>
              </w:rPr>
              <w:t>袁环评字[2024]9号</w:t>
            </w:r>
            <w:r>
              <w:rPr>
                <w:rFonts w:hint="default" w:ascii="Times New Roman" w:hAnsi="Times New Roman" w:cs="Times New Roman"/>
                <w:color w:val="auto"/>
                <w:sz w:val="24"/>
                <w:lang w:val="en-US" w:eastAsia="zh-CN"/>
              </w:rPr>
              <w:t>）</w:t>
            </w:r>
            <w:r>
              <w:rPr>
                <w:rFonts w:hint="eastAsia" w:ascii="Times New Roman" w:hAnsi="Times New Roman" w:cs="Times New Roman"/>
                <w:color w:val="auto"/>
                <w:sz w:val="24"/>
                <w:lang w:val="en-US" w:eastAsia="zh-CN"/>
              </w:rPr>
              <w:t>。</w:t>
            </w:r>
          </w:p>
          <w:p>
            <w:pPr>
              <w:pStyle w:val="26"/>
              <w:ind w:firstLine="480" w:firstLineChars="200"/>
              <w:jc w:val="both"/>
              <w:rPr>
                <w:rFonts w:hint="default" w:ascii="Times New Roman" w:hAnsi="Times New Roman" w:cs="Times New Roman"/>
                <w:color w:val="auto"/>
                <w:kern w:val="2"/>
              </w:rPr>
            </w:pPr>
          </w:p>
          <w:p>
            <w:pPr>
              <w:pStyle w:val="26"/>
              <w:ind w:firstLine="480" w:firstLineChars="200"/>
              <w:jc w:val="both"/>
              <w:rPr>
                <w:rFonts w:hint="default" w:ascii="Times New Roman" w:hAnsi="Times New Roman" w:cs="Times New Roman"/>
                <w:color w:val="auto"/>
                <w:kern w:val="2"/>
              </w:rPr>
            </w:pPr>
          </w:p>
          <w:p>
            <w:pPr>
              <w:pStyle w:val="26"/>
              <w:ind w:firstLine="480" w:firstLineChars="200"/>
              <w:jc w:val="both"/>
              <w:rPr>
                <w:rFonts w:hint="default" w:ascii="Times New Roman" w:hAnsi="Times New Roman" w:cs="Times New Roman"/>
                <w:color w:val="auto"/>
                <w:kern w:val="2"/>
              </w:rPr>
            </w:pPr>
          </w:p>
          <w:p>
            <w:pPr>
              <w:pStyle w:val="26"/>
              <w:ind w:firstLine="480" w:firstLineChars="200"/>
              <w:jc w:val="both"/>
              <w:rPr>
                <w:rFonts w:hint="default" w:ascii="Times New Roman" w:hAnsi="Times New Roman" w:cs="Times New Roman"/>
                <w:color w:val="auto"/>
                <w:kern w:val="2"/>
              </w:rPr>
            </w:pPr>
          </w:p>
          <w:p>
            <w:pPr>
              <w:pStyle w:val="26"/>
              <w:ind w:firstLine="480" w:firstLineChars="200"/>
              <w:jc w:val="both"/>
              <w:rPr>
                <w:rFonts w:hint="default" w:ascii="Times New Roman" w:hAnsi="Times New Roman" w:cs="Times New Roman"/>
                <w:color w:val="auto"/>
                <w:kern w:val="2"/>
              </w:rPr>
            </w:pPr>
          </w:p>
          <w:p>
            <w:pPr>
              <w:pStyle w:val="26"/>
              <w:ind w:firstLine="480" w:firstLineChars="200"/>
              <w:jc w:val="both"/>
              <w:rPr>
                <w:rFonts w:hint="default" w:ascii="Times New Roman" w:hAnsi="Times New Roman" w:cs="Times New Roman"/>
                <w:color w:val="auto"/>
                <w:kern w:val="2"/>
              </w:rPr>
            </w:pPr>
          </w:p>
          <w:p>
            <w:pPr>
              <w:pStyle w:val="26"/>
              <w:ind w:firstLine="480" w:firstLineChars="200"/>
              <w:jc w:val="both"/>
              <w:rPr>
                <w:rFonts w:hint="default" w:ascii="Times New Roman" w:hAnsi="Times New Roman" w:cs="Times New Roman"/>
                <w:color w:val="auto"/>
                <w:kern w:val="2"/>
              </w:rPr>
            </w:pPr>
          </w:p>
          <w:p>
            <w:pPr>
              <w:pStyle w:val="26"/>
              <w:ind w:firstLine="480" w:firstLineChars="200"/>
              <w:jc w:val="both"/>
              <w:rPr>
                <w:rFonts w:hint="default" w:ascii="Times New Roman" w:hAnsi="Times New Roman" w:cs="Times New Roman"/>
                <w:color w:val="auto"/>
                <w:kern w:val="2"/>
              </w:rPr>
            </w:pPr>
          </w:p>
          <w:p>
            <w:pPr>
              <w:pStyle w:val="26"/>
              <w:jc w:val="both"/>
              <w:rPr>
                <w:rFonts w:hint="default" w:ascii="Times New Roman" w:hAnsi="Times New Roman" w:cs="Times New Roman"/>
                <w:color w:val="auto"/>
                <w:kern w:val="2"/>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gridBefore w:val="1"/>
          <w:gridAfter w:val="1"/>
          <w:wBefore w:w="90" w:type="dxa"/>
          <w:wAfter w:w="20" w:type="dxa"/>
          <w:trHeight w:val="227" w:hRule="atLeast"/>
          <w:jc w:val="center"/>
        </w:trPr>
        <w:tc>
          <w:tcPr>
            <w:tcW w:w="1972" w:type="dxa"/>
            <w:gridSpan w:val="2"/>
            <w:noWrap w:val="0"/>
            <w:vAlign w:val="center"/>
          </w:tcPr>
          <w:p>
            <w:pPr>
              <w:jc w:val="center"/>
              <w:rPr>
                <w:rFonts w:hint="default" w:ascii="Times New Roman" w:hAnsi="Times New Roman" w:cs="Times New Roman"/>
                <w:b/>
                <w:bCs/>
                <w:color w:val="000000"/>
                <w:szCs w:val="21"/>
              </w:rPr>
            </w:pPr>
            <w:r>
              <w:rPr>
                <w:rFonts w:hint="default" w:ascii="Times New Roman" w:hAnsi="Times New Roman" w:cs="Times New Roman"/>
                <w:b/>
                <w:bCs/>
                <w:kern w:val="0"/>
                <w:sz w:val="28"/>
                <w:szCs w:val="28"/>
              </w:rPr>
              <w:t>验收监测依据</w:t>
            </w:r>
          </w:p>
        </w:tc>
        <w:tc>
          <w:tcPr>
            <w:tcW w:w="7557" w:type="dxa"/>
            <w:gridSpan w:val="7"/>
            <w:vMerge w:val="continue"/>
            <w:noWrap w:val="0"/>
            <w:vAlign w:val="center"/>
          </w:tcPr>
          <w:p>
            <w:pPr>
              <w:pStyle w:val="26"/>
              <w:jc w:val="both"/>
              <w:rPr>
                <w:rFonts w:hint="default" w:ascii="Times New Roman" w:hAnsi="Times New Roman" w:cs="Times New Roman"/>
                <w:color w:val="auto"/>
                <w:kern w:val="2"/>
              </w:rPr>
            </w:pPr>
          </w:p>
        </w:tc>
      </w:tr>
      <w:tr>
        <w:tblPrEx>
          <w:tblBorders>
            <w:top w:val="single" w:color="auto" w:sz="12" w:space="0"/>
            <w:left w:val="single" w:color="auto" w:sz="12" w:space="0"/>
            <w:bottom w:val="single" w:color="auto" w:sz="12" w:space="0"/>
            <w:right w:val="single" w:color="auto" w:sz="12" w:space="0"/>
            <w:insideH w:val="single" w:color="auto" w:sz="12" w:space="0"/>
            <w:insideV w:val="none" w:color="auto" w:sz="0" w:space="0"/>
          </w:tblBorders>
          <w:tblCellMar>
            <w:top w:w="0" w:type="dxa"/>
            <w:left w:w="108" w:type="dxa"/>
            <w:bottom w:w="0" w:type="dxa"/>
            <w:right w:w="108" w:type="dxa"/>
          </w:tblCellMar>
        </w:tblPrEx>
        <w:trPr>
          <w:trHeight w:val="6942" w:hRule="atLeast"/>
          <w:jc w:val="center"/>
        </w:trPr>
        <w:tc>
          <w:tcPr>
            <w:tcW w:w="934" w:type="dxa"/>
            <w:gridSpan w:val="2"/>
            <w:tcBorders>
              <w:right w:val="single" w:color="auto" w:sz="4" w:space="0"/>
            </w:tcBorders>
            <w:noWrap w:val="0"/>
            <w:vAlign w:val="center"/>
          </w:tcPr>
          <w:p>
            <w:pPr>
              <w:pStyle w:val="26"/>
              <w:jc w:val="center"/>
              <w:rPr>
                <w:rFonts w:hint="default" w:ascii="Times New Roman" w:hAnsi="Times New Roman" w:cs="Times New Roman"/>
                <w:b/>
                <w:bCs/>
                <w:sz w:val="28"/>
                <w:szCs w:val="28"/>
              </w:rPr>
            </w:pPr>
          </w:p>
          <w:p>
            <w:pPr>
              <w:pStyle w:val="26"/>
              <w:jc w:val="center"/>
              <w:rPr>
                <w:rFonts w:hint="default" w:ascii="Times New Roman" w:hAnsi="Times New Roman" w:cs="Times New Roman"/>
                <w:b/>
                <w:bCs/>
                <w:sz w:val="28"/>
                <w:szCs w:val="28"/>
              </w:rPr>
            </w:pPr>
          </w:p>
          <w:p>
            <w:pPr>
              <w:pStyle w:val="26"/>
              <w:jc w:val="both"/>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验收监测评价标准、标号、级别、限值</w:t>
            </w:r>
          </w:p>
          <w:p>
            <w:pPr>
              <w:pStyle w:val="26"/>
              <w:jc w:val="center"/>
              <w:rPr>
                <w:rFonts w:hint="default" w:ascii="Times New Roman" w:hAnsi="Times New Roman" w:cs="Times New Roman"/>
                <w:b/>
                <w:bCs/>
                <w:sz w:val="28"/>
                <w:szCs w:val="28"/>
              </w:rPr>
            </w:pPr>
          </w:p>
          <w:p>
            <w:pPr>
              <w:pStyle w:val="26"/>
              <w:rPr>
                <w:rFonts w:hint="default" w:ascii="Times New Roman" w:hAnsi="Times New Roman" w:cs="Times New Roman"/>
                <w:sz w:val="28"/>
                <w:szCs w:val="28"/>
              </w:rPr>
            </w:pPr>
          </w:p>
        </w:tc>
        <w:tc>
          <w:tcPr>
            <w:tcW w:w="8705" w:type="dxa"/>
            <w:gridSpan w:val="9"/>
            <w:tcBorders>
              <w:left w:val="single" w:color="auto" w:sz="4" w:space="0"/>
            </w:tcBorders>
            <w:noWrap w:val="0"/>
            <w:vAlign w:val="top"/>
          </w:tcPr>
          <w:p>
            <w:pPr>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（1）污水排放标准</w:t>
            </w:r>
          </w:p>
          <w:p>
            <w:pPr>
              <w:numPr>
                <w:ilvl w:val="0"/>
                <w:numId w:val="0"/>
              </w:numPr>
              <w:snapToGrid w:val="0"/>
              <w:spacing w:line="360" w:lineRule="auto"/>
              <w:ind w:firstLine="480" w:firstLineChars="0"/>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w:t>
            </w:r>
            <w:r>
              <w:rPr>
                <w:rFonts w:hint="default" w:ascii="Times New Roman" w:hAnsi="Times New Roman" w:eastAsia="宋体" w:cs="Times New Roman"/>
                <w:color w:val="auto"/>
                <w:sz w:val="24"/>
                <w:szCs w:val="24"/>
                <w:highlight w:val="none"/>
                <w:lang w:bidi="ar"/>
              </w:rPr>
              <w:t>生产</w:t>
            </w:r>
            <w:r>
              <w:rPr>
                <w:rFonts w:hint="default" w:ascii="Times New Roman" w:hAnsi="Times New Roman" w:eastAsia="宋体" w:cs="Times New Roman"/>
                <w:color w:val="auto"/>
                <w:sz w:val="24"/>
                <w:szCs w:val="24"/>
                <w:highlight w:val="none"/>
              </w:rPr>
              <w:t>废水</w:t>
            </w:r>
            <w:r>
              <w:rPr>
                <w:rFonts w:hint="default" w:ascii="Times New Roman" w:hAnsi="Times New Roman" w:eastAsia="宋体" w:cs="Times New Roman"/>
                <w:b w:val="0"/>
                <w:bCs/>
                <w:color w:val="auto"/>
                <w:spacing w:val="6"/>
                <w:sz w:val="24"/>
                <w:szCs w:val="24"/>
                <w:highlight w:val="none"/>
                <w:lang w:val="en-US" w:eastAsia="zh-CN"/>
              </w:rPr>
              <w:t>回用于生产过程，该废水不外排</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污水</w:t>
            </w:r>
            <w:r>
              <w:rPr>
                <w:rFonts w:hint="default" w:ascii="Times New Roman" w:hAnsi="Times New Roman" w:eastAsia="宋体" w:cs="Times New Roman"/>
                <w:color w:val="auto"/>
                <w:sz w:val="24"/>
                <w:szCs w:val="24"/>
                <w:highlight w:val="none"/>
              </w:rPr>
              <w:t>经厂区污水处理站处理后达到</w:t>
            </w:r>
            <w:r>
              <w:rPr>
                <w:rFonts w:hint="default" w:ascii="Times New Roman" w:hAnsi="Times New Roman" w:eastAsia="宋体" w:cs="Times New Roman"/>
                <w:color w:val="auto"/>
                <w:sz w:val="24"/>
                <w:szCs w:val="24"/>
                <w:highlight w:val="none"/>
                <w:lang w:val="en-US" w:eastAsia="zh-CN"/>
              </w:rPr>
              <w:t>污水处理厂</w:t>
            </w:r>
            <w:r>
              <w:rPr>
                <w:rFonts w:hint="default" w:ascii="Times New Roman" w:hAnsi="Times New Roman" w:eastAsia="宋体" w:cs="Times New Roman"/>
                <w:color w:val="auto"/>
                <w:sz w:val="24"/>
                <w:szCs w:val="24"/>
                <w:highlight w:val="none"/>
              </w:rPr>
              <w:t>接管标准（</w:t>
            </w:r>
            <w:r>
              <w:rPr>
                <w:rFonts w:hint="default" w:ascii="Times New Roman" w:hAnsi="Times New Roman" w:eastAsia="宋体" w:cs="Times New Roman"/>
                <w:bCs/>
                <w:color w:val="auto"/>
                <w:sz w:val="24"/>
                <w:szCs w:val="24"/>
                <w:highlight w:val="none"/>
              </w:rPr>
              <w:t>《污水综合排放标准》（GB8978-1996）中的三级标准）</w:t>
            </w:r>
            <w:r>
              <w:rPr>
                <w:rFonts w:hint="default" w:ascii="Times New Roman" w:hAnsi="Times New Roman" w:eastAsia="宋体" w:cs="Times New Roman"/>
                <w:color w:val="auto"/>
                <w:sz w:val="24"/>
                <w:szCs w:val="24"/>
                <w:highlight w:val="none"/>
              </w:rPr>
              <w:t>，经园区排污管网入袁州区彬江机电产业园污水处理厂，经污水处理厂深度处理达《城镇污水处理厂污染物排放标准》（GB18918-2002）一级A标准后汇入袁河。</w:t>
            </w:r>
          </w:p>
          <w:p>
            <w:pPr>
              <w:numPr>
                <w:ilvl w:val="0"/>
                <w:numId w:val="0"/>
              </w:numPr>
              <w:snapToGrid w:val="0"/>
              <w:spacing w:line="240" w:lineRule="auto"/>
              <w:jc w:val="center"/>
              <w:textAlignment w:val="baseline"/>
              <w:rPr>
                <w:rFonts w:hint="default" w:ascii="Times New Roman" w:hAnsi="Times New Roman" w:cs="Times New Roman"/>
                <w:color w:val="auto"/>
                <w:sz w:val="24"/>
                <w:szCs w:val="24"/>
                <w:highlight w:val="none"/>
                <w:lang w:val="en-US" w:eastAsia="zh-CN"/>
              </w:rPr>
            </w:pPr>
            <w:r>
              <w:rPr>
                <w:rFonts w:hint="eastAsia" w:ascii="Times New Roman" w:hAnsi="Times New Roman" w:eastAsia="宋体" w:cs="Times New Roman"/>
                <w:b/>
                <w:bCs/>
                <w:color w:val="auto"/>
                <w:highlight w:val="none"/>
                <w:lang w:val="en-US" w:eastAsia="zh-CN"/>
              </w:rPr>
              <w:t>表1-1</w:t>
            </w:r>
            <w:r>
              <w:rPr>
                <w:rFonts w:hint="default" w:ascii="Times New Roman" w:hAnsi="Times New Roman" w:eastAsia="宋体" w:cs="Times New Roman"/>
                <w:b/>
                <w:bCs/>
                <w:color w:val="auto"/>
                <w:highlight w:val="none"/>
                <w:lang w:val="en-US" w:eastAsia="zh-CN"/>
              </w:rPr>
              <w:t xml:space="preserve">  污水排放标准  单位：mg/L</w:t>
            </w:r>
          </w:p>
          <w:tbl>
            <w:tblPr>
              <w:tblStyle w:val="40"/>
              <w:tblW w:w="4868" w:type="pct"/>
              <w:jc w:val="center"/>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Layout w:type="autofit"/>
              <w:tblCellMar>
                <w:top w:w="0" w:type="dxa"/>
                <w:left w:w="0" w:type="dxa"/>
                <w:bottom w:w="0" w:type="dxa"/>
                <w:right w:w="0" w:type="dxa"/>
              </w:tblCellMar>
            </w:tblPr>
            <w:tblGrid>
              <w:gridCol w:w="1631"/>
              <w:gridCol w:w="717"/>
              <w:gridCol w:w="734"/>
              <w:gridCol w:w="737"/>
              <w:gridCol w:w="575"/>
              <w:gridCol w:w="897"/>
              <w:gridCol w:w="737"/>
              <w:gridCol w:w="737"/>
              <w:gridCol w:w="737"/>
              <w:gridCol w:w="753"/>
            </w:tblGrid>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PrEx>
              <w:trPr>
                <w:trHeight w:val="327" w:hRule="atLeast"/>
                <w:jc w:val="center"/>
              </w:trPr>
              <w:tc>
                <w:tcPr>
                  <w:tcW w:w="988"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color w:val="auto"/>
                      <w:spacing w:val="5"/>
                      <w:sz w:val="21"/>
                      <w:szCs w:val="21"/>
                      <w:highlight w:val="none"/>
                    </w:rPr>
                    <w:t>标 准</w:t>
                  </w:r>
                </w:p>
              </w:tc>
              <w:tc>
                <w:tcPr>
                  <w:tcW w:w="435" w:type="pct"/>
                  <w:tcBorders>
                    <w:tl2br w:val="nil"/>
                    <w:tr2bl w:val="nil"/>
                  </w:tcBorders>
                  <w:noWrap w:val="0"/>
                  <w:vAlign w:val="center"/>
                </w:tcPr>
                <w:p>
                  <w:pPr>
                    <w:adjustRightInd w:val="0"/>
                    <w:snapToGrid w:val="0"/>
                    <w:spacing w:before="0" w:line="240" w:lineRule="auto"/>
                    <w:ind w:lef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5"/>
                      <w:sz w:val="21"/>
                      <w:szCs w:val="21"/>
                      <w:highlight w:val="none"/>
                    </w:rPr>
                    <w:t>级</w:t>
                  </w:r>
                  <w:r>
                    <w:rPr>
                      <w:rFonts w:hint="default" w:ascii="Times New Roman" w:hAnsi="Times New Roman" w:eastAsia="宋体" w:cs="Times New Roman"/>
                      <w:color w:val="auto"/>
                      <w:spacing w:val="4"/>
                      <w:sz w:val="21"/>
                      <w:szCs w:val="21"/>
                      <w:highlight w:val="none"/>
                    </w:rPr>
                    <w:t xml:space="preserve"> 别</w:t>
                  </w:r>
                </w:p>
              </w:tc>
              <w:tc>
                <w:tcPr>
                  <w:tcW w:w="3576" w:type="pct"/>
                  <w:gridSpan w:val="8"/>
                  <w:tcBorders>
                    <w:tl2br w:val="nil"/>
                    <w:tr2bl w:val="nil"/>
                  </w:tcBorders>
                  <w:noWrap w:val="0"/>
                  <w:vAlign w:val="center"/>
                </w:tcPr>
                <w:p>
                  <w:pPr>
                    <w:adjustRightInd w:val="0"/>
                    <w:snapToGrid w:val="0"/>
                    <w:spacing w:before="0" w:line="240" w:lineRule="auto"/>
                    <w:ind w:lef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rPr>
                    <w:t>评价标准</w:t>
                  </w:r>
                  <w:r>
                    <w:rPr>
                      <w:rFonts w:hint="default" w:ascii="Times New Roman" w:hAnsi="Times New Roman" w:eastAsia="宋体" w:cs="Times New Roman"/>
                      <w:color w:val="auto"/>
                      <w:spacing w:val="8"/>
                      <w:sz w:val="21"/>
                      <w:szCs w:val="21"/>
                      <w:highlight w:val="none"/>
                    </w:rPr>
                    <w:t>值</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988" w:type="pct"/>
                  <w:vMerge w:val="restart"/>
                  <w:tcBorders>
                    <w:tl2br w:val="nil"/>
                    <w:tr2bl w:val="nil"/>
                  </w:tcBorders>
                  <w:noWrap w:val="0"/>
                  <w:vAlign w:val="center"/>
                </w:tcPr>
                <w:p>
                  <w:pPr>
                    <w:adjustRightInd w:val="0"/>
                    <w:snapToGrid w:val="0"/>
                    <w:spacing w:before="0" w:line="240" w:lineRule="auto"/>
                    <w:ind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w:t>
                  </w:r>
                  <w:r>
                    <w:rPr>
                      <w:rFonts w:hint="default" w:ascii="Times New Roman" w:hAnsi="Times New Roman" w:eastAsia="宋体" w:cs="Times New Roman"/>
                      <w:color w:val="auto"/>
                      <w:spacing w:val="1"/>
                      <w:sz w:val="21"/>
                      <w:szCs w:val="21"/>
                      <w:highlight w:val="none"/>
                    </w:rPr>
                    <w:t>污水综合排放标</w:t>
                  </w:r>
                  <w:r>
                    <w:rPr>
                      <w:rFonts w:hint="default" w:ascii="Times New Roman" w:hAnsi="Times New Roman" w:eastAsia="宋体" w:cs="Times New Roman"/>
                      <w:color w:val="auto"/>
                      <w:spacing w:val="-6"/>
                      <w:sz w:val="21"/>
                      <w:szCs w:val="21"/>
                      <w:highlight w:val="none"/>
                    </w:rPr>
                    <w:t>准》(G</w:t>
                  </w:r>
                  <w:r>
                    <w:rPr>
                      <w:rFonts w:hint="default" w:ascii="Times New Roman" w:hAnsi="Times New Roman" w:eastAsia="宋体" w:cs="Times New Roman"/>
                      <w:color w:val="auto"/>
                      <w:spacing w:val="-5"/>
                      <w:sz w:val="21"/>
                      <w:szCs w:val="21"/>
                      <w:highlight w:val="none"/>
                    </w:rPr>
                    <w:t>B</w:t>
                  </w:r>
                  <w:r>
                    <w:rPr>
                      <w:rFonts w:hint="default" w:ascii="Times New Roman" w:hAnsi="Times New Roman" w:eastAsia="宋体" w:cs="Times New Roman"/>
                      <w:color w:val="auto"/>
                      <w:spacing w:val="-6"/>
                      <w:sz w:val="21"/>
                      <w:szCs w:val="21"/>
                      <w:highlight w:val="none"/>
                    </w:rPr>
                    <w:t>8978-1996)</w:t>
                  </w:r>
                  <w:r>
                    <w:rPr>
                      <w:rFonts w:hint="default" w:ascii="Times New Roman" w:hAnsi="Times New Roman" w:eastAsia="宋体" w:cs="Times New Roman"/>
                      <w:color w:val="auto"/>
                      <w:spacing w:val="-21"/>
                      <w:sz w:val="21"/>
                      <w:szCs w:val="21"/>
                      <w:highlight w:val="none"/>
                    </w:rPr>
                    <w:t>表</w:t>
                  </w:r>
                  <w:r>
                    <w:rPr>
                      <w:rFonts w:hint="default" w:ascii="Times New Roman" w:hAnsi="Times New Roman" w:eastAsia="宋体" w:cs="Times New Roman"/>
                      <w:color w:val="auto"/>
                      <w:spacing w:val="-18"/>
                      <w:sz w:val="21"/>
                      <w:szCs w:val="21"/>
                      <w:highlight w:val="none"/>
                    </w:rPr>
                    <w:t xml:space="preserve"> 4</w:t>
                  </w:r>
                </w:p>
              </w:tc>
              <w:tc>
                <w:tcPr>
                  <w:tcW w:w="435" w:type="pct"/>
                  <w:vMerge w:val="restart"/>
                  <w:tcBorders>
                    <w:tl2br w:val="nil"/>
                    <w:tr2bl w:val="nil"/>
                  </w:tcBorders>
                  <w:noWrap w:val="0"/>
                  <w:vAlign w:val="center"/>
                </w:tcPr>
                <w:p>
                  <w:pPr>
                    <w:adjustRightInd w:val="0"/>
                    <w:snapToGrid w:val="0"/>
                    <w:spacing w:before="0" w:line="240" w:lineRule="auto"/>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8"/>
                      <w:sz w:val="21"/>
                      <w:szCs w:val="21"/>
                      <w:highlight w:val="none"/>
                    </w:rPr>
                    <w:t>三</w:t>
                  </w:r>
                  <w:r>
                    <w:rPr>
                      <w:rFonts w:hint="default" w:ascii="Times New Roman" w:hAnsi="Times New Roman" w:eastAsia="宋体" w:cs="Times New Roman"/>
                      <w:color w:val="auto"/>
                      <w:sz w:val="21"/>
                      <w:szCs w:val="21"/>
                      <w:highlight w:val="none"/>
                    </w:rPr>
                    <w:t>级标准</w:t>
                  </w:r>
                </w:p>
              </w:tc>
              <w:tc>
                <w:tcPr>
                  <w:tcW w:w="445" w:type="pct"/>
                  <w:tcBorders>
                    <w:tl2br w:val="nil"/>
                    <w:tr2bl w:val="nil"/>
                  </w:tcBorders>
                  <w:noWrap w:val="0"/>
                  <w:vAlign w:val="center"/>
                </w:tcPr>
                <w:p>
                  <w:pPr>
                    <w:adjustRightInd w:val="0"/>
                    <w:snapToGrid w:val="0"/>
                    <w:spacing w:before="0"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1"/>
                      <w:sz w:val="21"/>
                      <w:szCs w:val="21"/>
                      <w:highlight w:val="none"/>
                    </w:rPr>
                    <w:t>COD</w:t>
                  </w:r>
                  <w:r>
                    <w:rPr>
                      <w:rFonts w:hint="default" w:ascii="Times New Roman" w:hAnsi="Times New Roman" w:eastAsia="Times New Roman" w:cs="Times New Roman"/>
                      <w:color w:val="auto"/>
                      <w:spacing w:val="1"/>
                      <w:position w:val="-1"/>
                      <w:sz w:val="21"/>
                      <w:szCs w:val="21"/>
                      <w:highlight w:val="none"/>
                    </w:rPr>
                    <w:t>Cr</w:t>
                  </w:r>
                </w:p>
              </w:tc>
              <w:tc>
                <w:tcPr>
                  <w:tcW w:w="446" w:type="pct"/>
                  <w:tcBorders>
                    <w:tl2br w:val="nil"/>
                    <w:tr2bl w:val="nil"/>
                  </w:tcBorders>
                  <w:noWrap w:val="0"/>
                  <w:vAlign w:val="center"/>
                </w:tcPr>
                <w:p>
                  <w:pPr>
                    <w:adjustRightInd w:val="0"/>
                    <w:snapToGrid w:val="0"/>
                    <w:spacing w:before="0"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BOD</w:t>
                  </w:r>
                  <w:r>
                    <w:rPr>
                      <w:rFonts w:hint="default" w:ascii="Times New Roman" w:hAnsi="Times New Roman" w:eastAsia="Times New Roman" w:cs="Times New Roman"/>
                      <w:color w:val="auto"/>
                      <w:spacing w:val="10"/>
                      <w:position w:val="-1"/>
                      <w:sz w:val="21"/>
                      <w:szCs w:val="21"/>
                      <w:highlight w:val="none"/>
                    </w:rPr>
                    <w:t>5</w:t>
                  </w:r>
                </w:p>
              </w:tc>
              <w:tc>
                <w:tcPr>
                  <w:tcW w:w="348"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4"/>
                      <w:sz w:val="21"/>
                      <w:szCs w:val="21"/>
                      <w:highlight w:val="none"/>
                    </w:rPr>
                    <w:t>S</w:t>
                  </w:r>
                  <w:r>
                    <w:rPr>
                      <w:rFonts w:hint="default" w:ascii="Times New Roman" w:hAnsi="Times New Roman" w:eastAsia="Times New Roman" w:cs="Times New Roman"/>
                      <w:color w:val="auto"/>
                      <w:spacing w:val="-3"/>
                      <w:sz w:val="21"/>
                      <w:szCs w:val="21"/>
                      <w:highlight w:val="none"/>
                    </w:rPr>
                    <w:t>S</w:t>
                  </w:r>
                </w:p>
              </w:tc>
              <w:tc>
                <w:tcPr>
                  <w:tcW w:w="543" w:type="pct"/>
                  <w:tcBorders>
                    <w:tl2br w:val="nil"/>
                    <w:tr2bl w:val="nil"/>
                  </w:tcBorders>
                  <w:noWrap w:val="0"/>
                  <w:vAlign w:val="center"/>
                </w:tcPr>
                <w:p>
                  <w:pPr>
                    <w:adjustRightInd w:val="0"/>
                    <w:snapToGrid w:val="0"/>
                    <w:spacing w:before="0" w:line="240" w:lineRule="auto"/>
                    <w:ind w:left="0"/>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NH</w:t>
                  </w:r>
                  <w:r>
                    <w:rPr>
                      <w:rFonts w:hint="default" w:ascii="Times New Roman" w:hAnsi="Times New Roman" w:eastAsia="Times New Roman" w:cs="Times New Roman"/>
                      <w:color w:val="auto"/>
                      <w:spacing w:val="8"/>
                      <w:position w:val="-1"/>
                      <w:sz w:val="21"/>
                      <w:szCs w:val="21"/>
                      <w:highlight w:val="none"/>
                    </w:rPr>
                    <w:t>3</w:t>
                  </w:r>
                  <w:r>
                    <w:rPr>
                      <w:rFonts w:hint="default" w:ascii="Times New Roman" w:hAnsi="Times New Roman" w:eastAsia="Times New Roman" w:cs="Times New Roman"/>
                      <w:color w:val="auto"/>
                      <w:spacing w:val="7"/>
                      <w:sz w:val="21"/>
                      <w:szCs w:val="21"/>
                      <w:highlight w:val="none"/>
                    </w:rPr>
                    <w:t>-</w:t>
                  </w:r>
                  <w:r>
                    <w:rPr>
                      <w:rFonts w:hint="default" w:ascii="Times New Roman" w:hAnsi="Times New Roman" w:eastAsia="Times New Roman" w:cs="Times New Roman"/>
                      <w:color w:val="auto"/>
                      <w:sz w:val="21"/>
                      <w:szCs w:val="21"/>
                      <w:highlight w:val="none"/>
                    </w:rPr>
                    <w:t>N</w:t>
                  </w:r>
                </w:p>
              </w:tc>
              <w:tc>
                <w:tcPr>
                  <w:tcW w:w="446"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
                      <w:sz w:val="21"/>
                      <w:szCs w:val="21"/>
                      <w:highlight w:val="none"/>
                    </w:rPr>
                    <w:t>石油类</w:t>
                  </w:r>
                </w:p>
              </w:tc>
              <w:tc>
                <w:tcPr>
                  <w:tcW w:w="446"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1"/>
                      <w:sz w:val="21"/>
                      <w:szCs w:val="21"/>
                      <w:highlight w:val="none"/>
                    </w:rPr>
                    <w:t>T</w:t>
                  </w:r>
                  <w:r>
                    <w:rPr>
                      <w:rFonts w:hint="default" w:ascii="Times New Roman" w:hAnsi="Times New Roman" w:eastAsia="Times New Roman" w:cs="Times New Roman"/>
                      <w:color w:val="auto"/>
                      <w:sz w:val="21"/>
                      <w:szCs w:val="21"/>
                      <w:highlight w:val="none"/>
                    </w:rPr>
                    <w:t>P</w:t>
                  </w:r>
                </w:p>
              </w:tc>
              <w:tc>
                <w:tcPr>
                  <w:tcW w:w="446"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3"/>
                      <w:sz w:val="21"/>
                      <w:szCs w:val="21"/>
                      <w:highlight w:val="none"/>
                    </w:rPr>
                    <w:t>L</w:t>
                  </w:r>
                  <w:r>
                    <w:rPr>
                      <w:rFonts w:hint="default" w:ascii="Times New Roman" w:hAnsi="Times New Roman" w:eastAsia="Times New Roman" w:cs="Times New Roman"/>
                      <w:color w:val="auto"/>
                      <w:spacing w:val="2"/>
                      <w:sz w:val="21"/>
                      <w:szCs w:val="21"/>
                      <w:highlight w:val="none"/>
                    </w:rPr>
                    <w:t>AS</w:t>
                  </w:r>
                </w:p>
              </w:tc>
              <w:tc>
                <w:tcPr>
                  <w:tcW w:w="454" w:type="pct"/>
                  <w:tcBorders>
                    <w:tl2br w:val="nil"/>
                    <w:tr2bl w:val="nil"/>
                  </w:tcBorders>
                  <w:noWrap w:val="0"/>
                  <w:vAlign w:val="center"/>
                </w:tcPr>
                <w:p>
                  <w:pPr>
                    <w:adjustRightInd w:val="0"/>
                    <w:snapToGrid w:val="0"/>
                    <w:spacing w:line="240" w:lineRule="auto"/>
                    <w:ind w:left="0"/>
                    <w:jc w:val="center"/>
                    <w:rPr>
                      <w:rFonts w:hint="default" w:ascii="Times New Roman" w:hAnsi="Times New Roman" w:eastAsia="宋体" w:cs="Times New Roman"/>
                      <w:color w:val="auto"/>
                      <w:spacing w:val="1"/>
                      <w:sz w:val="21"/>
                      <w:szCs w:val="21"/>
                      <w:highlight w:val="none"/>
                      <w:lang w:val="en-US" w:eastAsia="zh-CN"/>
                    </w:rPr>
                  </w:pPr>
                  <w:r>
                    <w:rPr>
                      <w:rFonts w:hint="default" w:ascii="Times New Roman" w:hAnsi="Times New Roman" w:eastAsia="宋体" w:cs="Times New Roman"/>
                      <w:color w:val="auto"/>
                      <w:spacing w:val="1"/>
                      <w:position w:val="7"/>
                      <w:sz w:val="21"/>
                      <w:szCs w:val="21"/>
                      <w:highlight w:val="none"/>
                    </w:rPr>
                    <w:t>动</w:t>
                  </w:r>
                  <w:r>
                    <w:rPr>
                      <w:rFonts w:hint="default" w:ascii="Times New Roman" w:hAnsi="Times New Roman" w:eastAsia="宋体" w:cs="Times New Roman"/>
                      <w:color w:val="auto"/>
                      <w:spacing w:val="1"/>
                      <w:sz w:val="21"/>
                      <w:szCs w:val="21"/>
                      <w:highlight w:val="none"/>
                    </w:rPr>
                    <w:t>植物油</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988" w:type="pct"/>
                  <w:vMerge w:val="continue"/>
                  <w:tcBorders>
                    <w:tl2br w:val="nil"/>
                    <w:tr2bl w:val="nil"/>
                  </w:tcBorders>
                  <w:noWrap w:val="0"/>
                  <w:vAlign w:val="center"/>
                </w:tcPr>
                <w:p>
                  <w:pPr>
                    <w:adjustRightInd w:val="0"/>
                    <w:snapToGrid w:val="0"/>
                    <w:jc w:val="center"/>
                    <w:rPr>
                      <w:rFonts w:hint="default" w:ascii="Times New Roman" w:hAnsi="Times New Roman" w:cs="Times New Roman"/>
                      <w:color w:val="auto"/>
                      <w:sz w:val="21"/>
                      <w:szCs w:val="21"/>
                      <w:highlight w:val="none"/>
                    </w:rPr>
                  </w:pPr>
                </w:p>
              </w:tc>
              <w:tc>
                <w:tcPr>
                  <w:tcW w:w="435" w:type="pct"/>
                  <w:vMerge w:val="continue"/>
                  <w:tcBorders>
                    <w:tl2br w:val="nil"/>
                    <w:tr2bl w:val="nil"/>
                  </w:tcBorders>
                  <w:noWrap w:val="0"/>
                  <w:vAlign w:val="center"/>
                </w:tcPr>
                <w:p>
                  <w:pPr>
                    <w:adjustRightInd w:val="0"/>
                    <w:snapToGrid w:val="0"/>
                    <w:jc w:val="center"/>
                    <w:rPr>
                      <w:rFonts w:hint="default" w:ascii="Times New Roman" w:hAnsi="Times New Roman" w:cs="Times New Roman"/>
                      <w:color w:val="auto"/>
                      <w:sz w:val="21"/>
                      <w:szCs w:val="21"/>
                      <w:highlight w:val="none"/>
                    </w:rPr>
                  </w:pPr>
                </w:p>
              </w:tc>
              <w:tc>
                <w:tcPr>
                  <w:tcW w:w="445"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1"/>
                      <w:sz w:val="21"/>
                      <w:szCs w:val="21"/>
                      <w:highlight w:val="none"/>
                    </w:rPr>
                    <w:t>50</w:t>
                  </w:r>
                  <w:r>
                    <w:rPr>
                      <w:rFonts w:hint="default" w:ascii="Times New Roman" w:hAnsi="Times New Roman" w:eastAsia="Times New Roman" w:cs="Times New Roman"/>
                      <w:color w:val="auto"/>
                      <w:sz w:val="21"/>
                      <w:szCs w:val="21"/>
                      <w:highlight w:val="none"/>
                    </w:rPr>
                    <w:t>0</w:t>
                  </w:r>
                </w:p>
              </w:tc>
              <w:tc>
                <w:tcPr>
                  <w:tcW w:w="446"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3</w:t>
                  </w:r>
                  <w:r>
                    <w:rPr>
                      <w:rFonts w:hint="default" w:ascii="Times New Roman" w:hAnsi="Times New Roman" w:eastAsia="宋体" w:cs="Times New Roman"/>
                      <w:color w:val="auto"/>
                      <w:spacing w:val="-1"/>
                      <w:sz w:val="21"/>
                      <w:szCs w:val="21"/>
                      <w:highlight w:val="none"/>
                    </w:rPr>
                    <w:t>00</w:t>
                  </w:r>
                </w:p>
              </w:tc>
              <w:tc>
                <w:tcPr>
                  <w:tcW w:w="348"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sz w:val="21"/>
                      <w:szCs w:val="21"/>
                      <w:highlight w:val="none"/>
                    </w:rPr>
                    <w:t>40</w:t>
                  </w:r>
                  <w:r>
                    <w:rPr>
                      <w:rFonts w:hint="default" w:ascii="Times New Roman" w:hAnsi="Times New Roman" w:eastAsia="Times New Roman" w:cs="Times New Roman"/>
                      <w:color w:val="auto"/>
                      <w:spacing w:val="1"/>
                      <w:sz w:val="21"/>
                      <w:szCs w:val="21"/>
                      <w:highlight w:val="none"/>
                    </w:rPr>
                    <w:t>0</w:t>
                  </w:r>
                </w:p>
              </w:tc>
              <w:tc>
                <w:tcPr>
                  <w:tcW w:w="543"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sz w:val="21"/>
                      <w:szCs w:val="21"/>
                      <w:highlight w:val="none"/>
                    </w:rPr>
                    <w:t>45</w:t>
                  </w:r>
                </w:p>
              </w:tc>
              <w:tc>
                <w:tcPr>
                  <w:tcW w:w="446"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sz w:val="21"/>
                      <w:szCs w:val="21"/>
                      <w:highlight w:val="none"/>
                    </w:rPr>
                    <w:t>2</w:t>
                  </w:r>
                  <w:r>
                    <w:rPr>
                      <w:rFonts w:hint="default" w:ascii="Times New Roman" w:hAnsi="Times New Roman" w:eastAsia="Times New Roman" w:cs="Times New Roman"/>
                      <w:color w:val="auto"/>
                      <w:spacing w:val="1"/>
                      <w:sz w:val="21"/>
                      <w:szCs w:val="21"/>
                      <w:highlight w:val="none"/>
                    </w:rPr>
                    <w:t>0</w:t>
                  </w:r>
                </w:p>
              </w:tc>
              <w:tc>
                <w:tcPr>
                  <w:tcW w:w="446"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pacing w:val="2"/>
                      <w:position w:val="1"/>
                      <w:sz w:val="21"/>
                      <w:szCs w:val="21"/>
                      <w:highlight w:val="none"/>
                      <w:lang w:val="en-US" w:eastAsia="zh-CN"/>
                    </w:rPr>
                    <w:t>4</w:t>
                  </w:r>
                </w:p>
              </w:tc>
              <w:tc>
                <w:tcPr>
                  <w:tcW w:w="446"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sz w:val="21"/>
                      <w:szCs w:val="21"/>
                      <w:highlight w:val="none"/>
                    </w:rPr>
                    <w:t>2</w:t>
                  </w:r>
                  <w:r>
                    <w:rPr>
                      <w:rFonts w:hint="default" w:ascii="Times New Roman" w:hAnsi="Times New Roman" w:eastAsia="Times New Roman" w:cs="Times New Roman"/>
                      <w:color w:val="auto"/>
                      <w:spacing w:val="1"/>
                      <w:sz w:val="21"/>
                      <w:szCs w:val="21"/>
                      <w:highlight w:val="none"/>
                    </w:rPr>
                    <w:t>0</w:t>
                  </w:r>
                </w:p>
              </w:tc>
              <w:tc>
                <w:tcPr>
                  <w:tcW w:w="454"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宋体" w:cs="Times New Roman"/>
                      <w:color w:val="auto"/>
                      <w:spacing w:val="2"/>
                      <w:position w:val="1"/>
                      <w:sz w:val="21"/>
                      <w:szCs w:val="21"/>
                      <w:highlight w:val="none"/>
                      <w:lang w:val="en-US" w:eastAsia="zh-CN"/>
                    </w:rPr>
                  </w:pPr>
                  <w:r>
                    <w:rPr>
                      <w:rFonts w:hint="default" w:ascii="Times New Roman" w:hAnsi="Times New Roman" w:eastAsia="Times New Roman" w:cs="Times New Roman"/>
                      <w:color w:val="auto"/>
                      <w:spacing w:val="2"/>
                      <w:position w:val="1"/>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000000" w:sz="2" w:space="0"/>
                  <w:insideV w:val="single" w:color="000000" w:sz="2" w:space="0"/>
                </w:tblBorders>
                <w:tblCellMar>
                  <w:top w:w="0" w:type="dxa"/>
                  <w:left w:w="0" w:type="dxa"/>
                  <w:bottom w:w="0" w:type="dxa"/>
                  <w:right w:w="0" w:type="dxa"/>
                </w:tblCellMar>
              </w:tblPrEx>
              <w:trPr>
                <w:trHeight w:val="950" w:hRule="atLeast"/>
                <w:jc w:val="center"/>
              </w:trPr>
              <w:tc>
                <w:tcPr>
                  <w:tcW w:w="988" w:type="pct"/>
                  <w:tcBorders>
                    <w:tl2br w:val="nil"/>
                    <w:tr2bl w:val="nil"/>
                  </w:tcBorders>
                  <w:noWrap w:val="0"/>
                  <w:vAlign w:val="center"/>
                </w:tcPr>
                <w:p>
                  <w:pPr>
                    <w:adjustRightInd w:val="0"/>
                    <w:snapToGrid w:val="0"/>
                    <w:spacing w:before="0" w:line="240" w:lineRule="auto"/>
                    <w:ind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1"/>
                      <w:sz w:val="21"/>
                      <w:szCs w:val="21"/>
                      <w:highlight w:val="none"/>
                    </w:rPr>
                    <w:t>《</w:t>
                  </w:r>
                  <w:r>
                    <w:rPr>
                      <w:rFonts w:hint="default" w:ascii="Times New Roman" w:hAnsi="Times New Roman" w:eastAsia="宋体" w:cs="Times New Roman"/>
                      <w:color w:val="auto"/>
                      <w:spacing w:val="8"/>
                      <w:sz w:val="21"/>
                      <w:szCs w:val="21"/>
                      <w:highlight w:val="none"/>
                    </w:rPr>
                    <w:t>城镇污水处理厂污</w:t>
                  </w:r>
                  <w:r>
                    <w:rPr>
                      <w:rFonts w:hint="default" w:ascii="Times New Roman" w:hAnsi="Times New Roman" w:eastAsia="宋体" w:cs="Times New Roman"/>
                      <w:color w:val="auto"/>
                      <w:spacing w:val="10"/>
                      <w:sz w:val="21"/>
                      <w:szCs w:val="21"/>
                      <w:highlight w:val="none"/>
                    </w:rPr>
                    <w:t>染</w:t>
                  </w:r>
                  <w:r>
                    <w:rPr>
                      <w:rFonts w:hint="default" w:ascii="Times New Roman" w:hAnsi="Times New Roman" w:eastAsia="宋体" w:cs="Times New Roman"/>
                      <w:color w:val="auto"/>
                      <w:spacing w:val="6"/>
                      <w:sz w:val="21"/>
                      <w:szCs w:val="21"/>
                      <w:highlight w:val="none"/>
                    </w:rPr>
                    <w:t>物排放标准》</w:t>
                  </w:r>
                </w:p>
                <w:p>
                  <w:pPr>
                    <w:adjustRightInd w:val="0"/>
                    <w:snapToGrid w:val="0"/>
                    <w:spacing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0"/>
                      <w:sz w:val="21"/>
                      <w:szCs w:val="21"/>
                      <w:highlight w:val="none"/>
                    </w:rPr>
                    <w:t>(</w:t>
                  </w:r>
                  <w:r>
                    <w:rPr>
                      <w:rFonts w:hint="default" w:ascii="Times New Roman" w:hAnsi="Times New Roman" w:eastAsia="Times New Roman" w:cs="Times New Roman"/>
                      <w:color w:val="auto"/>
                      <w:sz w:val="21"/>
                      <w:szCs w:val="21"/>
                      <w:highlight w:val="none"/>
                    </w:rPr>
                    <w:t>GB</w:t>
                  </w:r>
                  <w:r>
                    <w:rPr>
                      <w:rFonts w:hint="default" w:ascii="Times New Roman" w:hAnsi="Times New Roman" w:eastAsia="Times New Roman" w:cs="Times New Roman"/>
                      <w:color w:val="auto"/>
                      <w:spacing w:val="12"/>
                      <w:sz w:val="21"/>
                      <w:szCs w:val="21"/>
                      <w:highlight w:val="none"/>
                    </w:rPr>
                    <w:t>18918-2002</w:t>
                  </w:r>
                  <w:r>
                    <w:rPr>
                      <w:rFonts w:hint="default" w:ascii="Times New Roman" w:hAnsi="Times New Roman" w:eastAsia="宋体" w:cs="Times New Roman"/>
                      <w:color w:val="auto"/>
                      <w:spacing w:val="12"/>
                      <w:sz w:val="21"/>
                      <w:szCs w:val="21"/>
                      <w:highlight w:val="none"/>
                    </w:rPr>
                    <w:t>)</w:t>
                  </w:r>
                </w:p>
              </w:tc>
              <w:tc>
                <w:tcPr>
                  <w:tcW w:w="435" w:type="pct"/>
                  <w:tcBorders>
                    <w:tl2br w:val="nil"/>
                    <w:tr2bl w:val="nil"/>
                  </w:tcBorders>
                  <w:noWrap w:val="0"/>
                  <w:vAlign w:val="center"/>
                </w:tcPr>
                <w:p>
                  <w:pPr>
                    <w:adjustRightInd w:val="0"/>
                    <w:snapToGrid w:val="0"/>
                    <w:spacing w:before="0" w:line="240" w:lineRule="auto"/>
                    <w:ind w:left="0" w:right="0" w:firstLine="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1"/>
                      <w:sz w:val="21"/>
                      <w:szCs w:val="21"/>
                      <w:highlight w:val="none"/>
                    </w:rPr>
                    <w:t>一</w:t>
                  </w:r>
                  <w:r>
                    <w:rPr>
                      <w:rFonts w:hint="default" w:ascii="Times New Roman" w:hAnsi="Times New Roman" w:eastAsia="宋体" w:cs="Times New Roman"/>
                      <w:color w:val="auto"/>
                      <w:spacing w:val="-8"/>
                      <w:sz w:val="21"/>
                      <w:szCs w:val="21"/>
                      <w:highlight w:val="none"/>
                    </w:rPr>
                    <w:t xml:space="preserve">级 </w:t>
                  </w:r>
                  <w:r>
                    <w:rPr>
                      <w:rFonts w:hint="default" w:ascii="Times New Roman" w:hAnsi="Times New Roman" w:eastAsia="Times New Roman" w:cs="Times New Roman"/>
                      <w:color w:val="auto"/>
                      <w:spacing w:val="-8"/>
                      <w:sz w:val="21"/>
                      <w:szCs w:val="21"/>
                      <w:highlight w:val="none"/>
                    </w:rPr>
                    <w:t>A</w:t>
                  </w:r>
                  <w:r>
                    <w:rPr>
                      <w:rFonts w:hint="default" w:ascii="Times New Roman" w:hAnsi="Times New Roman" w:eastAsia="Times New Roman" w:cs="Times New Roman"/>
                      <w:color w:val="auto"/>
                      <w:sz w:val="21"/>
                      <w:szCs w:val="21"/>
                      <w:highlight w:val="none"/>
                    </w:rPr>
                    <w:t xml:space="preserve"> </w:t>
                  </w:r>
                  <w:r>
                    <w:rPr>
                      <w:rFonts w:hint="default" w:ascii="Times New Roman" w:hAnsi="Times New Roman" w:eastAsia="宋体" w:cs="Times New Roman"/>
                      <w:color w:val="auto"/>
                      <w:spacing w:val="4"/>
                      <w:sz w:val="21"/>
                      <w:szCs w:val="21"/>
                      <w:highlight w:val="none"/>
                    </w:rPr>
                    <w:t>标准</w:t>
                  </w:r>
                </w:p>
              </w:tc>
              <w:tc>
                <w:tcPr>
                  <w:tcW w:w="445"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sz w:val="21"/>
                      <w:szCs w:val="21"/>
                      <w:highlight w:val="none"/>
                    </w:rPr>
                    <w:t>5</w:t>
                  </w:r>
                  <w:r>
                    <w:rPr>
                      <w:rFonts w:hint="default" w:ascii="Times New Roman" w:hAnsi="Times New Roman" w:eastAsia="Times New Roman" w:cs="Times New Roman"/>
                      <w:color w:val="auto"/>
                      <w:spacing w:val="-1"/>
                      <w:sz w:val="21"/>
                      <w:szCs w:val="21"/>
                      <w:highlight w:val="none"/>
                    </w:rPr>
                    <w:t>0</w:t>
                  </w:r>
                </w:p>
              </w:tc>
              <w:tc>
                <w:tcPr>
                  <w:tcW w:w="446"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1"/>
                      <w:sz w:val="21"/>
                      <w:szCs w:val="21"/>
                      <w:highlight w:val="none"/>
                    </w:rPr>
                    <w:t>1</w:t>
                  </w:r>
                  <w:r>
                    <w:rPr>
                      <w:rFonts w:hint="default" w:ascii="Times New Roman" w:hAnsi="Times New Roman" w:eastAsia="宋体" w:cs="Times New Roman"/>
                      <w:color w:val="auto"/>
                      <w:spacing w:val="-9"/>
                      <w:sz w:val="21"/>
                      <w:szCs w:val="21"/>
                      <w:highlight w:val="none"/>
                    </w:rPr>
                    <w:t>0</w:t>
                  </w:r>
                </w:p>
              </w:tc>
              <w:tc>
                <w:tcPr>
                  <w:tcW w:w="348"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9"/>
                      <w:sz w:val="21"/>
                      <w:szCs w:val="21"/>
                      <w:highlight w:val="none"/>
                    </w:rPr>
                    <w:t>1</w:t>
                  </w:r>
                  <w:r>
                    <w:rPr>
                      <w:rFonts w:hint="default" w:ascii="Times New Roman" w:hAnsi="Times New Roman" w:eastAsia="Times New Roman" w:cs="Times New Roman"/>
                      <w:color w:val="auto"/>
                      <w:spacing w:val="-8"/>
                      <w:sz w:val="21"/>
                      <w:szCs w:val="21"/>
                      <w:highlight w:val="none"/>
                    </w:rPr>
                    <w:t>0</w:t>
                  </w:r>
                </w:p>
              </w:tc>
              <w:tc>
                <w:tcPr>
                  <w:tcW w:w="543"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1"/>
                      <w:position w:val="3"/>
                      <w:sz w:val="21"/>
                      <w:szCs w:val="21"/>
                      <w:highlight w:val="none"/>
                    </w:rPr>
                    <w:t>5(</w:t>
                  </w:r>
                  <w:r>
                    <w:rPr>
                      <w:rFonts w:hint="default" w:ascii="Times New Roman" w:hAnsi="Times New Roman" w:eastAsia="Times New Roman" w:cs="Times New Roman"/>
                      <w:color w:val="auto"/>
                      <w:position w:val="3"/>
                      <w:sz w:val="21"/>
                      <w:szCs w:val="21"/>
                      <w:highlight w:val="none"/>
                    </w:rPr>
                    <w:t>8)</w:t>
                  </w:r>
                </w:p>
              </w:tc>
              <w:tc>
                <w:tcPr>
                  <w:tcW w:w="446"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7"/>
                      <w:sz w:val="21"/>
                      <w:szCs w:val="21"/>
                      <w:highlight w:val="none"/>
                    </w:rPr>
                    <w:t>1</w:t>
                  </w:r>
                  <w:r>
                    <w:rPr>
                      <w:rFonts w:hint="default" w:ascii="Times New Roman" w:hAnsi="Times New Roman" w:eastAsia="Times New Roman" w:cs="Times New Roman"/>
                      <w:color w:val="auto"/>
                      <w:spacing w:val="-5"/>
                      <w:sz w:val="21"/>
                      <w:szCs w:val="21"/>
                      <w:highlight w:val="none"/>
                    </w:rPr>
                    <w:t>.0</w:t>
                  </w:r>
                </w:p>
              </w:tc>
              <w:tc>
                <w:tcPr>
                  <w:tcW w:w="446"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sz w:val="21"/>
                      <w:szCs w:val="21"/>
                      <w:highlight w:val="none"/>
                    </w:rPr>
                    <w:t>0.5</w:t>
                  </w:r>
                </w:p>
              </w:tc>
              <w:tc>
                <w:tcPr>
                  <w:tcW w:w="446" w:type="pct"/>
                  <w:tcBorders>
                    <w:tl2br w:val="nil"/>
                    <w:tr2bl w:val="nil"/>
                  </w:tcBorders>
                  <w:noWrap w:val="0"/>
                  <w:vAlign w:val="center"/>
                </w:tcPr>
                <w:p>
                  <w:pPr>
                    <w:adjustRightInd w:val="0"/>
                    <w:snapToGrid w:val="0"/>
                    <w:spacing w:before="0" w:line="240" w:lineRule="auto"/>
                    <w:jc w:val="center"/>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sz w:val="21"/>
                      <w:szCs w:val="21"/>
                      <w:highlight w:val="none"/>
                    </w:rPr>
                    <w:t>0.5</w:t>
                  </w:r>
                </w:p>
              </w:tc>
              <w:tc>
                <w:tcPr>
                  <w:tcW w:w="454" w:type="pct"/>
                  <w:tcBorders>
                    <w:tl2br w:val="nil"/>
                    <w:tr2bl w:val="nil"/>
                  </w:tcBorders>
                  <w:noWrap w:val="0"/>
                  <w:vAlign w:val="center"/>
                </w:tcPr>
                <w:p>
                  <w:pPr>
                    <w:adjustRightInd w:val="0"/>
                    <w:snapToGrid w:val="0"/>
                    <w:spacing w:before="0" w:line="240" w:lineRule="auto"/>
                    <w:ind w:left="0"/>
                    <w:jc w:val="center"/>
                    <w:rPr>
                      <w:rFonts w:hint="default" w:ascii="Times New Roman" w:hAnsi="Times New Roman" w:eastAsia="Times New Roman" w:cs="Times New Roman"/>
                      <w:color w:val="auto"/>
                      <w:spacing w:val="-7"/>
                      <w:sz w:val="21"/>
                      <w:szCs w:val="21"/>
                      <w:highlight w:val="none"/>
                    </w:rPr>
                  </w:pPr>
                  <w:r>
                    <w:rPr>
                      <w:rFonts w:hint="default" w:ascii="Times New Roman" w:hAnsi="Times New Roman" w:eastAsia="Times New Roman" w:cs="Times New Roman"/>
                      <w:color w:val="auto"/>
                      <w:spacing w:val="-7"/>
                      <w:sz w:val="21"/>
                      <w:szCs w:val="21"/>
                      <w:highlight w:val="none"/>
                    </w:rPr>
                    <w:t>1</w:t>
                  </w:r>
                  <w:r>
                    <w:rPr>
                      <w:rFonts w:hint="default" w:ascii="Times New Roman" w:hAnsi="Times New Roman" w:eastAsia="Times New Roman" w:cs="Times New Roman"/>
                      <w:color w:val="auto"/>
                      <w:spacing w:val="-5"/>
                      <w:sz w:val="21"/>
                      <w:szCs w:val="21"/>
                      <w:highlight w:val="none"/>
                    </w:rPr>
                    <w:t>.0</w:t>
                  </w:r>
                </w:p>
              </w:tc>
            </w:tr>
          </w:tbl>
          <w:p>
            <w:pPr>
              <w:spacing w:line="360" w:lineRule="auto"/>
              <w:ind w:firstLine="480" w:firstLineChars="200"/>
              <w:jc w:val="left"/>
              <w:rPr>
                <w:rFonts w:hint="default" w:ascii="Times New Roman" w:hAnsi="Times New Roman" w:cs="Times New Roman"/>
                <w:sz w:val="24"/>
              </w:rPr>
            </w:pPr>
            <w:r>
              <w:rPr>
                <w:rFonts w:hint="default" w:ascii="Times New Roman" w:hAnsi="Times New Roman" w:cs="Times New Roman"/>
                <w:sz w:val="24"/>
              </w:rPr>
              <w:t>（2）大气污染物排放标准</w:t>
            </w:r>
          </w:p>
          <w:p>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rPr>
            </w:pPr>
            <w:r>
              <w:rPr>
                <w:rFonts w:hint="default" w:ascii="Times New Roman" w:hAnsi="Times New Roman" w:eastAsia="宋体" w:cs="Times New Roman"/>
              </w:rPr>
              <w:t>本项目废气主要焊接烟尘、原料装卸粉尘、运输扬尘、搅拌粉尘、水泥罐废气。</w:t>
            </w:r>
          </w:p>
          <w:p>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rPr>
            </w:pPr>
            <w:r>
              <w:rPr>
                <w:rFonts w:hint="default" w:ascii="Times New Roman" w:hAnsi="Times New Roman" w:eastAsia="宋体" w:cs="Times New Roman"/>
              </w:rPr>
              <w:t>项目焊接烟尘经移动式焊接烟尘净化器处理后，无组织排放，项目原料装卸粉尘经洒水抑尘处理后，无组织排放，项目运输扬尘经洒水降尘处理后，无组织排放，项目搅拌粉尘经喷淋洒水装置抑尘处理后，无组织排放；水泥罐废气经脉冲除尘处理后，通过1根15m排气筒(DA001)高空排放；项目有组织污染物颗粒物排放执行《水泥工业大气污染物排放标准》 (GB4915-2013)标准限值，无组织污染物颗粒物排放执行《水泥工业大气污染物排放标准》(GB4915-2013)标准限值。</w:t>
            </w:r>
          </w:p>
          <w:p>
            <w:pPr>
              <w:jc w:val="center"/>
              <w:rPr>
                <w:b/>
                <w:kern w:val="0"/>
                <w:szCs w:val="21"/>
                <w:lang w:bidi="ar"/>
              </w:rPr>
            </w:pPr>
            <w:r>
              <w:rPr>
                <w:rFonts w:hint="default" w:ascii="Times New Roman" w:hAnsi="Times New Roman" w:cs="Times New Roman"/>
                <w:b/>
                <w:bCs/>
                <w:kern w:val="0"/>
                <w:szCs w:val="21"/>
              </w:rPr>
              <w:t>表1-</w:t>
            </w:r>
            <w:r>
              <w:rPr>
                <w:rFonts w:hint="eastAsia" w:ascii="Times New Roman" w:hAnsi="Times New Roman" w:cs="Times New Roman"/>
                <w:b/>
                <w:bCs/>
                <w:kern w:val="0"/>
                <w:szCs w:val="21"/>
                <w:lang w:val="en-US" w:eastAsia="zh-CN"/>
              </w:rPr>
              <w:t xml:space="preserve">2 </w:t>
            </w:r>
            <w:r>
              <w:rPr>
                <w:rFonts w:hint="default" w:ascii="Times New Roman" w:hAnsi="Times New Roman" w:cs="Times New Roman"/>
                <w:b/>
                <w:bCs/>
                <w:kern w:val="0"/>
                <w:szCs w:val="21"/>
              </w:rPr>
              <w:t xml:space="preserve"> </w:t>
            </w:r>
            <w:r>
              <w:rPr>
                <w:b/>
                <w:kern w:val="0"/>
                <w:szCs w:val="21"/>
                <w:lang w:bidi="ar"/>
              </w:rPr>
              <w:t>本项目废气排放标准</w:t>
            </w:r>
          </w:p>
          <w:tbl>
            <w:tblPr>
              <w:tblStyle w:val="21"/>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1329"/>
              <w:gridCol w:w="1205"/>
              <w:gridCol w:w="1205"/>
              <w:gridCol w:w="386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52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排放方式</w:t>
                  </w:r>
                </w:p>
              </w:tc>
              <w:tc>
                <w:tcPr>
                  <w:tcW w:w="7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产污节点</w:t>
                  </w:r>
                </w:p>
              </w:tc>
              <w:tc>
                <w:tcPr>
                  <w:tcW w:w="71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污染物</w:t>
                  </w:r>
                </w:p>
              </w:tc>
              <w:tc>
                <w:tcPr>
                  <w:tcW w:w="71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Cs w:val="21"/>
                      <w:highlight w:val="none"/>
                      <w:lang w:val="en-US" w:eastAsia="zh-CN"/>
                    </w:rPr>
                    <w:t>最高允许</w:t>
                  </w:r>
                  <w:r>
                    <w:rPr>
                      <w:rFonts w:ascii="Times New Roman" w:hAnsi="Times New Roman" w:cs="Times New Roman"/>
                      <w:color w:val="auto"/>
                      <w:szCs w:val="21"/>
                      <w:highlight w:val="none"/>
                    </w:rPr>
                    <w:t>排放浓度mg/m</w:t>
                  </w:r>
                  <w:r>
                    <w:rPr>
                      <w:rFonts w:ascii="Times New Roman" w:hAnsi="Times New Roman" w:cs="Times New Roman"/>
                      <w:color w:val="auto"/>
                      <w:szCs w:val="21"/>
                      <w:highlight w:val="none"/>
                      <w:vertAlign w:val="superscript"/>
                    </w:rPr>
                    <w:t>3</w:t>
                  </w:r>
                </w:p>
              </w:tc>
              <w:tc>
                <w:tcPr>
                  <w:tcW w:w="227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标准来源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19" w:hRule="atLeast"/>
                <w:jc w:val="center"/>
              </w:trPr>
              <w:tc>
                <w:tcPr>
                  <w:tcW w:w="522" w:type="pct"/>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rPr>
                    <w:t>有组织</w:t>
                  </w:r>
                </w:p>
              </w:tc>
              <w:tc>
                <w:tcPr>
                  <w:tcW w:w="7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水泥罐</w:t>
                  </w:r>
                </w:p>
              </w:tc>
              <w:tc>
                <w:tcPr>
                  <w:tcW w:w="71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颗粒物</w:t>
                  </w:r>
                </w:p>
              </w:tc>
              <w:tc>
                <w:tcPr>
                  <w:tcW w:w="71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default"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2</w:t>
                  </w:r>
                  <w:r>
                    <w:rPr>
                      <w:rFonts w:hint="default" w:ascii="Times New Roman" w:hAnsi="Times New Roman" w:cs="Times New Roman"/>
                      <w:color w:val="auto"/>
                      <w:sz w:val="21"/>
                      <w:szCs w:val="21"/>
                      <w:highlight w:val="none"/>
                      <w:lang w:val="en-US" w:eastAsia="zh-CN"/>
                    </w:rPr>
                    <w:t>0</w:t>
                  </w:r>
                </w:p>
              </w:tc>
              <w:tc>
                <w:tcPr>
                  <w:tcW w:w="227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《水泥工业大气污染物排放标准》（GB4915-2013）</w:t>
                  </w:r>
                  <w:r>
                    <w:rPr>
                      <w:rFonts w:hint="default" w:ascii="Times New Roman" w:hAnsi="Times New Roman" w:cs="Times New Roman"/>
                      <w:color w:val="auto"/>
                      <w:szCs w:val="21"/>
                      <w:highlight w:val="none"/>
                      <w:lang w:val="en-US" w:eastAsia="zh-CN"/>
                    </w:rPr>
                    <w:t>表1标准限值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80" w:hRule="atLeast"/>
                <w:jc w:val="center"/>
              </w:trPr>
              <w:tc>
                <w:tcPr>
                  <w:tcW w:w="522"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无组织</w:t>
                  </w:r>
                </w:p>
              </w:tc>
              <w:tc>
                <w:tcPr>
                  <w:tcW w:w="783"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eastAsia="zh-CN"/>
                    </w:rPr>
                  </w:pPr>
                  <w:r>
                    <w:rPr>
                      <w:rFonts w:hint="eastAsia" w:ascii="Times New Roman" w:hAnsi="Times New Roman" w:cs="Times New Roman"/>
                      <w:color w:val="auto"/>
                      <w:sz w:val="21"/>
                      <w:szCs w:val="21"/>
                      <w:highlight w:val="none"/>
                      <w:lang w:val="en-US" w:eastAsia="zh-CN"/>
                    </w:rPr>
                    <w:t>粉尘</w:t>
                  </w:r>
                </w:p>
              </w:tc>
              <w:tc>
                <w:tcPr>
                  <w:tcW w:w="71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color w:val="auto"/>
                      <w:sz w:val="21"/>
                      <w:szCs w:val="21"/>
                      <w:highlight w:val="none"/>
                      <w:lang w:eastAsia="zh-CN"/>
                    </w:rPr>
                  </w:pPr>
                  <w:r>
                    <w:rPr>
                      <w:rFonts w:hint="default" w:ascii="Times New Roman" w:hAnsi="Times New Roman" w:cs="Times New Roman"/>
                      <w:color w:val="auto"/>
                      <w:sz w:val="21"/>
                      <w:szCs w:val="21"/>
                      <w:highlight w:val="none"/>
                      <w:lang w:val="en-US" w:eastAsia="zh-CN"/>
                    </w:rPr>
                    <w:t>颗粒物</w:t>
                  </w:r>
                </w:p>
              </w:tc>
              <w:tc>
                <w:tcPr>
                  <w:tcW w:w="710"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color w:val="auto"/>
                      <w:sz w:val="21"/>
                      <w:szCs w:val="21"/>
                      <w:highlight w:val="none"/>
                      <w:lang w:val="en-US"/>
                    </w:rPr>
                  </w:pPr>
                  <w:r>
                    <w:rPr>
                      <w:rFonts w:hint="eastAsia" w:ascii="Times New Roman" w:hAnsi="Times New Roman" w:cs="Times New Roman"/>
                      <w:color w:val="auto"/>
                      <w:sz w:val="21"/>
                      <w:szCs w:val="21"/>
                      <w:highlight w:val="none"/>
                      <w:lang w:val="en-US" w:eastAsia="zh-CN"/>
                    </w:rPr>
                    <w:t>0.5</w:t>
                  </w:r>
                </w:p>
              </w:tc>
              <w:tc>
                <w:tcPr>
                  <w:tcW w:w="2274" w:type="pc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《水泥工业大气污染物排放标准》（GB4915-2013）表</w:t>
                  </w:r>
                  <w:r>
                    <w:rPr>
                      <w:rFonts w:hint="eastAsia" w:ascii="Times New Roman" w:hAnsi="Times New Roman" w:cs="Times New Roman"/>
                      <w:color w:val="auto"/>
                      <w:sz w:val="21"/>
                      <w:szCs w:val="21"/>
                      <w:highlight w:val="none"/>
                      <w:lang w:val="en-US" w:eastAsia="zh-CN"/>
                    </w:rPr>
                    <w:t>3</w:t>
                  </w:r>
                  <w:r>
                    <w:rPr>
                      <w:rFonts w:hint="default" w:ascii="Times New Roman" w:hAnsi="Times New Roman" w:cs="Times New Roman"/>
                      <w:color w:val="auto"/>
                      <w:sz w:val="21"/>
                      <w:szCs w:val="21"/>
                      <w:highlight w:val="none"/>
                      <w:lang w:val="en-US" w:eastAsia="zh-CN"/>
                    </w:rPr>
                    <w:t>标准限值</w:t>
                  </w:r>
                </w:p>
              </w:tc>
            </w:tr>
          </w:tbl>
          <w:p>
            <w:pPr>
              <w:spacing w:line="40" w:lineRule="exact"/>
              <w:ind w:firstLine="480" w:firstLineChars="200"/>
              <w:jc w:val="left"/>
              <w:rPr>
                <w:rFonts w:hint="default" w:ascii="Times New Roman" w:hAnsi="Times New Roman" w:cs="Times New Roman"/>
                <w:sz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cs="Times New Roman"/>
                <w:sz w:val="24"/>
              </w:rPr>
            </w:pPr>
            <w:r>
              <w:rPr>
                <w:rFonts w:hint="default" w:ascii="Times New Roman" w:hAnsi="Times New Roman" w:cs="Times New Roman"/>
                <w:sz w:val="24"/>
              </w:rPr>
              <w:t>（3）环境噪声排放标准</w:t>
            </w:r>
          </w:p>
          <w:p>
            <w:pPr>
              <w:spacing w:line="360" w:lineRule="auto"/>
              <w:ind w:firstLine="480" w:firstLineChars="200"/>
              <w:jc w:val="left"/>
              <w:rPr>
                <w:rFonts w:hint="default" w:ascii="Times New Roman" w:hAnsi="Times New Roman" w:cs="Times New Roman"/>
                <w:sz w:val="24"/>
              </w:rPr>
            </w:pPr>
            <w:r>
              <w:rPr>
                <w:rFonts w:hint="eastAsia" w:ascii="Times New Roman" w:hAnsi="Times New Roman" w:cs="Times New Roman"/>
                <w:sz w:val="24"/>
                <w:lang w:eastAsia="zh-CN"/>
              </w:rPr>
              <w:t>本</w:t>
            </w:r>
            <w:r>
              <w:rPr>
                <w:rFonts w:hint="default" w:ascii="Times New Roman" w:hAnsi="Times New Roman" w:cs="Times New Roman"/>
                <w:sz w:val="24"/>
              </w:rPr>
              <w:t>项目验收期间噪声执行《工业企业厂界环境噪声排放标准》（GB12348-2008）中</w:t>
            </w:r>
            <w:r>
              <w:rPr>
                <w:rFonts w:hint="eastAsia" w:ascii="Times New Roman" w:hAnsi="Times New Roman" w:cs="Times New Roman"/>
                <w:sz w:val="24"/>
                <w:lang w:val="en-US" w:eastAsia="zh-CN"/>
              </w:rPr>
              <w:t>3</w:t>
            </w:r>
            <w:r>
              <w:rPr>
                <w:rFonts w:hint="default" w:ascii="Times New Roman" w:hAnsi="Times New Roman" w:cs="Times New Roman"/>
                <w:sz w:val="24"/>
              </w:rPr>
              <w:t>类标准，具体标准限值见</w:t>
            </w:r>
            <w:r>
              <w:rPr>
                <w:rFonts w:hint="eastAsia" w:ascii="Times New Roman" w:hAnsi="Times New Roman" w:cs="Times New Roman"/>
                <w:sz w:val="24"/>
                <w:lang w:eastAsia="zh-CN"/>
              </w:rPr>
              <w:t>下表</w:t>
            </w:r>
            <w:r>
              <w:rPr>
                <w:rFonts w:hint="default" w:ascii="Times New Roman" w:hAnsi="Times New Roman" w:cs="Times New Roman"/>
                <w:sz w:val="24"/>
              </w:rPr>
              <w:t>。</w:t>
            </w:r>
          </w:p>
          <w:p>
            <w:pPr>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表1-</w:t>
            </w:r>
            <w:r>
              <w:rPr>
                <w:rFonts w:hint="eastAsia" w:ascii="Times New Roman" w:hAnsi="Times New Roman" w:cs="Times New Roman"/>
                <w:b/>
                <w:bCs/>
                <w:kern w:val="0"/>
                <w:szCs w:val="21"/>
                <w:lang w:val="en-US" w:eastAsia="zh-CN"/>
              </w:rPr>
              <w:t>3</w:t>
            </w:r>
            <w:r>
              <w:rPr>
                <w:rFonts w:hint="default" w:ascii="Times New Roman" w:hAnsi="Times New Roman" w:cs="Times New Roman"/>
                <w:b/>
                <w:bCs/>
                <w:kern w:val="0"/>
                <w:szCs w:val="21"/>
              </w:rPr>
              <w:t>工业企业厂界环境噪声排放标准  等效声级Leq:dB(A)</w:t>
            </w:r>
          </w:p>
          <w:tbl>
            <w:tblPr>
              <w:tblStyle w:val="21"/>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613"/>
              <w:gridCol w:w="932"/>
              <w:gridCol w:w="94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3895" w:type="pct"/>
                  <w:noWrap w:val="0"/>
                  <w:vAlign w:val="top"/>
                </w:tcPr>
                <w:p>
                  <w:pPr>
                    <w:pStyle w:val="31"/>
                    <w:rPr>
                      <w:rFonts w:hint="default" w:ascii="Times New Roman" w:hAnsi="Times New Roman" w:cs="Times New Roman"/>
                      <w:b/>
                      <w:bCs/>
                    </w:rPr>
                  </w:pPr>
                  <w:r>
                    <w:rPr>
                      <w:rFonts w:hint="default" w:ascii="Times New Roman" w:hAnsi="Times New Roman" w:cs="Times New Roman"/>
                      <w:b/>
                      <w:bCs/>
                    </w:rPr>
                    <w:t>适用标准</w:t>
                  </w:r>
                </w:p>
              </w:tc>
              <w:tc>
                <w:tcPr>
                  <w:tcW w:w="549" w:type="pct"/>
                  <w:noWrap w:val="0"/>
                  <w:vAlign w:val="top"/>
                </w:tcPr>
                <w:p>
                  <w:pPr>
                    <w:pStyle w:val="31"/>
                    <w:rPr>
                      <w:rFonts w:hint="default" w:ascii="Times New Roman" w:hAnsi="Times New Roman" w:cs="Times New Roman"/>
                      <w:b/>
                      <w:bCs/>
                    </w:rPr>
                  </w:pPr>
                  <w:r>
                    <w:rPr>
                      <w:rFonts w:hint="default" w:ascii="Times New Roman" w:hAnsi="Times New Roman" w:cs="Times New Roman"/>
                      <w:b/>
                      <w:bCs/>
                    </w:rPr>
                    <w:t>昼间</w:t>
                  </w:r>
                </w:p>
              </w:tc>
              <w:tc>
                <w:tcPr>
                  <w:tcW w:w="554" w:type="pct"/>
                  <w:noWrap w:val="0"/>
                  <w:vAlign w:val="top"/>
                </w:tcPr>
                <w:p>
                  <w:pPr>
                    <w:pStyle w:val="31"/>
                    <w:rPr>
                      <w:rFonts w:hint="default" w:ascii="Times New Roman" w:hAnsi="Times New Roman" w:cs="Times New Roman"/>
                      <w:b/>
                      <w:bCs/>
                    </w:rPr>
                  </w:pPr>
                  <w:r>
                    <w:rPr>
                      <w:rFonts w:hint="default" w:ascii="Times New Roman" w:hAnsi="Times New Roman" w:cs="Times New Roman"/>
                      <w:b/>
                      <w:bCs/>
                    </w:rPr>
                    <w:t>夜间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521" w:hRule="atLeast"/>
                <w:jc w:val="center"/>
              </w:trPr>
              <w:tc>
                <w:tcPr>
                  <w:tcW w:w="3895" w:type="pct"/>
                  <w:noWrap w:val="0"/>
                  <w:vAlign w:val="top"/>
                </w:tcPr>
                <w:p>
                  <w:pPr>
                    <w:pStyle w:val="31"/>
                    <w:rPr>
                      <w:rFonts w:hint="default" w:ascii="Times New Roman" w:hAnsi="Times New Roman" w:cs="Times New Roman"/>
                    </w:rPr>
                  </w:pPr>
                  <w:r>
                    <w:rPr>
                      <w:rFonts w:hint="default" w:ascii="Times New Roman" w:hAnsi="Times New Roman" w:cs="Times New Roman"/>
                    </w:rPr>
                    <w:t>《工业企业厂界环境噪声排放标准》(GB12348-2008)中</w:t>
                  </w:r>
                  <w:r>
                    <w:rPr>
                      <w:rFonts w:hint="eastAsia" w:ascii="Times New Roman" w:hAnsi="Times New Roman" w:cs="Times New Roman"/>
                      <w:lang w:val="en-US" w:eastAsia="zh-CN"/>
                    </w:rPr>
                    <w:t>3</w:t>
                  </w:r>
                  <w:r>
                    <w:rPr>
                      <w:rFonts w:hint="default" w:ascii="Times New Roman" w:hAnsi="Times New Roman" w:cs="Times New Roman"/>
                    </w:rPr>
                    <w:t>类</w:t>
                  </w:r>
                </w:p>
              </w:tc>
              <w:tc>
                <w:tcPr>
                  <w:tcW w:w="549" w:type="pct"/>
                  <w:noWrap w:val="0"/>
                  <w:vAlign w:val="top"/>
                </w:tcPr>
                <w:p>
                  <w:pPr>
                    <w:pStyle w:val="31"/>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65</w:t>
                  </w:r>
                </w:p>
              </w:tc>
              <w:tc>
                <w:tcPr>
                  <w:tcW w:w="554" w:type="pct"/>
                  <w:noWrap w:val="0"/>
                  <w:vAlign w:val="top"/>
                </w:tcPr>
                <w:p>
                  <w:pPr>
                    <w:pStyle w:val="31"/>
                    <w:rPr>
                      <w:rFonts w:hint="default" w:ascii="Times New Roman" w:hAnsi="Times New Roman" w:cs="Times New Roman" w:eastAsiaTheme="minorEastAsia"/>
                      <w:lang w:val="en-US" w:eastAsia="zh-CN"/>
                    </w:rPr>
                  </w:pPr>
                  <w:r>
                    <w:rPr>
                      <w:rFonts w:hint="eastAsia" w:ascii="Times New Roman" w:hAnsi="Times New Roman" w:cs="Times New Roman"/>
                      <w:lang w:val="en-US" w:eastAsia="zh-CN"/>
                    </w:rPr>
                    <w:t>55</w:t>
                  </w:r>
                </w:p>
              </w:tc>
            </w:tr>
          </w:tbl>
          <w:p>
            <w:pPr>
              <w:spacing w:line="360" w:lineRule="auto"/>
              <w:ind w:firstLine="480" w:firstLineChars="200"/>
              <w:jc w:val="left"/>
              <w:rPr>
                <w:rFonts w:hint="default" w:ascii="Times New Roman" w:hAnsi="Times New Roman" w:cs="Times New Roman"/>
                <w:sz w:val="24"/>
              </w:rPr>
            </w:pPr>
            <w:r>
              <w:rPr>
                <w:rFonts w:hint="default" w:ascii="Times New Roman" w:hAnsi="Times New Roman" w:cs="Times New Roman"/>
                <w:sz w:val="24"/>
              </w:rPr>
              <w:t>（4）固体废物污染控制标准</w:t>
            </w:r>
          </w:p>
          <w:p>
            <w:pPr>
              <w:keepNext w:val="0"/>
              <w:keepLines w:val="0"/>
              <w:pageBreakBefore w:val="0"/>
              <w:widowControl w:val="0"/>
              <w:numPr>
                <w:ilvl w:val="0"/>
                <w:numId w:val="0"/>
              </w:numPr>
              <w:kinsoku/>
              <w:wordWrap/>
              <w:overflowPunct/>
              <w:topLinePunct w:val="0"/>
              <w:autoSpaceDE/>
              <w:autoSpaceDN/>
              <w:bidi w:val="0"/>
              <w:adjustRightInd/>
              <w:snapToGrid/>
              <w:spacing w:before="82" w:line="360" w:lineRule="auto"/>
              <w:ind w:left="590" w:leftChars="0" w:firstLine="480" w:firstLineChars="200"/>
              <w:textAlignment w:val="auto"/>
              <w:rPr>
                <w:rFonts w:hint="eastAsia" w:ascii="Times New Roman" w:hAnsi="Times New Roman" w:cs="Times New Roman" w:eastAsiaTheme="minorEastAsia"/>
                <w:kern w:val="0"/>
                <w:sz w:val="24"/>
                <w:szCs w:val="20"/>
                <w:lang w:val="en-US" w:eastAsia="zh-CN" w:bidi="ar-SA"/>
              </w:rPr>
            </w:pPr>
            <w:r>
              <w:rPr>
                <w:rFonts w:hint="eastAsia" w:ascii="Times New Roman" w:hAnsi="Times New Roman" w:cs="Times New Roman" w:eastAsiaTheme="minorEastAsia"/>
                <w:kern w:val="0"/>
                <w:sz w:val="24"/>
                <w:szCs w:val="20"/>
                <w:lang w:val="en-US" w:eastAsia="zh-CN" w:bidi="ar-SA"/>
              </w:rPr>
              <w:t>一般工业固体废物贮存执行《一般工业固体废物贮存和填埋污染控制标准》（GB18599-2020）中的有关标准，且贮存过程应满足相应防渗漏、防雨淋、防扬尘等环境保护要求；危险废物执行《危险废物贮存污染控制标准》(GB18597-2023)的要求</w:t>
            </w:r>
          </w:p>
          <w:p>
            <w:pPr>
              <w:numPr>
                <w:ilvl w:val="0"/>
                <w:numId w:val="0"/>
              </w:numPr>
              <w:spacing w:before="82" w:line="315" w:lineRule="exact"/>
              <w:ind w:left="590" w:leftChars="0"/>
              <w:rPr>
                <w:rFonts w:hint="eastAsia" w:ascii="Times New Roman" w:hAnsi="Times New Roman" w:cs="Times New Roman" w:eastAsiaTheme="minorEastAsia"/>
                <w:kern w:val="0"/>
                <w:sz w:val="24"/>
                <w:szCs w:val="20"/>
                <w:lang w:val="en-US" w:eastAsia="zh-CN" w:bidi="ar-SA"/>
              </w:rPr>
            </w:pPr>
            <w:r>
              <w:rPr>
                <w:rFonts w:hint="eastAsia" w:ascii="Times New Roman" w:hAnsi="Times New Roman" w:cs="Times New Roman" w:eastAsiaTheme="minorEastAsia"/>
                <w:kern w:val="0"/>
                <w:sz w:val="24"/>
                <w:szCs w:val="20"/>
                <w:lang w:val="en-US" w:eastAsia="zh-CN" w:bidi="ar-SA"/>
              </w:rPr>
              <w:t>（5）总量</w:t>
            </w:r>
          </w:p>
          <w:p>
            <w:pPr>
              <w:pStyle w:val="26"/>
              <w:spacing w:before="0" w:after="0"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1、废气</w:t>
            </w:r>
          </w:p>
          <w:p>
            <w:pPr>
              <w:pStyle w:val="26"/>
              <w:snapToGrid w:val="0"/>
              <w:spacing w:before="0" w:after="0" w:line="360" w:lineRule="auto"/>
              <w:ind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cs="Times New Roman"/>
                <w:color w:val="auto"/>
                <w:sz w:val="24"/>
                <w:szCs w:val="24"/>
                <w:highlight w:val="none"/>
              </w:rPr>
              <w:t>根据废气产排污分析，</w:t>
            </w:r>
            <w:r>
              <w:rPr>
                <w:rFonts w:hint="eastAsia" w:ascii="Times New Roman" w:hAnsi="Times New Roman" w:cs="Times New Roman"/>
                <w:color w:val="auto"/>
                <w:sz w:val="24"/>
                <w:szCs w:val="24"/>
                <w:highlight w:val="none"/>
                <w:lang w:val="en-US" w:eastAsia="zh-CN"/>
              </w:rPr>
              <w:t>项目</w:t>
            </w:r>
            <w:r>
              <w:rPr>
                <w:rFonts w:hint="default" w:ascii="Times New Roman" w:hAnsi="Times New Roman" w:cs="Times New Roman"/>
                <w:color w:val="auto"/>
                <w:sz w:val="24"/>
                <w:szCs w:val="24"/>
                <w:highlight w:val="none"/>
                <w:lang w:val="en-US" w:eastAsia="zh-CN"/>
              </w:rPr>
              <w:t>废气</w:t>
            </w:r>
            <w:r>
              <w:rPr>
                <w:rFonts w:hint="eastAsia" w:ascii="Times New Roman" w:hAnsi="Times New Roman" w:cs="Times New Roman"/>
                <w:color w:val="auto"/>
                <w:sz w:val="24"/>
                <w:szCs w:val="24"/>
                <w:highlight w:val="none"/>
                <w:lang w:val="en-US" w:eastAsia="zh-CN"/>
              </w:rPr>
              <w:t>污染物不涉及NOx和VOC，</w:t>
            </w:r>
            <w:r>
              <w:rPr>
                <w:rFonts w:hint="eastAsia" w:ascii="Times New Roman" w:hAnsi="Times New Roman" w:eastAsia="宋体" w:cs="Times New Roman"/>
                <w:color w:val="auto"/>
                <w:kern w:val="2"/>
                <w:sz w:val="24"/>
                <w:szCs w:val="24"/>
                <w:highlight w:val="none"/>
                <w:lang w:val="en-US" w:eastAsia="zh-CN" w:bidi="ar-SA"/>
              </w:rPr>
              <w:t>不需申请废气总量</w:t>
            </w:r>
            <w:r>
              <w:rPr>
                <w:rFonts w:hint="default" w:ascii="Times New Roman" w:hAnsi="Times New Roman" w:eastAsia="宋体" w:cs="Times New Roman"/>
                <w:color w:val="auto"/>
                <w:kern w:val="2"/>
                <w:sz w:val="24"/>
                <w:szCs w:val="24"/>
                <w:highlight w:val="none"/>
                <w:lang w:val="en-US" w:eastAsia="zh-CN" w:bidi="ar-SA"/>
              </w:rPr>
              <w:t>。</w:t>
            </w:r>
          </w:p>
          <w:p>
            <w:pPr>
              <w:pStyle w:val="26"/>
              <w:snapToGrid w:val="0"/>
              <w:spacing w:before="0" w:after="0" w:line="360" w:lineRule="auto"/>
              <w:ind w:firstLine="480" w:firstLineChars="20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2</w:t>
            </w:r>
            <w:r>
              <w:rPr>
                <w:rFonts w:hint="default" w:ascii="Times New Roman" w:hAnsi="Times New Roman" w:cs="Times New Roman"/>
                <w:color w:val="auto"/>
                <w:highlight w:val="none"/>
              </w:rPr>
              <w:t>、废</w:t>
            </w:r>
            <w:r>
              <w:rPr>
                <w:rFonts w:hint="default" w:ascii="Times New Roman" w:hAnsi="Times New Roman" w:cs="Times New Roman"/>
                <w:color w:val="auto"/>
                <w:highlight w:val="none"/>
                <w:lang w:val="en-US" w:eastAsia="zh-CN"/>
              </w:rPr>
              <w:t>水</w:t>
            </w:r>
          </w:p>
          <w:p>
            <w:pPr>
              <w:pStyle w:val="13"/>
              <w:tabs>
                <w:tab w:val="left" w:pos="1110"/>
              </w:tabs>
              <w:spacing w:after="0" w:line="360" w:lineRule="auto"/>
              <w:ind w:firstLine="482"/>
              <w:rPr>
                <w:color w:val="auto"/>
                <w:kern w:val="0"/>
                <w:sz w:val="24"/>
                <w:highlight w:val="none"/>
              </w:rPr>
            </w:pPr>
            <w:r>
              <w:rPr>
                <w:rFonts w:hint="default" w:ascii="Times New Roman" w:hAnsi="Times New Roman" w:eastAsia="宋体" w:cs="Times New Roman"/>
                <w:color w:val="auto"/>
                <w:kern w:val="2"/>
                <w:sz w:val="24"/>
                <w:szCs w:val="24"/>
                <w:highlight w:val="none"/>
                <w:lang w:val="en-US" w:eastAsia="zh-CN" w:bidi="ar-SA"/>
              </w:rPr>
              <w:t>本项目</w:t>
            </w:r>
            <w:r>
              <w:rPr>
                <w:rFonts w:hint="eastAsia" w:ascii="Times New Roman" w:hAnsi="Times New Roman" w:eastAsia="宋体" w:cs="Times New Roman"/>
                <w:color w:val="auto"/>
                <w:sz w:val="24"/>
                <w:highlight w:val="none"/>
                <w:lang w:val="en-US" w:eastAsia="zh-CN" w:bidi="ar-SA"/>
              </w:rPr>
              <w:t>生活污水</w:t>
            </w:r>
            <w:r>
              <w:rPr>
                <w:rFonts w:hint="eastAsia" w:ascii="Times New Roman" w:hAnsi="Times New Roman" w:eastAsia="宋体" w:cs="Times New Roman"/>
                <w:color w:val="auto"/>
                <w:kern w:val="2"/>
                <w:sz w:val="24"/>
                <w:szCs w:val="24"/>
                <w:highlight w:val="none"/>
                <w:lang w:val="en-US" w:eastAsia="zh-CN" w:bidi="ar-SA"/>
              </w:rPr>
              <w:t>经化粪池处理后排入园区污水处理厂</w:t>
            </w:r>
            <w:r>
              <w:rPr>
                <w:color w:val="auto"/>
                <w:sz w:val="24"/>
                <w:highlight w:val="none"/>
              </w:rPr>
              <w:t>。</w:t>
            </w:r>
          </w:p>
          <w:p>
            <w:pPr>
              <w:adjustRightInd w:val="0"/>
              <w:snapToGrid w:val="0"/>
              <w:spacing w:line="360" w:lineRule="auto"/>
              <w:ind w:firstLine="480" w:firstLineChars="200"/>
              <w:rPr>
                <w:color w:val="auto"/>
                <w:kern w:val="0"/>
                <w:sz w:val="24"/>
                <w:highlight w:val="none"/>
              </w:rPr>
            </w:pPr>
            <w:r>
              <w:rPr>
                <w:color w:val="auto"/>
                <w:kern w:val="0"/>
                <w:sz w:val="24"/>
                <w:highlight w:val="none"/>
              </w:rPr>
              <w:t>项目废水总量计算过程如下：</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全厂废水排放量为1944t/a</w:t>
            </w:r>
            <w:r>
              <w:rPr>
                <w:rFonts w:hint="eastAsia" w:ascii="Times New Roman" w:hAnsi="Times New Roman" w:eastAsia="宋体" w:cs="Times New Roman"/>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color w:val="auto"/>
                <w:kern w:val="21"/>
                <w:sz w:val="24"/>
                <w:highlight w:val="none"/>
              </w:rPr>
            </w:pPr>
            <w:r>
              <w:rPr>
                <w:color w:val="auto"/>
                <w:kern w:val="21"/>
                <w:sz w:val="24"/>
                <w:highlight w:val="none"/>
              </w:rPr>
              <w:t>总量CODcr=</w:t>
            </w:r>
            <w:r>
              <w:rPr>
                <w:rFonts w:hint="eastAsia"/>
                <w:color w:val="auto"/>
                <w:kern w:val="21"/>
                <w:sz w:val="24"/>
                <w:highlight w:val="none"/>
              </w:rPr>
              <w:t>1944</w:t>
            </w:r>
            <w:r>
              <w:rPr>
                <w:color w:val="auto"/>
                <w:kern w:val="21"/>
                <w:sz w:val="24"/>
                <w:highlight w:val="none"/>
              </w:rPr>
              <w:t>m</w:t>
            </w:r>
            <w:r>
              <w:rPr>
                <w:color w:val="auto"/>
                <w:kern w:val="21"/>
                <w:sz w:val="24"/>
                <w:highlight w:val="none"/>
                <w:vertAlign w:val="superscript"/>
              </w:rPr>
              <w:t>3</w:t>
            </w:r>
            <w:r>
              <w:rPr>
                <w:color w:val="auto"/>
                <w:kern w:val="21"/>
                <w:sz w:val="24"/>
                <w:highlight w:val="none"/>
              </w:rPr>
              <w:t>/a×50mg/L×10</w:t>
            </w:r>
            <w:r>
              <w:rPr>
                <w:color w:val="auto"/>
                <w:kern w:val="21"/>
                <w:sz w:val="24"/>
                <w:highlight w:val="none"/>
                <w:vertAlign w:val="superscript"/>
              </w:rPr>
              <w:t>-6</w:t>
            </w:r>
            <w:r>
              <w:rPr>
                <w:color w:val="auto"/>
                <w:kern w:val="21"/>
                <w:sz w:val="24"/>
                <w:highlight w:val="none"/>
              </w:rPr>
              <w:t>=</w:t>
            </w:r>
            <w:r>
              <w:rPr>
                <w:rFonts w:hint="eastAsia"/>
                <w:color w:val="auto"/>
                <w:kern w:val="21"/>
                <w:sz w:val="24"/>
                <w:highlight w:val="none"/>
                <w:lang w:val="en-US" w:eastAsia="zh-CN"/>
              </w:rPr>
              <w:t>0.097</w:t>
            </w:r>
            <w:r>
              <w:rPr>
                <w:color w:val="auto"/>
                <w:kern w:val="21"/>
                <w:sz w:val="24"/>
                <w:highlight w:val="none"/>
              </w:rPr>
              <w:t>t/a。</w:t>
            </w:r>
          </w:p>
          <w:p>
            <w:pPr>
              <w:pStyle w:val="13"/>
              <w:keepNext w:val="0"/>
              <w:keepLines w:val="0"/>
              <w:pageBreakBefore w:val="0"/>
              <w:widowControl w:val="0"/>
              <w:tabs>
                <w:tab w:val="left" w:pos="1110"/>
              </w:tabs>
              <w:kinsoku/>
              <w:wordWrap/>
              <w:overflowPunct/>
              <w:topLinePunct w:val="0"/>
              <w:autoSpaceDE/>
              <w:autoSpaceDN/>
              <w:bidi w:val="0"/>
              <w:spacing w:after="0" w:line="360" w:lineRule="auto"/>
              <w:ind w:firstLine="482"/>
              <w:textAlignment w:val="auto"/>
              <w:rPr>
                <w:color w:val="auto"/>
                <w:kern w:val="0"/>
                <w:sz w:val="24"/>
                <w:highlight w:val="none"/>
              </w:rPr>
            </w:pPr>
            <w:r>
              <w:rPr>
                <w:color w:val="auto"/>
                <w:kern w:val="21"/>
                <w:sz w:val="24"/>
                <w:highlight w:val="none"/>
              </w:rPr>
              <w:t>总量</w:t>
            </w:r>
            <w:r>
              <w:rPr>
                <w:color w:val="auto"/>
                <w:kern w:val="0"/>
                <w:sz w:val="24"/>
                <w:highlight w:val="none"/>
              </w:rPr>
              <w:t>NH</w:t>
            </w:r>
            <w:r>
              <w:rPr>
                <w:color w:val="auto"/>
                <w:kern w:val="0"/>
                <w:sz w:val="24"/>
                <w:highlight w:val="none"/>
                <w:vertAlign w:val="subscript"/>
              </w:rPr>
              <w:t>3</w:t>
            </w:r>
            <w:r>
              <w:rPr>
                <w:color w:val="auto"/>
                <w:kern w:val="0"/>
                <w:sz w:val="24"/>
                <w:highlight w:val="none"/>
              </w:rPr>
              <w:t>-N</w:t>
            </w:r>
            <w:r>
              <w:rPr>
                <w:color w:val="auto"/>
                <w:kern w:val="21"/>
                <w:sz w:val="24"/>
                <w:highlight w:val="none"/>
              </w:rPr>
              <w:t xml:space="preserve"> =</w:t>
            </w:r>
            <w:r>
              <w:rPr>
                <w:rFonts w:hint="eastAsia"/>
                <w:color w:val="auto"/>
                <w:kern w:val="21"/>
                <w:sz w:val="24"/>
                <w:highlight w:val="none"/>
              </w:rPr>
              <w:t>1944</w:t>
            </w:r>
            <w:r>
              <w:rPr>
                <w:color w:val="auto"/>
                <w:kern w:val="21"/>
                <w:sz w:val="24"/>
                <w:highlight w:val="none"/>
              </w:rPr>
              <w:t>m</w:t>
            </w:r>
            <w:r>
              <w:rPr>
                <w:color w:val="auto"/>
                <w:kern w:val="21"/>
                <w:sz w:val="24"/>
                <w:highlight w:val="none"/>
                <w:vertAlign w:val="superscript"/>
              </w:rPr>
              <w:t>3</w:t>
            </w:r>
            <w:r>
              <w:rPr>
                <w:color w:val="auto"/>
                <w:kern w:val="21"/>
                <w:sz w:val="24"/>
                <w:highlight w:val="none"/>
              </w:rPr>
              <w:t>/a×5mg/L×10</w:t>
            </w:r>
            <w:r>
              <w:rPr>
                <w:color w:val="auto"/>
                <w:kern w:val="21"/>
                <w:sz w:val="24"/>
                <w:highlight w:val="none"/>
                <w:vertAlign w:val="superscript"/>
              </w:rPr>
              <w:t>-6</w:t>
            </w:r>
            <w:r>
              <w:rPr>
                <w:color w:val="auto"/>
                <w:kern w:val="21"/>
                <w:sz w:val="24"/>
                <w:highlight w:val="none"/>
              </w:rPr>
              <w:t>=</w:t>
            </w:r>
            <w:r>
              <w:rPr>
                <w:rFonts w:hint="eastAsia"/>
                <w:color w:val="auto"/>
                <w:kern w:val="21"/>
                <w:sz w:val="24"/>
                <w:highlight w:val="none"/>
                <w:lang w:val="en-US" w:eastAsia="zh-CN"/>
              </w:rPr>
              <w:t>0.0097</w:t>
            </w:r>
            <w:r>
              <w:rPr>
                <w:color w:val="auto"/>
                <w:kern w:val="21"/>
                <w:sz w:val="24"/>
                <w:highlight w:val="none"/>
              </w:rPr>
              <w:t>t/a。</w:t>
            </w:r>
          </w:p>
          <w:p>
            <w:pPr>
              <w:pStyle w:val="26"/>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kern w:val="21"/>
                <w:sz w:val="24"/>
                <w:highlight w:val="none"/>
                <w:lang w:eastAsia="zh-CN"/>
              </w:rPr>
              <w:t>本项目需申请废水</w:t>
            </w:r>
            <w:r>
              <w:rPr>
                <w:rFonts w:ascii="Times New Roman" w:hAnsi="Times New Roman" w:eastAsia="宋体" w:cs="Times New Roman"/>
                <w:color w:val="auto"/>
                <w:kern w:val="21"/>
                <w:sz w:val="24"/>
                <w:highlight w:val="none"/>
              </w:rPr>
              <w:t>CODcr</w:t>
            </w:r>
            <w:r>
              <w:rPr>
                <w:rFonts w:hint="eastAsia" w:ascii="Times New Roman" w:hAnsi="Times New Roman" w:eastAsia="宋体" w:cs="Times New Roman"/>
                <w:color w:val="auto"/>
                <w:kern w:val="21"/>
                <w:sz w:val="24"/>
                <w:highlight w:val="none"/>
                <w:lang w:eastAsia="zh-CN"/>
              </w:rPr>
              <w:t>、</w:t>
            </w:r>
            <w:r>
              <w:rPr>
                <w:rFonts w:ascii="Times New Roman" w:hAnsi="Times New Roman" w:eastAsia="宋体" w:cs="Times New Roman"/>
                <w:color w:val="auto"/>
                <w:kern w:val="21"/>
                <w:sz w:val="24"/>
                <w:highlight w:val="none"/>
              </w:rPr>
              <w:t>NH</w:t>
            </w:r>
            <w:r>
              <w:rPr>
                <w:rFonts w:ascii="Times New Roman" w:hAnsi="Times New Roman" w:eastAsia="宋体" w:cs="Times New Roman"/>
                <w:color w:val="auto"/>
                <w:kern w:val="21"/>
                <w:sz w:val="24"/>
                <w:highlight w:val="none"/>
                <w:vertAlign w:val="subscript"/>
              </w:rPr>
              <w:t>3</w:t>
            </w:r>
            <w:r>
              <w:rPr>
                <w:rFonts w:ascii="Times New Roman" w:hAnsi="Times New Roman" w:eastAsia="宋体" w:cs="Times New Roman"/>
                <w:color w:val="auto"/>
                <w:kern w:val="21"/>
                <w:sz w:val="24"/>
                <w:highlight w:val="none"/>
              </w:rPr>
              <w:t>-N</w:t>
            </w:r>
            <w:r>
              <w:rPr>
                <w:rFonts w:hint="eastAsia" w:ascii="Times New Roman" w:hAnsi="Times New Roman" w:eastAsia="宋体" w:cs="Times New Roman"/>
                <w:color w:val="auto"/>
                <w:kern w:val="21"/>
                <w:sz w:val="24"/>
                <w:highlight w:val="none"/>
                <w:lang w:eastAsia="zh-CN"/>
              </w:rPr>
              <w:t>总量指标分别为</w:t>
            </w:r>
            <w:r>
              <w:rPr>
                <w:rFonts w:hint="eastAsia" w:ascii="Times New Roman" w:hAnsi="Times New Roman" w:eastAsia="宋体" w:cs="Times New Roman"/>
                <w:color w:val="auto"/>
                <w:kern w:val="21"/>
                <w:sz w:val="24"/>
                <w:highlight w:val="none"/>
                <w:lang w:val="en-US" w:eastAsia="zh-CN"/>
              </w:rPr>
              <w:t>0.097t/a、0.0097t/a</w:t>
            </w:r>
            <w:r>
              <w:rPr>
                <w:rFonts w:hint="eastAsia" w:ascii="Times New Roman" w:hAnsi="Times New Roman" w:eastAsia="宋体" w:cs="Times New Roman"/>
                <w:color w:val="auto"/>
                <w:kern w:val="21"/>
                <w:sz w:val="24"/>
                <w:highlight w:val="none"/>
                <w:lang w:eastAsia="zh-CN"/>
              </w:rPr>
              <w:t>。</w:t>
            </w:r>
          </w:p>
        </w:tc>
      </w:tr>
      <w:bookmarkEnd w:id="1"/>
    </w:tbl>
    <w:p>
      <w:p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pPr>
        <w:pStyle w:val="5"/>
        <w:spacing w:before="0" w:beforeAutospacing="0" w:after="0" w:afterAutospacing="0"/>
        <w:rPr>
          <w:rFonts w:hint="default" w:ascii="Times New Roman" w:hAnsi="Times New Roman" w:cs="Times New Roman"/>
          <w:sz w:val="30"/>
          <w:szCs w:val="30"/>
        </w:rPr>
      </w:pPr>
      <w:r>
        <w:rPr>
          <w:rFonts w:hint="default" w:ascii="Times New Roman" w:hAnsi="Times New Roman" w:cs="Times New Roman"/>
          <w:sz w:val="30"/>
          <w:szCs w:val="30"/>
        </w:rPr>
        <w:t>表二、项目工程建设内容、生产工艺流程及主要污染工序</w:t>
      </w:r>
    </w:p>
    <w:tbl>
      <w:tblPr>
        <w:tblStyle w:val="2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852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474" w:hRule="atLeast"/>
          <w:jc w:val="center"/>
        </w:trPr>
        <w:tc>
          <w:tcPr>
            <w:tcW w:w="8522" w:type="dxa"/>
            <w:tcBorders>
              <w:top w:val="single" w:color="auto" w:sz="12" w:space="0"/>
              <w:left w:val="single" w:color="auto" w:sz="12" w:space="0"/>
              <w:bottom w:val="single" w:color="auto" w:sz="12" w:space="0"/>
              <w:right w:val="single" w:color="auto" w:sz="12" w:space="0"/>
            </w:tcBorders>
            <w:noWrap w:val="0"/>
            <w:vAlign w:val="top"/>
          </w:tcPr>
          <w:p>
            <w:pPr>
              <w:spacing w:line="360" w:lineRule="auto"/>
              <w:jc w:val="left"/>
              <w:rPr>
                <w:rFonts w:hint="default" w:ascii="Times New Roman" w:hAnsi="Times New Roman" w:eastAsia="宋体" w:cs="Times New Roman"/>
                <w:b/>
                <w:bCs/>
                <w:kern w:val="0"/>
                <w:sz w:val="24"/>
              </w:rPr>
            </w:pPr>
            <w:r>
              <w:rPr>
                <w:rFonts w:hint="default" w:ascii="Times New Roman" w:hAnsi="Times New Roman" w:eastAsia="宋体" w:cs="Times New Roman"/>
                <w:b/>
                <w:bCs/>
                <w:kern w:val="0"/>
                <w:sz w:val="24"/>
              </w:rPr>
              <w:t>2.1工程建设内容</w:t>
            </w:r>
          </w:p>
          <w:p>
            <w:pPr>
              <w:spacing w:line="360" w:lineRule="auto"/>
              <w:ind w:firstLine="480" w:firstLineChars="200"/>
              <w:rPr>
                <w:rFonts w:hint="default" w:ascii="Times New Roman" w:hAnsi="Times New Roman" w:cs="Times New Roman" w:eastAsiaTheme="minorEastAsia"/>
                <w:color w:val="auto"/>
                <w:kern w:val="2"/>
                <w:sz w:val="24"/>
                <w:szCs w:val="24"/>
                <w:lang w:val="en-US" w:eastAsia="zh-CN" w:bidi="ar-SA"/>
              </w:rPr>
            </w:pPr>
            <w:r>
              <w:rPr>
                <w:rFonts w:hint="default" w:ascii="Times New Roman" w:hAnsi="Times New Roman" w:cs="Times New Roman" w:eastAsiaTheme="minorEastAsia"/>
                <w:color w:val="auto"/>
                <w:kern w:val="2"/>
                <w:sz w:val="24"/>
                <w:szCs w:val="24"/>
                <w:lang w:val="en-US" w:eastAsia="zh-CN" w:bidi="ar-SA"/>
              </w:rPr>
              <w:t>本项目建筑面积</w:t>
            </w:r>
            <w:r>
              <w:rPr>
                <w:rFonts w:hint="default" w:ascii="Times New Roman" w:hAnsi="Times New Roman" w:cs="Times New Roman" w:eastAsiaTheme="minorEastAsia"/>
                <w:spacing w:val="4"/>
                <w:sz w:val="24"/>
                <w:szCs w:val="24"/>
              </w:rPr>
              <w:t>本项目用地面</w:t>
            </w:r>
            <w:r>
              <w:rPr>
                <w:rFonts w:hint="default" w:ascii="Times New Roman" w:hAnsi="Times New Roman" w:cs="Times New Roman" w:eastAsiaTheme="minorEastAsia"/>
                <w:spacing w:val="2"/>
                <w:sz w:val="24"/>
                <w:szCs w:val="24"/>
              </w:rPr>
              <w:t>积为</w:t>
            </w:r>
            <w:r>
              <w:rPr>
                <w:rFonts w:hint="default" w:ascii="Times New Roman" w:hAnsi="Times New Roman" w:cs="Times New Roman" w:eastAsiaTheme="minorEastAsia"/>
                <w:spacing w:val="2"/>
                <w:sz w:val="24"/>
                <w:szCs w:val="24"/>
                <w:lang w:val="zh-CN" w:eastAsia="zh-CN"/>
              </w:rPr>
              <w:t>18305.25</w:t>
            </w:r>
            <w:r>
              <w:rPr>
                <w:rFonts w:hint="default" w:ascii="Times New Roman" w:hAnsi="Times New Roman" w:cs="Times New Roman" w:eastAsiaTheme="minorEastAsia"/>
                <w:spacing w:val="2"/>
                <w:sz w:val="24"/>
                <w:szCs w:val="24"/>
              </w:rPr>
              <w:t>㎡</w:t>
            </w:r>
            <w:r>
              <w:rPr>
                <w:rFonts w:hint="eastAsia" w:ascii="Times New Roman" w:hAnsi="Times New Roman" w:cs="Times New Roman"/>
                <w:spacing w:val="2"/>
                <w:sz w:val="24"/>
                <w:szCs w:val="24"/>
                <w:lang w:eastAsia="zh-CN"/>
              </w:rPr>
              <w:t>、</w:t>
            </w:r>
            <w:r>
              <w:rPr>
                <w:rFonts w:hint="eastAsia" w:ascii="Times New Roman" w:hAnsi="Times New Roman" w:cs="Times New Roman"/>
                <w:spacing w:val="2"/>
                <w:sz w:val="24"/>
                <w:szCs w:val="24"/>
                <w:lang w:val="en-US" w:eastAsia="zh-CN"/>
              </w:rPr>
              <w:t>建筑面积为</w:t>
            </w:r>
            <w:r>
              <w:rPr>
                <w:rFonts w:hint="eastAsia" w:ascii="Times New Roman" w:hAnsi="Times New Roman" w:eastAsia="宋体" w:cs="Times New Roman"/>
                <w:color w:val="auto"/>
                <w:spacing w:val="8"/>
                <w:sz w:val="24"/>
                <w:szCs w:val="24"/>
                <w:highlight w:val="none"/>
                <w:lang w:val="zh-CN" w:eastAsia="zh-CN"/>
              </w:rPr>
              <w:t>3625.17</w:t>
            </w:r>
            <w:r>
              <w:rPr>
                <w:rFonts w:hint="default" w:ascii="Times New Roman" w:hAnsi="Times New Roman" w:eastAsia="宋体" w:cs="Times New Roman"/>
                <w:color w:val="auto"/>
                <w:spacing w:val="8"/>
                <w:sz w:val="24"/>
                <w:szCs w:val="24"/>
                <w:highlight w:val="none"/>
                <w:lang w:val="zh-CN" w:eastAsia="zh-CN"/>
              </w:rPr>
              <w:t>㎡</w:t>
            </w:r>
            <w:r>
              <w:rPr>
                <w:rFonts w:hint="default" w:ascii="Times New Roman" w:hAnsi="Times New Roman" w:cs="Times New Roman" w:eastAsiaTheme="minorEastAsia"/>
                <w:color w:val="auto"/>
                <w:kern w:val="2"/>
                <w:sz w:val="24"/>
                <w:szCs w:val="24"/>
                <w:lang w:val="en-US" w:eastAsia="zh-CN" w:bidi="ar-SA"/>
              </w:rPr>
              <w:t>，主要建设有主体工程(</w:t>
            </w:r>
            <w:r>
              <w:rPr>
                <w:rFonts w:hint="default" w:ascii="Times New Roman" w:hAnsi="Times New Roman" w:cs="Times New Roman"/>
                <w:color w:val="auto"/>
                <w:kern w:val="2"/>
                <w:sz w:val="24"/>
                <w:szCs w:val="24"/>
                <w:lang w:val="en-US" w:eastAsia="zh-CN" w:bidi="ar-SA"/>
              </w:rPr>
              <w:t>旺通车间、1#车间、2#车间</w:t>
            </w:r>
            <w:r>
              <w:rPr>
                <w:rFonts w:hint="default" w:ascii="Times New Roman" w:hAnsi="Times New Roman" w:cs="Times New Roman" w:eastAsiaTheme="minorEastAsia"/>
                <w:color w:val="auto"/>
                <w:kern w:val="2"/>
                <w:sz w:val="24"/>
                <w:szCs w:val="24"/>
                <w:lang w:val="en-US" w:eastAsia="zh-CN" w:bidi="ar-SA"/>
              </w:rPr>
              <w:t>),储运工程(</w:t>
            </w:r>
            <w:r>
              <w:rPr>
                <w:rFonts w:hint="default" w:ascii="Times New Roman" w:hAnsi="Times New Roman" w:cs="Times New Roman"/>
                <w:color w:val="auto"/>
                <w:kern w:val="2"/>
                <w:sz w:val="24"/>
                <w:szCs w:val="24"/>
                <w:lang w:val="en-US" w:eastAsia="zh-CN" w:bidi="ar-SA"/>
              </w:rPr>
              <w:t>水泥制品区、水泥罐、原材料仓库</w:t>
            </w:r>
            <w:r>
              <w:rPr>
                <w:rFonts w:hint="default" w:ascii="Times New Roman" w:hAnsi="Times New Roman" w:cs="Times New Roman" w:eastAsiaTheme="minorEastAsia"/>
                <w:color w:val="auto"/>
                <w:kern w:val="2"/>
                <w:sz w:val="24"/>
                <w:szCs w:val="24"/>
                <w:lang w:val="en-US" w:eastAsia="zh-CN" w:bidi="ar-SA"/>
              </w:rPr>
              <w:t>),公用工程(给水、排水、供电系统),环保工程(废气处理设施、废水处理设施、固废处置及暂存间、噪声控制措施等)。本项目主要工程内容见下表。</w:t>
            </w:r>
            <w:bookmarkStart w:id="2" w:name="_Hlk11314225"/>
          </w:p>
          <w:p>
            <w:pPr>
              <w:jc w:val="center"/>
              <w:rPr>
                <w:rFonts w:hint="default" w:ascii="Times New Roman" w:hAnsi="Times New Roman" w:eastAsia="宋体" w:cs="Times New Roman"/>
                <w:color w:val="auto"/>
                <w:kern w:val="0"/>
                <w:szCs w:val="21"/>
              </w:rPr>
            </w:pPr>
            <w:r>
              <w:rPr>
                <w:rFonts w:hint="default" w:ascii="Times New Roman" w:hAnsi="Times New Roman" w:eastAsia="宋体" w:cs="Times New Roman"/>
                <w:b/>
                <w:bCs/>
                <w:color w:val="auto"/>
                <w:kern w:val="0"/>
                <w:szCs w:val="21"/>
              </w:rPr>
              <w:t>表2-1 工程组成一览表</w:t>
            </w:r>
          </w:p>
          <w:bookmarkEnd w:id="2"/>
          <w:tbl>
            <w:tblPr>
              <w:tblStyle w:val="21"/>
              <w:tblW w:w="4998" w:type="pct"/>
              <w:tblInd w:w="0" w:type="dxa"/>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Layout w:type="autofit"/>
              <w:tblCellMar>
                <w:top w:w="0" w:type="dxa"/>
                <w:left w:w="108" w:type="dxa"/>
                <w:bottom w:w="0" w:type="dxa"/>
                <w:right w:w="108" w:type="dxa"/>
              </w:tblCellMar>
            </w:tblPr>
            <w:tblGrid>
              <w:gridCol w:w="1058"/>
              <w:gridCol w:w="1140"/>
              <w:gridCol w:w="3238"/>
              <w:gridCol w:w="2867"/>
            </w:tblGrid>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63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b/>
                      <w:bCs/>
                      <w:color w:val="auto"/>
                      <w:sz w:val="21"/>
                      <w:szCs w:val="21"/>
                    </w:rPr>
                  </w:pPr>
                  <w:r>
                    <w:rPr>
                      <w:rFonts w:hint="default" w:ascii="Times New Roman" w:hAnsi="Times New Roman" w:cs="Times New Roman" w:eastAsiaTheme="minorEastAsia"/>
                      <w:b/>
                      <w:bCs/>
                      <w:color w:val="auto"/>
                      <w:sz w:val="21"/>
                      <w:szCs w:val="21"/>
                    </w:rPr>
                    <w:t>工程类别</w:t>
                  </w:r>
                </w:p>
              </w:tc>
              <w:tc>
                <w:tcPr>
                  <w:tcW w:w="686"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b/>
                      <w:bCs/>
                      <w:color w:val="auto"/>
                      <w:sz w:val="21"/>
                      <w:szCs w:val="21"/>
                    </w:rPr>
                  </w:pPr>
                  <w:r>
                    <w:rPr>
                      <w:rFonts w:hint="default" w:ascii="Times New Roman" w:hAnsi="Times New Roman" w:cs="Times New Roman" w:eastAsiaTheme="minorEastAsia"/>
                      <w:b/>
                      <w:bCs/>
                      <w:color w:val="auto"/>
                      <w:sz w:val="21"/>
                      <w:szCs w:val="21"/>
                    </w:rPr>
                    <w:t>工程</w:t>
                  </w:r>
                </w:p>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b/>
                      <w:bCs/>
                      <w:color w:val="auto"/>
                      <w:sz w:val="21"/>
                      <w:szCs w:val="21"/>
                    </w:rPr>
                  </w:pPr>
                  <w:r>
                    <w:rPr>
                      <w:rFonts w:hint="default" w:ascii="Times New Roman" w:hAnsi="Times New Roman" w:cs="Times New Roman" w:eastAsiaTheme="minorEastAsia"/>
                      <w:b/>
                      <w:bCs/>
                      <w:color w:val="auto"/>
                      <w:sz w:val="21"/>
                      <w:szCs w:val="21"/>
                    </w:rPr>
                    <w:t>名称</w:t>
                  </w:r>
                </w:p>
              </w:tc>
              <w:tc>
                <w:tcPr>
                  <w:tcW w:w="1949"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b/>
                      <w:bCs/>
                      <w:color w:val="auto"/>
                      <w:sz w:val="21"/>
                      <w:szCs w:val="21"/>
                    </w:rPr>
                  </w:pPr>
                  <w:r>
                    <w:rPr>
                      <w:rFonts w:hint="default" w:ascii="Times New Roman" w:hAnsi="Times New Roman" w:cs="Times New Roman" w:eastAsiaTheme="minorEastAsia"/>
                      <w:b/>
                      <w:bCs/>
                      <w:color w:val="auto"/>
                      <w:sz w:val="21"/>
                      <w:szCs w:val="21"/>
                      <w:lang w:val="en-US" w:eastAsia="zh-CN"/>
                    </w:rPr>
                    <w:t>环评</w:t>
                  </w:r>
                  <w:r>
                    <w:rPr>
                      <w:rFonts w:hint="default" w:ascii="Times New Roman" w:hAnsi="Times New Roman" w:cs="Times New Roman" w:eastAsiaTheme="minorEastAsia"/>
                      <w:b/>
                      <w:bCs/>
                      <w:color w:val="auto"/>
                      <w:sz w:val="21"/>
                      <w:szCs w:val="21"/>
                    </w:rPr>
                    <w:t>工程内容及规模</w:t>
                  </w:r>
                </w:p>
              </w:tc>
              <w:tc>
                <w:tcPr>
                  <w:tcW w:w="1726"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b/>
                      <w:bCs/>
                      <w:color w:val="auto"/>
                      <w:sz w:val="21"/>
                      <w:szCs w:val="21"/>
                      <w:lang w:eastAsia="zh-CN"/>
                    </w:rPr>
                  </w:pPr>
                  <w:r>
                    <w:rPr>
                      <w:rFonts w:hint="default" w:ascii="Times New Roman" w:hAnsi="Times New Roman" w:cs="Times New Roman" w:eastAsiaTheme="minorEastAsia"/>
                      <w:b/>
                      <w:bCs/>
                      <w:color w:val="auto"/>
                      <w:sz w:val="21"/>
                      <w:szCs w:val="21"/>
                      <w:lang w:val="en-US" w:eastAsia="zh-CN"/>
                    </w:rPr>
                    <w:t>实际</w:t>
                  </w:r>
                  <w:r>
                    <w:rPr>
                      <w:rFonts w:hint="default" w:ascii="Times New Roman" w:hAnsi="Times New Roman" w:cs="Times New Roman" w:eastAsiaTheme="minorEastAsia"/>
                      <w:b/>
                      <w:bCs/>
                      <w:color w:val="auto"/>
                      <w:sz w:val="21"/>
                      <w:szCs w:val="21"/>
                    </w:rPr>
                    <w:t>工程内容及规模</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287" w:hRule="atLeast"/>
              </w:trPr>
              <w:tc>
                <w:tcPr>
                  <w:tcW w:w="637" w:type="pct"/>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主体工程</w:t>
                  </w:r>
                </w:p>
              </w:tc>
              <w:tc>
                <w:tcPr>
                  <w:tcW w:w="686" w:type="pct"/>
                  <w:shd w:val="clear" w:color="auto" w:fill="FFFFFF"/>
                  <w:noWrap w:val="0"/>
                  <w:vAlign w:val="center"/>
                </w:tcPr>
                <w:p>
                  <w:pPr>
                    <w:pStyle w:val="50"/>
                    <w:widowControl w:val="0"/>
                    <w:spacing w:line="240" w:lineRule="auto"/>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color w:val="auto"/>
                      <w:kern w:val="2"/>
                      <w:sz w:val="21"/>
                      <w:szCs w:val="21"/>
                      <w:highlight w:val="none"/>
                      <w:lang w:val="en-US" w:eastAsia="zh-CN" w:bidi="ar-SA"/>
                    </w:rPr>
                    <w:t>旺通车间</w:t>
                  </w:r>
                </w:p>
              </w:tc>
              <w:tc>
                <w:tcPr>
                  <w:tcW w:w="1949" w:type="pct"/>
                  <w:shd w:val="clear" w:color="auto" w:fill="FFFFFF"/>
                  <w:noWrap w:val="0"/>
                  <w:vAlign w:val="center"/>
                </w:tcPr>
                <w:p>
                  <w:pPr>
                    <w:pStyle w:val="50"/>
                    <w:spacing w:line="240" w:lineRule="auto"/>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eastAsia="宋体" w:cs="Times New Roman"/>
                      <w:color w:val="auto"/>
                      <w:kern w:val="2"/>
                      <w:sz w:val="21"/>
                      <w:szCs w:val="21"/>
                      <w:highlight w:val="none"/>
                      <w:lang w:val="en-US" w:eastAsia="zh-CN" w:bidi="ar-SA"/>
                    </w:rPr>
                    <w:t>建筑面积为</w:t>
                  </w:r>
                  <w:r>
                    <w:rPr>
                      <w:rFonts w:hint="eastAsia" w:ascii="Times New Roman" w:hAnsi="Times New Roman" w:eastAsia="宋体" w:cs="Times New Roman"/>
                      <w:color w:val="auto"/>
                      <w:kern w:val="2"/>
                      <w:sz w:val="21"/>
                      <w:szCs w:val="21"/>
                      <w:highlight w:val="none"/>
                      <w:lang w:val="en-US" w:eastAsia="zh-CN" w:bidi="ar-SA"/>
                    </w:rPr>
                    <w:t>1208.39</w:t>
                  </w:r>
                  <w:r>
                    <w:rPr>
                      <w:rFonts w:hint="default" w:ascii="Times New Roman" w:hAnsi="Times New Roman" w:eastAsia="宋体" w:cs="Times New Roman"/>
                      <w:b w:val="0"/>
                      <w:bCs w:val="0"/>
                      <w:color w:val="auto"/>
                      <w:kern w:val="2"/>
                      <w:sz w:val="21"/>
                      <w:szCs w:val="21"/>
                      <w:highlight w:val="none"/>
                      <w:vertAlign w:val="baseline"/>
                      <w:lang w:val="en-US" w:eastAsia="zh-CN" w:bidi="ar-SA"/>
                    </w:rPr>
                    <w:t>m</w:t>
                  </w:r>
                  <w:r>
                    <w:rPr>
                      <w:rFonts w:hint="default" w:ascii="Times New Roman" w:hAnsi="Times New Roman" w:eastAsia="宋体" w:cs="Times New Roman"/>
                      <w:b w:val="0"/>
                      <w:bCs w:val="0"/>
                      <w:color w:val="auto"/>
                      <w:kern w:val="2"/>
                      <w:sz w:val="21"/>
                      <w:szCs w:val="21"/>
                      <w:highlight w:val="none"/>
                      <w:vertAlign w:val="superscript"/>
                      <w:lang w:val="en-US" w:eastAsia="zh-CN" w:bidi="ar-SA"/>
                    </w:rPr>
                    <w:t>2</w:t>
                  </w:r>
                  <w:r>
                    <w:rPr>
                      <w:rFonts w:hint="default" w:ascii="Times New Roman" w:hAnsi="Times New Roman" w:eastAsia="宋体" w:cs="Times New Roman"/>
                      <w:b w:val="0"/>
                      <w:bCs w:val="0"/>
                      <w:color w:val="auto"/>
                      <w:kern w:val="2"/>
                      <w:sz w:val="21"/>
                      <w:szCs w:val="21"/>
                      <w:highlight w:val="none"/>
                      <w:vertAlign w:val="baseline"/>
                      <w:lang w:val="en-US" w:eastAsia="zh-CN" w:bidi="ar-SA"/>
                    </w:rPr>
                    <w:t>1F</w:t>
                  </w:r>
                  <w:r>
                    <w:rPr>
                      <w:rFonts w:hint="eastAsia" w:ascii="Times New Roman" w:hAnsi="Times New Roman" w:eastAsia="宋体" w:cs="Times New Roman"/>
                      <w:b w:val="0"/>
                      <w:bCs w:val="0"/>
                      <w:color w:val="auto"/>
                      <w:kern w:val="2"/>
                      <w:sz w:val="21"/>
                      <w:szCs w:val="21"/>
                      <w:highlight w:val="none"/>
                      <w:vertAlign w:val="baseline"/>
                      <w:lang w:val="en-US" w:eastAsia="zh-CN" w:bidi="ar-SA"/>
                    </w:rPr>
                    <w:t>，闲置，存放杂物</w:t>
                  </w:r>
                </w:p>
              </w:tc>
              <w:tc>
                <w:tcPr>
                  <w:tcW w:w="1726" w:type="pct"/>
                  <w:shd w:val="clear" w:color="auto" w:fill="FFFFFF"/>
                  <w:noWrap w:val="0"/>
                  <w:vAlign w:val="center"/>
                </w:tcPr>
                <w:p>
                  <w:pPr>
                    <w:pStyle w:val="50"/>
                    <w:spacing w:line="240" w:lineRule="auto"/>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eastAsia="宋体" w:cs="Times New Roman"/>
                      <w:color w:val="auto"/>
                      <w:kern w:val="2"/>
                      <w:sz w:val="21"/>
                      <w:szCs w:val="21"/>
                      <w:highlight w:val="none"/>
                      <w:lang w:val="en-US" w:eastAsia="zh-CN" w:bidi="ar-SA"/>
                    </w:rPr>
                    <w:t>建筑面积为</w:t>
                  </w:r>
                  <w:r>
                    <w:rPr>
                      <w:rFonts w:hint="eastAsia" w:ascii="Times New Roman" w:hAnsi="Times New Roman" w:eastAsia="宋体" w:cs="Times New Roman"/>
                      <w:color w:val="auto"/>
                      <w:kern w:val="2"/>
                      <w:sz w:val="21"/>
                      <w:szCs w:val="21"/>
                      <w:highlight w:val="none"/>
                      <w:lang w:val="en-US" w:eastAsia="zh-CN" w:bidi="ar-SA"/>
                    </w:rPr>
                    <w:t>1208.39</w:t>
                  </w:r>
                  <w:r>
                    <w:rPr>
                      <w:rFonts w:hint="default" w:ascii="Times New Roman" w:hAnsi="Times New Roman" w:eastAsia="宋体" w:cs="Times New Roman"/>
                      <w:b w:val="0"/>
                      <w:bCs w:val="0"/>
                      <w:color w:val="auto"/>
                      <w:kern w:val="2"/>
                      <w:sz w:val="21"/>
                      <w:szCs w:val="21"/>
                      <w:highlight w:val="none"/>
                      <w:vertAlign w:val="baseline"/>
                      <w:lang w:val="en-US" w:eastAsia="zh-CN" w:bidi="ar-SA"/>
                    </w:rPr>
                    <w:t>m</w:t>
                  </w:r>
                  <w:r>
                    <w:rPr>
                      <w:rFonts w:hint="default" w:ascii="Times New Roman" w:hAnsi="Times New Roman" w:eastAsia="宋体" w:cs="Times New Roman"/>
                      <w:b w:val="0"/>
                      <w:bCs w:val="0"/>
                      <w:color w:val="auto"/>
                      <w:kern w:val="2"/>
                      <w:sz w:val="21"/>
                      <w:szCs w:val="21"/>
                      <w:highlight w:val="none"/>
                      <w:vertAlign w:val="superscript"/>
                      <w:lang w:val="en-US" w:eastAsia="zh-CN" w:bidi="ar-SA"/>
                    </w:rPr>
                    <w:t>2</w:t>
                  </w:r>
                  <w:r>
                    <w:rPr>
                      <w:rFonts w:hint="default" w:ascii="Times New Roman" w:hAnsi="Times New Roman" w:eastAsia="宋体" w:cs="Times New Roman"/>
                      <w:b w:val="0"/>
                      <w:bCs w:val="0"/>
                      <w:color w:val="auto"/>
                      <w:kern w:val="2"/>
                      <w:sz w:val="21"/>
                      <w:szCs w:val="21"/>
                      <w:highlight w:val="none"/>
                      <w:vertAlign w:val="baseline"/>
                      <w:lang w:val="en-US" w:eastAsia="zh-CN" w:bidi="ar-SA"/>
                    </w:rPr>
                    <w:t>1F</w:t>
                  </w:r>
                  <w:r>
                    <w:rPr>
                      <w:rFonts w:hint="eastAsia" w:ascii="Times New Roman" w:hAnsi="Times New Roman" w:eastAsia="宋体" w:cs="Times New Roman"/>
                      <w:b w:val="0"/>
                      <w:bCs w:val="0"/>
                      <w:color w:val="auto"/>
                      <w:kern w:val="2"/>
                      <w:sz w:val="21"/>
                      <w:szCs w:val="21"/>
                      <w:highlight w:val="none"/>
                      <w:vertAlign w:val="baseline"/>
                      <w:lang w:val="en-US" w:eastAsia="zh-CN" w:bidi="ar-SA"/>
                    </w:rPr>
                    <w:t>，闲置，存放杂物</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287" w:hRule="atLeast"/>
              </w:trPr>
              <w:tc>
                <w:tcPr>
                  <w:tcW w:w="637" w:type="pct"/>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color w:val="auto"/>
                      <w:sz w:val="21"/>
                      <w:szCs w:val="21"/>
                    </w:rPr>
                  </w:pPr>
                </w:p>
              </w:tc>
              <w:tc>
                <w:tcPr>
                  <w:tcW w:w="686" w:type="pct"/>
                  <w:shd w:val="clear" w:color="auto" w:fill="FFFFFF"/>
                  <w:noWrap w:val="0"/>
                  <w:vAlign w:val="center"/>
                </w:tcPr>
                <w:p>
                  <w:pPr>
                    <w:pStyle w:val="50"/>
                    <w:widowControl w:val="0"/>
                    <w:spacing w:line="240" w:lineRule="auto"/>
                    <w:rPr>
                      <w:rFonts w:hint="default" w:ascii="Times New Roman" w:hAnsi="Times New Roman" w:cs="Times New Roman" w:eastAsiaTheme="minorEastAsia"/>
                      <w:spacing w:val="-11"/>
                      <w:sz w:val="21"/>
                      <w:szCs w:val="21"/>
                    </w:rPr>
                  </w:pPr>
                  <w:r>
                    <w:rPr>
                      <w:rFonts w:hint="default" w:ascii="Times New Roman" w:hAnsi="Times New Roman" w:eastAsia="宋体" w:cs="Times New Roman"/>
                      <w:color w:val="auto"/>
                      <w:kern w:val="2"/>
                      <w:sz w:val="21"/>
                      <w:szCs w:val="21"/>
                      <w:highlight w:val="none"/>
                      <w:lang w:val="en-US" w:eastAsia="zh-CN" w:bidi="ar-SA"/>
                    </w:rPr>
                    <w:t>1#车间</w:t>
                  </w:r>
                </w:p>
              </w:tc>
              <w:tc>
                <w:tcPr>
                  <w:tcW w:w="1949" w:type="pct"/>
                  <w:shd w:val="clear" w:color="auto" w:fill="FFFFFF"/>
                  <w:noWrap w:val="0"/>
                  <w:vAlign w:val="center"/>
                </w:tcPr>
                <w:p>
                  <w:pPr>
                    <w:pStyle w:val="50"/>
                    <w:spacing w:line="240" w:lineRule="auto"/>
                    <w:jc w:val="center"/>
                    <w:rPr>
                      <w:rFonts w:hint="default" w:ascii="Times New Roman" w:hAnsi="Times New Roman" w:cs="Times New Roman" w:eastAsiaTheme="minorEastAsia"/>
                      <w:spacing w:val="1"/>
                      <w:sz w:val="21"/>
                      <w:szCs w:val="21"/>
                    </w:rPr>
                  </w:pPr>
                  <w:r>
                    <w:rPr>
                      <w:rFonts w:hint="eastAsia" w:ascii="Times New Roman" w:hAnsi="Times New Roman" w:eastAsia="宋体" w:cs="Times New Roman"/>
                      <w:color w:val="auto"/>
                      <w:kern w:val="2"/>
                      <w:sz w:val="21"/>
                      <w:szCs w:val="21"/>
                      <w:highlight w:val="none"/>
                      <w:lang w:val="en-US" w:eastAsia="zh-CN"/>
                    </w:rPr>
                    <w:t>建筑面积为1208.39m</w:t>
                  </w:r>
                  <w:r>
                    <w:rPr>
                      <w:rFonts w:hint="eastAsia" w:ascii="Times New Roman" w:hAnsi="Times New Roman" w:eastAsia="宋体" w:cs="Times New Roman"/>
                      <w:color w:val="auto"/>
                      <w:kern w:val="2"/>
                      <w:sz w:val="21"/>
                      <w:szCs w:val="21"/>
                      <w:highlight w:val="none"/>
                      <w:vertAlign w:val="superscript"/>
                      <w:lang w:val="en-US" w:eastAsia="zh-CN"/>
                    </w:rPr>
                    <w:t>2</w:t>
                  </w:r>
                  <w:r>
                    <w:rPr>
                      <w:rFonts w:hint="eastAsia" w:ascii="Times New Roman" w:hAnsi="Times New Roman" w:eastAsia="宋体" w:cs="Times New Roman"/>
                      <w:color w:val="auto"/>
                      <w:kern w:val="2"/>
                      <w:sz w:val="21"/>
                      <w:szCs w:val="21"/>
                      <w:highlight w:val="none"/>
                      <w:vertAlign w:val="baseline"/>
                      <w:lang w:val="en-US" w:eastAsia="zh-CN"/>
                    </w:rPr>
                    <w:t>1F为</w:t>
                  </w:r>
                  <w:r>
                    <w:rPr>
                      <w:rFonts w:hint="default" w:ascii="Times New Roman" w:hAnsi="Times New Roman" w:eastAsia="宋体" w:cs="Times New Roman"/>
                      <w:b w:val="0"/>
                      <w:bCs w:val="0"/>
                      <w:color w:val="auto"/>
                      <w:kern w:val="2"/>
                      <w:sz w:val="21"/>
                      <w:szCs w:val="21"/>
                      <w:highlight w:val="none"/>
                      <w:vertAlign w:val="baseline"/>
                      <w:lang w:val="en-US" w:eastAsia="zh-CN" w:bidi="ar-SA"/>
                    </w:rPr>
                    <w:t>原料搅拌</w:t>
                  </w:r>
                  <w:r>
                    <w:rPr>
                      <w:rFonts w:hint="default" w:ascii="Times New Roman" w:hAnsi="Times New Roman" w:eastAsia="宋体" w:cs="Times New Roman"/>
                      <w:color w:val="auto"/>
                      <w:kern w:val="2"/>
                      <w:sz w:val="21"/>
                      <w:szCs w:val="21"/>
                      <w:highlight w:val="none"/>
                      <w:vertAlign w:val="baseline"/>
                      <w:lang w:val="en-US" w:eastAsia="zh-CN"/>
                    </w:rPr>
                    <w:t>和原料储存</w:t>
                  </w:r>
                </w:p>
              </w:tc>
              <w:tc>
                <w:tcPr>
                  <w:tcW w:w="1726" w:type="pct"/>
                  <w:shd w:val="clear" w:color="auto" w:fill="FFFFFF"/>
                  <w:noWrap w:val="0"/>
                  <w:vAlign w:val="center"/>
                </w:tcPr>
                <w:p>
                  <w:pPr>
                    <w:pStyle w:val="50"/>
                    <w:spacing w:line="240" w:lineRule="auto"/>
                    <w:jc w:val="center"/>
                    <w:rPr>
                      <w:rFonts w:hint="default" w:ascii="Times New Roman" w:hAnsi="Times New Roman" w:cs="Times New Roman" w:eastAsiaTheme="minorEastAsia"/>
                      <w:spacing w:val="1"/>
                      <w:sz w:val="21"/>
                      <w:szCs w:val="21"/>
                    </w:rPr>
                  </w:pPr>
                  <w:r>
                    <w:rPr>
                      <w:rFonts w:hint="eastAsia" w:ascii="Times New Roman" w:hAnsi="Times New Roman" w:eastAsia="宋体" w:cs="Times New Roman"/>
                      <w:color w:val="auto"/>
                      <w:kern w:val="2"/>
                      <w:sz w:val="21"/>
                      <w:szCs w:val="21"/>
                      <w:highlight w:val="none"/>
                      <w:lang w:val="en-US" w:eastAsia="zh-CN"/>
                    </w:rPr>
                    <w:t>建筑面积为1208.39m</w:t>
                  </w:r>
                  <w:r>
                    <w:rPr>
                      <w:rFonts w:hint="eastAsia" w:ascii="Times New Roman" w:hAnsi="Times New Roman" w:eastAsia="宋体" w:cs="Times New Roman"/>
                      <w:color w:val="auto"/>
                      <w:kern w:val="2"/>
                      <w:sz w:val="21"/>
                      <w:szCs w:val="21"/>
                      <w:highlight w:val="none"/>
                      <w:vertAlign w:val="superscript"/>
                      <w:lang w:val="en-US" w:eastAsia="zh-CN"/>
                    </w:rPr>
                    <w:t>2</w:t>
                  </w:r>
                  <w:r>
                    <w:rPr>
                      <w:rFonts w:hint="eastAsia" w:ascii="Times New Roman" w:hAnsi="Times New Roman" w:eastAsia="宋体" w:cs="Times New Roman"/>
                      <w:color w:val="auto"/>
                      <w:kern w:val="2"/>
                      <w:sz w:val="21"/>
                      <w:szCs w:val="21"/>
                      <w:highlight w:val="none"/>
                      <w:vertAlign w:val="baseline"/>
                      <w:lang w:val="en-US" w:eastAsia="zh-CN"/>
                    </w:rPr>
                    <w:t>1F为</w:t>
                  </w:r>
                  <w:r>
                    <w:rPr>
                      <w:rFonts w:hint="default" w:ascii="Times New Roman" w:hAnsi="Times New Roman" w:eastAsia="宋体" w:cs="Times New Roman"/>
                      <w:b w:val="0"/>
                      <w:bCs w:val="0"/>
                      <w:color w:val="auto"/>
                      <w:kern w:val="2"/>
                      <w:sz w:val="21"/>
                      <w:szCs w:val="21"/>
                      <w:highlight w:val="none"/>
                      <w:vertAlign w:val="baseline"/>
                      <w:lang w:val="en-US" w:eastAsia="zh-CN" w:bidi="ar-SA"/>
                    </w:rPr>
                    <w:t>原料搅拌</w:t>
                  </w:r>
                  <w:r>
                    <w:rPr>
                      <w:rFonts w:hint="default" w:ascii="Times New Roman" w:hAnsi="Times New Roman" w:eastAsia="宋体" w:cs="Times New Roman"/>
                      <w:color w:val="auto"/>
                      <w:kern w:val="2"/>
                      <w:sz w:val="21"/>
                      <w:szCs w:val="21"/>
                      <w:highlight w:val="none"/>
                      <w:vertAlign w:val="baseline"/>
                      <w:lang w:val="en-US" w:eastAsia="zh-CN"/>
                    </w:rPr>
                    <w:t>和原料储存</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287" w:hRule="atLeast"/>
              </w:trPr>
              <w:tc>
                <w:tcPr>
                  <w:tcW w:w="637" w:type="pct"/>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color w:val="auto"/>
                      <w:sz w:val="21"/>
                      <w:szCs w:val="21"/>
                    </w:rPr>
                  </w:pPr>
                </w:p>
              </w:tc>
              <w:tc>
                <w:tcPr>
                  <w:tcW w:w="686" w:type="pct"/>
                  <w:shd w:val="clear" w:color="auto" w:fill="FFFFFF"/>
                  <w:noWrap w:val="0"/>
                  <w:vAlign w:val="center"/>
                </w:tcPr>
                <w:p>
                  <w:pPr>
                    <w:pStyle w:val="50"/>
                    <w:widowControl w:val="0"/>
                    <w:spacing w:line="240" w:lineRule="auto"/>
                    <w:rPr>
                      <w:rFonts w:hint="default" w:ascii="Times New Roman" w:hAnsi="Times New Roman" w:cs="Times New Roman" w:eastAsiaTheme="minorEastAsia"/>
                      <w:spacing w:val="-11"/>
                      <w:sz w:val="21"/>
                      <w:szCs w:val="21"/>
                      <w:lang w:val="en-US" w:eastAsia="zh-CN"/>
                    </w:rPr>
                  </w:pPr>
                  <w:r>
                    <w:rPr>
                      <w:rFonts w:hint="default" w:ascii="Times New Roman" w:hAnsi="Times New Roman" w:eastAsia="宋体" w:cs="Times New Roman"/>
                      <w:color w:val="auto"/>
                      <w:kern w:val="2"/>
                      <w:sz w:val="21"/>
                      <w:szCs w:val="21"/>
                      <w:highlight w:val="none"/>
                      <w:lang w:val="en-US" w:eastAsia="zh-CN" w:bidi="ar-SA"/>
                    </w:rPr>
                    <w:t>2#车间</w:t>
                  </w:r>
                </w:p>
              </w:tc>
              <w:tc>
                <w:tcPr>
                  <w:tcW w:w="1949" w:type="pct"/>
                  <w:shd w:val="clear" w:color="auto" w:fill="FFFFFF"/>
                  <w:noWrap w:val="0"/>
                  <w:vAlign w:val="center"/>
                </w:tcPr>
                <w:p>
                  <w:pPr>
                    <w:pStyle w:val="50"/>
                    <w:spacing w:line="240" w:lineRule="auto"/>
                    <w:jc w:val="center"/>
                    <w:rPr>
                      <w:rFonts w:hint="default" w:ascii="Times New Roman" w:hAnsi="Times New Roman" w:cs="Times New Roman" w:eastAsiaTheme="minorEastAsia"/>
                      <w:color w:val="000000"/>
                      <w:kern w:val="0"/>
                      <w:sz w:val="21"/>
                      <w:szCs w:val="21"/>
                      <w:lang w:val="en-US" w:eastAsia="zh-CN" w:bidi="ar"/>
                    </w:rPr>
                  </w:pPr>
                  <w:r>
                    <w:rPr>
                      <w:rFonts w:hint="eastAsia" w:ascii="Times New Roman" w:hAnsi="Times New Roman" w:eastAsia="宋体" w:cs="Times New Roman"/>
                      <w:color w:val="auto"/>
                      <w:kern w:val="2"/>
                      <w:sz w:val="21"/>
                      <w:szCs w:val="21"/>
                      <w:highlight w:val="none"/>
                      <w:lang w:val="en-US" w:eastAsia="zh-CN" w:bidi="ar-SA"/>
                    </w:rPr>
                    <w:t>建筑面积</w:t>
                  </w:r>
                  <w:r>
                    <w:rPr>
                      <w:rFonts w:hint="eastAsia" w:ascii="Times New Roman" w:hAnsi="Times New Roman" w:eastAsia="宋体" w:cs="Times New Roman"/>
                      <w:b w:val="0"/>
                      <w:bCs w:val="0"/>
                      <w:color w:val="auto"/>
                      <w:kern w:val="2"/>
                      <w:sz w:val="21"/>
                      <w:szCs w:val="21"/>
                      <w:highlight w:val="none"/>
                      <w:lang w:val="en-US" w:eastAsia="zh-CN" w:bidi="ar-SA"/>
                    </w:rPr>
                    <w:t>为</w:t>
                  </w:r>
                  <w:r>
                    <w:rPr>
                      <w:rFonts w:hint="eastAsia" w:ascii="Times New Roman" w:hAnsi="Times New Roman" w:eastAsia="宋体" w:cs="Times New Roman"/>
                      <w:b w:val="0"/>
                      <w:bCs w:val="0"/>
                      <w:color w:val="auto"/>
                      <w:kern w:val="2"/>
                      <w:sz w:val="21"/>
                      <w:szCs w:val="21"/>
                      <w:highlight w:val="none"/>
                      <w:vertAlign w:val="baseline"/>
                      <w:lang w:val="en-US" w:eastAsia="zh-CN" w:bidi="ar-SA"/>
                    </w:rPr>
                    <w:t>1208.39m</w:t>
                  </w:r>
                  <w:r>
                    <w:rPr>
                      <w:rFonts w:hint="eastAsia" w:ascii="Times New Roman" w:hAnsi="Times New Roman" w:eastAsia="宋体" w:cs="Times New Roman"/>
                      <w:b w:val="0"/>
                      <w:bCs w:val="0"/>
                      <w:color w:val="auto"/>
                      <w:kern w:val="2"/>
                      <w:sz w:val="21"/>
                      <w:szCs w:val="21"/>
                      <w:highlight w:val="none"/>
                      <w:vertAlign w:val="superscript"/>
                      <w:lang w:val="en-US" w:eastAsia="zh-CN" w:bidi="ar-SA"/>
                    </w:rPr>
                    <w:t>2</w:t>
                  </w:r>
                  <w:r>
                    <w:rPr>
                      <w:rFonts w:hint="eastAsia" w:ascii="Times New Roman" w:hAnsi="Times New Roman" w:eastAsia="宋体" w:cs="Times New Roman"/>
                      <w:b w:val="0"/>
                      <w:bCs w:val="0"/>
                      <w:color w:val="auto"/>
                      <w:kern w:val="2"/>
                      <w:sz w:val="21"/>
                      <w:szCs w:val="21"/>
                      <w:highlight w:val="none"/>
                      <w:vertAlign w:val="baseline"/>
                      <w:lang w:val="en-US" w:eastAsia="zh-CN" w:bidi="ar-SA"/>
                    </w:rPr>
                    <w:t>1F为抹光、养护、堆放、检验等工艺</w:t>
                  </w:r>
                </w:p>
              </w:tc>
              <w:tc>
                <w:tcPr>
                  <w:tcW w:w="1726" w:type="pct"/>
                  <w:shd w:val="clear" w:color="auto" w:fill="FFFFFF"/>
                  <w:noWrap w:val="0"/>
                  <w:vAlign w:val="center"/>
                </w:tcPr>
                <w:p>
                  <w:pPr>
                    <w:pStyle w:val="50"/>
                    <w:spacing w:line="240" w:lineRule="auto"/>
                    <w:jc w:val="center"/>
                    <w:rPr>
                      <w:rFonts w:hint="default" w:ascii="Times New Roman" w:hAnsi="Times New Roman" w:cs="Times New Roman" w:eastAsiaTheme="minorEastAsia"/>
                      <w:color w:val="000000"/>
                      <w:kern w:val="0"/>
                      <w:sz w:val="21"/>
                      <w:szCs w:val="21"/>
                      <w:lang w:val="en-US" w:eastAsia="zh-CN" w:bidi="ar"/>
                    </w:rPr>
                  </w:pPr>
                  <w:r>
                    <w:rPr>
                      <w:rFonts w:hint="eastAsia" w:ascii="Times New Roman" w:hAnsi="Times New Roman" w:eastAsia="宋体" w:cs="Times New Roman"/>
                      <w:color w:val="auto"/>
                      <w:kern w:val="2"/>
                      <w:sz w:val="21"/>
                      <w:szCs w:val="21"/>
                      <w:highlight w:val="none"/>
                      <w:lang w:val="en-US" w:eastAsia="zh-CN" w:bidi="ar-SA"/>
                    </w:rPr>
                    <w:t>建筑面积</w:t>
                  </w:r>
                  <w:r>
                    <w:rPr>
                      <w:rFonts w:hint="eastAsia" w:ascii="Times New Roman" w:hAnsi="Times New Roman" w:eastAsia="宋体" w:cs="Times New Roman"/>
                      <w:b w:val="0"/>
                      <w:bCs w:val="0"/>
                      <w:color w:val="auto"/>
                      <w:kern w:val="2"/>
                      <w:sz w:val="21"/>
                      <w:szCs w:val="21"/>
                      <w:highlight w:val="none"/>
                      <w:lang w:val="en-US" w:eastAsia="zh-CN" w:bidi="ar-SA"/>
                    </w:rPr>
                    <w:t>为</w:t>
                  </w:r>
                  <w:r>
                    <w:rPr>
                      <w:rFonts w:hint="eastAsia" w:ascii="Times New Roman" w:hAnsi="Times New Roman" w:eastAsia="宋体" w:cs="Times New Roman"/>
                      <w:b w:val="0"/>
                      <w:bCs w:val="0"/>
                      <w:color w:val="auto"/>
                      <w:kern w:val="2"/>
                      <w:sz w:val="21"/>
                      <w:szCs w:val="21"/>
                      <w:highlight w:val="none"/>
                      <w:vertAlign w:val="baseline"/>
                      <w:lang w:val="en-US" w:eastAsia="zh-CN" w:bidi="ar-SA"/>
                    </w:rPr>
                    <w:t>1208.39m</w:t>
                  </w:r>
                  <w:r>
                    <w:rPr>
                      <w:rFonts w:hint="eastAsia" w:ascii="Times New Roman" w:hAnsi="Times New Roman" w:eastAsia="宋体" w:cs="Times New Roman"/>
                      <w:b w:val="0"/>
                      <w:bCs w:val="0"/>
                      <w:color w:val="auto"/>
                      <w:kern w:val="2"/>
                      <w:sz w:val="21"/>
                      <w:szCs w:val="21"/>
                      <w:highlight w:val="none"/>
                      <w:vertAlign w:val="superscript"/>
                      <w:lang w:val="en-US" w:eastAsia="zh-CN" w:bidi="ar-SA"/>
                    </w:rPr>
                    <w:t>2</w:t>
                  </w:r>
                  <w:r>
                    <w:rPr>
                      <w:rFonts w:hint="eastAsia" w:ascii="Times New Roman" w:hAnsi="Times New Roman" w:eastAsia="宋体" w:cs="Times New Roman"/>
                      <w:b w:val="0"/>
                      <w:bCs w:val="0"/>
                      <w:color w:val="auto"/>
                      <w:kern w:val="2"/>
                      <w:sz w:val="21"/>
                      <w:szCs w:val="21"/>
                      <w:highlight w:val="none"/>
                      <w:vertAlign w:val="baseline"/>
                      <w:lang w:val="en-US" w:eastAsia="zh-CN" w:bidi="ar-SA"/>
                    </w:rPr>
                    <w:t>1F为抹光、养护、堆放、检验等工艺</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691" w:hRule="atLeast"/>
              </w:trPr>
              <w:tc>
                <w:tcPr>
                  <w:tcW w:w="637" w:type="pct"/>
                  <w:vMerge w:val="restart"/>
                  <w:shd w:val="clear" w:color="auto" w:fill="FFFFFF"/>
                  <w:noWrap w:val="0"/>
                  <w:vAlign w:val="center"/>
                </w:tcPr>
                <w:p>
                  <w:pPr>
                    <w:spacing w:before="65" w:line="312" w:lineRule="exact"/>
                    <w:jc w:val="center"/>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spacing w:val="4"/>
                      <w:sz w:val="21"/>
                      <w:szCs w:val="21"/>
                      <w:lang w:val="en-US" w:eastAsia="zh-CN"/>
                    </w:rPr>
                    <w:t>储运</w:t>
                  </w:r>
                  <w:r>
                    <w:rPr>
                      <w:rFonts w:hint="default" w:ascii="Times New Roman" w:hAnsi="Times New Roman" w:cs="Times New Roman" w:eastAsiaTheme="minorEastAsia"/>
                      <w:spacing w:val="4"/>
                      <w:sz w:val="21"/>
                      <w:szCs w:val="21"/>
                    </w:rPr>
                    <w:t>工</w:t>
                  </w:r>
                  <w:r>
                    <w:rPr>
                      <w:rFonts w:hint="default" w:ascii="Times New Roman" w:hAnsi="Times New Roman" w:cs="Times New Roman" w:eastAsiaTheme="minorEastAsia"/>
                      <w:spacing w:val="3"/>
                      <w:sz w:val="21"/>
                      <w:szCs w:val="21"/>
                    </w:rPr>
                    <w:t>程</w:t>
                  </w:r>
                </w:p>
              </w:tc>
              <w:tc>
                <w:tcPr>
                  <w:tcW w:w="686" w:type="pct"/>
                  <w:shd w:val="clear" w:color="auto" w:fill="FFFFFF"/>
                  <w:noWrap w:val="0"/>
                  <w:vAlign w:val="center"/>
                </w:tcPr>
                <w:p>
                  <w:pPr>
                    <w:pStyle w:val="50"/>
                    <w:widowControl w:val="0"/>
                    <w:spacing w:line="240" w:lineRule="auto"/>
                    <w:jc w:val="center"/>
                    <w:rPr>
                      <w:rFonts w:hint="default" w:ascii="Times New Roman" w:hAnsi="Times New Roman" w:cs="Times New Roman" w:eastAsiaTheme="minorEastAsia"/>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水泥制品成品区</w:t>
                  </w:r>
                </w:p>
              </w:tc>
              <w:tc>
                <w:tcPr>
                  <w:tcW w:w="1949" w:type="pct"/>
                  <w:shd w:val="clear" w:color="auto" w:fill="FFFFFF"/>
                  <w:noWrap w:val="0"/>
                  <w:vAlign w:val="center"/>
                </w:tcPr>
                <w:p>
                  <w:pPr>
                    <w:spacing w:line="240" w:lineRule="auto"/>
                    <w:jc w:val="center"/>
                    <w:rPr>
                      <w:rFonts w:hint="default" w:ascii="Times New Roman" w:hAnsi="Times New Roman" w:cs="Times New Roman" w:eastAsiaTheme="minorEastAsia"/>
                      <w:color w:val="auto"/>
                      <w:sz w:val="21"/>
                      <w:szCs w:val="21"/>
                      <w:highlight w:val="none"/>
                    </w:rPr>
                  </w:pPr>
                  <w:r>
                    <w:rPr>
                      <w:rFonts w:hint="eastAsia" w:ascii="Times New Roman" w:hAnsi="Times New Roman" w:eastAsia="宋体" w:cs="Times New Roman"/>
                      <w:color w:val="auto"/>
                      <w:kern w:val="2"/>
                      <w:sz w:val="21"/>
                      <w:szCs w:val="21"/>
                      <w:highlight w:val="none"/>
                      <w:vertAlign w:val="baseline"/>
                      <w:lang w:val="en-US" w:eastAsia="zh-CN"/>
                    </w:rPr>
                    <w:t>储存合格产品</w:t>
                  </w:r>
                </w:p>
              </w:tc>
              <w:tc>
                <w:tcPr>
                  <w:tcW w:w="1726" w:type="pct"/>
                  <w:shd w:val="clear" w:color="auto" w:fill="FFFFFF"/>
                  <w:noWrap w:val="0"/>
                  <w:vAlign w:val="center"/>
                </w:tcPr>
                <w:p>
                  <w:pPr>
                    <w:spacing w:line="240" w:lineRule="auto"/>
                    <w:jc w:val="center"/>
                    <w:rPr>
                      <w:rFonts w:hint="default" w:ascii="Times New Roman" w:hAnsi="Times New Roman" w:cs="Times New Roman" w:eastAsiaTheme="minorEastAsia"/>
                      <w:color w:val="0000FF"/>
                      <w:sz w:val="21"/>
                      <w:szCs w:val="21"/>
                      <w:lang w:eastAsia="zh-CN"/>
                    </w:rPr>
                  </w:pPr>
                  <w:r>
                    <w:rPr>
                      <w:rFonts w:hint="eastAsia" w:ascii="Times New Roman" w:hAnsi="Times New Roman" w:eastAsia="宋体" w:cs="Times New Roman"/>
                      <w:color w:val="auto"/>
                      <w:kern w:val="2"/>
                      <w:sz w:val="21"/>
                      <w:szCs w:val="21"/>
                      <w:highlight w:val="none"/>
                      <w:vertAlign w:val="baseline"/>
                      <w:lang w:val="en-US" w:eastAsia="zh-CN"/>
                    </w:rPr>
                    <w:t>储存合格产品</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1089" w:hRule="atLeast"/>
              </w:trPr>
              <w:tc>
                <w:tcPr>
                  <w:tcW w:w="637" w:type="pct"/>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color w:val="auto"/>
                      <w:sz w:val="21"/>
                      <w:szCs w:val="21"/>
                    </w:rPr>
                  </w:pPr>
                </w:p>
              </w:tc>
              <w:tc>
                <w:tcPr>
                  <w:tcW w:w="686" w:type="pct"/>
                  <w:shd w:val="clear" w:color="auto" w:fill="FFFFFF"/>
                  <w:noWrap w:val="0"/>
                  <w:vAlign w:val="center"/>
                </w:tcPr>
                <w:p>
                  <w:pPr>
                    <w:spacing w:line="240" w:lineRule="auto"/>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eastAsia="宋体" w:cs="Times New Roman"/>
                      <w:color w:val="auto"/>
                      <w:kern w:val="2"/>
                      <w:sz w:val="21"/>
                      <w:szCs w:val="21"/>
                      <w:highlight w:val="none"/>
                      <w:lang w:val="en-US" w:eastAsia="zh-CN" w:bidi="ar-SA"/>
                    </w:rPr>
                    <w:t>水泥罐</w:t>
                  </w:r>
                </w:p>
              </w:tc>
              <w:tc>
                <w:tcPr>
                  <w:tcW w:w="1949" w:type="pct"/>
                  <w:shd w:val="clear" w:color="auto" w:fill="FFFFFF"/>
                  <w:noWrap w:val="0"/>
                  <w:vAlign w:val="center"/>
                </w:tcPr>
                <w:p>
                  <w:pPr>
                    <w:spacing w:line="240" w:lineRule="auto"/>
                    <w:jc w:val="center"/>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SA"/>
                    </w:rPr>
                    <w:t>水泥罐2个（总库容为200t）</w:t>
                  </w:r>
                  <w:r>
                    <w:rPr>
                      <w:rFonts w:hint="eastAsia" w:ascii="Times New Roman" w:hAnsi="Times New Roman" w:eastAsia="宋体" w:cs="Times New Roman"/>
                      <w:color w:val="auto"/>
                      <w:kern w:val="2"/>
                      <w:sz w:val="21"/>
                      <w:szCs w:val="21"/>
                      <w:highlight w:val="none"/>
                      <w:lang w:val="en-US" w:eastAsia="zh-CN" w:bidi="ar-SA"/>
                    </w:rPr>
                    <w:t>，位于</w:t>
                  </w:r>
                  <w:r>
                    <w:rPr>
                      <w:rFonts w:hint="default" w:ascii="Times New Roman" w:hAnsi="Times New Roman" w:eastAsia="宋体" w:cs="Times New Roman"/>
                      <w:color w:val="auto"/>
                      <w:kern w:val="2"/>
                      <w:sz w:val="21"/>
                      <w:szCs w:val="21"/>
                      <w:highlight w:val="none"/>
                      <w:lang w:val="en-US" w:eastAsia="zh-CN" w:bidi="ar-SA"/>
                    </w:rPr>
                    <w:t>旺通车间旁，单个规格100t，高9m，铁质</w:t>
                  </w:r>
                </w:p>
              </w:tc>
              <w:tc>
                <w:tcPr>
                  <w:tcW w:w="1726" w:type="pct"/>
                  <w:shd w:val="clear" w:color="auto" w:fill="FFFFFF"/>
                  <w:noWrap w:val="0"/>
                  <w:vAlign w:val="center"/>
                </w:tcPr>
                <w:p>
                  <w:pPr>
                    <w:spacing w:line="240" w:lineRule="auto"/>
                    <w:jc w:val="center"/>
                    <w:rPr>
                      <w:rFonts w:hint="default" w:ascii="Times New Roman" w:hAnsi="Times New Roman" w:cs="Times New Roman" w:eastAsiaTheme="minorEastAsia"/>
                      <w:color w:val="0000FF"/>
                      <w:sz w:val="21"/>
                      <w:szCs w:val="21"/>
                      <w:lang w:eastAsia="zh-CN"/>
                    </w:rPr>
                  </w:pPr>
                  <w:r>
                    <w:rPr>
                      <w:rFonts w:hint="default" w:ascii="Times New Roman" w:hAnsi="Times New Roman" w:eastAsia="宋体" w:cs="Times New Roman"/>
                      <w:color w:val="auto"/>
                      <w:kern w:val="2"/>
                      <w:sz w:val="21"/>
                      <w:szCs w:val="21"/>
                      <w:highlight w:val="none"/>
                      <w:lang w:val="en-US" w:eastAsia="zh-CN" w:bidi="ar-SA"/>
                    </w:rPr>
                    <w:t>水泥罐2个（总库容为200t）</w:t>
                  </w:r>
                  <w:r>
                    <w:rPr>
                      <w:rFonts w:hint="eastAsia" w:ascii="Times New Roman" w:hAnsi="Times New Roman" w:eastAsia="宋体" w:cs="Times New Roman"/>
                      <w:color w:val="auto"/>
                      <w:kern w:val="2"/>
                      <w:sz w:val="21"/>
                      <w:szCs w:val="21"/>
                      <w:highlight w:val="none"/>
                      <w:lang w:val="en-US" w:eastAsia="zh-CN" w:bidi="ar-SA"/>
                    </w:rPr>
                    <w:t>，位于</w:t>
                  </w:r>
                  <w:r>
                    <w:rPr>
                      <w:rFonts w:hint="default" w:ascii="Times New Roman" w:hAnsi="Times New Roman" w:eastAsia="宋体" w:cs="Times New Roman"/>
                      <w:color w:val="auto"/>
                      <w:kern w:val="2"/>
                      <w:sz w:val="21"/>
                      <w:szCs w:val="21"/>
                      <w:highlight w:val="none"/>
                      <w:lang w:val="en-US" w:eastAsia="zh-CN" w:bidi="ar-SA"/>
                    </w:rPr>
                    <w:t>旺通车间旁，单个规格100t，高9m，铁质</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1089" w:hRule="atLeast"/>
              </w:trPr>
              <w:tc>
                <w:tcPr>
                  <w:tcW w:w="637" w:type="pct"/>
                  <w:vMerge w:val="continue"/>
                  <w:shd w:val="clear" w:color="auto" w:fill="FFFFFF"/>
                  <w:noWrap w:val="0"/>
                  <w:vAlign w:val="center"/>
                </w:tcPr>
                <w:p>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pPr>
                </w:p>
              </w:tc>
              <w:tc>
                <w:tcPr>
                  <w:tcW w:w="686" w:type="pct"/>
                  <w:shd w:val="clear" w:color="auto" w:fill="FFFFFF"/>
                  <w:noWrap w:val="0"/>
                  <w:vAlign w:val="center"/>
                </w:tcPr>
                <w:p>
                  <w:pPr>
                    <w:spacing w:line="240" w:lineRule="auto"/>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color w:val="auto"/>
                      <w:kern w:val="2"/>
                      <w:sz w:val="21"/>
                      <w:szCs w:val="21"/>
                      <w:highlight w:val="none"/>
                      <w:lang w:val="en-US" w:eastAsia="zh-CN" w:bidi="ar-SA"/>
                    </w:rPr>
                    <w:t>原料仓库</w:t>
                  </w:r>
                </w:p>
              </w:tc>
              <w:tc>
                <w:tcPr>
                  <w:tcW w:w="1949" w:type="pct"/>
                  <w:shd w:val="clear" w:color="auto" w:fill="FFFFFF"/>
                  <w:noWrap w:val="0"/>
                  <w:vAlign w:val="center"/>
                </w:tcPr>
                <w:p>
                  <w:pPr>
                    <w:spacing w:line="240" w:lineRule="auto"/>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color w:val="auto"/>
                      <w:kern w:val="2"/>
                      <w:sz w:val="21"/>
                      <w:szCs w:val="21"/>
                      <w:highlight w:val="none"/>
                      <w:vertAlign w:val="baseline"/>
                      <w:lang w:val="en-US" w:eastAsia="zh-CN" w:bidi="ar-SA"/>
                    </w:rPr>
                    <w:t>储存原料</w:t>
                  </w:r>
                  <w:r>
                    <w:rPr>
                      <w:rFonts w:hint="eastAsia" w:ascii="Times New Roman" w:hAnsi="Times New Roman" w:eastAsia="宋体" w:cs="Times New Roman"/>
                      <w:color w:val="auto"/>
                      <w:kern w:val="2"/>
                      <w:sz w:val="21"/>
                      <w:szCs w:val="21"/>
                      <w:highlight w:val="none"/>
                      <w:vertAlign w:val="baseline"/>
                      <w:lang w:val="en-US" w:eastAsia="zh-CN" w:bidi="ar-SA"/>
                    </w:rPr>
                    <w:t>，为厂区西侧工棚</w:t>
                  </w:r>
                </w:p>
              </w:tc>
              <w:tc>
                <w:tcPr>
                  <w:tcW w:w="1726" w:type="pct"/>
                  <w:shd w:val="clear" w:color="auto" w:fill="FFFFFF"/>
                  <w:noWrap w:val="0"/>
                  <w:vAlign w:val="center"/>
                </w:tcPr>
                <w:p>
                  <w:pPr>
                    <w:spacing w:line="240" w:lineRule="auto"/>
                    <w:jc w:val="center"/>
                    <w:rPr>
                      <w:rFonts w:hint="default" w:ascii="Times New Roman" w:hAnsi="Times New Roman" w:cs="Times New Roman" w:eastAsiaTheme="minorEastAsia"/>
                      <w:color w:val="auto"/>
                      <w:sz w:val="21"/>
                      <w:szCs w:val="21"/>
                      <w:lang w:val="en-US" w:eastAsia="zh-CN"/>
                    </w:rPr>
                  </w:pPr>
                  <w:r>
                    <w:rPr>
                      <w:rFonts w:hint="default" w:ascii="Times New Roman" w:hAnsi="Times New Roman" w:eastAsia="宋体" w:cs="Times New Roman"/>
                      <w:color w:val="auto"/>
                      <w:kern w:val="2"/>
                      <w:sz w:val="21"/>
                      <w:szCs w:val="21"/>
                      <w:highlight w:val="none"/>
                      <w:vertAlign w:val="baseline"/>
                      <w:lang w:val="en-US" w:eastAsia="zh-CN" w:bidi="ar-SA"/>
                    </w:rPr>
                    <w:t>储存原料</w:t>
                  </w:r>
                  <w:r>
                    <w:rPr>
                      <w:rFonts w:hint="eastAsia" w:ascii="Times New Roman" w:hAnsi="Times New Roman" w:eastAsia="宋体" w:cs="Times New Roman"/>
                      <w:color w:val="auto"/>
                      <w:kern w:val="2"/>
                      <w:sz w:val="21"/>
                      <w:szCs w:val="21"/>
                      <w:highlight w:val="none"/>
                      <w:vertAlign w:val="baseline"/>
                      <w:lang w:val="en-US" w:eastAsia="zh-CN" w:bidi="ar-SA"/>
                    </w:rPr>
                    <w:t>，为厂区西侧工棚</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263" w:hRule="atLeast"/>
              </w:trPr>
              <w:tc>
                <w:tcPr>
                  <w:tcW w:w="637" w:type="pct"/>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lang w:val="en-US" w:eastAsia="zh-CN"/>
                    </w:rPr>
                    <w:t>辅助</w:t>
                  </w:r>
                  <w:r>
                    <w:rPr>
                      <w:rFonts w:hint="default" w:ascii="Times New Roman" w:hAnsi="Times New Roman" w:cs="Times New Roman" w:eastAsiaTheme="minorEastAsia"/>
                      <w:color w:val="auto"/>
                      <w:sz w:val="21"/>
                      <w:szCs w:val="21"/>
                    </w:rPr>
                    <w:t>工程</w:t>
                  </w:r>
                </w:p>
              </w:tc>
              <w:tc>
                <w:tcPr>
                  <w:tcW w:w="686" w:type="pct"/>
                  <w:shd w:val="clear" w:color="auto" w:fill="FFFFFF"/>
                  <w:noWrap w:val="0"/>
                  <w:vAlign w:val="center"/>
                </w:tcPr>
                <w:p>
                  <w:pPr>
                    <w:pStyle w:val="50"/>
                    <w:widowControl w:val="0"/>
                    <w:spacing w:line="240" w:lineRule="auto"/>
                    <w:jc w:val="center"/>
                    <w:rPr>
                      <w:rFonts w:hint="default" w:ascii="Times New Roman" w:hAnsi="Times New Roman" w:cs="Times New Roman" w:eastAsiaTheme="minorEastAsia"/>
                      <w:color w:val="auto"/>
                      <w:sz w:val="21"/>
                      <w:szCs w:val="21"/>
                    </w:rPr>
                  </w:pPr>
                  <w:r>
                    <w:rPr>
                      <w:rFonts w:hint="default" w:ascii="Times New Roman" w:hAnsi="Times New Roman" w:eastAsia="宋体" w:cs="Times New Roman"/>
                      <w:color w:val="auto"/>
                      <w:kern w:val="2"/>
                      <w:sz w:val="21"/>
                      <w:szCs w:val="21"/>
                      <w:highlight w:val="none"/>
                      <w:lang w:val="en-US" w:eastAsia="zh-CN"/>
                    </w:rPr>
                    <w:t>办公楼</w:t>
                  </w:r>
                </w:p>
              </w:tc>
              <w:tc>
                <w:tcPr>
                  <w:tcW w:w="1949" w:type="pct"/>
                  <w:shd w:val="clear" w:color="auto" w:fill="FFFFFF"/>
                  <w:noWrap w:val="0"/>
                  <w:vAlign w:val="center"/>
                </w:tcPr>
                <w:p>
                  <w:pPr>
                    <w:spacing w:line="240" w:lineRule="auto"/>
                    <w:jc w:val="center"/>
                    <w:rPr>
                      <w:rFonts w:hint="default" w:ascii="Times New Roman" w:hAnsi="Times New Roman" w:cs="Times New Roman" w:eastAsiaTheme="minorEastAsia"/>
                      <w:spacing w:val="11"/>
                      <w:sz w:val="21"/>
                      <w:szCs w:val="21"/>
                    </w:rPr>
                  </w:pPr>
                  <w:r>
                    <w:rPr>
                      <w:rFonts w:hint="default" w:ascii="Times New Roman" w:hAnsi="Times New Roman" w:eastAsia="宋体" w:cs="Times New Roman"/>
                      <w:color w:val="auto"/>
                      <w:kern w:val="2"/>
                      <w:sz w:val="21"/>
                      <w:szCs w:val="21"/>
                      <w:highlight w:val="none"/>
                      <w:lang w:val="en-US" w:eastAsia="zh-CN"/>
                    </w:rPr>
                    <w:t>1</w:t>
                  </w:r>
                  <w:r>
                    <w:rPr>
                      <w:rFonts w:hint="default" w:ascii="Times New Roman" w:hAnsi="Times New Roman" w:eastAsia="宋体" w:cs="Times New Roman"/>
                      <w:color w:val="auto"/>
                      <w:kern w:val="2"/>
                      <w:sz w:val="21"/>
                      <w:szCs w:val="21"/>
                      <w:highlight w:val="none"/>
                    </w:rPr>
                    <w:t>座</w:t>
                  </w:r>
                  <w:r>
                    <w:rPr>
                      <w:rFonts w:hint="default" w:ascii="Times New Roman" w:hAnsi="Times New Roman" w:eastAsia="宋体" w:cs="Times New Roman"/>
                      <w:color w:val="auto"/>
                      <w:kern w:val="2"/>
                      <w:sz w:val="21"/>
                      <w:szCs w:val="21"/>
                      <w:highlight w:val="none"/>
                      <w:lang w:val="en-US" w:eastAsia="zh-CN"/>
                    </w:rPr>
                    <w:t>二层</w:t>
                  </w:r>
                  <w:r>
                    <w:rPr>
                      <w:rFonts w:hint="default" w:ascii="Times New Roman" w:hAnsi="Times New Roman" w:eastAsia="宋体" w:cs="Times New Roman"/>
                      <w:color w:val="auto"/>
                      <w:kern w:val="2"/>
                      <w:sz w:val="21"/>
                      <w:szCs w:val="21"/>
                      <w:highlight w:val="none"/>
                    </w:rPr>
                    <w:t>，</w:t>
                  </w:r>
                  <w:r>
                    <w:rPr>
                      <w:rFonts w:hint="default" w:ascii="Times New Roman" w:hAnsi="Times New Roman" w:eastAsia="宋体" w:cs="Times New Roman"/>
                      <w:color w:val="auto"/>
                      <w:kern w:val="2"/>
                      <w:sz w:val="21"/>
                      <w:szCs w:val="21"/>
                      <w:highlight w:val="none"/>
                      <w:lang w:val="en-US" w:eastAsia="zh-CN"/>
                    </w:rPr>
                    <w:t>钢结构，</w:t>
                  </w:r>
                  <w:r>
                    <w:rPr>
                      <w:rFonts w:hint="default" w:ascii="Times New Roman" w:hAnsi="Times New Roman" w:eastAsia="宋体" w:cs="Times New Roman"/>
                      <w:color w:val="auto"/>
                      <w:kern w:val="2"/>
                      <w:sz w:val="21"/>
                      <w:szCs w:val="21"/>
                      <w:highlight w:val="none"/>
                    </w:rPr>
                    <w:t>建筑面积</w:t>
                  </w:r>
                  <w:r>
                    <w:rPr>
                      <w:rFonts w:hint="default" w:ascii="Times New Roman" w:hAnsi="Times New Roman" w:eastAsia="宋体" w:cs="Times New Roman"/>
                      <w:color w:val="auto"/>
                      <w:kern w:val="2"/>
                      <w:sz w:val="21"/>
                      <w:szCs w:val="21"/>
                      <w:highlight w:val="none"/>
                      <w:lang w:val="en-US" w:eastAsia="zh-CN"/>
                    </w:rPr>
                    <w:t>491.7</w:t>
                  </w:r>
                  <w:r>
                    <w:rPr>
                      <w:rFonts w:hint="default" w:ascii="Times New Roman" w:hAnsi="Times New Roman" w:eastAsia="宋体" w:cs="Times New Roman"/>
                      <w:color w:val="auto"/>
                      <w:kern w:val="2"/>
                      <w:sz w:val="21"/>
                      <w:szCs w:val="21"/>
                      <w:highlight w:val="none"/>
                    </w:rPr>
                    <w:t>m</w:t>
                  </w:r>
                  <w:r>
                    <w:rPr>
                      <w:rFonts w:hint="default" w:ascii="Times New Roman" w:hAnsi="Times New Roman" w:eastAsia="宋体" w:cs="Times New Roman"/>
                      <w:color w:val="auto"/>
                      <w:kern w:val="2"/>
                      <w:sz w:val="21"/>
                      <w:szCs w:val="21"/>
                      <w:highlight w:val="none"/>
                      <w:vertAlign w:val="superscript"/>
                    </w:rPr>
                    <w:t>2</w:t>
                  </w:r>
                  <w:r>
                    <w:rPr>
                      <w:rFonts w:hint="default" w:ascii="Times New Roman" w:hAnsi="Times New Roman" w:eastAsia="宋体" w:cs="Times New Roman"/>
                      <w:color w:val="auto"/>
                      <w:kern w:val="2"/>
                      <w:sz w:val="21"/>
                      <w:szCs w:val="21"/>
                      <w:highlight w:val="none"/>
                    </w:rPr>
                    <w:t>，</w:t>
                  </w:r>
                  <w:r>
                    <w:rPr>
                      <w:rFonts w:hint="default" w:ascii="Times New Roman" w:hAnsi="Times New Roman" w:eastAsia="宋体" w:cs="Times New Roman"/>
                      <w:color w:val="auto"/>
                      <w:kern w:val="2"/>
                      <w:sz w:val="21"/>
                      <w:szCs w:val="21"/>
                      <w:highlight w:val="none"/>
                      <w:lang w:val="en-US" w:eastAsia="zh-CN"/>
                    </w:rPr>
                    <w:t>用于日常办公</w:t>
                  </w:r>
                </w:p>
              </w:tc>
              <w:tc>
                <w:tcPr>
                  <w:tcW w:w="1726" w:type="pct"/>
                  <w:shd w:val="clear" w:color="auto" w:fill="FFFFFF"/>
                  <w:noWrap w:val="0"/>
                  <w:vAlign w:val="center"/>
                </w:tcPr>
                <w:p>
                  <w:pPr>
                    <w:spacing w:line="240" w:lineRule="auto"/>
                    <w:jc w:val="center"/>
                    <w:rPr>
                      <w:rFonts w:hint="default" w:ascii="Times New Roman" w:hAnsi="Times New Roman" w:cs="Times New Roman" w:eastAsiaTheme="minorEastAsia"/>
                      <w:spacing w:val="8"/>
                      <w:sz w:val="21"/>
                      <w:szCs w:val="21"/>
                    </w:rPr>
                  </w:pPr>
                  <w:r>
                    <w:rPr>
                      <w:rFonts w:hint="default" w:ascii="Times New Roman" w:hAnsi="Times New Roman" w:eastAsia="宋体" w:cs="Times New Roman"/>
                      <w:color w:val="auto"/>
                      <w:kern w:val="2"/>
                      <w:sz w:val="21"/>
                      <w:szCs w:val="21"/>
                      <w:highlight w:val="none"/>
                      <w:lang w:val="en-US" w:eastAsia="zh-CN"/>
                    </w:rPr>
                    <w:t>1</w:t>
                  </w:r>
                  <w:r>
                    <w:rPr>
                      <w:rFonts w:hint="default" w:ascii="Times New Roman" w:hAnsi="Times New Roman" w:eastAsia="宋体" w:cs="Times New Roman"/>
                      <w:color w:val="auto"/>
                      <w:kern w:val="2"/>
                      <w:sz w:val="21"/>
                      <w:szCs w:val="21"/>
                      <w:highlight w:val="none"/>
                    </w:rPr>
                    <w:t>座</w:t>
                  </w:r>
                  <w:r>
                    <w:rPr>
                      <w:rFonts w:hint="default" w:ascii="Times New Roman" w:hAnsi="Times New Roman" w:eastAsia="宋体" w:cs="Times New Roman"/>
                      <w:color w:val="auto"/>
                      <w:kern w:val="2"/>
                      <w:sz w:val="21"/>
                      <w:szCs w:val="21"/>
                      <w:highlight w:val="none"/>
                      <w:lang w:val="en-US" w:eastAsia="zh-CN"/>
                    </w:rPr>
                    <w:t>二层</w:t>
                  </w:r>
                  <w:r>
                    <w:rPr>
                      <w:rFonts w:hint="default" w:ascii="Times New Roman" w:hAnsi="Times New Roman" w:eastAsia="宋体" w:cs="Times New Roman"/>
                      <w:color w:val="auto"/>
                      <w:kern w:val="2"/>
                      <w:sz w:val="21"/>
                      <w:szCs w:val="21"/>
                      <w:highlight w:val="none"/>
                    </w:rPr>
                    <w:t>，</w:t>
                  </w:r>
                  <w:r>
                    <w:rPr>
                      <w:rFonts w:hint="default" w:ascii="Times New Roman" w:hAnsi="Times New Roman" w:eastAsia="宋体" w:cs="Times New Roman"/>
                      <w:color w:val="auto"/>
                      <w:kern w:val="2"/>
                      <w:sz w:val="21"/>
                      <w:szCs w:val="21"/>
                      <w:highlight w:val="none"/>
                      <w:lang w:val="en-US" w:eastAsia="zh-CN"/>
                    </w:rPr>
                    <w:t>钢结构，</w:t>
                  </w:r>
                  <w:r>
                    <w:rPr>
                      <w:rFonts w:hint="default" w:ascii="Times New Roman" w:hAnsi="Times New Roman" w:eastAsia="宋体" w:cs="Times New Roman"/>
                      <w:color w:val="auto"/>
                      <w:kern w:val="2"/>
                      <w:sz w:val="21"/>
                      <w:szCs w:val="21"/>
                      <w:highlight w:val="none"/>
                    </w:rPr>
                    <w:t>建筑面积</w:t>
                  </w:r>
                  <w:r>
                    <w:rPr>
                      <w:rFonts w:hint="default" w:ascii="Times New Roman" w:hAnsi="Times New Roman" w:eastAsia="宋体" w:cs="Times New Roman"/>
                      <w:color w:val="auto"/>
                      <w:kern w:val="2"/>
                      <w:sz w:val="21"/>
                      <w:szCs w:val="21"/>
                      <w:highlight w:val="none"/>
                      <w:lang w:val="en-US" w:eastAsia="zh-CN"/>
                    </w:rPr>
                    <w:t>491.7</w:t>
                  </w:r>
                  <w:r>
                    <w:rPr>
                      <w:rFonts w:hint="default" w:ascii="Times New Roman" w:hAnsi="Times New Roman" w:eastAsia="宋体" w:cs="Times New Roman"/>
                      <w:color w:val="auto"/>
                      <w:kern w:val="2"/>
                      <w:sz w:val="21"/>
                      <w:szCs w:val="21"/>
                      <w:highlight w:val="none"/>
                    </w:rPr>
                    <w:t>m</w:t>
                  </w:r>
                  <w:r>
                    <w:rPr>
                      <w:rFonts w:hint="default" w:ascii="Times New Roman" w:hAnsi="Times New Roman" w:eastAsia="宋体" w:cs="Times New Roman"/>
                      <w:color w:val="auto"/>
                      <w:kern w:val="2"/>
                      <w:sz w:val="21"/>
                      <w:szCs w:val="21"/>
                      <w:highlight w:val="none"/>
                      <w:vertAlign w:val="superscript"/>
                    </w:rPr>
                    <w:t>2</w:t>
                  </w:r>
                  <w:r>
                    <w:rPr>
                      <w:rFonts w:hint="default" w:ascii="Times New Roman" w:hAnsi="Times New Roman" w:eastAsia="宋体" w:cs="Times New Roman"/>
                      <w:color w:val="auto"/>
                      <w:kern w:val="2"/>
                      <w:sz w:val="21"/>
                      <w:szCs w:val="21"/>
                      <w:highlight w:val="none"/>
                    </w:rPr>
                    <w:t>，</w:t>
                  </w:r>
                  <w:r>
                    <w:rPr>
                      <w:rFonts w:hint="default" w:ascii="Times New Roman" w:hAnsi="Times New Roman" w:eastAsia="宋体" w:cs="Times New Roman"/>
                      <w:color w:val="auto"/>
                      <w:kern w:val="2"/>
                      <w:sz w:val="21"/>
                      <w:szCs w:val="21"/>
                      <w:highlight w:val="none"/>
                      <w:lang w:val="en-US" w:eastAsia="zh-CN"/>
                    </w:rPr>
                    <w:t>用于日常办公</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465" w:hRule="atLeast"/>
              </w:trPr>
              <w:tc>
                <w:tcPr>
                  <w:tcW w:w="637" w:type="pct"/>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color w:val="auto"/>
                      <w:sz w:val="21"/>
                      <w:szCs w:val="21"/>
                      <w:lang w:val="en-US" w:eastAsia="zh-CN"/>
                    </w:rPr>
                  </w:pPr>
                </w:p>
              </w:tc>
              <w:tc>
                <w:tcPr>
                  <w:tcW w:w="686" w:type="pct"/>
                  <w:shd w:val="clear" w:color="auto" w:fill="FFFFFF"/>
                  <w:noWrap w:val="0"/>
                  <w:vAlign w:val="center"/>
                </w:tcPr>
                <w:p>
                  <w:pPr>
                    <w:pStyle w:val="50"/>
                    <w:widowControl w:val="0"/>
                    <w:spacing w:line="240" w:lineRule="auto"/>
                    <w:jc w:val="center"/>
                    <w:rPr>
                      <w:rFonts w:hint="default" w:ascii="Times New Roman" w:hAnsi="Times New Roman" w:cs="Times New Roman" w:eastAsiaTheme="minorEastAsia"/>
                      <w:color w:val="auto"/>
                      <w:sz w:val="21"/>
                      <w:szCs w:val="21"/>
                    </w:rPr>
                  </w:pPr>
                  <w:r>
                    <w:rPr>
                      <w:rFonts w:hint="default" w:ascii="Times New Roman" w:hAnsi="Times New Roman" w:eastAsia="宋体" w:cs="Times New Roman"/>
                      <w:color w:val="auto"/>
                      <w:kern w:val="2"/>
                      <w:sz w:val="21"/>
                      <w:szCs w:val="21"/>
                      <w:highlight w:val="none"/>
                      <w:lang w:val="en-US" w:eastAsia="zh-CN"/>
                    </w:rPr>
                    <w:t>门卫室</w:t>
                  </w:r>
                </w:p>
              </w:tc>
              <w:tc>
                <w:tcPr>
                  <w:tcW w:w="1949" w:type="pct"/>
                  <w:shd w:val="clear" w:color="auto" w:fill="FFFFFF"/>
                  <w:noWrap w:val="0"/>
                  <w:vAlign w:val="center"/>
                </w:tcPr>
                <w:p>
                  <w:pPr>
                    <w:spacing w:line="240" w:lineRule="auto"/>
                    <w:jc w:val="center"/>
                    <w:rPr>
                      <w:rFonts w:hint="default" w:ascii="Times New Roman" w:hAnsi="Times New Roman" w:cs="Times New Roman" w:eastAsiaTheme="minorEastAsia"/>
                      <w:spacing w:val="11"/>
                      <w:sz w:val="21"/>
                      <w:szCs w:val="21"/>
                      <w:lang w:val="en-US" w:eastAsia="zh-CN"/>
                    </w:rPr>
                  </w:pPr>
                  <w:r>
                    <w:rPr>
                      <w:rFonts w:hint="default" w:ascii="Times New Roman" w:hAnsi="Times New Roman" w:eastAsia="宋体" w:cs="Times New Roman"/>
                      <w:color w:val="auto"/>
                      <w:kern w:val="2"/>
                      <w:sz w:val="21"/>
                      <w:szCs w:val="21"/>
                      <w:highlight w:val="none"/>
                    </w:rPr>
                    <w:t>建筑面积</w:t>
                  </w:r>
                  <w:r>
                    <w:rPr>
                      <w:rFonts w:hint="default" w:ascii="Times New Roman" w:hAnsi="Times New Roman" w:eastAsia="宋体" w:cs="Times New Roman"/>
                      <w:color w:val="auto"/>
                      <w:kern w:val="2"/>
                      <w:sz w:val="21"/>
                      <w:szCs w:val="21"/>
                      <w:highlight w:val="none"/>
                      <w:lang w:val="en-US" w:eastAsia="zh-CN"/>
                    </w:rPr>
                    <w:t>20.9</w:t>
                  </w:r>
                  <w:r>
                    <w:rPr>
                      <w:rFonts w:hint="default" w:ascii="Times New Roman" w:hAnsi="Times New Roman" w:eastAsia="宋体" w:cs="Times New Roman"/>
                      <w:color w:val="auto"/>
                      <w:kern w:val="2"/>
                      <w:sz w:val="21"/>
                      <w:szCs w:val="21"/>
                      <w:highlight w:val="none"/>
                    </w:rPr>
                    <w:t>m</w:t>
                  </w:r>
                  <w:r>
                    <w:rPr>
                      <w:rFonts w:hint="default" w:ascii="Times New Roman" w:hAnsi="Times New Roman" w:eastAsia="宋体" w:cs="Times New Roman"/>
                      <w:color w:val="auto"/>
                      <w:kern w:val="2"/>
                      <w:sz w:val="21"/>
                      <w:szCs w:val="21"/>
                      <w:highlight w:val="none"/>
                      <w:vertAlign w:val="superscript"/>
                    </w:rPr>
                    <w:t>2</w:t>
                  </w:r>
                </w:p>
              </w:tc>
              <w:tc>
                <w:tcPr>
                  <w:tcW w:w="1726" w:type="pct"/>
                  <w:shd w:val="clear" w:color="auto" w:fill="FFFFFF"/>
                  <w:noWrap w:val="0"/>
                  <w:vAlign w:val="center"/>
                </w:tcPr>
                <w:p>
                  <w:pPr>
                    <w:spacing w:line="240" w:lineRule="auto"/>
                    <w:jc w:val="center"/>
                    <w:rPr>
                      <w:rFonts w:hint="default" w:ascii="Times New Roman" w:hAnsi="Times New Roman" w:cs="Times New Roman" w:eastAsiaTheme="minorEastAsia"/>
                      <w:spacing w:val="8"/>
                      <w:sz w:val="21"/>
                      <w:szCs w:val="21"/>
                      <w:lang w:val="en-US" w:eastAsia="zh-CN"/>
                    </w:rPr>
                  </w:pPr>
                  <w:r>
                    <w:rPr>
                      <w:rFonts w:hint="default" w:ascii="Times New Roman" w:hAnsi="Times New Roman" w:eastAsia="宋体" w:cs="Times New Roman"/>
                      <w:color w:val="auto"/>
                      <w:kern w:val="2"/>
                      <w:sz w:val="21"/>
                      <w:szCs w:val="21"/>
                      <w:highlight w:val="none"/>
                    </w:rPr>
                    <w:t>建筑面积</w:t>
                  </w:r>
                  <w:r>
                    <w:rPr>
                      <w:rFonts w:hint="default" w:ascii="Times New Roman" w:hAnsi="Times New Roman" w:eastAsia="宋体" w:cs="Times New Roman"/>
                      <w:color w:val="auto"/>
                      <w:kern w:val="2"/>
                      <w:sz w:val="21"/>
                      <w:szCs w:val="21"/>
                      <w:highlight w:val="none"/>
                      <w:lang w:val="en-US" w:eastAsia="zh-CN"/>
                    </w:rPr>
                    <w:t>20.9</w:t>
                  </w:r>
                  <w:r>
                    <w:rPr>
                      <w:rFonts w:hint="default" w:ascii="Times New Roman" w:hAnsi="Times New Roman" w:eastAsia="宋体" w:cs="Times New Roman"/>
                      <w:color w:val="auto"/>
                      <w:kern w:val="2"/>
                      <w:sz w:val="21"/>
                      <w:szCs w:val="21"/>
                      <w:highlight w:val="none"/>
                    </w:rPr>
                    <w:t>m</w:t>
                  </w:r>
                  <w:r>
                    <w:rPr>
                      <w:rFonts w:hint="default" w:ascii="Times New Roman" w:hAnsi="Times New Roman" w:eastAsia="宋体" w:cs="Times New Roman"/>
                      <w:color w:val="auto"/>
                      <w:kern w:val="2"/>
                      <w:sz w:val="21"/>
                      <w:szCs w:val="21"/>
                      <w:highlight w:val="none"/>
                      <w:vertAlign w:val="superscript"/>
                    </w:rPr>
                    <w:t>2</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465" w:hRule="atLeast"/>
              </w:trPr>
              <w:tc>
                <w:tcPr>
                  <w:tcW w:w="637" w:type="pct"/>
                  <w:vMerge w:val="continue"/>
                  <w:shd w:val="clear" w:color="auto" w:fill="FFFFFF"/>
                  <w:noWrap w:val="0"/>
                  <w:vAlign w:val="center"/>
                </w:tcPr>
                <w:p>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pPr>
                </w:p>
              </w:tc>
              <w:tc>
                <w:tcPr>
                  <w:tcW w:w="686" w:type="pct"/>
                  <w:shd w:val="clear" w:color="auto" w:fill="FFFFFF"/>
                  <w:noWrap w:val="0"/>
                  <w:vAlign w:val="center"/>
                </w:tcPr>
                <w:p>
                  <w:pPr>
                    <w:pStyle w:val="50"/>
                    <w:widowControl w:val="0"/>
                    <w:spacing w:line="240" w:lineRule="auto"/>
                    <w:jc w:val="center"/>
                    <w:rPr>
                      <w:rFonts w:hint="default" w:ascii="Times New Roman" w:hAnsi="Times New Roman" w:cs="Times New Roman" w:eastAsiaTheme="minorEastAsia"/>
                      <w:color w:val="000000"/>
                      <w:kern w:val="0"/>
                      <w:sz w:val="21"/>
                      <w:szCs w:val="21"/>
                      <w:lang w:val="en-US" w:eastAsia="zh-CN" w:bidi="ar"/>
                    </w:rPr>
                  </w:pPr>
                  <w:r>
                    <w:rPr>
                      <w:rFonts w:hint="default" w:ascii="Times New Roman" w:hAnsi="Times New Roman" w:eastAsia="宋体" w:cs="Times New Roman"/>
                      <w:color w:val="auto"/>
                      <w:kern w:val="2"/>
                      <w:sz w:val="21"/>
                      <w:szCs w:val="21"/>
                      <w:highlight w:val="none"/>
                      <w:lang w:val="en-US" w:eastAsia="zh-CN"/>
                    </w:rPr>
                    <w:t>休息室、仓库、厨房、车棚</w:t>
                  </w:r>
                </w:p>
              </w:tc>
              <w:tc>
                <w:tcPr>
                  <w:tcW w:w="1949" w:type="pct"/>
                  <w:shd w:val="clear" w:color="auto" w:fill="FFFFFF"/>
                  <w:noWrap w:val="0"/>
                  <w:vAlign w:val="center"/>
                </w:tcPr>
                <w:p>
                  <w:pPr>
                    <w:spacing w:line="240" w:lineRule="auto"/>
                    <w:jc w:val="center"/>
                    <w:rPr>
                      <w:rFonts w:hint="default" w:ascii="Times New Roman" w:hAnsi="Times New Roman" w:cs="Times New Roman" w:eastAsiaTheme="minorEastAsia"/>
                      <w:color w:val="000000"/>
                      <w:kern w:val="0"/>
                      <w:sz w:val="21"/>
                      <w:szCs w:val="21"/>
                      <w:lang w:val="en-US" w:eastAsia="zh-CN" w:bidi="ar"/>
                    </w:rPr>
                  </w:pPr>
                  <w:r>
                    <w:rPr>
                      <w:rFonts w:hint="default" w:ascii="Times New Roman" w:hAnsi="Times New Roman" w:eastAsia="宋体" w:cs="Times New Roman"/>
                      <w:color w:val="auto"/>
                      <w:kern w:val="2"/>
                      <w:sz w:val="21"/>
                      <w:szCs w:val="21"/>
                      <w:highlight w:val="none"/>
                    </w:rPr>
                    <w:t>建筑面积</w:t>
                  </w:r>
                  <w:r>
                    <w:rPr>
                      <w:rFonts w:hint="default" w:ascii="Times New Roman" w:hAnsi="Times New Roman" w:eastAsia="宋体" w:cs="Times New Roman"/>
                      <w:color w:val="auto"/>
                      <w:kern w:val="2"/>
                      <w:sz w:val="21"/>
                      <w:szCs w:val="21"/>
                      <w:highlight w:val="none"/>
                      <w:lang w:val="en-US" w:eastAsia="zh-CN"/>
                    </w:rPr>
                    <w:t>756.55</w:t>
                  </w:r>
                  <w:r>
                    <w:rPr>
                      <w:rFonts w:hint="default" w:ascii="Times New Roman" w:hAnsi="Times New Roman" w:eastAsia="宋体" w:cs="Times New Roman"/>
                      <w:color w:val="auto"/>
                      <w:kern w:val="2"/>
                      <w:sz w:val="21"/>
                      <w:szCs w:val="21"/>
                      <w:highlight w:val="none"/>
                    </w:rPr>
                    <w:t>m</w:t>
                  </w:r>
                  <w:r>
                    <w:rPr>
                      <w:rFonts w:hint="default" w:ascii="Times New Roman" w:hAnsi="Times New Roman" w:eastAsia="宋体" w:cs="Times New Roman"/>
                      <w:color w:val="auto"/>
                      <w:kern w:val="2"/>
                      <w:sz w:val="21"/>
                      <w:szCs w:val="21"/>
                      <w:highlight w:val="none"/>
                      <w:vertAlign w:val="superscript"/>
                    </w:rPr>
                    <w:t>2</w:t>
                  </w:r>
                  <w:r>
                    <w:rPr>
                      <w:rFonts w:hint="default" w:ascii="Times New Roman" w:hAnsi="Times New Roman" w:eastAsia="宋体" w:cs="Times New Roman"/>
                      <w:color w:val="auto"/>
                      <w:kern w:val="2"/>
                      <w:sz w:val="21"/>
                      <w:szCs w:val="21"/>
                      <w:highlight w:val="none"/>
                    </w:rPr>
                    <w:t>，</w:t>
                  </w:r>
                  <w:r>
                    <w:rPr>
                      <w:rFonts w:hint="default" w:ascii="Times New Roman" w:hAnsi="Times New Roman" w:eastAsia="宋体" w:cs="Times New Roman"/>
                      <w:color w:val="auto"/>
                      <w:kern w:val="2"/>
                      <w:sz w:val="21"/>
                      <w:szCs w:val="21"/>
                      <w:highlight w:val="none"/>
                      <w:lang w:val="en-US" w:eastAsia="zh-CN"/>
                    </w:rPr>
                    <w:t>用于厂区日常设施</w:t>
                  </w:r>
                </w:p>
              </w:tc>
              <w:tc>
                <w:tcPr>
                  <w:tcW w:w="1726" w:type="pct"/>
                  <w:shd w:val="clear" w:color="auto" w:fill="FFFFFF"/>
                  <w:noWrap w:val="0"/>
                  <w:vAlign w:val="center"/>
                </w:tcPr>
                <w:p>
                  <w:pPr>
                    <w:spacing w:line="240" w:lineRule="auto"/>
                    <w:jc w:val="center"/>
                    <w:rPr>
                      <w:rFonts w:hint="default" w:ascii="Times New Roman" w:hAnsi="Times New Roman" w:cs="Times New Roman" w:eastAsiaTheme="minorEastAsia"/>
                      <w:color w:val="000000"/>
                      <w:kern w:val="0"/>
                      <w:sz w:val="21"/>
                      <w:szCs w:val="21"/>
                      <w:lang w:val="en-US" w:eastAsia="zh-CN" w:bidi="ar"/>
                    </w:rPr>
                  </w:pPr>
                  <w:r>
                    <w:rPr>
                      <w:rFonts w:hint="default" w:ascii="Times New Roman" w:hAnsi="Times New Roman" w:eastAsia="宋体" w:cs="Times New Roman"/>
                      <w:color w:val="auto"/>
                      <w:kern w:val="2"/>
                      <w:sz w:val="21"/>
                      <w:szCs w:val="21"/>
                      <w:highlight w:val="none"/>
                    </w:rPr>
                    <w:t>建筑面积</w:t>
                  </w:r>
                  <w:r>
                    <w:rPr>
                      <w:rFonts w:hint="default" w:ascii="Times New Roman" w:hAnsi="Times New Roman" w:eastAsia="宋体" w:cs="Times New Roman"/>
                      <w:color w:val="auto"/>
                      <w:kern w:val="2"/>
                      <w:sz w:val="21"/>
                      <w:szCs w:val="21"/>
                      <w:highlight w:val="none"/>
                      <w:lang w:val="en-US" w:eastAsia="zh-CN"/>
                    </w:rPr>
                    <w:t>756.55</w:t>
                  </w:r>
                  <w:r>
                    <w:rPr>
                      <w:rFonts w:hint="default" w:ascii="Times New Roman" w:hAnsi="Times New Roman" w:eastAsia="宋体" w:cs="Times New Roman"/>
                      <w:color w:val="auto"/>
                      <w:kern w:val="2"/>
                      <w:sz w:val="21"/>
                      <w:szCs w:val="21"/>
                      <w:highlight w:val="none"/>
                    </w:rPr>
                    <w:t>m</w:t>
                  </w:r>
                  <w:r>
                    <w:rPr>
                      <w:rFonts w:hint="default" w:ascii="Times New Roman" w:hAnsi="Times New Roman" w:eastAsia="宋体" w:cs="Times New Roman"/>
                      <w:color w:val="auto"/>
                      <w:kern w:val="2"/>
                      <w:sz w:val="21"/>
                      <w:szCs w:val="21"/>
                      <w:highlight w:val="none"/>
                      <w:vertAlign w:val="superscript"/>
                    </w:rPr>
                    <w:t>2</w:t>
                  </w:r>
                  <w:r>
                    <w:rPr>
                      <w:rFonts w:hint="default" w:ascii="Times New Roman" w:hAnsi="Times New Roman" w:eastAsia="宋体" w:cs="Times New Roman"/>
                      <w:color w:val="auto"/>
                      <w:kern w:val="2"/>
                      <w:sz w:val="21"/>
                      <w:szCs w:val="21"/>
                      <w:highlight w:val="none"/>
                    </w:rPr>
                    <w:t>，</w:t>
                  </w:r>
                  <w:r>
                    <w:rPr>
                      <w:rFonts w:hint="default" w:ascii="Times New Roman" w:hAnsi="Times New Roman" w:eastAsia="宋体" w:cs="Times New Roman"/>
                      <w:color w:val="auto"/>
                      <w:kern w:val="2"/>
                      <w:sz w:val="21"/>
                      <w:szCs w:val="21"/>
                      <w:highlight w:val="none"/>
                      <w:lang w:val="en-US" w:eastAsia="zh-CN"/>
                    </w:rPr>
                    <w:t>用于厂区日常设施</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465" w:hRule="atLeast"/>
              </w:trPr>
              <w:tc>
                <w:tcPr>
                  <w:tcW w:w="1058" w:type="dxa"/>
                  <w:vMerge w:val="restart"/>
                  <w:shd w:val="clear" w:color="auto" w:fill="FFFFFF"/>
                  <w:noWrap w:val="0"/>
                  <w:vAlign w:val="center"/>
                </w:tcPr>
                <w:p>
                  <w:pPr>
                    <w:pStyle w:val="50"/>
                    <w:widowControl w:val="0"/>
                    <w:spacing w:line="240" w:lineRule="auto"/>
                  </w:pPr>
                  <w:r>
                    <w:rPr>
                      <w:rFonts w:hint="default" w:ascii="Times New Roman" w:hAnsi="Times New Roman" w:eastAsia="宋体" w:cs="Times New Roman"/>
                      <w:color w:val="auto"/>
                      <w:kern w:val="2"/>
                      <w:sz w:val="21"/>
                      <w:szCs w:val="21"/>
                      <w:highlight w:val="none"/>
                    </w:rPr>
                    <w:t>公用工程</w:t>
                  </w:r>
                </w:p>
              </w:tc>
              <w:tc>
                <w:tcPr>
                  <w:tcW w:w="1140" w:type="dxa"/>
                  <w:shd w:val="clear" w:color="auto" w:fill="FFFFFF"/>
                  <w:noWrap w:val="0"/>
                  <w:vAlign w:val="center"/>
                </w:tcPr>
                <w:p>
                  <w:pPr>
                    <w:pStyle w:val="50"/>
                    <w:widowControl w:val="0"/>
                    <w:spacing w:line="240" w:lineRule="auto"/>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eastAsia="zh-CN"/>
                    </w:rPr>
                    <w:t>供水</w:t>
                  </w:r>
                </w:p>
              </w:tc>
              <w:tc>
                <w:tcPr>
                  <w:tcW w:w="3238" w:type="dxa"/>
                  <w:shd w:val="clear" w:color="auto" w:fill="FFFFFF"/>
                  <w:noWrap w:val="0"/>
                  <w:vAlign w:val="center"/>
                </w:tcPr>
                <w:p>
                  <w:pPr>
                    <w:pStyle w:val="50"/>
                    <w:widowControl w:val="0"/>
                    <w:spacing w:line="240" w:lineRule="auto"/>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sz w:val="21"/>
                      <w:szCs w:val="21"/>
                      <w:highlight w:val="none"/>
                    </w:rPr>
                    <w:t>由当地自来水管网供水</w:t>
                  </w:r>
                </w:p>
              </w:tc>
              <w:tc>
                <w:tcPr>
                  <w:tcW w:w="2867" w:type="dxa"/>
                  <w:shd w:val="clear" w:color="auto" w:fill="FFFFFF"/>
                  <w:noWrap w:val="0"/>
                  <w:vAlign w:val="center"/>
                </w:tcPr>
                <w:p>
                  <w:pPr>
                    <w:pStyle w:val="50"/>
                    <w:widowControl w:val="0"/>
                    <w:spacing w:line="240" w:lineRule="auto"/>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sz w:val="21"/>
                      <w:szCs w:val="21"/>
                      <w:highlight w:val="none"/>
                    </w:rPr>
                    <w:t>由当地自来水管网供水</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465" w:hRule="atLeast"/>
              </w:trPr>
              <w:tc>
                <w:tcPr>
                  <w:tcW w:w="1058" w:type="dxa"/>
                  <w:vMerge w:val="continue"/>
                  <w:shd w:val="clear" w:color="auto" w:fill="FFFFFF"/>
                  <w:noWrap w:val="0"/>
                  <w:vAlign w:val="center"/>
                </w:tcPr>
                <w:p>
                  <w:pPr>
                    <w:pStyle w:val="50"/>
                    <w:spacing w:line="240" w:lineRule="auto"/>
                  </w:pPr>
                </w:p>
              </w:tc>
              <w:tc>
                <w:tcPr>
                  <w:tcW w:w="1140" w:type="dxa"/>
                  <w:shd w:val="clear" w:color="auto" w:fill="FFFFFF"/>
                  <w:noWrap w:val="0"/>
                  <w:vAlign w:val="center"/>
                </w:tcPr>
                <w:p>
                  <w:pPr>
                    <w:pStyle w:val="50"/>
                    <w:widowControl w:val="0"/>
                    <w:spacing w:line="240" w:lineRule="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rPr>
                    <w:t>供电</w:t>
                  </w:r>
                </w:p>
              </w:tc>
              <w:tc>
                <w:tcPr>
                  <w:tcW w:w="3238" w:type="dxa"/>
                  <w:shd w:val="clear" w:color="auto" w:fill="FFFFFF"/>
                  <w:noWrap w:val="0"/>
                  <w:vAlign w:val="center"/>
                </w:tcPr>
                <w:p>
                  <w:pPr>
                    <w:pStyle w:val="50"/>
                    <w:widowControl w:val="0"/>
                    <w:spacing w:line="240" w:lineRule="auto"/>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sz w:val="21"/>
                      <w:szCs w:val="21"/>
                      <w:highlight w:val="none"/>
                    </w:rPr>
                    <w:t>由当地电网供电</w:t>
                  </w:r>
                </w:p>
              </w:tc>
              <w:tc>
                <w:tcPr>
                  <w:tcW w:w="2867" w:type="dxa"/>
                  <w:shd w:val="clear" w:color="auto" w:fill="FFFFFF"/>
                  <w:noWrap w:val="0"/>
                  <w:vAlign w:val="center"/>
                </w:tcPr>
                <w:p>
                  <w:pPr>
                    <w:pStyle w:val="50"/>
                    <w:widowControl w:val="0"/>
                    <w:spacing w:line="240" w:lineRule="auto"/>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sz w:val="21"/>
                      <w:szCs w:val="21"/>
                      <w:highlight w:val="none"/>
                    </w:rPr>
                    <w:t>由当地电网供电</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465" w:hRule="atLeast"/>
              </w:trPr>
              <w:tc>
                <w:tcPr>
                  <w:tcW w:w="1058" w:type="dxa"/>
                  <w:vMerge w:val="continue"/>
                  <w:shd w:val="clear" w:color="auto" w:fill="FFFFFF"/>
                  <w:noWrap w:val="0"/>
                  <w:vAlign w:val="center"/>
                </w:tcPr>
                <w:p>
                  <w:pPr>
                    <w:pStyle w:val="50"/>
                    <w:spacing w:line="240" w:lineRule="auto"/>
                  </w:pPr>
                </w:p>
              </w:tc>
              <w:tc>
                <w:tcPr>
                  <w:tcW w:w="1140" w:type="dxa"/>
                  <w:shd w:val="clear" w:color="auto" w:fill="FFFFFF"/>
                  <w:noWrap w:val="0"/>
                  <w:vAlign w:val="center"/>
                </w:tcPr>
                <w:p>
                  <w:pPr>
                    <w:pStyle w:val="50"/>
                    <w:widowControl w:val="0"/>
                    <w:spacing w:line="240" w:lineRule="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排水</w:t>
                  </w:r>
                </w:p>
              </w:tc>
              <w:tc>
                <w:tcPr>
                  <w:tcW w:w="3238" w:type="dxa"/>
                  <w:shd w:val="clear" w:color="auto" w:fill="FFFFFF"/>
                  <w:noWrap w:val="0"/>
                  <w:vAlign w:val="center"/>
                </w:tcPr>
                <w:p>
                  <w:pPr>
                    <w:pStyle w:val="50"/>
                    <w:widowControl w:val="0"/>
                    <w:spacing w:line="240" w:lineRule="auto"/>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sz w:val="21"/>
                      <w:szCs w:val="21"/>
                      <w:highlight w:val="none"/>
                    </w:rPr>
                    <w:t>雨污分流制排水</w:t>
                  </w:r>
                </w:p>
              </w:tc>
              <w:tc>
                <w:tcPr>
                  <w:tcW w:w="2867" w:type="dxa"/>
                  <w:shd w:val="clear" w:color="auto" w:fill="FFFFFF"/>
                  <w:noWrap w:val="0"/>
                  <w:vAlign w:val="center"/>
                </w:tcPr>
                <w:p>
                  <w:pPr>
                    <w:pStyle w:val="50"/>
                    <w:widowControl w:val="0"/>
                    <w:spacing w:line="240" w:lineRule="auto"/>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sz w:val="21"/>
                      <w:szCs w:val="21"/>
                      <w:highlight w:val="none"/>
                    </w:rPr>
                    <w:t>雨污分流制排水</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466" w:hRule="atLeast"/>
              </w:trPr>
              <w:tc>
                <w:tcPr>
                  <w:tcW w:w="637" w:type="pct"/>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cs="Times New Roman" w:eastAsiaTheme="minorEastAsia"/>
                      <w:color w:val="auto"/>
                      <w:sz w:val="21"/>
                      <w:szCs w:val="21"/>
                      <w:lang w:val="en-US" w:eastAsia="zh-CN"/>
                    </w:rPr>
                  </w:pPr>
                  <w:r>
                    <w:rPr>
                      <w:rFonts w:hint="eastAsia" w:ascii="Times New Roman" w:hAnsi="Times New Roman" w:cs="Times New Roman"/>
                      <w:color w:val="auto"/>
                      <w:sz w:val="21"/>
                      <w:szCs w:val="21"/>
                      <w:lang w:val="en-US" w:eastAsia="zh-CN"/>
                    </w:rPr>
                    <w:t>环保工程</w:t>
                  </w:r>
                </w:p>
              </w:tc>
              <w:tc>
                <w:tcPr>
                  <w:tcW w:w="686" w:type="pct"/>
                  <w:vMerge w:val="restart"/>
                  <w:shd w:val="clear" w:color="auto" w:fill="FFFFFF"/>
                  <w:noWrap w:val="0"/>
                  <w:vAlign w:val="center"/>
                </w:tcPr>
                <w:p>
                  <w:pPr>
                    <w:pStyle w:val="50"/>
                    <w:widowControl w:val="0"/>
                    <w:spacing w:line="240" w:lineRule="auto"/>
                  </w:pPr>
                  <w:r>
                    <w:rPr>
                      <w:rFonts w:hint="default" w:ascii="Times New Roman" w:hAnsi="Times New Roman" w:eastAsia="宋体" w:cs="Times New Roman"/>
                      <w:color w:val="auto"/>
                      <w:kern w:val="2"/>
                      <w:sz w:val="21"/>
                      <w:szCs w:val="21"/>
                      <w:highlight w:val="none"/>
                    </w:rPr>
                    <w:t>废气</w:t>
                  </w:r>
                </w:p>
              </w:tc>
              <w:tc>
                <w:tcPr>
                  <w:tcW w:w="1949" w:type="pct"/>
                  <w:shd w:val="clear" w:color="auto" w:fill="FFFFFF"/>
                  <w:noWrap w:val="0"/>
                  <w:vAlign w:val="center"/>
                </w:tcPr>
                <w:p>
                  <w:pPr>
                    <w:adjustRightInd w:val="0"/>
                    <w:snapToGrid w:val="0"/>
                    <w:spacing w:line="240" w:lineRule="auto"/>
                    <w:ind w:firstLine="0" w:firstLineChars="0"/>
                    <w:jc w:val="center"/>
                    <w:rPr>
                      <w:rFonts w:hint="default" w:ascii="Times New Roman" w:hAnsi="Times New Roman" w:cs="Times New Roman" w:eastAsiaTheme="minorEastAsia"/>
                      <w:spacing w:val="4"/>
                      <w:sz w:val="21"/>
                      <w:szCs w:val="21"/>
                    </w:rPr>
                  </w:pPr>
                  <w:r>
                    <w:rPr>
                      <w:rFonts w:hint="eastAsia" w:ascii="Times New Roman" w:hAnsi="Times New Roman" w:eastAsia="宋体" w:cs="Times New Roman"/>
                      <w:color w:val="auto"/>
                      <w:sz w:val="21"/>
                      <w:szCs w:val="21"/>
                      <w:highlight w:val="none"/>
                      <w:lang w:val="en-US" w:eastAsia="zh-CN"/>
                    </w:rPr>
                    <w:t>搅拌</w:t>
                  </w:r>
                  <w:r>
                    <w:rPr>
                      <w:rFonts w:hint="default" w:ascii="Times New Roman" w:hAnsi="Times New Roman" w:eastAsia="宋体" w:cs="Times New Roman"/>
                      <w:color w:val="auto"/>
                      <w:sz w:val="21"/>
                      <w:szCs w:val="21"/>
                      <w:highlight w:val="none"/>
                      <w:lang w:val="en-US" w:eastAsia="zh-CN"/>
                    </w:rPr>
                    <w:t>废气</w:t>
                  </w:r>
                </w:p>
              </w:tc>
              <w:tc>
                <w:tcPr>
                  <w:tcW w:w="1726" w:type="pct"/>
                  <w:shd w:val="clear" w:color="auto" w:fill="FFFFFF"/>
                  <w:noWrap w:val="0"/>
                  <w:vAlign w:val="center"/>
                </w:tcPr>
                <w:p>
                  <w:pPr>
                    <w:adjustRightInd w:val="0"/>
                    <w:snapToGrid w:val="0"/>
                    <w:spacing w:line="240" w:lineRule="auto"/>
                    <w:ind w:firstLine="0" w:firstLineChars="0"/>
                    <w:jc w:val="center"/>
                    <w:rPr>
                      <w:rFonts w:hint="default" w:ascii="Times New Roman" w:hAnsi="Times New Roman" w:cs="Times New Roman" w:eastAsiaTheme="minorEastAsia"/>
                      <w:spacing w:val="4"/>
                      <w:sz w:val="21"/>
                      <w:szCs w:val="21"/>
                    </w:rPr>
                  </w:pPr>
                  <w:r>
                    <w:rPr>
                      <w:rFonts w:hint="eastAsia" w:ascii="Times New Roman" w:hAnsi="Times New Roman" w:eastAsia="宋体" w:cs="Times New Roman"/>
                      <w:color w:val="auto"/>
                      <w:sz w:val="21"/>
                      <w:szCs w:val="21"/>
                      <w:highlight w:val="none"/>
                      <w:lang w:val="en-US" w:eastAsia="zh-CN"/>
                    </w:rPr>
                    <w:t>搅拌</w:t>
                  </w:r>
                  <w:r>
                    <w:rPr>
                      <w:rFonts w:hint="default" w:ascii="Times New Roman" w:hAnsi="Times New Roman" w:eastAsia="宋体" w:cs="Times New Roman"/>
                      <w:color w:val="auto"/>
                      <w:sz w:val="21"/>
                      <w:szCs w:val="21"/>
                      <w:highlight w:val="none"/>
                      <w:lang w:val="en-US" w:eastAsia="zh-CN"/>
                    </w:rPr>
                    <w:t>废气</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466" w:hRule="atLeast"/>
              </w:trPr>
              <w:tc>
                <w:tcPr>
                  <w:tcW w:w="637" w:type="pct"/>
                  <w:vMerge w:val="continue"/>
                  <w:shd w:val="clear" w:color="auto" w:fill="FFFFFF"/>
                  <w:noWrap w:val="0"/>
                  <w:vAlign w:val="center"/>
                </w:tcPr>
                <w:p>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spacing w:val="4"/>
                      <w:sz w:val="21"/>
                      <w:szCs w:val="21"/>
                    </w:rPr>
                  </w:pPr>
                </w:p>
              </w:tc>
              <w:tc>
                <w:tcPr>
                  <w:tcW w:w="686" w:type="pct"/>
                  <w:vMerge w:val="continue"/>
                  <w:shd w:val="clear" w:color="auto" w:fill="FFFFFF"/>
                  <w:noWrap w:val="0"/>
                  <w:vAlign w:val="center"/>
                </w:tcPr>
                <w:p>
                  <w:pPr>
                    <w:pStyle w:val="50"/>
                    <w:widowControl w:val="0"/>
                    <w:spacing w:line="240" w:lineRule="auto"/>
                    <w:rPr>
                      <w:rFonts w:hint="default" w:ascii="Times New Roman" w:hAnsi="Times New Roman" w:cs="Times New Roman" w:eastAsiaTheme="minorEastAsia"/>
                      <w:spacing w:val="4"/>
                      <w:sz w:val="21"/>
                      <w:szCs w:val="21"/>
                    </w:rPr>
                  </w:pPr>
                </w:p>
              </w:tc>
              <w:tc>
                <w:tcPr>
                  <w:tcW w:w="1949" w:type="pct"/>
                  <w:shd w:val="clear" w:color="auto" w:fill="FFFFFF"/>
                  <w:noWrap w:val="0"/>
                  <w:vAlign w:val="center"/>
                </w:tcPr>
                <w:p>
                  <w:pPr>
                    <w:adjustRightInd w:val="0"/>
                    <w:snapToGrid w:val="0"/>
                    <w:spacing w:line="240" w:lineRule="auto"/>
                    <w:ind w:firstLine="0" w:firstLineChars="0"/>
                    <w:jc w:val="center"/>
                    <w:rPr>
                      <w:rFonts w:hint="default" w:ascii="Times New Roman" w:hAnsi="Times New Roman" w:cs="Times New Roman" w:eastAsiaTheme="minorEastAsia"/>
                      <w:spacing w:val="4"/>
                      <w:sz w:val="21"/>
                      <w:szCs w:val="21"/>
                    </w:rPr>
                  </w:pPr>
                  <w:r>
                    <w:rPr>
                      <w:rFonts w:hint="eastAsia" w:ascii="Times New Roman" w:hAnsi="Times New Roman" w:eastAsia="宋体" w:cs="Times New Roman"/>
                      <w:color w:val="auto"/>
                      <w:sz w:val="21"/>
                      <w:szCs w:val="21"/>
                      <w:highlight w:val="none"/>
                      <w:lang w:val="en-US" w:eastAsia="zh-CN"/>
                    </w:rPr>
                    <w:t>水泥罐废气</w:t>
                  </w:r>
                </w:p>
              </w:tc>
              <w:tc>
                <w:tcPr>
                  <w:tcW w:w="1726" w:type="pct"/>
                  <w:shd w:val="clear" w:color="auto" w:fill="FFFFFF"/>
                  <w:noWrap w:val="0"/>
                  <w:vAlign w:val="center"/>
                </w:tcPr>
                <w:p>
                  <w:pPr>
                    <w:adjustRightInd w:val="0"/>
                    <w:snapToGrid w:val="0"/>
                    <w:spacing w:line="240" w:lineRule="auto"/>
                    <w:ind w:firstLine="0" w:firstLineChars="0"/>
                    <w:jc w:val="center"/>
                    <w:rPr>
                      <w:rFonts w:hint="default" w:ascii="Times New Roman" w:hAnsi="Times New Roman" w:cs="Times New Roman" w:eastAsiaTheme="minorEastAsia"/>
                      <w:spacing w:val="4"/>
                      <w:sz w:val="21"/>
                      <w:szCs w:val="21"/>
                    </w:rPr>
                  </w:pPr>
                  <w:r>
                    <w:rPr>
                      <w:rFonts w:hint="eastAsia" w:ascii="Times New Roman" w:hAnsi="Times New Roman" w:eastAsia="宋体" w:cs="Times New Roman"/>
                      <w:color w:val="auto"/>
                      <w:sz w:val="21"/>
                      <w:szCs w:val="21"/>
                      <w:highlight w:val="none"/>
                      <w:lang w:val="en-US" w:eastAsia="zh-CN"/>
                    </w:rPr>
                    <w:t>水泥罐废气</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466" w:hRule="atLeast"/>
              </w:trPr>
              <w:tc>
                <w:tcPr>
                  <w:tcW w:w="637" w:type="pct"/>
                  <w:vMerge w:val="continue"/>
                  <w:shd w:val="clear" w:color="auto" w:fill="FFFFFF"/>
                  <w:noWrap w:val="0"/>
                  <w:vAlign w:val="center"/>
                </w:tcPr>
                <w:p>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spacing w:val="4"/>
                      <w:sz w:val="21"/>
                      <w:szCs w:val="21"/>
                    </w:rPr>
                  </w:pPr>
                </w:p>
              </w:tc>
              <w:tc>
                <w:tcPr>
                  <w:tcW w:w="686" w:type="pct"/>
                  <w:vMerge w:val="continue"/>
                  <w:shd w:val="clear" w:color="auto" w:fill="FFFFFF"/>
                  <w:noWrap w:val="0"/>
                  <w:vAlign w:val="center"/>
                </w:tcPr>
                <w:p>
                  <w:pPr>
                    <w:adjustRightInd w:val="0"/>
                    <w:snapToGrid w:val="0"/>
                    <w:spacing w:line="240" w:lineRule="auto"/>
                    <w:ind w:firstLine="0" w:firstLineChars="0"/>
                    <w:jc w:val="center"/>
                    <w:rPr>
                      <w:rFonts w:hint="default" w:ascii="Times New Roman" w:hAnsi="Times New Roman" w:cs="Times New Roman" w:eastAsiaTheme="minorEastAsia"/>
                      <w:spacing w:val="4"/>
                      <w:sz w:val="21"/>
                      <w:szCs w:val="21"/>
                    </w:rPr>
                  </w:pPr>
                </w:p>
              </w:tc>
              <w:tc>
                <w:tcPr>
                  <w:tcW w:w="1949" w:type="pct"/>
                  <w:shd w:val="clear" w:color="auto" w:fill="FFFFFF"/>
                  <w:noWrap w:val="0"/>
                  <w:vAlign w:val="center"/>
                </w:tcPr>
                <w:p>
                  <w:pPr>
                    <w:adjustRightInd w:val="0"/>
                    <w:snapToGrid w:val="0"/>
                    <w:spacing w:line="240" w:lineRule="auto"/>
                    <w:ind w:firstLine="0" w:firstLineChars="0"/>
                    <w:jc w:val="center"/>
                    <w:rPr>
                      <w:rFonts w:hint="default" w:ascii="Times New Roman" w:hAnsi="Times New Roman" w:cs="Times New Roman" w:eastAsiaTheme="minorEastAsia"/>
                      <w:spacing w:val="4"/>
                      <w:sz w:val="21"/>
                      <w:szCs w:val="21"/>
                    </w:rPr>
                  </w:pPr>
                  <w:r>
                    <w:rPr>
                      <w:rFonts w:hint="default" w:ascii="Times New Roman" w:hAnsi="Times New Roman" w:eastAsia="宋体" w:cs="Times New Roman"/>
                      <w:color w:val="auto"/>
                      <w:sz w:val="21"/>
                      <w:szCs w:val="21"/>
                      <w:highlight w:val="none"/>
                    </w:rPr>
                    <w:t>焊接烟尘中的颗粒物及产品养护废气</w:t>
                  </w:r>
                </w:p>
              </w:tc>
              <w:tc>
                <w:tcPr>
                  <w:tcW w:w="1726" w:type="pct"/>
                  <w:shd w:val="clear" w:color="auto" w:fill="FFFFFF"/>
                  <w:noWrap w:val="0"/>
                  <w:vAlign w:val="center"/>
                </w:tcPr>
                <w:p>
                  <w:pPr>
                    <w:adjustRightInd w:val="0"/>
                    <w:snapToGrid w:val="0"/>
                    <w:spacing w:line="240" w:lineRule="auto"/>
                    <w:ind w:firstLine="0" w:firstLineChars="0"/>
                    <w:jc w:val="center"/>
                    <w:rPr>
                      <w:rFonts w:hint="default" w:ascii="Times New Roman" w:hAnsi="Times New Roman" w:cs="Times New Roman" w:eastAsiaTheme="minorEastAsia"/>
                      <w:spacing w:val="4"/>
                      <w:sz w:val="21"/>
                      <w:szCs w:val="21"/>
                    </w:rPr>
                  </w:pPr>
                  <w:r>
                    <w:rPr>
                      <w:rFonts w:hint="default" w:ascii="Times New Roman" w:hAnsi="Times New Roman" w:eastAsia="宋体" w:cs="Times New Roman"/>
                      <w:color w:val="auto"/>
                      <w:sz w:val="21"/>
                      <w:szCs w:val="21"/>
                      <w:highlight w:val="none"/>
                    </w:rPr>
                    <w:t>焊接烟尘中的颗粒物及产品养护废气</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88" w:hRule="atLeast"/>
              </w:trPr>
              <w:tc>
                <w:tcPr>
                  <w:tcW w:w="637" w:type="pct"/>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cs="Times New Roman" w:eastAsiaTheme="minorEastAsia"/>
                      <w:color w:val="auto"/>
                      <w:sz w:val="21"/>
                      <w:szCs w:val="21"/>
                      <w:lang w:val="en-US" w:eastAsia="zh-CN"/>
                    </w:rPr>
                  </w:pPr>
                </w:p>
              </w:tc>
              <w:tc>
                <w:tcPr>
                  <w:tcW w:w="686" w:type="pct"/>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废水</w:t>
                  </w:r>
                </w:p>
              </w:tc>
              <w:tc>
                <w:tcPr>
                  <w:tcW w:w="1949" w:type="pct"/>
                  <w:shd w:val="clear" w:color="auto" w:fill="FFFFFF"/>
                  <w:noWrap w:val="0"/>
                  <w:vAlign w:val="center"/>
                </w:tcPr>
                <w:p>
                  <w:pPr>
                    <w:pStyle w:val="50"/>
                    <w:spacing w:line="240" w:lineRule="auto"/>
                    <w:jc w:val="center"/>
                    <w:rPr>
                      <w:rFonts w:hint="default" w:ascii="Times New Roman" w:hAnsi="Times New Roman" w:cs="Times New Roman" w:eastAsiaTheme="minorEastAsia"/>
                      <w:color w:val="auto"/>
                      <w:sz w:val="21"/>
                      <w:szCs w:val="21"/>
                    </w:rPr>
                  </w:pPr>
                  <w:r>
                    <w:rPr>
                      <w:rFonts w:hint="default" w:ascii="Times New Roman" w:hAnsi="Times New Roman" w:eastAsia="宋体" w:cs="Times New Roman"/>
                      <w:color w:val="auto"/>
                      <w:kern w:val="2"/>
                      <w:sz w:val="21"/>
                      <w:szCs w:val="21"/>
                      <w:highlight w:val="none"/>
                      <w:lang w:val="en-US" w:eastAsia="zh-CN"/>
                    </w:rPr>
                    <w:t>车辆冲洗废水经洗车平台沉淀池沉淀后循环使用，不外排</w:t>
                  </w:r>
                </w:p>
              </w:tc>
              <w:tc>
                <w:tcPr>
                  <w:tcW w:w="1726" w:type="pct"/>
                  <w:shd w:val="clear" w:color="auto" w:fill="FFFFFF"/>
                  <w:noWrap w:val="0"/>
                  <w:vAlign w:val="center"/>
                </w:tcPr>
                <w:p>
                  <w:pPr>
                    <w:pStyle w:val="50"/>
                    <w:spacing w:line="240" w:lineRule="auto"/>
                    <w:jc w:val="center"/>
                    <w:rPr>
                      <w:rFonts w:hint="default" w:ascii="Times New Roman" w:hAnsi="Times New Roman" w:cs="Times New Roman" w:eastAsiaTheme="minorEastAsia"/>
                      <w:color w:val="0000FF"/>
                      <w:sz w:val="21"/>
                      <w:szCs w:val="21"/>
                      <w:lang w:val="en-US"/>
                    </w:rPr>
                  </w:pPr>
                  <w:r>
                    <w:rPr>
                      <w:rFonts w:hint="default" w:ascii="Times New Roman" w:hAnsi="Times New Roman" w:eastAsia="宋体" w:cs="Times New Roman"/>
                      <w:color w:val="auto"/>
                      <w:kern w:val="2"/>
                      <w:sz w:val="21"/>
                      <w:szCs w:val="21"/>
                      <w:highlight w:val="none"/>
                      <w:lang w:val="en-US" w:eastAsia="zh-CN"/>
                    </w:rPr>
                    <w:t>车辆冲洗废水经洗车平台沉淀池沉淀后循环使用，不外排</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88" w:hRule="atLeast"/>
              </w:trPr>
              <w:tc>
                <w:tcPr>
                  <w:tcW w:w="637" w:type="pct"/>
                  <w:vMerge w:val="continue"/>
                  <w:shd w:val="clear" w:color="auto" w:fill="FFFFFF"/>
                  <w:noWrap w:val="0"/>
                  <w:vAlign w:val="center"/>
                </w:tcPr>
                <w:p>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pPr>
                </w:p>
              </w:tc>
              <w:tc>
                <w:tcPr>
                  <w:tcW w:w="686" w:type="pct"/>
                  <w:vMerge w:val="continue"/>
                  <w:shd w:val="clear" w:color="auto" w:fill="FFFFFF"/>
                  <w:noWrap w:val="0"/>
                  <w:vAlign w:val="center"/>
                </w:tcPr>
                <w:p>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pPr>
                </w:p>
              </w:tc>
              <w:tc>
                <w:tcPr>
                  <w:tcW w:w="1949" w:type="pct"/>
                  <w:shd w:val="clear" w:color="auto" w:fill="FFFFFF"/>
                  <w:noWrap w:val="0"/>
                  <w:vAlign w:val="center"/>
                </w:tcPr>
                <w:p>
                  <w:pPr>
                    <w:pStyle w:val="50"/>
                    <w:spacing w:line="240" w:lineRule="auto"/>
                    <w:jc w:val="center"/>
                    <w:rPr>
                      <w:rFonts w:hint="default" w:ascii="Times New Roman" w:hAnsi="Times New Roman" w:cs="Times New Roman" w:eastAsiaTheme="minorEastAsia"/>
                      <w:spacing w:val="7"/>
                      <w:position w:val="1"/>
                      <w:sz w:val="21"/>
                      <w:szCs w:val="21"/>
                    </w:rPr>
                  </w:pPr>
                  <w:r>
                    <w:rPr>
                      <w:rFonts w:hint="default" w:ascii="Times New Roman" w:hAnsi="Times New Roman" w:eastAsia="宋体" w:cs="Times New Roman"/>
                      <w:color w:val="auto"/>
                      <w:kern w:val="2"/>
                      <w:sz w:val="21"/>
                      <w:szCs w:val="21"/>
                      <w:highlight w:val="none"/>
                      <w:lang w:val="en-US" w:eastAsia="zh-CN"/>
                    </w:rPr>
                    <w:t>生产废水充分利用各种水质的水，提高水的重复利用率，投资项目运营期的废水治理及利用以“清污分流、梯级利用”的原则进行设计。</w:t>
                  </w:r>
                </w:p>
              </w:tc>
              <w:tc>
                <w:tcPr>
                  <w:tcW w:w="1726" w:type="pct"/>
                  <w:shd w:val="clear" w:color="auto" w:fill="FFFFFF"/>
                  <w:noWrap w:val="0"/>
                  <w:vAlign w:val="center"/>
                </w:tcPr>
                <w:p>
                  <w:pPr>
                    <w:pStyle w:val="50"/>
                    <w:spacing w:line="240" w:lineRule="auto"/>
                    <w:jc w:val="center"/>
                    <w:rPr>
                      <w:rFonts w:hint="default" w:ascii="Times New Roman" w:hAnsi="Times New Roman" w:cs="Times New Roman" w:eastAsiaTheme="minorEastAsia"/>
                      <w:spacing w:val="7"/>
                      <w:position w:val="1"/>
                      <w:sz w:val="21"/>
                      <w:szCs w:val="21"/>
                    </w:rPr>
                  </w:pPr>
                  <w:r>
                    <w:rPr>
                      <w:rFonts w:hint="default" w:ascii="Times New Roman" w:hAnsi="Times New Roman" w:eastAsia="宋体" w:cs="Times New Roman"/>
                      <w:color w:val="auto"/>
                      <w:kern w:val="2"/>
                      <w:sz w:val="21"/>
                      <w:szCs w:val="21"/>
                      <w:highlight w:val="none"/>
                      <w:lang w:val="en-US" w:eastAsia="zh-CN"/>
                    </w:rPr>
                    <w:t>生产废水充分利用各种水质的水，提高水的重复利用率，投资项目运营期的废水治理及利用以“清污分流、梯级利用”的原则进行设计。</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88" w:hRule="atLeast"/>
              </w:trPr>
              <w:tc>
                <w:tcPr>
                  <w:tcW w:w="637" w:type="pct"/>
                  <w:vMerge w:val="continue"/>
                  <w:shd w:val="clear" w:color="auto" w:fill="FFFFFF"/>
                  <w:noWrap w:val="0"/>
                  <w:vAlign w:val="center"/>
                </w:tcPr>
                <w:p>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spacing w:val="7"/>
                      <w:position w:val="1"/>
                      <w:sz w:val="21"/>
                      <w:szCs w:val="21"/>
                    </w:rPr>
                  </w:pPr>
                </w:p>
              </w:tc>
              <w:tc>
                <w:tcPr>
                  <w:tcW w:w="686" w:type="pct"/>
                  <w:vMerge w:val="continue"/>
                  <w:shd w:val="clear" w:color="auto" w:fill="FFFFFF"/>
                  <w:noWrap w:val="0"/>
                  <w:vAlign w:val="center"/>
                </w:tcPr>
                <w:p>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spacing w:val="7"/>
                      <w:position w:val="1"/>
                      <w:sz w:val="21"/>
                      <w:szCs w:val="21"/>
                    </w:rPr>
                  </w:pPr>
                </w:p>
              </w:tc>
              <w:tc>
                <w:tcPr>
                  <w:tcW w:w="1949" w:type="pct"/>
                  <w:shd w:val="clear" w:color="auto" w:fill="FFFFFF"/>
                  <w:noWrap w:val="0"/>
                  <w:vAlign w:val="center"/>
                </w:tcPr>
                <w:p>
                  <w:pPr>
                    <w:pStyle w:val="50"/>
                    <w:spacing w:line="240" w:lineRule="auto"/>
                    <w:jc w:val="center"/>
                    <w:rPr>
                      <w:rFonts w:hint="default" w:ascii="Times New Roman" w:hAnsi="Times New Roman" w:cs="Times New Roman" w:eastAsiaTheme="minorEastAsia"/>
                      <w:spacing w:val="7"/>
                      <w:position w:val="1"/>
                      <w:sz w:val="21"/>
                      <w:szCs w:val="21"/>
                    </w:rPr>
                  </w:pPr>
                  <w:r>
                    <w:rPr>
                      <w:rFonts w:hint="default" w:ascii="Times New Roman" w:hAnsi="Times New Roman" w:eastAsia="宋体" w:cs="Times New Roman"/>
                      <w:color w:val="auto"/>
                      <w:kern w:val="2"/>
                      <w:sz w:val="21"/>
                      <w:szCs w:val="21"/>
                      <w:highlight w:val="none"/>
                      <w:lang w:val="en-US" w:eastAsia="zh-CN"/>
                    </w:rPr>
                    <w:t>污水排出建筑物后经化粪池处理排入污水管网。</w:t>
                  </w:r>
                </w:p>
              </w:tc>
              <w:tc>
                <w:tcPr>
                  <w:tcW w:w="1726" w:type="pct"/>
                  <w:shd w:val="clear" w:color="auto" w:fill="FFFFFF"/>
                  <w:noWrap w:val="0"/>
                  <w:vAlign w:val="center"/>
                </w:tcPr>
                <w:p>
                  <w:pPr>
                    <w:pStyle w:val="50"/>
                    <w:spacing w:line="240" w:lineRule="auto"/>
                    <w:jc w:val="center"/>
                    <w:rPr>
                      <w:rFonts w:hint="default" w:ascii="Times New Roman" w:hAnsi="Times New Roman" w:cs="Times New Roman" w:eastAsiaTheme="minorEastAsia"/>
                      <w:spacing w:val="7"/>
                      <w:position w:val="1"/>
                      <w:sz w:val="21"/>
                      <w:szCs w:val="21"/>
                    </w:rPr>
                  </w:pPr>
                  <w:r>
                    <w:rPr>
                      <w:rFonts w:hint="default" w:ascii="Times New Roman" w:hAnsi="Times New Roman" w:eastAsia="宋体" w:cs="Times New Roman"/>
                      <w:color w:val="auto"/>
                      <w:kern w:val="2"/>
                      <w:sz w:val="21"/>
                      <w:szCs w:val="21"/>
                      <w:highlight w:val="none"/>
                      <w:lang w:val="en-US" w:eastAsia="zh-CN"/>
                    </w:rPr>
                    <w:t>污水排出建筑物后经化粪池处理排入污水管网。</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388" w:hRule="atLeast"/>
              </w:trPr>
              <w:tc>
                <w:tcPr>
                  <w:tcW w:w="637" w:type="pct"/>
                  <w:vMerge w:val="continue"/>
                  <w:shd w:val="clear" w:color="auto" w:fill="FFFFFF"/>
                  <w:noWrap w:val="0"/>
                  <w:vAlign w:val="center"/>
                </w:tcPr>
                <w:p>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spacing w:val="7"/>
                      <w:position w:val="1"/>
                      <w:sz w:val="21"/>
                      <w:szCs w:val="21"/>
                    </w:rPr>
                  </w:pPr>
                </w:p>
              </w:tc>
              <w:tc>
                <w:tcPr>
                  <w:tcW w:w="686" w:type="pct"/>
                  <w:vMerge w:val="continue"/>
                  <w:shd w:val="clear" w:color="auto" w:fill="FFFFFF"/>
                  <w:noWrap w:val="0"/>
                  <w:vAlign w:val="center"/>
                </w:tcPr>
                <w:p>
                  <w:pPr>
                    <w:pStyle w:val="39"/>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spacing w:val="7"/>
                      <w:position w:val="1"/>
                      <w:sz w:val="21"/>
                      <w:szCs w:val="21"/>
                    </w:rPr>
                  </w:pPr>
                </w:p>
              </w:tc>
              <w:tc>
                <w:tcPr>
                  <w:tcW w:w="1949" w:type="pct"/>
                  <w:shd w:val="clear" w:color="auto" w:fill="FFFFFF"/>
                  <w:noWrap w:val="0"/>
                  <w:vAlign w:val="center"/>
                </w:tcPr>
                <w:p>
                  <w:pPr>
                    <w:pStyle w:val="50"/>
                    <w:spacing w:line="240" w:lineRule="auto"/>
                    <w:jc w:val="center"/>
                    <w:rPr>
                      <w:rFonts w:hint="default" w:ascii="Times New Roman" w:hAnsi="Times New Roman" w:cs="Times New Roman" w:eastAsiaTheme="minorEastAsia"/>
                      <w:spacing w:val="7"/>
                      <w:position w:val="1"/>
                      <w:sz w:val="21"/>
                      <w:szCs w:val="21"/>
                    </w:rPr>
                  </w:pPr>
                  <w:r>
                    <w:rPr>
                      <w:rFonts w:hint="default" w:ascii="Times New Roman" w:hAnsi="Times New Roman" w:eastAsia="宋体" w:cs="Times New Roman"/>
                      <w:color w:val="auto"/>
                      <w:kern w:val="2"/>
                      <w:sz w:val="21"/>
                      <w:szCs w:val="21"/>
                      <w:highlight w:val="none"/>
                      <w:lang w:val="en-US" w:eastAsia="zh-CN"/>
                    </w:rPr>
                    <w:t>雨水</w:t>
                  </w:r>
                  <w:r>
                    <w:rPr>
                      <w:rFonts w:hint="default" w:ascii="Times New Roman" w:hAnsi="Times New Roman" w:eastAsia="宋体" w:cs="Times New Roman"/>
                      <w:color w:val="auto"/>
                      <w:kern w:val="2"/>
                      <w:sz w:val="21"/>
                      <w:szCs w:val="21"/>
                      <w:highlight w:val="none"/>
                      <w:lang w:eastAsia="zh-CN"/>
                    </w:rPr>
                    <w:t>采用地面自然排放和建筑物有组织排水相结合的排水方式，由雨水排水管收集后排入厂区雨水管道。</w:t>
                  </w:r>
                </w:p>
              </w:tc>
              <w:tc>
                <w:tcPr>
                  <w:tcW w:w="1726" w:type="pct"/>
                  <w:shd w:val="clear" w:color="auto" w:fill="FFFFFF"/>
                  <w:noWrap w:val="0"/>
                  <w:vAlign w:val="center"/>
                </w:tcPr>
                <w:p>
                  <w:pPr>
                    <w:pStyle w:val="50"/>
                    <w:spacing w:line="240" w:lineRule="auto"/>
                    <w:jc w:val="center"/>
                    <w:rPr>
                      <w:rFonts w:hint="default" w:ascii="Times New Roman" w:hAnsi="Times New Roman" w:cs="Times New Roman" w:eastAsiaTheme="minorEastAsia"/>
                      <w:spacing w:val="7"/>
                      <w:position w:val="1"/>
                      <w:sz w:val="21"/>
                      <w:szCs w:val="21"/>
                    </w:rPr>
                  </w:pPr>
                  <w:r>
                    <w:rPr>
                      <w:rFonts w:hint="default" w:ascii="Times New Roman" w:hAnsi="Times New Roman" w:eastAsia="宋体" w:cs="Times New Roman"/>
                      <w:color w:val="auto"/>
                      <w:kern w:val="2"/>
                      <w:sz w:val="21"/>
                      <w:szCs w:val="21"/>
                      <w:highlight w:val="none"/>
                      <w:lang w:val="en-US" w:eastAsia="zh-CN"/>
                    </w:rPr>
                    <w:t>雨水</w:t>
                  </w:r>
                  <w:r>
                    <w:rPr>
                      <w:rFonts w:hint="default" w:ascii="Times New Roman" w:hAnsi="Times New Roman" w:eastAsia="宋体" w:cs="Times New Roman"/>
                      <w:color w:val="auto"/>
                      <w:kern w:val="2"/>
                      <w:sz w:val="21"/>
                      <w:szCs w:val="21"/>
                      <w:highlight w:val="none"/>
                      <w:lang w:eastAsia="zh-CN"/>
                    </w:rPr>
                    <w:t>采用地面自然排放和建筑物有组织排水相结合的排水方式，由雨水排水管收集后排入厂区雨水管道。</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263" w:hRule="atLeast"/>
              </w:trPr>
              <w:tc>
                <w:tcPr>
                  <w:tcW w:w="637" w:type="pct"/>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color w:val="auto"/>
                      <w:sz w:val="21"/>
                      <w:szCs w:val="21"/>
                    </w:rPr>
                  </w:pPr>
                </w:p>
              </w:tc>
              <w:tc>
                <w:tcPr>
                  <w:tcW w:w="686"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噪声</w:t>
                  </w:r>
                </w:p>
              </w:tc>
              <w:tc>
                <w:tcPr>
                  <w:tcW w:w="1949"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eastAsia="宋体" w:cs="Times New Roman"/>
                      <w:color w:val="auto"/>
                      <w:kern w:val="2"/>
                      <w:sz w:val="21"/>
                      <w:szCs w:val="21"/>
                      <w:highlight w:val="none"/>
                    </w:rPr>
                    <w:t>采用低噪声设备、密闭车间、安装减震基础等措施</w:t>
                  </w:r>
                </w:p>
              </w:tc>
              <w:tc>
                <w:tcPr>
                  <w:tcW w:w="1726"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color w:val="0000FF"/>
                      <w:sz w:val="21"/>
                      <w:szCs w:val="21"/>
                      <w:lang w:eastAsia="zh-CN"/>
                    </w:rPr>
                  </w:pPr>
                  <w:r>
                    <w:rPr>
                      <w:rFonts w:hint="default" w:ascii="Times New Roman" w:hAnsi="Times New Roman" w:eastAsia="宋体" w:cs="Times New Roman"/>
                      <w:color w:val="auto"/>
                      <w:kern w:val="2"/>
                      <w:sz w:val="21"/>
                      <w:szCs w:val="21"/>
                      <w:highlight w:val="none"/>
                    </w:rPr>
                    <w:t>采用低噪声设备、密闭车间、安装减震基础等措施</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0" w:type="dxa"/>
                  <w:left w:w="108" w:type="dxa"/>
                  <w:bottom w:w="0" w:type="dxa"/>
                  <w:right w:w="108" w:type="dxa"/>
                </w:tblCellMar>
              </w:tblPrEx>
              <w:trPr>
                <w:trHeight w:val="291" w:hRule="atLeast"/>
              </w:trPr>
              <w:tc>
                <w:tcPr>
                  <w:tcW w:w="637" w:type="pct"/>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color w:val="auto"/>
                      <w:sz w:val="21"/>
                      <w:szCs w:val="21"/>
                    </w:rPr>
                  </w:pPr>
                </w:p>
              </w:tc>
              <w:tc>
                <w:tcPr>
                  <w:tcW w:w="686"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固废</w:t>
                  </w:r>
                </w:p>
              </w:tc>
              <w:tc>
                <w:tcPr>
                  <w:tcW w:w="1949" w:type="pct"/>
                  <w:shd w:val="clear" w:color="auto" w:fill="FFFFFF"/>
                  <w:noWrap w:val="0"/>
                  <w:vAlign w:val="center"/>
                </w:tcPr>
                <w:p>
                  <w:pPr>
                    <w:pStyle w:val="50"/>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color w:val="auto"/>
                      <w:sz w:val="21"/>
                      <w:szCs w:val="21"/>
                    </w:rPr>
                  </w:pPr>
                  <w:r>
                    <w:rPr>
                      <w:rFonts w:hint="default" w:ascii="Times New Roman" w:hAnsi="Times New Roman" w:eastAsia="宋体" w:cs="Times New Roman"/>
                      <w:color w:val="auto"/>
                      <w:kern w:val="0"/>
                      <w:sz w:val="21"/>
                      <w:szCs w:val="21"/>
                      <w:highlight w:val="none"/>
                      <w:lang w:val="en-US" w:eastAsia="zh-CN" w:bidi="ar-SA"/>
                    </w:rPr>
                    <w:t>一般工业固废：钢筋边角料暂存于一般固废间，定期外售废品站处理，不良品采用人工敲碎后直接回用于搅拌工序，焊接废料混入生活垃圾由环卫部门统一处理。</w:t>
                  </w:r>
                </w:p>
              </w:tc>
              <w:tc>
                <w:tcPr>
                  <w:tcW w:w="1726" w:type="pct"/>
                  <w:shd w:val="clear" w:color="auto" w:fill="FFFFFF"/>
                  <w:noWrap w:val="0"/>
                  <w:vAlign w:val="center"/>
                </w:tcPr>
                <w:p>
                  <w:pPr>
                    <w:pStyle w:val="50"/>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eastAsiaTheme="minorEastAsia"/>
                      <w:color w:val="0000FF"/>
                      <w:sz w:val="21"/>
                      <w:szCs w:val="21"/>
                    </w:rPr>
                  </w:pPr>
                  <w:r>
                    <w:rPr>
                      <w:rFonts w:hint="default" w:ascii="Times New Roman" w:hAnsi="Times New Roman" w:eastAsia="宋体" w:cs="Times New Roman"/>
                      <w:color w:val="auto"/>
                      <w:kern w:val="0"/>
                      <w:sz w:val="21"/>
                      <w:szCs w:val="21"/>
                      <w:highlight w:val="none"/>
                      <w:lang w:val="en-US" w:eastAsia="zh-CN" w:bidi="ar-SA"/>
                    </w:rPr>
                    <w:t>一般工业固废：钢筋边角料暂存于一般固废间，定期外售废品站处理，不良品采用人工敲碎后直接回用于搅拌工序，焊接废料混入生活垃圾由环卫部门统一处理。</w:t>
                  </w:r>
                </w:p>
              </w:tc>
            </w:tr>
          </w:tbl>
          <w:p>
            <w:pPr>
              <w:pStyle w:val="32"/>
              <w:ind w:firstLine="0" w:firstLineChars="0"/>
              <w:jc w:val="both"/>
              <w:rPr>
                <w:rFonts w:hint="default" w:ascii="Times New Roman" w:hAnsi="Times New Roman" w:eastAsia="宋体" w:cs="Times New Roman"/>
                <w:b/>
                <w:bCs/>
                <w:szCs w:val="24"/>
                <w:lang w:val="en-US" w:eastAsia="zh-CN"/>
              </w:rPr>
            </w:pPr>
            <w:r>
              <w:rPr>
                <w:rFonts w:hint="default" w:ascii="Times New Roman" w:hAnsi="Times New Roman" w:eastAsia="宋体" w:cs="Times New Roman"/>
                <w:b/>
                <w:bCs/>
                <w:szCs w:val="24"/>
                <w:lang w:val="en-US" w:eastAsia="zh-CN"/>
              </w:rPr>
              <w:t>2.2、主要设备、原辅材料及产品方案</w:t>
            </w:r>
          </w:p>
          <w:p>
            <w:pPr>
              <w:pStyle w:val="39"/>
              <w:keepNext w:val="0"/>
              <w:keepLines w:val="0"/>
              <w:pageBreakBefore w:val="0"/>
              <w:widowControl w:val="0"/>
              <w:kinsoku/>
              <w:wordWrap/>
              <w:overflowPunct/>
              <w:topLinePunct w:val="0"/>
              <w:autoSpaceDE/>
              <w:autoSpaceDN/>
              <w:bidi w:val="0"/>
              <w:adjustRightInd/>
              <w:snapToGrid/>
              <w:spacing w:before="38" w:line="360" w:lineRule="auto"/>
              <w:textAlignment w:val="auto"/>
              <w:rPr>
                <w:rFonts w:hint="default" w:ascii="Times New Roman" w:hAnsi="Times New Roman" w:eastAsia="宋体" w:cs="Times New Roman"/>
                <w:spacing w:val="-2"/>
                <w:sz w:val="24"/>
                <w:szCs w:val="24"/>
              </w:rPr>
            </w:pPr>
            <w:r>
              <w:rPr>
                <w:rFonts w:hint="default" w:ascii="Times New Roman" w:hAnsi="Times New Roman" w:eastAsia="宋体" w:cs="Times New Roman"/>
                <w:kern w:val="0"/>
                <w:sz w:val="24"/>
                <w:szCs w:val="24"/>
              </w:rPr>
              <w:t>本</w:t>
            </w:r>
            <w:r>
              <w:rPr>
                <w:rFonts w:hint="default" w:ascii="Times New Roman" w:hAnsi="Times New Roman" w:eastAsia="宋体" w:cs="Times New Roman"/>
                <w:spacing w:val="-2"/>
                <w:sz w:val="24"/>
                <w:szCs w:val="24"/>
              </w:rPr>
              <w:t>项目主要原辅材料及</w:t>
            </w:r>
            <w:r>
              <w:rPr>
                <w:rFonts w:hint="default" w:ascii="Times New Roman" w:hAnsi="Times New Roman" w:eastAsia="宋体" w:cs="Times New Roman"/>
                <w:spacing w:val="-2"/>
                <w:sz w:val="24"/>
                <w:szCs w:val="24"/>
                <w:lang w:eastAsia="zh-CN"/>
              </w:rPr>
              <w:t>动力消耗</w:t>
            </w:r>
            <w:r>
              <w:rPr>
                <w:rFonts w:hint="default" w:ascii="Times New Roman" w:hAnsi="Times New Roman" w:eastAsia="宋体" w:cs="Times New Roman"/>
                <w:spacing w:val="-2"/>
                <w:sz w:val="24"/>
                <w:szCs w:val="24"/>
              </w:rPr>
              <w:t>见表2-</w:t>
            </w:r>
            <w:r>
              <w:rPr>
                <w:rFonts w:hint="default" w:ascii="Times New Roman" w:hAnsi="Times New Roman" w:eastAsia="宋体" w:cs="Times New Roman"/>
                <w:spacing w:val="-2"/>
                <w:sz w:val="24"/>
                <w:szCs w:val="24"/>
                <w:lang w:val="en-US" w:eastAsia="zh-CN"/>
              </w:rPr>
              <w:t>2</w:t>
            </w:r>
            <w:r>
              <w:rPr>
                <w:rFonts w:hint="default" w:ascii="Times New Roman" w:hAnsi="Times New Roman" w:eastAsia="宋体" w:cs="Times New Roman"/>
                <w:spacing w:val="-2"/>
                <w:sz w:val="24"/>
                <w:szCs w:val="24"/>
              </w:rPr>
              <w:t>，主要生产设备见表2-</w:t>
            </w:r>
            <w:r>
              <w:rPr>
                <w:rFonts w:hint="eastAsia" w:ascii="Times New Roman" w:hAnsi="Times New Roman" w:cs="Times New Roman"/>
                <w:spacing w:val="-2"/>
                <w:sz w:val="24"/>
                <w:szCs w:val="24"/>
                <w:lang w:val="en-US" w:eastAsia="zh-CN"/>
              </w:rPr>
              <w:t>4</w:t>
            </w:r>
            <w:r>
              <w:rPr>
                <w:rFonts w:hint="default" w:ascii="Times New Roman" w:hAnsi="Times New Roman" w:eastAsia="宋体" w:cs="Times New Roman"/>
                <w:spacing w:val="-2"/>
                <w:sz w:val="24"/>
                <w:szCs w:val="24"/>
              </w:rPr>
              <w:t>，产品方案见表2-</w:t>
            </w:r>
            <w:bookmarkStart w:id="3" w:name="_Hlk11316756"/>
            <w:r>
              <w:rPr>
                <w:rFonts w:hint="eastAsia" w:ascii="Times New Roman" w:hAnsi="Times New Roman" w:cs="Times New Roman"/>
                <w:spacing w:val="-2"/>
                <w:sz w:val="24"/>
                <w:szCs w:val="24"/>
                <w:lang w:val="en-US" w:eastAsia="zh-CN"/>
              </w:rPr>
              <w:t>5</w:t>
            </w:r>
            <w:r>
              <w:rPr>
                <w:rFonts w:hint="default" w:ascii="Times New Roman" w:hAnsi="Times New Roman" w:eastAsia="宋体" w:cs="Times New Roman"/>
                <w:spacing w:val="-2"/>
                <w:sz w:val="24"/>
                <w:szCs w:val="24"/>
                <w:lang w:val="en-US" w:eastAsia="zh-CN"/>
              </w:rPr>
              <w:t>。</w:t>
            </w:r>
          </w:p>
          <w:p>
            <w:pPr>
              <w:pStyle w:val="39"/>
              <w:keepNext w:val="0"/>
              <w:keepLines w:val="0"/>
              <w:pageBreakBefore w:val="0"/>
              <w:widowControl w:val="0"/>
              <w:kinsoku/>
              <w:wordWrap/>
              <w:overflowPunct/>
              <w:topLinePunct w:val="0"/>
              <w:autoSpaceDE/>
              <w:autoSpaceDN/>
              <w:bidi w:val="0"/>
              <w:adjustRightInd/>
              <w:snapToGrid/>
              <w:spacing w:before="38" w:line="360" w:lineRule="auto"/>
              <w:jc w:val="center"/>
              <w:textAlignment w:val="auto"/>
              <w:rPr>
                <w:rFonts w:hint="default" w:ascii="Times New Roman" w:hAnsi="Times New Roman" w:eastAsia="宋体" w:cs="Times New Roman"/>
                <w:b/>
                <w:bCs/>
                <w:spacing w:val="-2"/>
                <w:sz w:val="21"/>
                <w:szCs w:val="21"/>
              </w:rPr>
            </w:pPr>
            <w:r>
              <w:rPr>
                <w:rFonts w:hint="default" w:ascii="Times New Roman" w:hAnsi="Times New Roman" w:eastAsia="宋体" w:cs="Times New Roman"/>
                <w:b/>
                <w:bCs/>
                <w:spacing w:val="-2"/>
                <w:sz w:val="21"/>
                <w:szCs w:val="21"/>
              </w:rPr>
              <w:t>表2-</w:t>
            </w:r>
            <w:r>
              <w:rPr>
                <w:rFonts w:hint="default" w:ascii="Times New Roman" w:hAnsi="Times New Roman" w:eastAsia="宋体" w:cs="Times New Roman"/>
                <w:b/>
                <w:bCs/>
                <w:spacing w:val="-2"/>
                <w:sz w:val="21"/>
                <w:szCs w:val="21"/>
                <w:lang w:val="en-US" w:eastAsia="zh-CN"/>
              </w:rPr>
              <w:t>2</w:t>
            </w:r>
            <w:r>
              <w:rPr>
                <w:rFonts w:hint="default" w:ascii="Times New Roman" w:hAnsi="Times New Roman" w:eastAsia="宋体" w:cs="Times New Roman"/>
                <w:b/>
                <w:bCs/>
                <w:spacing w:val="-2"/>
                <w:sz w:val="21"/>
                <w:szCs w:val="21"/>
              </w:rPr>
              <w:t xml:space="preserve"> 项目主要原辅材料及</w:t>
            </w:r>
            <w:r>
              <w:rPr>
                <w:rFonts w:hint="default" w:ascii="Times New Roman" w:hAnsi="Times New Roman" w:eastAsia="宋体" w:cs="Times New Roman"/>
                <w:b/>
                <w:bCs/>
                <w:spacing w:val="-2"/>
                <w:sz w:val="21"/>
                <w:szCs w:val="21"/>
                <w:lang w:eastAsia="zh-CN"/>
              </w:rPr>
              <w:t>动力消耗</w:t>
            </w:r>
            <w:r>
              <w:rPr>
                <w:rFonts w:hint="default" w:ascii="Times New Roman" w:hAnsi="Times New Roman" w:eastAsia="宋体" w:cs="Times New Roman"/>
                <w:b/>
                <w:bCs/>
                <w:spacing w:val="-2"/>
                <w:sz w:val="21"/>
                <w:szCs w:val="21"/>
              </w:rPr>
              <w:t>一览表</w:t>
            </w:r>
          </w:p>
          <w:bookmarkEnd w:id="3"/>
          <w:tbl>
            <w:tblPr>
              <w:tblStyle w:val="21"/>
              <w:tblW w:w="4998" w:type="pct"/>
              <w:tblInd w:w="-5"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108" w:type="dxa"/>
                <w:bottom w:w="0" w:type="dxa"/>
                <w:right w:w="108" w:type="dxa"/>
              </w:tblCellMar>
            </w:tblPr>
            <w:tblGrid>
              <w:gridCol w:w="472"/>
              <w:gridCol w:w="384"/>
              <w:gridCol w:w="453"/>
              <w:gridCol w:w="745"/>
              <w:gridCol w:w="2133"/>
              <w:gridCol w:w="861"/>
              <w:gridCol w:w="861"/>
              <w:gridCol w:w="1163"/>
              <w:gridCol w:w="1221"/>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86"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序号</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名称</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单位</w:t>
                  </w:r>
                </w:p>
              </w:tc>
              <w:tc>
                <w:tcPr>
                  <w:tcW w:w="1286"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数量</w:t>
                  </w:r>
                </w:p>
              </w:tc>
              <w:tc>
                <w:tcPr>
                  <w:tcW w:w="519" w:type="pct"/>
                  <w:tcBorders>
                    <w:tl2br w:val="nil"/>
                    <w:tr2bl w:val="nil"/>
                  </w:tcBorders>
                  <w:noWrap w:val="0"/>
                  <w:vAlign w:val="center"/>
                </w:tcPr>
                <w:p>
                  <w:pPr>
                    <w:ind w:left="0" w:leftChars="0"/>
                    <w:jc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形态</w:t>
                  </w:r>
                </w:p>
              </w:tc>
              <w:tc>
                <w:tcPr>
                  <w:tcW w:w="519" w:type="pct"/>
                  <w:tcBorders>
                    <w:tl2br w:val="nil"/>
                    <w:tr2bl w:val="nil"/>
                  </w:tcBorders>
                  <w:noWrap w:val="0"/>
                  <w:vAlign w:val="center"/>
                </w:tcPr>
                <w:p>
                  <w:pPr>
                    <w:ind w:left="0" w:leftChars="0"/>
                    <w:jc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最大</w:t>
                  </w:r>
                  <w:r>
                    <w:rPr>
                      <w:rFonts w:hint="default" w:ascii="Times New Roman" w:hAnsi="Times New Roman" w:eastAsia="宋体" w:cs="Times New Roman"/>
                      <w:i w:val="0"/>
                      <w:iCs w:val="0"/>
                      <w:color w:val="auto"/>
                      <w:sz w:val="21"/>
                      <w:szCs w:val="21"/>
                      <w:highlight w:val="none"/>
                      <w:u w:val="none"/>
                      <w:lang w:val="en-US" w:eastAsia="zh-CN"/>
                    </w:rPr>
                    <w:t>贮存量</w:t>
                  </w:r>
                </w:p>
              </w:tc>
              <w:tc>
                <w:tcPr>
                  <w:tcW w:w="701" w:type="pct"/>
                  <w:tcBorders>
                    <w:tl2br w:val="nil"/>
                    <w:tr2bl w:val="nil"/>
                  </w:tcBorders>
                  <w:noWrap w:val="0"/>
                  <w:vAlign w:val="center"/>
                </w:tcPr>
                <w:p>
                  <w:pPr>
                    <w:ind w:left="0" w:leftChars="0"/>
                    <w:jc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储存方式</w:t>
                  </w:r>
                </w:p>
              </w:tc>
              <w:tc>
                <w:tcPr>
                  <w:tcW w:w="732" w:type="pct"/>
                  <w:tcBorders>
                    <w:tl2br w:val="nil"/>
                    <w:tr2bl w:val="nil"/>
                  </w:tcBorders>
                  <w:noWrap w:val="0"/>
                  <w:vAlign w:val="center"/>
                </w:tcPr>
                <w:p>
                  <w:pPr>
                    <w:ind w:left="0" w:leftChars="0"/>
                    <w:jc w:val="center"/>
                    <w:rPr>
                      <w:rFonts w:hint="default" w:ascii="Times New Roman" w:hAnsi="Times New Roman" w:eastAsia="宋体" w:cs="Times New Roman"/>
                      <w:i w:val="0"/>
                      <w:iCs w:val="0"/>
                      <w:color w:val="auto"/>
                      <w:sz w:val="21"/>
                      <w:szCs w:val="21"/>
                      <w:highlight w:val="none"/>
                      <w:u w:val="none"/>
                      <w:lang w:val="en-US" w:eastAsia="zh-CN"/>
                    </w:rPr>
                  </w:pPr>
                  <w:r>
                    <w:rPr>
                      <w:rFonts w:hint="eastAsia" w:ascii="Times New Roman" w:hAnsi="Times New Roman" w:eastAsia="宋体" w:cs="Times New Roman"/>
                      <w:i w:val="0"/>
                      <w:iCs w:val="0"/>
                      <w:color w:val="auto"/>
                      <w:sz w:val="21"/>
                      <w:szCs w:val="21"/>
                      <w:highlight w:val="none"/>
                      <w:u w:val="none"/>
                      <w:lang w:val="en-US" w:eastAsia="zh-CN"/>
                    </w:rPr>
                    <w:t>其他</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517" w:type="pct"/>
                  <w:gridSpan w:val="2"/>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p>
              </w:tc>
              <w:tc>
                <w:tcPr>
                  <w:tcW w:w="4482" w:type="pct"/>
                  <w:gridSpan w:val="7"/>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一、电力设施器材主要原辅料</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钢筋</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2"/>
                      <w:sz w:val="21"/>
                      <w:szCs w:val="21"/>
                      <w:highlight w:val="none"/>
                      <w:u w:val="none"/>
                      <w:lang w:val="en-US" w:eastAsia="zh-CN" w:bidi="ar"/>
                    </w:rPr>
                    <w:t>1230</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固态</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180</w:t>
                  </w: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cs="Times New Roman"/>
                      <w:b w:val="0"/>
                      <w:bCs w:val="0"/>
                      <w:color w:val="auto"/>
                      <w:kern w:val="0"/>
                      <w:szCs w:val="21"/>
                      <w:highlight w:val="none"/>
                      <w:lang w:val="en-US" w:eastAsia="zh-CN" w:bidi="ar"/>
                    </w:rPr>
                    <w:t>箱装</w:t>
                  </w: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外购</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钢板</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2"/>
                      <w:sz w:val="21"/>
                      <w:szCs w:val="21"/>
                      <w:highlight w:val="none"/>
                      <w:u w:val="none"/>
                      <w:lang w:val="en-US" w:eastAsia="zh-CN" w:bidi="ar"/>
                    </w:rPr>
                    <w:t>67</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eastAsia"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固态</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50</w:t>
                  </w: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cs="Times New Roman"/>
                      <w:color w:val="auto"/>
                      <w:kern w:val="0"/>
                      <w:szCs w:val="21"/>
                      <w:highlight w:val="none"/>
                      <w:lang w:val="en-US" w:eastAsia="zh-CN" w:bidi="ar"/>
                    </w:rPr>
                    <w:t>箱装</w:t>
                  </w: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外购</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砂子</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2"/>
                      <w:sz w:val="21"/>
                      <w:szCs w:val="21"/>
                      <w:highlight w:val="none"/>
                      <w:u w:val="none"/>
                      <w:lang w:val="en-US" w:eastAsia="zh-CN" w:bidi="ar"/>
                    </w:rPr>
                    <w:t>4330</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固态</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700</w:t>
                  </w: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袋装</w:t>
                  </w: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外购</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骨料</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2"/>
                      <w:sz w:val="21"/>
                      <w:szCs w:val="21"/>
                      <w:highlight w:val="none"/>
                      <w:u w:val="none"/>
                      <w:lang w:val="en-US" w:eastAsia="zh-CN" w:bidi="ar"/>
                    </w:rPr>
                    <w:t>5730</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eastAsia"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固态</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600</w:t>
                  </w: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袋装</w:t>
                  </w: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外购</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5</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水泥</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2"/>
                      <w:sz w:val="21"/>
                      <w:szCs w:val="21"/>
                      <w:highlight w:val="none"/>
                      <w:u w:val="none"/>
                      <w:lang w:val="en-US" w:eastAsia="zh-CN" w:bidi="ar"/>
                    </w:rPr>
                    <w:t>2330</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eastAsia"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固态</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406</w:t>
                  </w: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袋装</w:t>
                  </w: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外购</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钢纤维</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2"/>
                      <w:sz w:val="21"/>
                      <w:szCs w:val="21"/>
                      <w:highlight w:val="none"/>
                      <w:u w:val="none"/>
                      <w:lang w:val="en-US" w:eastAsia="zh-CN" w:bidi="ar"/>
                    </w:rPr>
                    <w:t>13</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eastAsia"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固态</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10</w:t>
                  </w: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袋装</w:t>
                  </w: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外购</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517" w:type="pct"/>
                  <w:gridSpan w:val="2"/>
                  <w:tcBorders>
                    <w:tl2br w:val="nil"/>
                    <w:tr2bl w:val="nil"/>
                  </w:tcBorders>
                  <w:noWrap w:val="0"/>
                  <w:vAlign w:val="center"/>
                </w:tcPr>
                <w:p>
                  <w:pPr>
                    <w:keepNext w:val="0"/>
                    <w:keepLines w:val="0"/>
                    <w:widowControl/>
                    <w:suppressLineNumbers w:val="0"/>
                    <w:ind w:left="0" w:leftChars="0"/>
                    <w:jc w:val="center"/>
                    <w:textAlignment w:val="bottom"/>
                    <w:rPr>
                      <w:rStyle w:val="47"/>
                      <w:rFonts w:hint="eastAsia" w:ascii="Times New Roman" w:hAnsi="Times New Roman" w:eastAsia="宋体" w:cs="Times New Roman"/>
                      <w:color w:val="auto"/>
                      <w:sz w:val="21"/>
                      <w:szCs w:val="21"/>
                      <w:highlight w:val="none"/>
                      <w:lang w:val="en-US" w:eastAsia="zh-CN" w:bidi="ar"/>
                    </w:rPr>
                  </w:pPr>
                </w:p>
              </w:tc>
              <w:tc>
                <w:tcPr>
                  <w:tcW w:w="4482" w:type="pct"/>
                  <w:gridSpan w:val="7"/>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二、水泥构件</w:t>
                  </w:r>
                  <w:r>
                    <w:rPr>
                      <w:rStyle w:val="47"/>
                      <w:rFonts w:hint="default" w:ascii="Times New Roman" w:hAnsi="Times New Roman" w:eastAsia="宋体" w:cs="Times New Roman"/>
                      <w:color w:val="auto"/>
                      <w:sz w:val="21"/>
                      <w:szCs w:val="21"/>
                      <w:highlight w:val="none"/>
                      <w:lang w:val="en-US" w:eastAsia="zh-CN" w:bidi="ar"/>
                    </w:rPr>
                    <w:t>主要原辅料</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钢筋</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2"/>
                      <w:sz w:val="21"/>
                      <w:szCs w:val="21"/>
                      <w:highlight w:val="none"/>
                      <w:u w:val="none"/>
                      <w:lang w:val="en-US" w:eastAsia="zh-CN" w:bidi="ar"/>
                    </w:rPr>
                    <w:t>620</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固态</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
                    </w:rPr>
                  </w:pPr>
                  <w:r>
                    <w:rPr>
                      <w:rStyle w:val="47"/>
                      <w:rFonts w:hint="default" w:ascii="Times New Roman" w:hAnsi="Times New Roman" w:eastAsia="宋体" w:cs="Times New Roman"/>
                      <w:color w:val="auto"/>
                      <w:sz w:val="21"/>
                      <w:szCs w:val="21"/>
                      <w:highlight w:val="none"/>
                      <w:lang w:val="en-US" w:eastAsia="zh-CN" w:bidi="ar"/>
                    </w:rPr>
                    <w:t>180</w:t>
                  </w: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cs="Times New Roman"/>
                      <w:b w:val="0"/>
                      <w:bCs w:val="0"/>
                      <w:color w:val="auto"/>
                      <w:kern w:val="0"/>
                      <w:szCs w:val="21"/>
                      <w:highlight w:val="none"/>
                      <w:lang w:val="en-US" w:eastAsia="zh-CN" w:bidi="ar"/>
                    </w:rPr>
                    <w:t>箱装</w:t>
                  </w: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外购</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钢板</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2"/>
                      <w:sz w:val="21"/>
                      <w:szCs w:val="21"/>
                      <w:highlight w:val="none"/>
                      <w:u w:val="none"/>
                      <w:lang w:val="en-US" w:eastAsia="zh-CN" w:bidi="ar"/>
                    </w:rPr>
                    <w:t>33</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固态</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
                    </w:rPr>
                  </w:pPr>
                  <w:r>
                    <w:rPr>
                      <w:rStyle w:val="47"/>
                      <w:rFonts w:hint="default" w:ascii="Times New Roman" w:hAnsi="Times New Roman" w:eastAsia="宋体" w:cs="Times New Roman"/>
                      <w:color w:val="auto"/>
                      <w:sz w:val="21"/>
                      <w:szCs w:val="21"/>
                      <w:highlight w:val="none"/>
                      <w:lang w:val="en-US" w:eastAsia="zh-CN" w:bidi="ar"/>
                    </w:rPr>
                    <w:t>50</w:t>
                  </w: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
                    </w:rPr>
                  </w:pPr>
                  <w:r>
                    <w:rPr>
                      <w:rFonts w:hint="default" w:ascii="Times New Roman" w:hAnsi="Times New Roman" w:cs="Times New Roman"/>
                      <w:color w:val="auto"/>
                      <w:kern w:val="0"/>
                      <w:szCs w:val="21"/>
                      <w:highlight w:val="none"/>
                      <w:lang w:val="en-US" w:eastAsia="zh-CN" w:bidi="ar"/>
                    </w:rPr>
                    <w:t>箱装</w:t>
                  </w: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外购</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砂子</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2"/>
                      <w:sz w:val="21"/>
                      <w:szCs w:val="21"/>
                      <w:highlight w:val="none"/>
                      <w:u w:val="none"/>
                      <w:lang w:val="en-US" w:eastAsia="zh-CN" w:bidi="ar"/>
                    </w:rPr>
                    <w:t>2170</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固态</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
                    </w:rPr>
                  </w:pPr>
                  <w:r>
                    <w:rPr>
                      <w:rStyle w:val="47"/>
                      <w:rFonts w:hint="default" w:ascii="Times New Roman" w:hAnsi="Times New Roman" w:eastAsia="宋体" w:cs="Times New Roman"/>
                      <w:color w:val="auto"/>
                      <w:sz w:val="21"/>
                      <w:szCs w:val="21"/>
                      <w:highlight w:val="none"/>
                      <w:lang w:val="en-US" w:eastAsia="zh-CN" w:bidi="ar"/>
                    </w:rPr>
                    <w:t>700</w:t>
                  </w: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
                    </w:rPr>
                  </w:pPr>
                  <w:r>
                    <w:rPr>
                      <w:rStyle w:val="47"/>
                      <w:rFonts w:hint="default" w:ascii="Times New Roman" w:hAnsi="Times New Roman" w:eastAsia="宋体" w:cs="Times New Roman"/>
                      <w:color w:val="auto"/>
                      <w:sz w:val="21"/>
                      <w:szCs w:val="21"/>
                      <w:highlight w:val="none"/>
                      <w:lang w:val="en-US" w:eastAsia="zh-CN" w:bidi="ar"/>
                    </w:rPr>
                    <w:t>袋装</w:t>
                  </w: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外购</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骨料</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2"/>
                      <w:sz w:val="21"/>
                      <w:szCs w:val="21"/>
                      <w:highlight w:val="none"/>
                      <w:u w:val="none"/>
                      <w:lang w:val="en-US" w:eastAsia="zh-CN" w:bidi="ar"/>
                    </w:rPr>
                    <w:t>2870</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固态</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
                    </w:rPr>
                  </w:pPr>
                  <w:r>
                    <w:rPr>
                      <w:rStyle w:val="47"/>
                      <w:rFonts w:hint="default" w:ascii="Times New Roman" w:hAnsi="Times New Roman" w:eastAsia="宋体" w:cs="Times New Roman"/>
                      <w:color w:val="auto"/>
                      <w:sz w:val="21"/>
                      <w:szCs w:val="21"/>
                      <w:highlight w:val="none"/>
                      <w:lang w:val="en-US" w:eastAsia="zh-CN" w:bidi="ar"/>
                    </w:rPr>
                    <w:t>600</w:t>
                  </w: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
                    </w:rPr>
                  </w:pPr>
                  <w:r>
                    <w:rPr>
                      <w:rStyle w:val="47"/>
                      <w:rFonts w:hint="default" w:ascii="Times New Roman" w:hAnsi="Times New Roman" w:eastAsia="宋体" w:cs="Times New Roman"/>
                      <w:color w:val="auto"/>
                      <w:sz w:val="21"/>
                      <w:szCs w:val="21"/>
                      <w:highlight w:val="none"/>
                      <w:lang w:val="en-US" w:eastAsia="zh-CN" w:bidi="ar"/>
                    </w:rPr>
                    <w:t>袋装</w:t>
                  </w: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外购</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5</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水泥</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2"/>
                      <w:sz w:val="21"/>
                      <w:szCs w:val="21"/>
                      <w:highlight w:val="none"/>
                      <w:u w:val="none"/>
                      <w:lang w:val="en-US" w:eastAsia="zh-CN" w:bidi="ar"/>
                    </w:rPr>
                    <w:t>1170</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固态</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
                    </w:rPr>
                  </w:pPr>
                  <w:r>
                    <w:rPr>
                      <w:rStyle w:val="47"/>
                      <w:rFonts w:hint="default" w:ascii="Times New Roman" w:hAnsi="Times New Roman" w:eastAsia="宋体" w:cs="Times New Roman"/>
                      <w:color w:val="auto"/>
                      <w:sz w:val="21"/>
                      <w:szCs w:val="21"/>
                      <w:highlight w:val="none"/>
                      <w:lang w:val="en-US" w:eastAsia="zh-CN" w:bidi="ar"/>
                    </w:rPr>
                    <w:t>406</w:t>
                  </w: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
                    </w:rPr>
                  </w:pPr>
                  <w:r>
                    <w:rPr>
                      <w:rStyle w:val="47"/>
                      <w:rFonts w:hint="default" w:ascii="Times New Roman" w:hAnsi="Times New Roman" w:eastAsia="宋体" w:cs="Times New Roman"/>
                      <w:color w:val="auto"/>
                      <w:sz w:val="21"/>
                      <w:szCs w:val="21"/>
                      <w:highlight w:val="none"/>
                      <w:lang w:val="en-US" w:eastAsia="zh-CN" w:bidi="ar"/>
                    </w:rPr>
                    <w:t>袋装</w:t>
                  </w: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外购</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钢纤维</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default" w:ascii="Times New Roman" w:hAnsi="Times New Roman" w:eastAsia="宋体" w:cs="Times New Roman"/>
                      <w:i w:val="0"/>
                      <w:iCs w:val="0"/>
                      <w:color w:val="auto"/>
                      <w:kern w:val="2"/>
                      <w:sz w:val="21"/>
                      <w:szCs w:val="21"/>
                      <w:highlight w:val="none"/>
                      <w:u w:val="none"/>
                      <w:lang w:val="en-US" w:eastAsia="zh-CN" w:bidi="ar"/>
                    </w:rPr>
                    <w:t>7</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固态</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
                    </w:rPr>
                  </w:pPr>
                  <w:r>
                    <w:rPr>
                      <w:rStyle w:val="47"/>
                      <w:rFonts w:hint="default" w:ascii="Times New Roman" w:hAnsi="Times New Roman" w:eastAsia="宋体" w:cs="Times New Roman"/>
                      <w:color w:val="auto"/>
                      <w:sz w:val="21"/>
                      <w:szCs w:val="21"/>
                      <w:highlight w:val="none"/>
                      <w:lang w:val="en-US" w:eastAsia="zh-CN" w:bidi="ar"/>
                    </w:rPr>
                    <w:t>10</w:t>
                  </w: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
                    </w:rPr>
                  </w:pPr>
                  <w:r>
                    <w:rPr>
                      <w:rStyle w:val="47"/>
                      <w:rFonts w:hint="default" w:ascii="Times New Roman" w:hAnsi="Times New Roman" w:eastAsia="宋体" w:cs="Times New Roman"/>
                      <w:color w:val="auto"/>
                      <w:sz w:val="21"/>
                      <w:szCs w:val="21"/>
                      <w:highlight w:val="none"/>
                      <w:lang w:val="en-US" w:eastAsia="zh-CN" w:bidi="ar"/>
                    </w:rPr>
                    <w:t>袋装</w:t>
                  </w: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2"/>
                      <w:sz w:val="21"/>
                      <w:szCs w:val="21"/>
                      <w:highlight w:val="none"/>
                      <w:u w:val="none"/>
                      <w:lang w:val="en-US" w:eastAsia="zh-CN" w:bidi="ar-SA"/>
                    </w:rPr>
                  </w:pPr>
                  <w:r>
                    <w:rPr>
                      <w:rStyle w:val="47"/>
                      <w:rFonts w:hint="default" w:ascii="Times New Roman" w:hAnsi="Times New Roman" w:eastAsia="宋体" w:cs="Times New Roman"/>
                      <w:color w:val="auto"/>
                      <w:sz w:val="21"/>
                      <w:szCs w:val="21"/>
                      <w:highlight w:val="none"/>
                      <w:lang w:val="en-US" w:eastAsia="zh-CN" w:bidi="ar"/>
                    </w:rPr>
                    <w:t>外购</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5000" w:type="pct"/>
                  <w:gridSpan w:val="9"/>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三、公用原辅料</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1</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Fonts w:ascii="Times New Roman" w:hAnsi="Times New Roman" w:cs="Times New Roman"/>
                      <w:color w:val="auto"/>
                      <w:highlight w:val="none"/>
                    </w:rPr>
                    <w:t>脱模剂</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30</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液态</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10</w:t>
                  </w: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桶装</w:t>
                  </w: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外购</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2</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ascii="Times New Roman" w:hAnsi="Times New Roman" w:cs="Times New Roman"/>
                      <w:color w:val="auto"/>
                      <w:highlight w:val="none"/>
                    </w:rPr>
                  </w:pPr>
                  <w:r>
                    <w:rPr>
                      <w:rFonts w:ascii="Times New Roman" w:hAnsi="Times New Roman" w:cs="Times New Roman"/>
                      <w:color w:val="auto"/>
                      <w:highlight w:val="none"/>
                    </w:rPr>
                    <w:t>无铅焊条</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1</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固态</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1</w:t>
                  </w: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箱装</w:t>
                  </w: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外购</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3</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润滑油</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0.1</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液态</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0.05</w:t>
                  </w: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桶装</w:t>
                  </w: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r>
                    <w:rPr>
                      <w:rStyle w:val="47"/>
                      <w:rFonts w:hint="eastAsia" w:ascii="Times New Roman" w:hAnsi="Times New Roman" w:eastAsia="宋体" w:cs="Times New Roman"/>
                      <w:color w:val="auto"/>
                      <w:sz w:val="21"/>
                      <w:szCs w:val="21"/>
                      <w:highlight w:val="none"/>
                      <w:lang w:val="en-US" w:eastAsia="zh-CN" w:bidi="ar"/>
                    </w:rPr>
                    <w:t>外购</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5000" w:type="pct"/>
                  <w:gridSpan w:val="9"/>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eastAsia" w:ascii="Times New Roman" w:hAnsi="Times New Roman" w:eastAsia="宋体" w:cs="Times New Roman"/>
                      <w:color w:val="auto"/>
                      <w:sz w:val="21"/>
                      <w:szCs w:val="21"/>
                      <w:highlight w:val="none"/>
                      <w:lang w:val="en-US" w:eastAsia="zh-CN" w:bidi="ar"/>
                    </w:rPr>
                    <w:t>四</w:t>
                  </w:r>
                  <w:r>
                    <w:rPr>
                      <w:rStyle w:val="47"/>
                      <w:rFonts w:hint="default" w:ascii="Times New Roman" w:hAnsi="Times New Roman" w:eastAsia="宋体" w:cs="Times New Roman"/>
                      <w:color w:val="auto"/>
                      <w:sz w:val="21"/>
                      <w:szCs w:val="21"/>
                      <w:highlight w:val="none"/>
                      <w:lang w:val="en-US" w:eastAsia="zh-CN" w:bidi="ar"/>
                    </w:rPr>
                    <w:t>、能源</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新水</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lang w:val="en-US"/>
                    </w:rPr>
                  </w:pPr>
                  <w:r>
                    <w:rPr>
                      <w:rFonts w:hint="eastAsia" w:ascii="Times New Roman" w:hAnsi="Times New Roman" w:eastAsia="宋体" w:cs="Times New Roman"/>
                      <w:i w:val="0"/>
                      <w:iCs w:val="0"/>
                      <w:color w:val="auto"/>
                      <w:kern w:val="0"/>
                      <w:sz w:val="21"/>
                      <w:szCs w:val="21"/>
                      <w:highlight w:val="none"/>
                      <w:u w:val="none"/>
                      <w:lang w:val="en-US" w:eastAsia="zh-CN" w:bidi="ar"/>
                    </w:rPr>
                    <w:t>6897</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园区市政水网</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91"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电</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万KWh</w:t>
                  </w:r>
                </w:p>
              </w:tc>
              <w:tc>
                <w:tcPr>
                  <w:tcW w:w="1286"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130</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园区供电</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285"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505" w:type="pct"/>
                  <w:gridSpan w:val="2"/>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柴油</w:t>
                  </w:r>
                </w:p>
              </w:tc>
              <w:tc>
                <w:tcPr>
                  <w:tcW w:w="449"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吨</w:t>
                  </w:r>
                </w:p>
              </w:tc>
              <w:tc>
                <w:tcPr>
                  <w:tcW w:w="1286"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p>
              </w:tc>
              <w:tc>
                <w:tcPr>
                  <w:tcW w:w="519"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p>
              </w:tc>
              <w:tc>
                <w:tcPr>
                  <w:tcW w:w="701" w:type="pct"/>
                  <w:tcBorders>
                    <w:tl2br w:val="nil"/>
                    <w:tr2bl w:val="nil"/>
                  </w:tcBorders>
                  <w:noWrap w:val="0"/>
                  <w:vAlign w:val="center"/>
                </w:tcPr>
                <w:p>
                  <w:pPr>
                    <w:keepNext w:val="0"/>
                    <w:keepLines w:val="0"/>
                    <w:widowControl/>
                    <w:suppressLineNumbers w:val="0"/>
                    <w:ind w:left="0" w:leftChars="0"/>
                    <w:jc w:val="center"/>
                    <w:textAlignment w:val="bottom"/>
                    <w:rPr>
                      <w:rStyle w:val="47"/>
                      <w:rFonts w:hint="default" w:ascii="Times New Roman" w:hAnsi="Times New Roman" w:eastAsia="宋体" w:cs="Times New Roman"/>
                      <w:color w:val="auto"/>
                      <w:sz w:val="21"/>
                      <w:szCs w:val="21"/>
                      <w:highlight w:val="none"/>
                      <w:lang w:val="en-US" w:eastAsia="zh-CN" w:bidi="ar"/>
                    </w:rPr>
                  </w:pPr>
                </w:p>
              </w:tc>
              <w:tc>
                <w:tcPr>
                  <w:tcW w:w="732" w:type="pct"/>
                  <w:tcBorders>
                    <w:tl2br w:val="nil"/>
                    <w:tr2bl w:val="nil"/>
                  </w:tcBorders>
                  <w:noWrap w:val="0"/>
                  <w:vAlign w:val="center"/>
                </w:tcPr>
                <w:p>
                  <w:pPr>
                    <w:keepNext w:val="0"/>
                    <w:keepLines w:val="0"/>
                    <w:widowControl/>
                    <w:suppressLineNumbers w:val="0"/>
                    <w:ind w:left="0" w:leftChars="0"/>
                    <w:jc w:val="center"/>
                    <w:textAlignment w:val="bottom"/>
                    <w:rPr>
                      <w:rFonts w:hint="default" w:ascii="Times New Roman" w:hAnsi="Times New Roman" w:eastAsia="宋体" w:cs="Times New Roman"/>
                      <w:i w:val="0"/>
                      <w:iCs w:val="0"/>
                      <w:color w:val="auto"/>
                      <w:sz w:val="21"/>
                      <w:szCs w:val="21"/>
                      <w:highlight w:val="none"/>
                      <w:u w:val="none"/>
                    </w:rPr>
                  </w:pPr>
                  <w:r>
                    <w:rPr>
                      <w:rStyle w:val="47"/>
                      <w:rFonts w:hint="default" w:ascii="Times New Roman" w:hAnsi="Times New Roman" w:eastAsia="宋体" w:cs="Times New Roman"/>
                      <w:color w:val="auto"/>
                      <w:sz w:val="21"/>
                      <w:szCs w:val="21"/>
                      <w:highlight w:val="none"/>
                      <w:lang w:val="en-US" w:eastAsia="zh-CN" w:bidi="ar"/>
                    </w:rPr>
                    <w:t>外购</w:t>
                  </w:r>
                </w:p>
              </w:tc>
            </w:tr>
          </w:tbl>
          <w:p>
            <w:pPr>
              <w:keepNext w:val="0"/>
              <w:keepLines w:val="0"/>
              <w:pageBreakBefore w:val="0"/>
              <w:widowControl w:val="0"/>
              <w:kinsoku/>
              <w:wordWrap/>
              <w:overflowPunct/>
              <w:topLinePunct w:val="0"/>
              <w:autoSpaceDE/>
              <w:autoSpaceDN/>
              <w:bidi w:val="0"/>
              <w:adjustRightInd/>
              <w:snapToGrid/>
              <w:spacing w:before="127" w:line="360" w:lineRule="auto"/>
              <w:ind w:left="585" w:leftChars="0" w:firstLine="544" w:firstLineChars="200"/>
              <w:textAlignment w:val="auto"/>
              <w:rPr>
                <w:rFonts w:hint="default" w:ascii="Times New Roman" w:hAnsi="Times New Roman" w:eastAsia="宋体" w:cs="Times New Roman"/>
                <w:spacing w:val="8"/>
                <w:sz w:val="24"/>
                <w:szCs w:val="24"/>
              </w:rPr>
            </w:pPr>
            <w:r>
              <w:rPr>
                <w:rFonts w:hint="default" w:ascii="Times New Roman" w:hAnsi="Times New Roman" w:eastAsia="宋体" w:cs="Times New Roman"/>
                <w:spacing w:val="16"/>
                <w:sz w:val="24"/>
                <w:szCs w:val="24"/>
              </w:rPr>
              <w:t>主</w:t>
            </w:r>
            <w:r>
              <w:rPr>
                <w:rFonts w:hint="default" w:ascii="Times New Roman" w:hAnsi="Times New Roman" w:eastAsia="宋体" w:cs="Times New Roman"/>
                <w:spacing w:val="8"/>
                <w:sz w:val="24"/>
                <w:szCs w:val="24"/>
              </w:rPr>
              <w:t>要原辅材料理化性质及危害性：</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b w:val="0"/>
                <w:bCs w:val="0"/>
                <w:color w:val="auto"/>
                <w:highlight w:val="none"/>
                <w:lang w:val="en-US" w:eastAsia="zh-CN"/>
              </w:rPr>
            </w:pPr>
            <w:r>
              <w:rPr>
                <w:rFonts w:hint="default" w:ascii="Times New Roman" w:hAnsi="Times New Roman" w:eastAsia="宋体" w:cs="Times New Roman"/>
                <w:b/>
                <w:bCs/>
                <w:color w:val="auto"/>
                <w:highlight w:val="none"/>
              </w:rPr>
              <w:t>表</w:t>
            </w:r>
            <w:r>
              <w:rPr>
                <w:rFonts w:hint="default" w:ascii="Times New Roman" w:hAnsi="Times New Roman" w:eastAsia="宋体" w:cs="Times New Roman"/>
                <w:b/>
                <w:bCs/>
                <w:color w:val="auto"/>
                <w:highlight w:val="none"/>
                <w:lang w:val="en-US" w:eastAsia="zh-CN"/>
              </w:rPr>
              <w:t>2-</w:t>
            </w:r>
            <w:r>
              <w:rPr>
                <w:rFonts w:hint="eastAsia" w:ascii="Times New Roman" w:hAnsi="Times New Roman" w:eastAsia="宋体" w:cs="Times New Roman"/>
                <w:b/>
                <w:bCs/>
                <w:color w:val="auto"/>
                <w:highlight w:val="none"/>
                <w:lang w:val="en-US" w:eastAsia="zh-CN"/>
              </w:rPr>
              <w:t>3</w:t>
            </w:r>
            <w:r>
              <w:rPr>
                <w:rFonts w:hint="default" w:ascii="Times New Roman" w:hAnsi="Times New Roman" w:eastAsia="宋体" w:cs="Times New Roman"/>
                <w:b/>
                <w:bCs/>
                <w:color w:val="auto"/>
                <w:highlight w:val="none"/>
                <w:lang w:eastAsia="zh-CN"/>
              </w:rPr>
              <w:t>脱模剂</w:t>
            </w:r>
            <w:r>
              <w:rPr>
                <w:rFonts w:hint="default" w:ascii="Times New Roman" w:hAnsi="Times New Roman" w:eastAsia="宋体" w:cs="Times New Roman"/>
                <w:b/>
                <w:bCs/>
                <w:color w:val="auto"/>
                <w:highlight w:val="none"/>
              </w:rPr>
              <w:t>组分含量表</w:t>
            </w:r>
          </w:p>
          <w:tbl>
            <w:tblPr>
              <w:tblStyle w:val="22"/>
              <w:tblW w:w="0" w:type="auto"/>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13"/>
              <w:gridCol w:w="658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1733" w:type="dxa"/>
                  <w:tcBorders>
                    <w:tl2br w:val="nil"/>
                    <w:tr2bl w:val="nil"/>
                  </w:tcBorders>
                  <w:noWrap w:val="0"/>
                  <w:vAlign w:val="center"/>
                </w:tcPr>
                <w:p>
                  <w:pPr>
                    <w:keepNext w:val="0"/>
                    <w:keepLines w:val="0"/>
                    <w:pageBreakBefore w:val="0"/>
                    <w:widowControl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名称</w:t>
                  </w:r>
                </w:p>
              </w:tc>
              <w:tc>
                <w:tcPr>
                  <w:tcW w:w="6678" w:type="dxa"/>
                  <w:tcBorders>
                    <w:tl2br w:val="nil"/>
                    <w:tr2bl w:val="nil"/>
                  </w:tcBorders>
                  <w:noWrap w:val="0"/>
                  <w:vAlign w:val="center"/>
                </w:tcPr>
                <w:p>
                  <w:pPr>
                    <w:keepNext w:val="0"/>
                    <w:keepLines w:val="0"/>
                    <w:pageBreakBefore w:val="0"/>
                    <w:widowControl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主要成分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733" w:type="dxa"/>
                  <w:tcBorders>
                    <w:tl2br w:val="nil"/>
                    <w:tr2bl w:val="nil"/>
                  </w:tcBorders>
                  <w:noWrap w:val="0"/>
                  <w:vAlign w:val="center"/>
                </w:tcPr>
                <w:p>
                  <w:pPr>
                    <w:keepNext w:val="0"/>
                    <w:keepLines w:val="0"/>
                    <w:pageBreakBefore w:val="0"/>
                    <w:widowControl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脱模剂</w:t>
                  </w:r>
                </w:p>
              </w:tc>
              <w:tc>
                <w:tcPr>
                  <w:tcW w:w="6678" w:type="dxa"/>
                  <w:tcBorders>
                    <w:tl2br w:val="nil"/>
                    <w:tr2bl w:val="nil"/>
                  </w:tcBorders>
                  <w:noWrap w:val="0"/>
                  <w:vAlign w:val="center"/>
                </w:tcPr>
                <w:p>
                  <w:pPr>
                    <w:keepNext w:val="0"/>
                    <w:keepLines w:val="0"/>
                    <w:pageBreakBefore w:val="0"/>
                    <w:widowControl w:val="0"/>
                    <w:kinsoku/>
                    <w:wordWrap/>
                    <w:overflowPunct/>
                    <w:topLinePunct w:val="0"/>
                    <w:autoSpaceDE/>
                    <w:autoSpaceDN/>
                    <w:bidi w:val="0"/>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植物油、水</w:t>
                  </w:r>
                </w:p>
              </w:tc>
            </w:tr>
          </w:tbl>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宋体" w:cs="Times New Roman"/>
                <w:b w:val="0"/>
                <w:bCs w:val="0"/>
                <w:color w:val="auto"/>
                <w:highlight w:val="none"/>
              </w:rPr>
            </w:pPr>
            <w:r>
              <w:rPr>
                <w:rFonts w:hint="default" w:ascii="Times New Roman" w:hAnsi="Times New Roman" w:eastAsia="宋体" w:cs="Times New Roman"/>
                <w:b w:val="0"/>
                <w:bCs w:val="0"/>
                <w:color w:val="auto"/>
                <w:highlight w:val="none"/>
              </w:rPr>
              <w:t>表</w:t>
            </w:r>
            <w:r>
              <w:rPr>
                <w:rFonts w:hint="default" w:ascii="Times New Roman" w:hAnsi="Times New Roman" w:eastAsia="宋体" w:cs="Times New Roman"/>
                <w:b w:val="0"/>
                <w:bCs w:val="0"/>
                <w:color w:val="auto"/>
                <w:highlight w:val="none"/>
                <w:lang w:val="en-US" w:eastAsia="zh-CN"/>
              </w:rPr>
              <w:t>2-</w:t>
            </w:r>
            <w:r>
              <w:rPr>
                <w:rFonts w:hint="eastAsia" w:ascii="Times New Roman" w:hAnsi="Times New Roman" w:eastAsia="宋体" w:cs="Times New Roman"/>
                <w:b w:val="0"/>
                <w:bCs w:val="0"/>
                <w:color w:val="auto"/>
                <w:highlight w:val="none"/>
                <w:lang w:val="en-US" w:eastAsia="zh-CN"/>
              </w:rPr>
              <w:t>5</w:t>
            </w:r>
            <w:r>
              <w:rPr>
                <w:rFonts w:hint="default" w:ascii="Times New Roman" w:hAnsi="Times New Roman" w:eastAsia="宋体" w:cs="Times New Roman"/>
                <w:b w:val="0"/>
                <w:bCs w:val="0"/>
                <w:color w:val="auto"/>
                <w:highlight w:val="none"/>
                <w:lang w:val="en-US" w:eastAsia="zh-CN"/>
              </w:rPr>
              <w:t xml:space="preserve"> </w:t>
            </w:r>
            <w:r>
              <w:rPr>
                <w:rFonts w:hint="default" w:ascii="Times New Roman" w:hAnsi="Times New Roman" w:eastAsia="宋体" w:cs="Times New Roman"/>
                <w:b w:val="0"/>
                <w:bCs w:val="0"/>
                <w:color w:val="auto"/>
                <w:highlight w:val="none"/>
              </w:rPr>
              <w:t xml:space="preserve"> 脱模剂理化性质</w:t>
            </w:r>
          </w:p>
          <w:tbl>
            <w:tblPr>
              <w:tblStyle w:val="21"/>
              <w:tblW w:w="0" w:type="auto"/>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
              <w:gridCol w:w="1613"/>
              <w:gridCol w:w="1833"/>
              <w:gridCol w:w="1698"/>
              <w:gridCol w:w="22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47" w:type="dxa"/>
                  <w:vMerge w:val="restart"/>
                  <w:tcBorders>
                    <w:tl2br w:val="nil"/>
                    <w:tr2bl w:val="nil"/>
                  </w:tcBorders>
                  <w:noWrap w:val="0"/>
                  <w:vAlign w:val="center"/>
                </w:tcPr>
                <w:p>
                  <w:pPr>
                    <w:pStyle w:val="51"/>
                    <w:snapToGrid w:val="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标识</w:t>
                  </w:r>
                </w:p>
              </w:tc>
              <w:tc>
                <w:tcPr>
                  <w:tcW w:w="1635" w:type="dxa"/>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物质状态：水性</w:t>
                  </w:r>
                </w:p>
              </w:tc>
              <w:tc>
                <w:tcPr>
                  <w:tcW w:w="1860" w:type="dxa"/>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形状：液体</w:t>
                  </w:r>
                </w:p>
              </w:tc>
              <w:tc>
                <w:tcPr>
                  <w:tcW w:w="1721" w:type="dxa"/>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lang w:val="de-DE" w:eastAsia="zh-CN"/>
                    </w:rPr>
                  </w:pPr>
                  <w:r>
                    <w:rPr>
                      <w:rFonts w:hint="default" w:ascii="Times New Roman" w:hAnsi="Times New Roman" w:eastAsia="宋体" w:cs="Times New Roman"/>
                      <w:color w:val="auto"/>
                      <w:highlight w:val="none"/>
                      <w:lang w:val="en-US" w:eastAsia="zh-CN"/>
                    </w:rPr>
                    <w:t>p</w:t>
                  </w:r>
                  <w:r>
                    <w:rPr>
                      <w:rFonts w:hint="default" w:ascii="Times New Roman" w:hAnsi="Times New Roman" w:eastAsia="宋体" w:cs="Times New Roman"/>
                      <w:color w:val="auto"/>
                      <w:highlight w:val="none"/>
                    </w:rPr>
                    <w:t>H值：8.5±1</w:t>
                  </w:r>
                </w:p>
              </w:tc>
              <w:tc>
                <w:tcPr>
                  <w:tcW w:w="2238" w:type="dxa"/>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lang w:val="de-DE" w:eastAsia="zh-CN"/>
                    </w:rPr>
                  </w:pPr>
                  <w:r>
                    <w:rPr>
                      <w:rFonts w:hint="default" w:ascii="Times New Roman" w:hAnsi="Times New Roman" w:eastAsia="宋体" w:cs="Times New Roman"/>
                      <w:color w:val="auto"/>
                      <w:highlight w:val="none"/>
                    </w:rPr>
                    <w:t>沸点/沸点范围：高于100℃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47" w:type="dxa"/>
                  <w:vMerge w:val="continue"/>
                  <w:tcBorders>
                    <w:tl2br w:val="nil"/>
                    <w:tr2bl w:val="nil"/>
                  </w:tcBorders>
                  <w:noWrap w:val="0"/>
                  <w:vAlign w:val="center"/>
                </w:tcPr>
                <w:p>
                  <w:pPr>
                    <w:widowControl/>
                    <w:spacing w:line="240" w:lineRule="auto"/>
                    <w:ind w:firstLine="0" w:firstLineChars="0"/>
                    <w:jc w:val="left"/>
                    <w:rPr>
                      <w:rFonts w:hint="default" w:ascii="Times New Roman" w:hAnsi="Times New Roman" w:cs="Times New Roman"/>
                      <w:color w:val="auto"/>
                      <w:sz w:val="21"/>
                      <w:szCs w:val="24"/>
                      <w:highlight w:val="none"/>
                    </w:rPr>
                  </w:pPr>
                </w:p>
              </w:tc>
              <w:tc>
                <w:tcPr>
                  <w:tcW w:w="1635" w:type="dxa"/>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颜色：米白色</w:t>
                  </w:r>
                </w:p>
              </w:tc>
              <w:tc>
                <w:tcPr>
                  <w:tcW w:w="1860" w:type="dxa"/>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气味：无</w:t>
                  </w:r>
                </w:p>
              </w:tc>
              <w:tc>
                <w:tcPr>
                  <w:tcW w:w="1721" w:type="dxa"/>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分解温度：无</w:t>
                  </w:r>
                </w:p>
              </w:tc>
              <w:tc>
                <w:tcPr>
                  <w:tcW w:w="2238" w:type="dxa"/>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闪火点：高于180℃  测试方法：开杯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47" w:type="dxa"/>
                  <w:vMerge w:val="continue"/>
                  <w:tcBorders>
                    <w:tl2br w:val="nil"/>
                    <w:tr2bl w:val="nil"/>
                  </w:tcBorders>
                  <w:noWrap w:val="0"/>
                  <w:vAlign w:val="center"/>
                </w:tcPr>
                <w:p>
                  <w:pPr>
                    <w:pStyle w:val="51"/>
                    <w:snapToGrid w:val="0"/>
                    <w:rPr>
                      <w:rFonts w:hint="default" w:ascii="Times New Roman" w:hAnsi="Times New Roman" w:cs="Times New Roman"/>
                      <w:color w:val="auto"/>
                      <w:highlight w:val="none"/>
                    </w:rPr>
                  </w:pPr>
                </w:p>
              </w:tc>
              <w:tc>
                <w:tcPr>
                  <w:tcW w:w="1635" w:type="dxa"/>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自燃温度：无</w:t>
                  </w:r>
                </w:p>
              </w:tc>
              <w:tc>
                <w:tcPr>
                  <w:tcW w:w="1860" w:type="dxa"/>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爆炸界限：无</w:t>
                  </w:r>
                </w:p>
              </w:tc>
              <w:tc>
                <w:tcPr>
                  <w:tcW w:w="1721" w:type="dxa"/>
                  <w:tcBorders>
                    <w:tl2br w:val="nil"/>
                    <w:tr2bl w:val="nil"/>
                  </w:tcBorders>
                  <w:noWrap w:val="0"/>
                  <w:vAlign w:val="center"/>
                </w:tcPr>
                <w:p>
                  <w:pPr>
                    <w:pStyle w:val="51"/>
                    <w:snapToGrid w:val="0"/>
                    <w:jc w:val="center"/>
                    <w:rPr>
                      <w:rFonts w:hint="default" w:ascii="Times New Roman" w:hAnsi="Times New Roman" w:eastAsia="宋体" w:cs="Times New Roman"/>
                      <w:b w:val="0"/>
                      <w:color w:val="auto"/>
                      <w:kern w:val="2"/>
                      <w:sz w:val="21"/>
                      <w:szCs w:val="24"/>
                      <w:highlight w:val="none"/>
                      <w:lang w:val="en-US" w:eastAsia="zh-CN" w:bidi="ar-SA"/>
                    </w:rPr>
                  </w:pPr>
                  <w:r>
                    <w:rPr>
                      <w:rFonts w:hint="default" w:ascii="Times New Roman" w:hAnsi="Times New Roman" w:eastAsia="宋体" w:cs="Times New Roman"/>
                      <w:color w:val="auto"/>
                      <w:highlight w:val="none"/>
                    </w:rPr>
                    <w:t>蒸气压：无</w:t>
                  </w:r>
                </w:p>
              </w:tc>
              <w:tc>
                <w:tcPr>
                  <w:tcW w:w="2238" w:type="dxa"/>
                  <w:tcBorders>
                    <w:tl2br w:val="nil"/>
                    <w:tr2bl w:val="nil"/>
                  </w:tcBorders>
                  <w:noWrap w:val="0"/>
                  <w:vAlign w:val="center"/>
                </w:tcPr>
                <w:p>
                  <w:pPr>
                    <w:pStyle w:val="51"/>
                    <w:snapToGrid w:val="0"/>
                    <w:jc w:val="center"/>
                    <w:rPr>
                      <w:rFonts w:hint="default" w:ascii="Times New Roman" w:hAnsi="Times New Roman" w:eastAsia="宋体" w:cs="Times New Roman"/>
                      <w:b w:val="0"/>
                      <w:color w:val="auto"/>
                      <w:kern w:val="2"/>
                      <w:sz w:val="21"/>
                      <w:szCs w:val="24"/>
                      <w:highlight w:val="none"/>
                      <w:lang w:val="en-US" w:eastAsia="zh-CN" w:bidi="ar-SA"/>
                    </w:rPr>
                  </w:pPr>
                  <w:r>
                    <w:rPr>
                      <w:rFonts w:hint="default" w:ascii="Times New Roman" w:hAnsi="Times New Roman" w:eastAsia="宋体" w:cs="Times New Roman"/>
                      <w:color w:val="auto"/>
                      <w:highlight w:val="none"/>
                    </w:rPr>
                    <w:t>蒸汽密度：无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47" w:type="dxa"/>
                  <w:vMerge w:val="continue"/>
                  <w:tcBorders>
                    <w:tl2br w:val="nil"/>
                    <w:tr2bl w:val="nil"/>
                  </w:tcBorders>
                  <w:noWrap w:val="0"/>
                  <w:vAlign w:val="center"/>
                </w:tcPr>
                <w:p>
                  <w:pPr>
                    <w:widowControl/>
                    <w:spacing w:line="240" w:lineRule="auto"/>
                    <w:ind w:firstLine="0" w:firstLineChars="0"/>
                    <w:jc w:val="left"/>
                    <w:rPr>
                      <w:rFonts w:hint="default" w:ascii="Times New Roman" w:hAnsi="Times New Roman" w:cs="Times New Roman"/>
                      <w:color w:val="auto"/>
                      <w:sz w:val="21"/>
                      <w:szCs w:val="24"/>
                      <w:highlight w:val="none"/>
                    </w:rPr>
                  </w:pPr>
                </w:p>
              </w:tc>
              <w:tc>
                <w:tcPr>
                  <w:tcW w:w="3495" w:type="dxa"/>
                  <w:gridSpan w:val="2"/>
                  <w:tcBorders>
                    <w:tl2br w:val="nil"/>
                    <w:tr2bl w:val="nil"/>
                  </w:tcBorders>
                  <w:noWrap w:val="0"/>
                  <w:vAlign w:val="center"/>
                </w:tcPr>
                <w:p>
                  <w:pPr>
                    <w:pStyle w:val="51"/>
                    <w:snapToGrid w:val="0"/>
                    <w:jc w:val="center"/>
                    <w:rPr>
                      <w:rFonts w:hint="default" w:ascii="Times New Roman" w:hAnsi="Times New Roman" w:eastAsia="宋体" w:cs="Times New Roman"/>
                      <w:b w:val="0"/>
                      <w:color w:val="auto"/>
                      <w:kern w:val="2"/>
                      <w:sz w:val="21"/>
                      <w:szCs w:val="24"/>
                      <w:highlight w:val="none"/>
                      <w:lang w:val="en-US" w:eastAsia="zh-CN" w:bidi="ar-SA"/>
                    </w:rPr>
                  </w:pPr>
                  <w:r>
                    <w:rPr>
                      <w:rFonts w:hint="default" w:ascii="Times New Roman" w:hAnsi="Times New Roman" w:eastAsia="宋体" w:cs="Times New Roman"/>
                      <w:color w:val="auto"/>
                      <w:highlight w:val="none"/>
                    </w:rPr>
                    <w:t>密度：水气密度高于空气</w:t>
                  </w:r>
                </w:p>
              </w:tc>
              <w:tc>
                <w:tcPr>
                  <w:tcW w:w="3959" w:type="dxa"/>
                  <w:gridSpan w:val="2"/>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溶解度：和水溶解度佳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47" w:type="dxa"/>
                  <w:vMerge w:val="restart"/>
                  <w:tcBorders>
                    <w:tl2br w:val="nil"/>
                    <w:tr2bl w:val="nil"/>
                  </w:tcBorders>
                  <w:noWrap w:val="0"/>
                  <w:vAlign w:val="center"/>
                </w:tcPr>
                <w:p>
                  <w:pPr>
                    <w:pStyle w:val="51"/>
                    <w:snapToGrid w:val="0"/>
                    <w:rPr>
                      <w:rFonts w:hint="default" w:ascii="Times New Roman" w:hAnsi="Times New Roman" w:cs="Times New Roman"/>
                      <w:color w:val="auto"/>
                      <w:highlight w:val="none"/>
                    </w:rPr>
                  </w:pPr>
                  <w:r>
                    <w:rPr>
                      <w:rFonts w:hint="default" w:ascii="Times New Roman" w:hAnsi="Times New Roman" w:cs="Times New Roman"/>
                      <w:color w:val="auto"/>
                      <w:highlight w:val="none"/>
                    </w:rPr>
                    <w:t>安定性及反应性</w:t>
                  </w:r>
                </w:p>
              </w:tc>
              <w:tc>
                <w:tcPr>
                  <w:tcW w:w="3495" w:type="dxa"/>
                  <w:gridSpan w:val="2"/>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安定性：佳</w:t>
                  </w:r>
                </w:p>
              </w:tc>
              <w:tc>
                <w:tcPr>
                  <w:tcW w:w="3959" w:type="dxa"/>
                  <w:gridSpan w:val="2"/>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特殊状况下可能的危害反应：无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47" w:type="dxa"/>
                  <w:vMerge w:val="continue"/>
                  <w:tcBorders>
                    <w:tl2br w:val="nil"/>
                    <w:tr2bl w:val="nil"/>
                  </w:tcBorders>
                  <w:noWrap w:val="0"/>
                  <w:vAlign w:val="center"/>
                </w:tcPr>
                <w:p>
                  <w:pPr>
                    <w:widowControl/>
                    <w:spacing w:line="240" w:lineRule="auto"/>
                    <w:ind w:firstLine="0" w:firstLineChars="0"/>
                    <w:jc w:val="left"/>
                    <w:rPr>
                      <w:rFonts w:hint="default" w:ascii="Times New Roman" w:hAnsi="Times New Roman" w:cs="Times New Roman"/>
                      <w:color w:val="auto"/>
                      <w:sz w:val="21"/>
                      <w:szCs w:val="24"/>
                      <w:highlight w:val="none"/>
                    </w:rPr>
                  </w:pPr>
                </w:p>
              </w:tc>
              <w:tc>
                <w:tcPr>
                  <w:tcW w:w="3495" w:type="dxa"/>
                  <w:gridSpan w:val="2"/>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应避免的状况：勿和高挥发溶剂混合</w:t>
                  </w:r>
                </w:p>
              </w:tc>
              <w:tc>
                <w:tcPr>
                  <w:tcW w:w="3959" w:type="dxa"/>
                  <w:gridSpan w:val="2"/>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应避免的物质；高挥发溶剂(强酸/强碱)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47" w:type="dxa"/>
                  <w:vMerge w:val="continue"/>
                  <w:tcBorders>
                    <w:tl2br w:val="nil"/>
                    <w:tr2bl w:val="nil"/>
                  </w:tcBorders>
                  <w:noWrap w:val="0"/>
                  <w:vAlign w:val="center"/>
                </w:tcPr>
                <w:p>
                  <w:pPr>
                    <w:widowControl/>
                    <w:spacing w:line="240" w:lineRule="auto"/>
                    <w:ind w:firstLine="0" w:firstLineChars="0"/>
                    <w:jc w:val="left"/>
                    <w:rPr>
                      <w:rFonts w:hint="default" w:ascii="Times New Roman" w:hAnsi="Times New Roman" w:cs="Times New Roman"/>
                      <w:color w:val="auto"/>
                      <w:sz w:val="21"/>
                      <w:szCs w:val="24"/>
                      <w:highlight w:val="none"/>
                    </w:rPr>
                  </w:pPr>
                </w:p>
              </w:tc>
              <w:tc>
                <w:tcPr>
                  <w:tcW w:w="3495" w:type="dxa"/>
                  <w:gridSpan w:val="2"/>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危害分解物：无</w:t>
                  </w:r>
                </w:p>
              </w:tc>
              <w:tc>
                <w:tcPr>
                  <w:tcW w:w="1721" w:type="dxa"/>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rPr>
                  </w:pPr>
                </w:p>
              </w:tc>
              <w:tc>
                <w:tcPr>
                  <w:tcW w:w="2238" w:type="dxa"/>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47" w:type="dxa"/>
                  <w:vMerge w:val="restart"/>
                  <w:tcBorders>
                    <w:tl2br w:val="nil"/>
                    <w:tr2bl w:val="nil"/>
                  </w:tcBorders>
                  <w:noWrap w:val="0"/>
                  <w:vAlign w:val="center"/>
                </w:tcPr>
                <w:p>
                  <w:pPr>
                    <w:pStyle w:val="51"/>
                    <w:snapToGrid w:val="0"/>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lang w:val="en-US" w:eastAsia="zh-CN"/>
                    </w:rPr>
                    <w:t>毒性</w:t>
                  </w:r>
                </w:p>
              </w:tc>
              <w:tc>
                <w:tcPr>
                  <w:tcW w:w="1635" w:type="dxa"/>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急毒性：无</w:t>
                  </w:r>
                </w:p>
              </w:tc>
              <w:tc>
                <w:tcPr>
                  <w:tcW w:w="1860" w:type="dxa"/>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局部效应：无</w:t>
                  </w:r>
                </w:p>
              </w:tc>
              <w:tc>
                <w:tcPr>
                  <w:tcW w:w="1721" w:type="dxa"/>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致敏感性：无</w:t>
                  </w:r>
                </w:p>
              </w:tc>
              <w:tc>
                <w:tcPr>
                  <w:tcW w:w="2238" w:type="dxa"/>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特殊效应：无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47" w:type="dxa"/>
                  <w:vMerge w:val="continue"/>
                  <w:tcBorders>
                    <w:tl2br w:val="nil"/>
                    <w:tr2bl w:val="nil"/>
                  </w:tcBorders>
                  <w:noWrap w:val="0"/>
                  <w:vAlign w:val="center"/>
                </w:tcPr>
                <w:p>
                  <w:pPr>
                    <w:widowControl/>
                    <w:spacing w:line="240" w:lineRule="auto"/>
                    <w:ind w:firstLine="0" w:firstLineChars="0"/>
                    <w:jc w:val="left"/>
                    <w:rPr>
                      <w:rFonts w:hint="default" w:ascii="Times New Roman" w:hAnsi="Times New Roman" w:cs="Times New Roman"/>
                      <w:color w:val="auto"/>
                      <w:sz w:val="21"/>
                      <w:szCs w:val="24"/>
                      <w:highlight w:val="none"/>
                    </w:rPr>
                  </w:pPr>
                </w:p>
              </w:tc>
              <w:tc>
                <w:tcPr>
                  <w:tcW w:w="7454" w:type="dxa"/>
                  <w:gridSpan w:val="4"/>
                  <w:tcBorders>
                    <w:tl2br w:val="nil"/>
                    <w:tr2bl w:val="nil"/>
                  </w:tcBorders>
                  <w:noWrap w:val="0"/>
                  <w:vAlign w:val="center"/>
                </w:tcPr>
                <w:p>
                  <w:pPr>
                    <w:pStyle w:val="51"/>
                    <w:snapToGrid w:val="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慢毒性或长期毒性：无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47" w:type="dxa"/>
                  <w:tcBorders>
                    <w:tl2br w:val="nil"/>
                    <w:tr2bl w:val="nil"/>
                  </w:tcBorders>
                  <w:noWrap w:val="0"/>
                  <w:vAlign w:val="center"/>
                </w:tcPr>
                <w:p>
                  <w:pPr>
                    <w:pStyle w:val="51"/>
                    <w:snapToGrid w:val="0"/>
                    <w:rPr>
                      <w:rFonts w:hint="default" w:ascii="Times New Roman" w:hAnsi="Times New Roman" w:eastAsia="宋体" w:cs="Times New Roman"/>
                      <w:b w:val="0"/>
                      <w:color w:val="auto"/>
                      <w:kern w:val="2"/>
                      <w:sz w:val="21"/>
                      <w:szCs w:val="24"/>
                      <w:highlight w:val="none"/>
                      <w:lang w:val="en-US" w:eastAsia="zh-CN" w:bidi="ar-SA"/>
                    </w:rPr>
                  </w:pPr>
                  <w:r>
                    <w:rPr>
                      <w:rFonts w:hint="default" w:ascii="Times New Roman" w:hAnsi="Times New Roman" w:cs="Times New Roman"/>
                      <w:color w:val="auto"/>
                      <w:highlight w:val="none"/>
                      <w:lang w:val="en-US" w:eastAsia="zh-CN"/>
                    </w:rPr>
                    <w:t>最重要危害效应</w:t>
                  </w:r>
                </w:p>
              </w:tc>
              <w:tc>
                <w:tcPr>
                  <w:tcW w:w="7454" w:type="dxa"/>
                  <w:gridSpan w:val="4"/>
                  <w:tcBorders>
                    <w:tl2br w:val="nil"/>
                    <w:tr2bl w:val="nil"/>
                  </w:tcBorders>
                  <w:noWrap w:val="0"/>
                  <w:vAlign w:val="center"/>
                </w:tcPr>
                <w:p>
                  <w:pPr>
                    <w:pStyle w:val="51"/>
                    <w:snapToGrid w:val="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健康危害效应：本产品属水性，在正常情况下使用，不会对进口造成影响。</w:t>
                  </w:r>
                </w:p>
                <w:p>
                  <w:pPr>
                    <w:pStyle w:val="51"/>
                    <w:snapToGrid w:val="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环境影响：在正常情况下使用，不会对环境造成影响。</w:t>
                  </w:r>
                </w:p>
                <w:p>
                  <w:pPr>
                    <w:pStyle w:val="51"/>
                    <w:snapToGrid w:val="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物理性及化学危害：无</w:t>
                  </w:r>
                </w:p>
                <w:p>
                  <w:pPr>
                    <w:pStyle w:val="51"/>
                    <w:snapToGrid w:val="0"/>
                    <w:jc w:val="both"/>
                    <w:rPr>
                      <w:rFonts w:hint="default" w:ascii="Times New Roman" w:hAnsi="Times New Roman" w:eastAsia="宋体" w:cs="Times New Roman"/>
                      <w:b w:val="0"/>
                      <w:color w:val="auto"/>
                      <w:kern w:val="2"/>
                      <w:sz w:val="21"/>
                      <w:szCs w:val="24"/>
                      <w:highlight w:val="none"/>
                      <w:lang w:val="en-US" w:eastAsia="zh-CN" w:bidi="ar-SA"/>
                    </w:rPr>
                  </w:pPr>
                  <w:r>
                    <w:rPr>
                      <w:rFonts w:hint="default" w:ascii="Times New Roman" w:hAnsi="Times New Roman" w:cs="Times New Roman"/>
                      <w:color w:val="auto"/>
                      <w:highlight w:val="none"/>
                    </w:rPr>
                    <w:t>特殊危害：无，但不可食用。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47" w:type="dxa"/>
                  <w:tcBorders>
                    <w:tl2br w:val="nil"/>
                    <w:tr2bl w:val="nil"/>
                  </w:tcBorders>
                  <w:noWrap w:val="0"/>
                  <w:vAlign w:val="center"/>
                </w:tcPr>
                <w:p>
                  <w:pPr>
                    <w:pStyle w:val="51"/>
                    <w:snapToGrid w:val="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急救措施</w:t>
                  </w:r>
                </w:p>
              </w:tc>
              <w:tc>
                <w:tcPr>
                  <w:tcW w:w="7454" w:type="dxa"/>
                  <w:gridSpan w:val="4"/>
                  <w:tcBorders>
                    <w:tl2br w:val="nil"/>
                    <w:tr2bl w:val="nil"/>
                  </w:tcBorders>
                  <w:noWrap w:val="0"/>
                  <w:vAlign w:val="center"/>
                </w:tcPr>
                <w:p>
                  <w:pPr>
                    <w:pStyle w:val="51"/>
                    <w:snapToGrid w:val="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吸入：正常的工业使用，将导致任何不适应，工厂最好有良好之通风设备。若有不适，将伤者移至通风处，若有呼吸困难，请给予人工呼吸器，必要时施行</w:t>
                  </w:r>
                  <w:r>
                    <w:rPr>
                      <w:rFonts w:hint="default" w:ascii="Times New Roman" w:hAnsi="Times New Roman" w:cs="Times New Roman"/>
                      <w:color w:val="auto"/>
                      <w:highlight w:val="none"/>
                      <w:lang w:val="en-US" w:eastAsia="zh-CN"/>
                    </w:rPr>
                    <w:t>心肺复苏</w:t>
                  </w:r>
                  <w:r>
                    <w:rPr>
                      <w:rFonts w:hint="default" w:ascii="Times New Roman" w:hAnsi="Times New Roman" w:cs="Times New Roman"/>
                      <w:color w:val="auto"/>
                      <w:highlight w:val="none"/>
                    </w:rPr>
                    <w:t>并至医院检查。</w:t>
                  </w:r>
                </w:p>
                <w:p>
                  <w:pPr>
                    <w:pStyle w:val="51"/>
                    <w:snapToGrid w:val="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皮肤接触：正常情况下使用，不会对健康造成影响，少量接触，以肥皂及大量水冲洗至少15分钟，若有发炎现象，请到医院检查。</w:t>
                  </w:r>
                </w:p>
                <w:p>
                  <w:pPr>
                    <w:pStyle w:val="51"/>
                    <w:snapToGrid w:val="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食入：正常的工业使用，将导致任何不适，离开工作场所时将所使用的工作服清洗后，下次再用，吃东西前必先洗手。误食本产品请勿催吐，马上送医院检查。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47" w:type="dxa"/>
                  <w:tcBorders>
                    <w:tl2br w:val="nil"/>
                    <w:tr2bl w:val="nil"/>
                  </w:tcBorders>
                  <w:noWrap w:val="0"/>
                  <w:vAlign w:val="center"/>
                </w:tcPr>
                <w:p>
                  <w:pPr>
                    <w:pStyle w:val="51"/>
                    <w:snapToGrid w:val="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灭火措施</w:t>
                  </w:r>
                </w:p>
              </w:tc>
              <w:tc>
                <w:tcPr>
                  <w:tcW w:w="7454" w:type="dxa"/>
                  <w:gridSpan w:val="4"/>
                  <w:tcBorders>
                    <w:tl2br w:val="nil"/>
                    <w:tr2bl w:val="nil"/>
                  </w:tcBorders>
                  <w:noWrap w:val="0"/>
                  <w:vAlign w:val="center"/>
                </w:tcPr>
                <w:p>
                  <w:pPr>
                    <w:pStyle w:val="51"/>
                    <w:snapToGrid w:val="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适用灭火剂：水、干粉、二氧化碳、泡沫灭火器。</w:t>
                  </w:r>
                </w:p>
                <w:p>
                  <w:pPr>
                    <w:pStyle w:val="51"/>
                    <w:snapToGrid w:val="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灭火时可能遭遇之特殊危害：无特殊灭火程序：一般灭火程序</w:t>
                  </w:r>
                </w:p>
                <w:p>
                  <w:pPr>
                    <w:pStyle w:val="51"/>
                    <w:snapToGrid w:val="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消防人员</w:t>
                  </w:r>
                  <w:r>
                    <w:rPr>
                      <w:rFonts w:hint="eastAsia" w:cs="Times New Roman"/>
                      <w:color w:val="auto"/>
                      <w:highlight w:val="none"/>
                      <w:lang w:eastAsia="zh-CN"/>
                    </w:rPr>
                    <w:t>的</w:t>
                  </w:r>
                  <w:r>
                    <w:rPr>
                      <w:rFonts w:hint="default" w:ascii="Times New Roman" w:hAnsi="Times New Roman" w:cs="Times New Roman"/>
                      <w:color w:val="auto"/>
                      <w:highlight w:val="none"/>
                    </w:rPr>
                    <w:t>防护设备：一般防护人员防护设备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47" w:type="dxa"/>
                  <w:tcBorders>
                    <w:tl2br w:val="nil"/>
                    <w:tr2bl w:val="nil"/>
                  </w:tcBorders>
                  <w:noWrap w:val="0"/>
                  <w:vAlign w:val="center"/>
                </w:tcPr>
                <w:p>
                  <w:pPr>
                    <w:pStyle w:val="51"/>
                    <w:snapToGrid w:val="0"/>
                    <w:rPr>
                      <w:rFonts w:hint="default" w:ascii="Times New Roman" w:hAnsi="Times New Roman" w:eastAsia="宋体" w:cs="Times New Roman"/>
                      <w:color w:val="auto"/>
                      <w:highlight w:val="none"/>
                      <w:lang w:val="en-US" w:eastAsia="zh-CN"/>
                    </w:rPr>
                  </w:pPr>
                  <w:r>
                    <w:rPr>
                      <w:rFonts w:hint="eastAsia" w:eastAsia="宋体" w:cs="Times New Roman"/>
                      <w:color w:val="auto"/>
                      <w:highlight w:val="none"/>
                      <w:lang w:val="en-US" w:eastAsia="zh-CN"/>
                    </w:rPr>
                    <w:t>泄漏</w:t>
                  </w:r>
                  <w:r>
                    <w:rPr>
                      <w:rFonts w:hint="default" w:ascii="Times New Roman" w:hAnsi="Times New Roman" w:eastAsia="宋体" w:cs="Times New Roman"/>
                      <w:color w:val="auto"/>
                      <w:highlight w:val="none"/>
                      <w:lang w:val="en-US" w:eastAsia="zh-CN"/>
                    </w:rPr>
                    <w:t>处理方法</w:t>
                  </w:r>
                </w:p>
              </w:tc>
              <w:tc>
                <w:tcPr>
                  <w:tcW w:w="7454" w:type="dxa"/>
                  <w:gridSpan w:val="4"/>
                  <w:tcBorders>
                    <w:tl2br w:val="nil"/>
                    <w:tr2bl w:val="nil"/>
                  </w:tcBorders>
                  <w:noWrap w:val="0"/>
                  <w:vAlign w:val="center"/>
                </w:tcPr>
                <w:p>
                  <w:pPr>
                    <w:pStyle w:val="51"/>
                    <w:snapToGrid w:val="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个人应注意事项：被弄脏的地板会滑需小心。</w:t>
                  </w:r>
                </w:p>
                <w:p>
                  <w:pPr>
                    <w:pStyle w:val="51"/>
                    <w:snapToGrid w:val="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环境注意事项：以清水或非活性的物质清洗。</w:t>
                  </w:r>
                </w:p>
                <w:p>
                  <w:pPr>
                    <w:pStyle w:val="51"/>
                    <w:snapToGrid w:val="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清理方法：以大量土砂吸附回收，再以清水或非活性的物质清洗。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47" w:type="dxa"/>
                  <w:tcBorders>
                    <w:tl2br w:val="nil"/>
                    <w:tr2bl w:val="nil"/>
                  </w:tcBorders>
                  <w:noWrap w:val="0"/>
                  <w:vAlign w:val="center"/>
                </w:tcPr>
                <w:p>
                  <w:pPr>
                    <w:pStyle w:val="51"/>
                    <w:snapToGrid w:val="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安全处置与储存方法</w:t>
                  </w:r>
                </w:p>
              </w:tc>
              <w:tc>
                <w:tcPr>
                  <w:tcW w:w="7454" w:type="dxa"/>
                  <w:gridSpan w:val="4"/>
                  <w:tcBorders>
                    <w:tl2br w:val="nil"/>
                    <w:tr2bl w:val="nil"/>
                  </w:tcBorders>
                  <w:noWrap w:val="0"/>
                  <w:vAlign w:val="center"/>
                </w:tcPr>
                <w:p>
                  <w:pPr>
                    <w:pStyle w:val="51"/>
                    <w:snapToGrid w:val="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处置；穿戴安全眼镜，防护手套.</w:t>
                  </w:r>
                </w:p>
                <w:p>
                  <w:pPr>
                    <w:pStyle w:val="51"/>
                    <w:snapToGrid w:val="0"/>
                    <w:jc w:val="both"/>
                    <w:rPr>
                      <w:rFonts w:hint="default" w:ascii="Times New Roman" w:hAnsi="Times New Roman" w:cs="Times New Roman"/>
                      <w:color w:val="auto"/>
                      <w:highlight w:val="none"/>
                    </w:rPr>
                  </w:pPr>
                  <w:r>
                    <w:rPr>
                      <w:rFonts w:hint="default" w:ascii="Times New Roman" w:hAnsi="Times New Roman" w:cs="Times New Roman"/>
                      <w:color w:val="auto"/>
                      <w:highlight w:val="none"/>
                    </w:rPr>
                    <w:t>储存：必存放于通风处，空间的温度必在1℃~30℃</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不用时要将桶盖盖好，远离易燃物，火源及高温设备旁，无以电锯或易产生火花的工具切割本容器。</w:t>
                  </w:r>
                </w:p>
              </w:tc>
            </w:tr>
          </w:tbl>
          <w:p>
            <w:pPr>
              <w:keepNext w:val="0"/>
              <w:keepLines w:val="0"/>
              <w:pageBreakBefore w:val="0"/>
              <w:widowControl w:val="0"/>
              <w:kinsoku/>
              <w:wordWrap/>
              <w:overflowPunct/>
              <w:topLinePunct w:val="0"/>
              <w:autoSpaceDE/>
              <w:autoSpaceDN/>
              <w:bidi w:val="0"/>
              <w:adjustRightInd w:val="0"/>
              <w:snapToGrid/>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润滑油：能起到润滑减磨、辅助冷却降温、密封防漏、防锈防蚀、减震缓冲等作用。机油由基础油和添加剂两部分组成。基础油是润滑油的主要成分，决定着润滑油的基本性质，添加剂则可弥补和改善基础油性能方面的不足，赋予某些新的性能，是润滑油的重要组成部分。</w:t>
            </w:r>
          </w:p>
          <w:p>
            <w:pPr>
              <w:pStyle w:val="2"/>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default"/>
                <w:b w:val="0"/>
                <w:bCs w:val="0"/>
              </w:rPr>
            </w:pPr>
            <w:r>
              <w:rPr>
                <w:rFonts w:hint="default" w:ascii="Times New Roman" w:hAnsi="Times New Roman" w:eastAsia="宋体" w:cs="Times New Roman"/>
                <w:b w:val="0"/>
                <w:bCs w:val="0"/>
                <w:color w:val="auto"/>
                <w:sz w:val="24"/>
                <w:szCs w:val="24"/>
                <w:highlight w:val="none"/>
                <w:lang w:val="en-US" w:eastAsia="zh-CN"/>
              </w:rPr>
              <w:t>无铅焊条：是在金属焊芯外将涂料（药皮）均匀、向心地压涂在焊芯上。焊芯即焊条的金属芯，为了保证焊缝的质量与性能，对焊芯中各金属元素的含量都有严格的规定，特别是对有害杂质（如硫、磷等）的含量，应有严格的限制，优于母材。本项目采用无铅焊条。</w:t>
            </w:r>
          </w:p>
          <w:p>
            <w:pPr>
              <w:numPr>
                <w:ilvl w:val="0"/>
                <w:numId w:val="0"/>
              </w:numPr>
              <w:jc w:val="center"/>
              <w:rPr>
                <w:rFonts w:hint="default" w:ascii="Times New Roman" w:hAnsi="Times New Roman" w:eastAsia="宋体" w:cs="Times New Roman"/>
                <w:b/>
                <w:bCs/>
                <w:kern w:val="0"/>
                <w:szCs w:val="21"/>
                <w:lang w:eastAsia="zh-CN"/>
              </w:rPr>
            </w:pPr>
            <w:r>
              <w:rPr>
                <w:rFonts w:hint="default" w:ascii="Times New Roman" w:hAnsi="Times New Roman" w:eastAsia="宋体" w:cs="Times New Roman"/>
                <w:b/>
                <w:bCs/>
                <w:kern w:val="0"/>
                <w:szCs w:val="21"/>
              </w:rPr>
              <w:t>表2-</w:t>
            </w:r>
            <w:r>
              <w:rPr>
                <w:rFonts w:hint="eastAsia" w:ascii="Times New Roman" w:hAnsi="Times New Roman" w:eastAsia="宋体" w:cs="Times New Roman"/>
                <w:b/>
                <w:bCs/>
                <w:kern w:val="0"/>
                <w:szCs w:val="21"/>
                <w:lang w:val="en-US" w:eastAsia="zh-CN"/>
              </w:rPr>
              <w:t>4</w:t>
            </w:r>
            <w:r>
              <w:rPr>
                <w:rFonts w:hint="default" w:ascii="Times New Roman" w:hAnsi="Times New Roman" w:eastAsia="宋体" w:cs="Times New Roman"/>
                <w:b/>
                <w:bCs/>
                <w:kern w:val="0"/>
                <w:szCs w:val="21"/>
              </w:rPr>
              <w:t xml:space="preserve"> 项目主要生产设备一览表</w:t>
            </w:r>
          </w:p>
          <w:tbl>
            <w:tblPr>
              <w:tblStyle w:val="2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6"/>
              <w:gridCol w:w="2444"/>
              <w:gridCol w:w="1663"/>
              <w:gridCol w:w="925"/>
              <w:gridCol w:w="1236"/>
              <w:gridCol w:w="1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520" w:type="pct"/>
                  <w:tcBorders>
                    <w:tl2br w:val="nil"/>
                    <w:tr2bl w:val="nil"/>
                  </w:tcBorders>
                  <w:noWrap w:val="0"/>
                  <w:vAlign w:val="center"/>
                </w:tcPr>
                <w:p>
                  <w:pPr>
                    <w:keepNext w:val="0"/>
                    <w:keepLines w:val="0"/>
                    <w:pageBreakBefore w:val="0"/>
                    <w:widowControl w:val="0"/>
                    <w:tabs>
                      <w:tab w:val="left" w:pos="1350"/>
                    </w:tabs>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cs="Times New Roman" w:eastAsiaTheme="majorEastAsia"/>
                      <w:color w:val="auto"/>
                      <w:sz w:val="21"/>
                      <w:szCs w:val="21"/>
                      <w:vertAlign w:val="baseline"/>
                      <w:lang w:val="en-US" w:eastAsia="zh-CN"/>
                    </w:rPr>
                    <w:t>序号</w:t>
                  </w:r>
                </w:p>
              </w:tc>
              <w:tc>
                <w:tcPr>
                  <w:tcW w:w="1617" w:type="pct"/>
                  <w:tcBorders>
                    <w:tl2br w:val="nil"/>
                    <w:tr2bl w:val="nil"/>
                  </w:tcBorders>
                  <w:noWrap w:val="0"/>
                  <w:vAlign w:val="center"/>
                </w:tcPr>
                <w:p>
                  <w:pPr>
                    <w:keepNext w:val="0"/>
                    <w:keepLines w:val="0"/>
                    <w:pageBreakBefore w:val="0"/>
                    <w:widowControl w:val="0"/>
                    <w:tabs>
                      <w:tab w:val="left" w:pos="1350"/>
                    </w:tabs>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cs="Times New Roman" w:eastAsiaTheme="majorEastAsia"/>
                      <w:color w:val="auto"/>
                      <w:sz w:val="21"/>
                      <w:szCs w:val="21"/>
                      <w:vertAlign w:val="baseline"/>
                      <w:lang w:val="en-US" w:eastAsia="zh-CN"/>
                    </w:rPr>
                    <w:t>设备名称</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规格型号</w:t>
                  </w:r>
                </w:p>
              </w:tc>
              <w:tc>
                <w:tcPr>
                  <w:tcW w:w="612" w:type="pct"/>
                  <w:tcBorders>
                    <w:tl2br w:val="nil"/>
                    <w:tr2bl w:val="nil"/>
                  </w:tcBorders>
                  <w:noWrap w:val="0"/>
                  <w:vAlign w:val="center"/>
                </w:tcPr>
                <w:p>
                  <w:pPr>
                    <w:keepNext w:val="0"/>
                    <w:keepLines w:val="0"/>
                    <w:pageBreakBefore w:val="0"/>
                    <w:widowControl w:val="0"/>
                    <w:tabs>
                      <w:tab w:val="left" w:pos="1350"/>
                    </w:tabs>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cs="Times New Roman" w:eastAsiaTheme="majorEastAsia"/>
                      <w:color w:val="auto"/>
                      <w:sz w:val="21"/>
                      <w:szCs w:val="21"/>
                      <w:vertAlign w:val="baseline"/>
                      <w:lang w:val="en-US" w:eastAsia="zh-CN"/>
                    </w:rPr>
                    <w:t>单位</w:t>
                  </w:r>
                </w:p>
              </w:tc>
              <w:tc>
                <w:tcPr>
                  <w:tcW w:w="818" w:type="pct"/>
                  <w:tcBorders>
                    <w:tl2br w:val="nil"/>
                    <w:tr2bl w:val="nil"/>
                  </w:tcBorders>
                  <w:noWrap w:val="0"/>
                  <w:vAlign w:val="center"/>
                </w:tcPr>
                <w:p>
                  <w:pPr>
                    <w:keepNext w:val="0"/>
                    <w:keepLines w:val="0"/>
                    <w:pageBreakBefore w:val="0"/>
                    <w:widowControl w:val="0"/>
                    <w:tabs>
                      <w:tab w:val="left" w:pos="1350"/>
                    </w:tabs>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cs="Times New Roman" w:eastAsiaTheme="majorEastAsia"/>
                      <w:color w:val="auto"/>
                      <w:sz w:val="21"/>
                      <w:szCs w:val="21"/>
                      <w:vertAlign w:val="baseline"/>
                      <w:lang w:val="en-US" w:eastAsia="zh-CN"/>
                    </w:rPr>
                    <w:t>环评数量</w:t>
                  </w:r>
                </w:p>
              </w:tc>
              <w:tc>
                <w:tcPr>
                  <w:tcW w:w="818" w:type="pct"/>
                  <w:tcBorders>
                    <w:tl2br w:val="nil"/>
                    <w:tr2bl w:val="nil"/>
                  </w:tcBorders>
                  <w:noWrap w:val="0"/>
                  <w:vAlign w:val="center"/>
                </w:tcPr>
                <w:p>
                  <w:pPr>
                    <w:keepNext w:val="0"/>
                    <w:keepLines w:val="0"/>
                    <w:pageBreakBefore w:val="0"/>
                    <w:widowControl w:val="0"/>
                    <w:tabs>
                      <w:tab w:val="left" w:pos="1350"/>
                    </w:tabs>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cs="Times New Roman" w:eastAsiaTheme="majorEastAsia"/>
                      <w:color w:val="auto"/>
                      <w:sz w:val="21"/>
                      <w:szCs w:val="21"/>
                      <w:vertAlign w:val="baseline"/>
                      <w:lang w:val="en-US" w:eastAsia="zh-CN"/>
                    </w:rPr>
                    <w:t>实际数量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FF0000"/>
                      <w:kern w:val="2"/>
                      <w:sz w:val="21"/>
                      <w:szCs w:val="21"/>
                      <w:vertAlign w:val="baseli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强制式搅拌机</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JS1000</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电磁振动给料机</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X2CI</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给料机</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Φ2.0*8.5m</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斗式提升机</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T20*16m</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5</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螺旋输送机</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Φ300*8m</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6</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电脑计量斗</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DJ7m³</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7</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固定式搅拌浇注机</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JJB3.5</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8</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灰浆计量罐</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HJ35</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9</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喷涂机</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LJB</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10</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渣浆泵</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50L*2J-40-25</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11</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涡流制浆机</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J2W</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12</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摆渡车</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BDC</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13</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装卸车</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5t</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14</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叉车</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5t</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15</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i/>
                      <w:iCs/>
                      <w:spacing w:val="12"/>
                      <w:sz w:val="21"/>
                      <w:szCs w:val="21"/>
                    </w:rPr>
                  </w:pPr>
                  <w:r>
                    <w:rPr>
                      <w:rFonts w:hint="default" w:ascii="Times New Roman" w:hAnsi="Times New Roman" w:eastAsia="宋体" w:cs="Times New Roman"/>
                      <w:i w:val="0"/>
                      <w:iCs w:val="0"/>
                      <w:color w:val="auto"/>
                      <w:kern w:val="0"/>
                      <w:sz w:val="21"/>
                      <w:szCs w:val="21"/>
                      <w:highlight w:val="none"/>
                      <w:u w:val="none"/>
                      <w:lang w:val="en-US" w:eastAsia="zh-CN" w:bidi="ar"/>
                    </w:rPr>
                    <w:t>行车</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10t</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16</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i/>
                      <w:iCs/>
                      <w:spacing w:val="12"/>
                      <w:kern w:val="2"/>
                      <w:sz w:val="21"/>
                      <w:szCs w:val="21"/>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切割机</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DGF-4*1.2-7.5</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17</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i/>
                      <w:iCs/>
                      <w:spacing w:val="12"/>
                      <w:kern w:val="2"/>
                      <w:sz w:val="21"/>
                      <w:szCs w:val="21"/>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卷杨机</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8t</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18</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i/>
                      <w:iCs/>
                      <w:spacing w:val="12"/>
                      <w:kern w:val="2"/>
                      <w:sz w:val="21"/>
                      <w:szCs w:val="21"/>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空气压缩机</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1.5m³</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kern w:val="2"/>
                      <w:sz w:val="21"/>
                      <w:szCs w:val="21"/>
                      <w:vertAlign w:val="baseli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19</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spacing w:val="11"/>
                      <w:sz w:val="21"/>
                      <w:szCs w:val="21"/>
                    </w:rPr>
                  </w:pPr>
                  <w:r>
                    <w:rPr>
                      <w:rFonts w:hint="default" w:ascii="Times New Roman" w:hAnsi="Times New Roman" w:eastAsia="宋体" w:cs="Times New Roman"/>
                      <w:i w:val="0"/>
                      <w:iCs w:val="0"/>
                      <w:color w:val="auto"/>
                      <w:kern w:val="0"/>
                      <w:sz w:val="21"/>
                      <w:szCs w:val="21"/>
                      <w:highlight w:val="none"/>
                      <w:u w:val="none"/>
                      <w:lang w:val="en-US" w:eastAsia="zh-CN" w:bidi="ar"/>
                    </w:rPr>
                    <w:t>砂仓</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20m³</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kern w:val="2"/>
                      <w:sz w:val="21"/>
                      <w:szCs w:val="21"/>
                      <w:vertAlign w:val="baseline"/>
                      <w:lang w:val="en-US" w:eastAsia="zh-CN" w:bidi="ar-SA"/>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20</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spacing w:val="11"/>
                      <w:sz w:val="21"/>
                      <w:szCs w:val="21"/>
                    </w:rPr>
                  </w:pPr>
                  <w:r>
                    <w:rPr>
                      <w:rFonts w:hint="default" w:ascii="Times New Roman" w:hAnsi="Times New Roman" w:eastAsia="宋体" w:cs="Times New Roman"/>
                      <w:i w:val="0"/>
                      <w:iCs w:val="0"/>
                      <w:color w:val="auto"/>
                      <w:kern w:val="0"/>
                      <w:sz w:val="21"/>
                      <w:szCs w:val="21"/>
                      <w:highlight w:val="none"/>
                      <w:u w:val="none"/>
                      <w:lang w:val="en-US" w:eastAsia="zh-CN" w:bidi="ar"/>
                    </w:rPr>
                    <w:t>灰仓</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15m³</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21</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spacing w:val="11"/>
                      <w:sz w:val="21"/>
                      <w:szCs w:val="21"/>
                    </w:rPr>
                  </w:pPr>
                  <w:r>
                    <w:rPr>
                      <w:rFonts w:hint="eastAsia" w:ascii="Times New Roman" w:hAnsi="Times New Roman" w:eastAsia="宋体" w:cs="Times New Roman"/>
                      <w:i w:val="0"/>
                      <w:iCs w:val="0"/>
                      <w:color w:val="auto"/>
                      <w:kern w:val="0"/>
                      <w:sz w:val="21"/>
                      <w:szCs w:val="21"/>
                      <w:highlight w:val="none"/>
                      <w:u w:val="none"/>
                      <w:lang w:val="en-US" w:eastAsia="zh-CN" w:bidi="ar"/>
                    </w:rPr>
                    <w:t>水泥罐</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20m³</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22</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spacing w:val="11"/>
                      <w:sz w:val="21"/>
                      <w:szCs w:val="21"/>
                    </w:rPr>
                  </w:pPr>
                  <w:r>
                    <w:rPr>
                      <w:rFonts w:hint="default" w:ascii="Times New Roman" w:hAnsi="Times New Roman" w:eastAsia="宋体" w:cs="Times New Roman"/>
                      <w:i w:val="0"/>
                      <w:iCs w:val="0"/>
                      <w:color w:val="auto"/>
                      <w:kern w:val="0"/>
                      <w:sz w:val="21"/>
                      <w:szCs w:val="21"/>
                      <w:highlight w:val="none"/>
                      <w:u w:val="none"/>
                      <w:lang w:val="en-US" w:eastAsia="zh-CN" w:bidi="ar"/>
                    </w:rPr>
                    <w:t>潜水泵</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QY30-20-3</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23</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spacing w:val="8"/>
                      <w:sz w:val="21"/>
                      <w:szCs w:val="21"/>
                    </w:rPr>
                  </w:pPr>
                  <w:r>
                    <w:rPr>
                      <w:rFonts w:hint="default" w:ascii="Times New Roman" w:hAnsi="Times New Roman" w:eastAsia="宋体" w:cs="Times New Roman"/>
                      <w:i w:val="0"/>
                      <w:iCs w:val="0"/>
                      <w:color w:val="auto"/>
                      <w:kern w:val="0"/>
                      <w:sz w:val="21"/>
                      <w:szCs w:val="21"/>
                      <w:highlight w:val="none"/>
                      <w:u w:val="none"/>
                      <w:lang w:val="en-US" w:eastAsia="zh-CN" w:bidi="ar"/>
                    </w:rPr>
                    <w:t>交流脉冲式点焊机</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WL-SP-100K(加</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sz w:val="21"/>
                      <w:szCs w:val="21"/>
                    </w:rPr>
                  </w:pPr>
                  <w:r>
                    <w:rPr>
                      <w:rFonts w:hint="default" w:ascii="Times New Roman" w:hAnsi="Times New Roman" w:eastAsia="宋体" w:cs="Times New Roman"/>
                      <w:i w:val="0"/>
                      <w:iCs w:val="0"/>
                      <w:color w:val="auto"/>
                      <w:kern w:val="0"/>
                      <w:sz w:val="21"/>
                      <w:szCs w:val="21"/>
                      <w:highlight w:val="none"/>
                      <w:u w:val="none"/>
                      <w:lang w:val="en-US" w:eastAsia="zh-CN" w:bidi="ar"/>
                    </w:rPr>
                    <w:t>套</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24</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spacing w:val="8"/>
                      <w:sz w:val="21"/>
                      <w:szCs w:val="21"/>
                    </w:rPr>
                  </w:pPr>
                  <w:r>
                    <w:rPr>
                      <w:rFonts w:hint="default" w:ascii="Times New Roman" w:hAnsi="Times New Roman" w:eastAsia="宋体" w:cs="Times New Roman"/>
                      <w:i w:val="0"/>
                      <w:iCs w:val="0"/>
                      <w:color w:val="auto"/>
                      <w:kern w:val="0"/>
                      <w:sz w:val="21"/>
                      <w:szCs w:val="21"/>
                      <w:highlight w:val="none"/>
                      <w:u w:val="none"/>
                      <w:lang w:val="en-US" w:eastAsia="zh-CN" w:bidi="ar"/>
                    </w:rPr>
                    <w:t>电焊机</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U7C-400</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sz w:val="21"/>
                      <w:szCs w:val="21"/>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25</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spacing w:val="8"/>
                      <w:sz w:val="21"/>
                      <w:szCs w:val="21"/>
                    </w:rPr>
                  </w:pPr>
                  <w:r>
                    <w:rPr>
                      <w:rFonts w:hint="default" w:ascii="Times New Roman" w:hAnsi="Times New Roman" w:eastAsia="宋体" w:cs="Times New Roman"/>
                      <w:i w:val="0"/>
                      <w:iCs w:val="0"/>
                      <w:color w:val="auto"/>
                      <w:kern w:val="0"/>
                      <w:sz w:val="21"/>
                      <w:szCs w:val="21"/>
                      <w:highlight w:val="none"/>
                      <w:u w:val="none"/>
                      <w:lang w:val="en-US" w:eastAsia="zh-CN" w:bidi="ar"/>
                    </w:rPr>
                    <w:t>蒸汽发生器</w:t>
                  </w:r>
                  <w:r>
                    <w:rPr>
                      <w:rFonts w:hint="eastAsia" w:ascii="Times New Roman" w:hAnsi="Times New Roman" w:eastAsia="宋体" w:cs="Times New Roman"/>
                      <w:i w:val="0"/>
                      <w:iCs w:val="0"/>
                      <w:color w:val="auto"/>
                      <w:kern w:val="0"/>
                      <w:sz w:val="21"/>
                      <w:szCs w:val="21"/>
                      <w:highlight w:val="none"/>
                      <w:u w:val="none"/>
                      <w:lang w:val="en-US" w:eastAsia="zh-CN" w:bidi="ar"/>
                    </w:rPr>
                    <w:t>（电加热）</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0.5T</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sz w:val="21"/>
                      <w:szCs w:val="21"/>
                    </w:rPr>
                  </w:pPr>
                  <w:r>
                    <w:rPr>
                      <w:rFonts w:hint="default"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default" w:ascii="Times New Roman" w:hAnsi="Times New Roman" w:eastAsia="宋体" w:cs="Times New Roman"/>
                      <w:i w:val="0"/>
                      <w:iCs w:val="0"/>
                      <w:color w:val="auto"/>
                      <w:kern w:val="0"/>
                      <w:sz w:val="21"/>
                      <w:szCs w:val="21"/>
                      <w:highlight w:val="none"/>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20"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auto"/>
                      <w:sz w:val="21"/>
                      <w:szCs w:val="21"/>
                      <w:vertAlign w:val="baseline"/>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26</w:t>
                  </w:r>
                </w:p>
              </w:tc>
              <w:tc>
                <w:tcPr>
                  <w:tcW w:w="1617"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spacing w:val="8"/>
                      <w:sz w:val="21"/>
                      <w:szCs w:val="21"/>
                    </w:rPr>
                  </w:pPr>
                  <w:r>
                    <w:rPr>
                      <w:rFonts w:ascii="Times New Roman" w:hAnsi="Times New Roman" w:cs="Times New Roman"/>
                      <w:color w:val="auto"/>
                      <w:highlight w:val="none"/>
                    </w:rPr>
                    <w:t>砂石分离机</w:t>
                  </w:r>
                </w:p>
              </w:tc>
              <w:tc>
                <w:tcPr>
                  <w:tcW w:w="1015" w:type="dxa"/>
                  <w:tcBorders>
                    <w:tl2br w:val="nil"/>
                    <w:tr2bl w:val="nil"/>
                  </w:tcBorders>
                  <w:noWrap w:val="0"/>
                  <w:vAlign w:val="center"/>
                </w:tcPr>
                <w:p>
                  <w:pPr>
                    <w:keepNext w:val="0"/>
                    <w:keepLines w:val="0"/>
                    <w:widowControl/>
                    <w:suppressLineNumbers w:val="0"/>
                    <w:adjustRightInd w:val="0"/>
                    <w:snapToGrid w:val="0"/>
                    <w:jc w:val="center"/>
                    <w:textAlignment w:val="center"/>
                    <w:rPr>
                      <w:rFonts w:hint="eastAsia" w:ascii="Times New Roman" w:hAnsi="Times New Roman" w:eastAsia="宋体" w:cs="Times New Roman"/>
                      <w:i w:val="0"/>
                      <w:iCs w:val="0"/>
                      <w:color w:val="auto"/>
                      <w:kern w:val="0"/>
                      <w:sz w:val="21"/>
                      <w:szCs w:val="21"/>
                      <w:highlight w:val="none"/>
                      <w:u w:val="none"/>
                      <w:lang w:val="en-US" w:eastAsia="zh-CN" w:bidi="ar"/>
                    </w:rPr>
                  </w:pPr>
                  <w:r>
                    <w:rPr>
                      <w:rFonts w:hint="eastAsia" w:ascii="Times New Roman" w:hAnsi="Times New Roman" w:eastAsia="宋体" w:cs="Times New Roman"/>
                      <w:i w:val="0"/>
                      <w:iCs w:val="0"/>
                      <w:color w:val="auto"/>
                      <w:kern w:val="0"/>
                      <w:sz w:val="21"/>
                      <w:szCs w:val="21"/>
                      <w:highlight w:val="none"/>
                      <w:u w:val="none"/>
                      <w:lang w:val="en-US" w:eastAsia="zh-CN" w:bidi="ar"/>
                    </w:rPr>
                    <w:t>16.25KW</w:t>
                  </w:r>
                </w:p>
              </w:tc>
              <w:tc>
                <w:tcPr>
                  <w:tcW w:w="612"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sz w:val="21"/>
                      <w:szCs w:val="21"/>
                    </w:rPr>
                  </w:pPr>
                  <w:r>
                    <w:rPr>
                      <w:rFonts w:hint="eastAsia" w:ascii="Times New Roman" w:hAnsi="Times New Roman" w:eastAsia="宋体" w:cs="Times New Roman"/>
                      <w:i w:val="0"/>
                      <w:iCs w:val="0"/>
                      <w:color w:val="auto"/>
                      <w:kern w:val="0"/>
                      <w:sz w:val="21"/>
                      <w:szCs w:val="21"/>
                      <w:highlight w:val="none"/>
                      <w:u w:val="none"/>
                      <w:lang w:val="en-US" w:eastAsia="zh-CN" w:bidi="ar"/>
                    </w:rPr>
                    <w:t>台</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1</w:t>
                  </w:r>
                </w:p>
              </w:tc>
              <w:tc>
                <w:tcPr>
                  <w:tcW w:w="818" w:type="pct"/>
                  <w:tcBorders>
                    <w:tl2br w:val="nil"/>
                    <w:tr2bl w:val="nil"/>
                  </w:tcBorders>
                  <w:noWrap w:val="0"/>
                  <w:vAlign w:val="center"/>
                </w:tcPr>
                <w:p>
                  <w:pPr>
                    <w:keepNext w:val="0"/>
                    <w:keepLines w:val="0"/>
                    <w:widowControl/>
                    <w:suppressLineNumbers w:val="0"/>
                    <w:adjustRightInd w:val="0"/>
                    <w:snapToGrid w:val="0"/>
                    <w:jc w:val="center"/>
                    <w:textAlignment w:val="center"/>
                    <w:rPr>
                      <w:rFonts w:hint="default" w:ascii="Times New Roman" w:hAnsi="Times New Roman" w:cs="Times New Roman" w:eastAsiaTheme="majorEastAsia"/>
                      <w:color w:val="000000"/>
                      <w:sz w:val="21"/>
                      <w:szCs w:val="21"/>
                      <w:lang w:val="en-US" w:eastAsia="zh-CN"/>
                    </w:rPr>
                  </w:pPr>
                  <w:r>
                    <w:rPr>
                      <w:rFonts w:hint="eastAsia" w:ascii="Times New Roman" w:hAnsi="Times New Roman" w:eastAsia="宋体" w:cs="Times New Roman"/>
                      <w:i w:val="0"/>
                      <w:iCs w:val="0"/>
                      <w:color w:val="auto"/>
                      <w:kern w:val="0"/>
                      <w:sz w:val="21"/>
                      <w:szCs w:val="21"/>
                      <w:highlight w:val="none"/>
                      <w:u w:val="none"/>
                      <w:lang w:val="en-US" w:eastAsia="zh-CN" w:bidi="ar"/>
                    </w:rPr>
                    <w:t>1</w:t>
                  </w:r>
                </w:p>
              </w:tc>
            </w:tr>
          </w:tbl>
          <w:p>
            <w:pPr>
              <w:jc w:val="center"/>
              <w:rPr>
                <w:rFonts w:hint="default" w:ascii="Times New Roman" w:hAnsi="Times New Roman" w:eastAsia="宋体" w:cs="Times New Roman"/>
                <w:b/>
                <w:bCs/>
                <w:kern w:val="0"/>
                <w:szCs w:val="21"/>
              </w:rPr>
            </w:pPr>
            <w:r>
              <w:rPr>
                <w:rFonts w:hint="default" w:ascii="Times New Roman" w:hAnsi="Times New Roman" w:eastAsia="宋体" w:cs="Times New Roman"/>
                <w:b/>
                <w:bCs/>
                <w:kern w:val="0"/>
                <w:szCs w:val="21"/>
              </w:rPr>
              <w:t>表2-</w:t>
            </w:r>
            <w:r>
              <w:rPr>
                <w:rFonts w:hint="default" w:ascii="Times New Roman" w:hAnsi="Times New Roman" w:eastAsia="宋体" w:cs="Times New Roman"/>
                <w:b/>
                <w:bCs/>
                <w:kern w:val="0"/>
                <w:szCs w:val="21"/>
                <w:lang w:val="en-US" w:eastAsia="zh-CN"/>
              </w:rPr>
              <w:t>4</w:t>
            </w:r>
            <w:r>
              <w:rPr>
                <w:rFonts w:hint="default" w:ascii="Times New Roman" w:hAnsi="Times New Roman" w:eastAsia="宋体" w:cs="Times New Roman"/>
                <w:b/>
                <w:bCs/>
                <w:kern w:val="0"/>
                <w:szCs w:val="21"/>
              </w:rPr>
              <w:t>项目产品规划一览表</w:t>
            </w:r>
          </w:p>
          <w:tbl>
            <w:tblPr>
              <w:tblStyle w:val="21"/>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85"/>
              <w:gridCol w:w="1607"/>
              <w:gridCol w:w="1606"/>
              <w:gridCol w:w="1606"/>
              <w:gridCol w:w="1373"/>
              <w:gridCol w:w="112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3" w:type="pct"/>
                  <w:noWrap w:val="0"/>
                  <w:vAlign w:val="center"/>
                </w:tcPr>
                <w:p>
                  <w:pPr>
                    <w:spacing w:line="340" w:lineRule="exact"/>
                    <w:jc w:val="center"/>
                    <w:rPr>
                      <w:rFonts w:hint="default" w:ascii="Times New Roman" w:hAnsi="Times New Roman" w:eastAsia="宋体" w:cs="Times New Roman"/>
                      <w:b/>
                      <w:bCs/>
                      <w:kern w:val="0"/>
                      <w:szCs w:val="21"/>
                    </w:rPr>
                  </w:pPr>
                  <w:r>
                    <w:rPr>
                      <w:rFonts w:hint="default" w:ascii="Times New Roman" w:hAnsi="Times New Roman" w:eastAsia="宋体" w:cs="Times New Roman"/>
                      <w:b/>
                      <w:bCs/>
                      <w:kern w:val="0"/>
                      <w:szCs w:val="21"/>
                    </w:rPr>
                    <w:t>名称</w:t>
                  </w:r>
                </w:p>
              </w:tc>
              <w:tc>
                <w:tcPr>
                  <w:tcW w:w="968" w:type="pct"/>
                  <w:noWrap w:val="0"/>
                  <w:vAlign w:val="center"/>
                </w:tcPr>
                <w:p>
                  <w:pPr>
                    <w:keepNext w:val="0"/>
                    <w:keepLines w:val="0"/>
                    <w:widowControl/>
                    <w:suppressLineNumbers w:val="0"/>
                    <w:jc w:val="center"/>
                    <w:textAlignment w:val="center"/>
                    <w:rPr>
                      <w:rFonts w:hint="default" w:ascii="Times New Roman" w:hAnsi="Times New Roman" w:eastAsia="宋体" w:cs="Times New Roman"/>
                      <w:b/>
                      <w:bCs/>
                      <w:kern w:val="0"/>
                      <w:szCs w:val="21"/>
                    </w:rPr>
                  </w:pPr>
                  <w:r>
                    <w:rPr>
                      <w:rFonts w:hint="eastAsia" w:ascii="Times New Roman" w:hAnsi="Times New Roman" w:eastAsia="宋体" w:cs="Times New Roman"/>
                      <w:b/>
                      <w:bCs/>
                      <w:i w:val="0"/>
                      <w:iCs w:val="0"/>
                      <w:color w:val="auto"/>
                      <w:kern w:val="0"/>
                      <w:sz w:val="21"/>
                      <w:szCs w:val="21"/>
                      <w:highlight w:val="none"/>
                      <w:u w:val="none"/>
                      <w:lang w:val="en-US" w:eastAsia="zh-CN" w:bidi="ar"/>
                    </w:rPr>
                    <w:t>内容</w:t>
                  </w:r>
                </w:p>
              </w:tc>
              <w:tc>
                <w:tcPr>
                  <w:tcW w:w="1605" w:type="dxa"/>
                  <w:noWrap w:val="0"/>
                  <w:vAlign w:val="center"/>
                </w:tcPr>
                <w:p>
                  <w:pPr>
                    <w:keepNext w:val="0"/>
                    <w:keepLines w:val="0"/>
                    <w:widowControl/>
                    <w:suppressLineNumbers w:val="0"/>
                    <w:jc w:val="center"/>
                    <w:textAlignment w:val="center"/>
                    <w:rPr>
                      <w:rFonts w:hint="default" w:ascii="Times New Roman" w:hAnsi="Times New Roman" w:eastAsia="宋体" w:cs="Times New Roman"/>
                      <w:b/>
                      <w:bCs/>
                      <w:kern w:val="0"/>
                      <w:szCs w:val="21"/>
                    </w:rPr>
                  </w:pPr>
                  <w:r>
                    <w:rPr>
                      <w:rFonts w:hint="default" w:ascii="Times New Roman" w:hAnsi="Times New Roman" w:eastAsia="宋体" w:cs="Times New Roman"/>
                      <w:b/>
                      <w:bCs/>
                      <w:i w:val="0"/>
                      <w:iCs w:val="0"/>
                      <w:color w:val="auto"/>
                      <w:kern w:val="0"/>
                      <w:sz w:val="21"/>
                      <w:szCs w:val="21"/>
                      <w:highlight w:val="none"/>
                      <w:u w:val="none"/>
                      <w:lang w:val="en-US" w:eastAsia="zh-CN" w:bidi="ar"/>
                    </w:rPr>
                    <w:t>单位</w:t>
                  </w:r>
                  <w:r>
                    <w:rPr>
                      <w:rFonts w:hint="eastAsia" w:ascii="Times New Roman" w:hAnsi="Times New Roman" w:eastAsia="宋体" w:cs="Times New Roman"/>
                      <w:b/>
                      <w:bCs/>
                      <w:i w:val="0"/>
                      <w:iCs w:val="0"/>
                      <w:color w:val="auto"/>
                      <w:kern w:val="0"/>
                      <w:sz w:val="21"/>
                      <w:szCs w:val="21"/>
                      <w:highlight w:val="none"/>
                      <w:u w:val="none"/>
                      <w:lang w:val="en-US" w:eastAsia="zh-CN" w:bidi="ar"/>
                    </w:rPr>
                    <w:t>m</w:t>
                  </w:r>
                </w:p>
              </w:tc>
              <w:tc>
                <w:tcPr>
                  <w:tcW w:w="1605" w:type="dxa"/>
                  <w:noWrap w:val="0"/>
                  <w:vAlign w:val="center"/>
                </w:tcPr>
                <w:p>
                  <w:pPr>
                    <w:keepNext w:val="0"/>
                    <w:keepLines w:val="0"/>
                    <w:widowControl/>
                    <w:suppressLineNumbers w:val="0"/>
                    <w:jc w:val="center"/>
                    <w:textAlignment w:val="center"/>
                    <w:rPr>
                      <w:rFonts w:hint="default" w:ascii="Times New Roman" w:hAnsi="Times New Roman" w:eastAsia="宋体" w:cs="Times New Roman"/>
                      <w:b/>
                      <w:bCs/>
                      <w:kern w:val="0"/>
                      <w:szCs w:val="21"/>
                    </w:rPr>
                  </w:pPr>
                  <w:r>
                    <w:rPr>
                      <w:rFonts w:hint="eastAsia" w:ascii="Times New Roman" w:hAnsi="Times New Roman" w:eastAsia="宋体" w:cs="Times New Roman"/>
                      <w:b/>
                      <w:bCs/>
                      <w:i w:val="0"/>
                      <w:iCs w:val="0"/>
                      <w:color w:val="auto"/>
                      <w:kern w:val="0"/>
                      <w:sz w:val="21"/>
                      <w:szCs w:val="21"/>
                      <w:highlight w:val="none"/>
                      <w:u w:val="none"/>
                      <w:lang w:val="en-US" w:eastAsia="zh-CN" w:bidi="ar"/>
                    </w:rPr>
                    <w:t>套/m</w:t>
                  </w:r>
                </w:p>
              </w:tc>
              <w:tc>
                <w:tcPr>
                  <w:tcW w:w="1372" w:type="dxa"/>
                  <w:noWrap w:val="0"/>
                  <w:vAlign w:val="center"/>
                </w:tcPr>
                <w:p>
                  <w:pPr>
                    <w:keepNext w:val="0"/>
                    <w:keepLines w:val="0"/>
                    <w:widowControl/>
                    <w:suppressLineNumbers w:val="0"/>
                    <w:jc w:val="center"/>
                    <w:textAlignment w:val="center"/>
                    <w:rPr>
                      <w:rFonts w:hint="default" w:ascii="Times New Roman" w:hAnsi="Times New Roman" w:eastAsia="宋体" w:cs="Times New Roman"/>
                      <w:b/>
                      <w:bCs/>
                      <w:kern w:val="0"/>
                      <w:szCs w:val="21"/>
                      <w:highlight w:val="yellow"/>
                    </w:rPr>
                  </w:pPr>
                  <w:r>
                    <w:rPr>
                      <w:rFonts w:hint="eastAsia" w:ascii="Times New Roman" w:hAnsi="Times New Roman" w:eastAsia="宋体" w:cs="Times New Roman"/>
                      <w:b/>
                      <w:bCs/>
                      <w:kern w:val="0"/>
                      <w:szCs w:val="21"/>
                      <w:highlight w:val="none"/>
                      <w:lang w:val="en-US" w:eastAsia="zh-CN"/>
                    </w:rPr>
                    <w:t>环评</w:t>
                  </w:r>
                  <w:r>
                    <w:rPr>
                      <w:rFonts w:hint="default" w:ascii="Times New Roman" w:hAnsi="Times New Roman" w:eastAsia="宋体" w:cs="Times New Roman"/>
                      <w:b/>
                      <w:bCs/>
                      <w:kern w:val="0"/>
                      <w:szCs w:val="21"/>
                      <w:highlight w:val="none"/>
                    </w:rPr>
                    <w:t>情况（数量/单位）</w:t>
                  </w:r>
                </w:p>
              </w:tc>
              <w:tc>
                <w:tcPr>
                  <w:tcW w:w="678" w:type="pct"/>
                  <w:noWrap w:val="0"/>
                  <w:vAlign w:val="center"/>
                </w:tcPr>
                <w:p>
                  <w:pPr>
                    <w:spacing w:line="340" w:lineRule="exact"/>
                    <w:jc w:val="center"/>
                    <w:rPr>
                      <w:rFonts w:hint="default" w:ascii="Times New Roman" w:hAnsi="Times New Roman" w:eastAsia="宋体" w:cs="Times New Roman"/>
                      <w:b/>
                      <w:bCs/>
                      <w:kern w:val="0"/>
                      <w:szCs w:val="21"/>
                      <w:lang w:eastAsia="zh-CN"/>
                    </w:rPr>
                  </w:pPr>
                  <w:r>
                    <w:rPr>
                      <w:rFonts w:hint="default" w:ascii="Times New Roman" w:hAnsi="Times New Roman" w:eastAsia="宋体" w:cs="Times New Roman"/>
                      <w:b/>
                      <w:bCs/>
                      <w:kern w:val="0"/>
                      <w:szCs w:val="21"/>
                      <w:highlight w:val="none"/>
                    </w:rPr>
                    <w:t>实际情况（数量/单位）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3" w:type="pct"/>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auto"/>
                      <w:sz w:val="21"/>
                      <w:szCs w:val="21"/>
                      <w:highlight w:val="none"/>
                      <w:u w:val="none"/>
                    </w:rPr>
                    <w:t>水泥构件</w:t>
                  </w:r>
                </w:p>
              </w:tc>
              <w:tc>
                <w:tcPr>
                  <w:tcW w:w="968" w:type="pct"/>
                  <w:noWrap w:val="0"/>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kern w:val="2"/>
                      <w:sz w:val="21"/>
                      <w:szCs w:val="21"/>
                      <w:highlight w:val="none"/>
                      <w:lang w:val="en-US" w:eastAsia="zh-CN" w:bidi="ar"/>
                    </w:rPr>
                    <w:t>装配式围墙</w:t>
                  </w:r>
                </w:p>
              </w:tc>
              <w:tc>
                <w:tcPr>
                  <w:tcW w:w="1605" w:type="dxa"/>
                  <w:noWrap w:val="0"/>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auto"/>
                      <w:kern w:val="2"/>
                      <w:sz w:val="21"/>
                      <w:szCs w:val="21"/>
                      <w:highlight w:val="none"/>
                      <w:u w:val="none"/>
                      <w:lang w:val="en-US" w:eastAsia="zh-CN" w:bidi="ar"/>
                    </w:rPr>
                    <w:t>5000</w:t>
                  </w:r>
                </w:p>
              </w:tc>
              <w:tc>
                <w:tcPr>
                  <w:tcW w:w="1605" w:type="dxa"/>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auto"/>
                      <w:kern w:val="2"/>
                      <w:sz w:val="21"/>
                      <w:szCs w:val="21"/>
                      <w:highlight w:val="none"/>
                      <w:u w:val="none"/>
                      <w:lang w:val="en-US" w:eastAsia="zh-CN" w:bidi="ar"/>
                    </w:rPr>
                    <w:t>5</w:t>
                  </w:r>
                </w:p>
              </w:tc>
              <w:tc>
                <w:tcPr>
                  <w:tcW w:w="1372" w:type="dxa"/>
                  <w:noWrap w:val="0"/>
                  <w:vAlign w:val="center"/>
                </w:tcPr>
                <w:p>
                  <w:pPr>
                    <w:widowControl/>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auto"/>
                      <w:sz w:val="21"/>
                      <w:szCs w:val="21"/>
                      <w:highlight w:val="none"/>
                      <w:u w:val="none"/>
                      <w:lang w:val="en-US" w:eastAsia="zh-CN"/>
                    </w:rPr>
                    <w:t>1000</w:t>
                  </w:r>
                  <w:r>
                    <w:rPr>
                      <w:rFonts w:hint="eastAsia" w:ascii="Times New Roman" w:hAnsi="Times New Roman" w:eastAsia="宋体" w:cs="Times New Roman"/>
                      <w:i w:val="0"/>
                      <w:iCs w:val="0"/>
                      <w:color w:val="auto"/>
                      <w:sz w:val="21"/>
                      <w:szCs w:val="21"/>
                      <w:highlight w:val="none"/>
                      <w:u w:val="none"/>
                      <w:lang w:val="en-US" w:eastAsia="zh-CN"/>
                    </w:rPr>
                    <w:t>套</w:t>
                  </w:r>
                </w:p>
              </w:tc>
              <w:tc>
                <w:tcPr>
                  <w:tcW w:w="1126" w:type="dxa"/>
                  <w:noWrap w:val="0"/>
                  <w:vAlign w:val="center"/>
                </w:tcPr>
                <w:p>
                  <w:pPr>
                    <w:widowControl/>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auto"/>
                      <w:sz w:val="21"/>
                      <w:szCs w:val="21"/>
                      <w:highlight w:val="none"/>
                      <w:u w:val="none"/>
                      <w:lang w:val="en-US" w:eastAsia="zh-CN"/>
                    </w:rPr>
                    <w:t>1000</w:t>
                  </w:r>
                  <w:r>
                    <w:rPr>
                      <w:rFonts w:hint="eastAsia" w:ascii="Times New Roman" w:hAnsi="Times New Roman" w:eastAsia="宋体" w:cs="Times New Roman"/>
                      <w:i w:val="0"/>
                      <w:iCs w:val="0"/>
                      <w:color w:val="auto"/>
                      <w:sz w:val="21"/>
                      <w:szCs w:val="21"/>
                      <w:highlight w:val="none"/>
                      <w:u w:val="none"/>
                      <w:lang w:val="en-US" w:eastAsia="zh-CN"/>
                    </w:rPr>
                    <w:t>套</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3" w:type="pct"/>
                  <w:vMerge w:val="restart"/>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auto"/>
                      <w:sz w:val="21"/>
                      <w:szCs w:val="21"/>
                      <w:highlight w:val="none"/>
                      <w:u w:val="none"/>
                    </w:rPr>
                    <w:t>电力设施器材</w:t>
                  </w:r>
                </w:p>
              </w:tc>
              <w:tc>
                <w:tcPr>
                  <w:tcW w:w="968" w:type="pct"/>
                  <w:noWrap w:val="0"/>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kern w:val="2"/>
                      <w:sz w:val="21"/>
                      <w:szCs w:val="21"/>
                      <w:highlight w:val="none"/>
                      <w:lang w:val="en-US" w:eastAsia="zh-CN" w:bidi="ar"/>
                    </w:rPr>
                    <w:t>电缆排管</w:t>
                  </w:r>
                </w:p>
              </w:tc>
              <w:tc>
                <w:tcPr>
                  <w:tcW w:w="1605" w:type="dxa"/>
                  <w:noWrap w:val="0"/>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kern w:val="2"/>
                      <w:sz w:val="21"/>
                      <w:szCs w:val="21"/>
                      <w:highlight w:val="none"/>
                      <w:lang w:val="en-US" w:eastAsia="zh-CN" w:bidi="ar"/>
                    </w:rPr>
                    <w:t>100000</w:t>
                  </w:r>
                </w:p>
              </w:tc>
              <w:tc>
                <w:tcPr>
                  <w:tcW w:w="1605" w:type="dxa"/>
                  <w:noWrap w:val="0"/>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auto"/>
                      <w:kern w:val="2"/>
                      <w:sz w:val="21"/>
                      <w:szCs w:val="21"/>
                      <w:highlight w:val="none"/>
                      <w:u w:val="none"/>
                      <w:lang w:val="en-US" w:eastAsia="zh-CN" w:bidi="ar"/>
                    </w:rPr>
                    <w:t>50</w:t>
                  </w:r>
                </w:p>
              </w:tc>
              <w:tc>
                <w:tcPr>
                  <w:tcW w:w="1372" w:type="dxa"/>
                  <w:noWrap w:val="0"/>
                  <w:vAlign w:val="center"/>
                </w:tcPr>
                <w:p>
                  <w:pPr>
                    <w:widowControl/>
                    <w:jc w:val="center"/>
                    <w:textAlignment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auto"/>
                      <w:sz w:val="21"/>
                      <w:szCs w:val="21"/>
                      <w:highlight w:val="none"/>
                      <w:u w:val="none"/>
                      <w:lang w:val="en-US" w:eastAsia="zh-CN"/>
                    </w:rPr>
                    <w:t>2000</w:t>
                  </w:r>
                  <w:r>
                    <w:rPr>
                      <w:rFonts w:hint="eastAsia" w:ascii="Times New Roman" w:hAnsi="Times New Roman" w:eastAsia="宋体" w:cs="Times New Roman"/>
                      <w:i w:val="0"/>
                      <w:iCs w:val="0"/>
                      <w:color w:val="auto"/>
                      <w:sz w:val="21"/>
                      <w:szCs w:val="21"/>
                      <w:highlight w:val="none"/>
                      <w:u w:val="none"/>
                      <w:lang w:val="en-US" w:eastAsia="zh-CN"/>
                    </w:rPr>
                    <w:t>套</w:t>
                  </w:r>
                </w:p>
              </w:tc>
              <w:tc>
                <w:tcPr>
                  <w:tcW w:w="1126" w:type="dxa"/>
                  <w:noWrap w:val="0"/>
                  <w:vAlign w:val="center"/>
                </w:tcPr>
                <w:p>
                  <w:pPr>
                    <w:widowControl/>
                    <w:jc w:val="center"/>
                    <w:textAlignment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auto"/>
                      <w:sz w:val="21"/>
                      <w:szCs w:val="21"/>
                      <w:highlight w:val="none"/>
                      <w:u w:val="none"/>
                      <w:lang w:val="en-US" w:eastAsia="zh-CN"/>
                    </w:rPr>
                    <w:t>2000</w:t>
                  </w:r>
                  <w:r>
                    <w:rPr>
                      <w:rFonts w:hint="eastAsia" w:ascii="Times New Roman" w:hAnsi="Times New Roman" w:eastAsia="宋体" w:cs="Times New Roman"/>
                      <w:i w:val="0"/>
                      <w:iCs w:val="0"/>
                      <w:color w:val="auto"/>
                      <w:sz w:val="21"/>
                      <w:szCs w:val="21"/>
                      <w:highlight w:val="none"/>
                      <w:u w:val="none"/>
                      <w:lang w:val="en-US" w:eastAsia="zh-CN"/>
                    </w:rPr>
                    <w:t>套</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93" w:type="pct"/>
                  <w:vMerge w:val="continue"/>
                  <w:noWrap w:val="0"/>
                  <w:vAlign w:val="top"/>
                </w:tcPr>
                <w:p>
                  <w:pPr>
                    <w:keepNext w:val="0"/>
                    <w:keepLines w:val="0"/>
                    <w:pageBreakBefore w:val="0"/>
                    <w:widowControl w:val="0"/>
                    <w:tabs>
                      <w:tab w:val="left" w:pos="1350"/>
                    </w:tabs>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vertAlign w:val="baseline"/>
                      <w:lang w:val="en-US" w:eastAsia="zh-CN"/>
                    </w:rPr>
                  </w:pPr>
                </w:p>
              </w:tc>
              <w:tc>
                <w:tcPr>
                  <w:tcW w:w="968" w:type="pct"/>
                  <w:noWrap w:val="0"/>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kern w:val="2"/>
                      <w:sz w:val="21"/>
                      <w:szCs w:val="21"/>
                      <w:highlight w:val="none"/>
                      <w:lang w:val="en-US" w:eastAsia="zh-CN" w:bidi="ar"/>
                    </w:rPr>
                    <w:t>电缆沟槽</w:t>
                  </w:r>
                </w:p>
              </w:tc>
              <w:tc>
                <w:tcPr>
                  <w:tcW w:w="1605" w:type="dxa"/>
                  <w:noWrap w:val="0"/>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kern w:val="2"/>
                      <w:sz w:val="21"/>
                      <w:szCs w:val="21"/>
                      <w:highlight w:val="none"/>
                      <w:lang w:val="en-US" w:eastAsia="zh-CN" w:bidi="ar"/>
                    </w:rPr>
                    <w:t>20000</w:t>
                  </w:r>
                </w:p>
              </w:tc>
              <w:tc>
                <w:tcPr>
                  <w:tcW w:w="1605" w:type="dxa"/>
                  <w:noWrap w:val="0"/>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auto"/>
                      <w:kern w:val="2"/>
                      <w:sz w:val="21"/>
                      <w:szCs w:val="21"/>
                      <w:highlight w:val="none"/>
                      <w:u w:val="none"/>
                      <w:lang w:val="en-US" w:eastAsia="zh-CN" w:bidi="ar"/>
                    </w:rPr>
                    <w:t>10</w:t>
                  </w:r>
                </w:p>
              </w:tc>
              <w:tc>
                <w:tcPr>
                  <w:tcW w:w="1372" w:type="dxa"/>
                  <w:noWrap w:val="0"/>
                  <w:vAlign w:val="center"/>
                </w:tcPr>
                <w:p>
                  <w:pPr>
                    <w:widowControl/>
                    <w:jc w:val="center"/>
                    <w:textAlignment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auto"/>
                      <w:sz w:val="21"/>
                      <w:szCs w:val="21"/>
                      <w:highlight w:val="none"/>
                      <w:u w:val="none"/>
                      <w:lang w:val="en-US" w:eastAsia="zh-CN"/>
                    </w:rPr>
                    <w:t>2000</w:t>
                  </w:r>
                  <w:r>
                    <w:rPr>
                      <w:rFonts w:hint="eastAsia" w:ascii="Times New Roman" w:hAnsi="Times New Roman" w:eastAsia="宋体" w:cs="Times New Roman"/>
                      <w:i w:val="0"/>
                      <w:iCs w:val="0"/>
                      <w:color w:val="auto"/>
                      <w:sz w:val="21"/>
                      <w:szCs w:val="21"/>
                      <w:highlight w:val="none"/>
                      <w:u w:val="none"/>
                      <w:lang w:val="en-US" w:eastAsia="zh-CN"/>
                    </w:rPr>
                    <w:t>套</w:t>
                  </w:r>
                </w:p>
              </w:tc>
              <w:tc>
                <w:tcPr>
                  <w:tcW w:w="1126" w:type="dxa"/>
                  <w:noWrap w:val="0"/>
                  <w:vAlign w:val="center"/>
                </w:tcPr>
                <w:p>
                  <w:pPr>
                    <w:widowControl/>
                    <w:jc w:val="center"/>
                    <w:textAlignment w:val="center"/>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i w:val="0"/>
                      <w:iCs w:val="0"/>
                      <w:color w:val="auto"/>
                      <w:sz w:val="21"/>
                      <w:szCs w:val="21"/>
                      <w:highlight w:val="none"/>
                      <w:u w:val="none"/>
                      <w:lang w:val="en-US" w:eastAsia="zh-CN"/>
                    </w:rPr>
                    <w:t>2000</w:t>
                  </w:r>
                  <w:r>
                    <w:rPr>
                      <w:rFonts w:hint="eastAsia" w:ascii="Times New Roman" w:hAnsi="Times New Roman" w:eastAsia="宋体" w:cs="Times New Roman"/>
                      <w:i w:val="0"/>
                      <w:iCs w:val="0"/>
                      <w:color w:val="auto"/>
                      <w:sz w:val="21"/>
                      <w:szCs w:val="21"/>
                      <w:highlight w:val="none"/>
                      <w:u w:val="none"/>
                      <w:lang w:val="en-US" w:eastAsia="zh-CN"/>
                    </w:rPr>
                    <w:t>套</w:t>
                  </w:r>
                </w:p>
              </w:tc>
            </w:tr>
          </w:tbl>
          <w:p>
            <w:pPr>
              <w:keepNext w:val="0"/>
              <w:keepLines w:val="0"/>
              <w:pageBreakBefore w:val="0"/>
              <w:widowControl w:val="0"/>
              <w:tabs>
                <w:tab w:val="left" w:pos="1350"/>
              </w:tabs>
              <w:kinsoku/>
              <w:wordWrap/>
              <w:overflowPunct/>
              <w:topLinePunct w:val="0"/>
              <w:autoSpaceDE/>
              <w:autoSpaceDN/>
              <w:bidi w:val="0"/>
              <w:adjustRightInd/>
              <w:snapToGrid/>
              <w:spacing w:line="240" w:lineRule="auto"/>
              <w:jc w:val="both"/>
              <w:textAlignment w:val="auto"/>
              <w:rPr>
                <w:rFonts w:hint="default" w:ascii="Times New Roman" w:hAnsi="Times New Roman" w:eastAsia="宋体" w:cs="Times New Roman"/>
                <w:b/>
                <w:bCs/>
                <w:kern w:val="0"/>
                <w:sz w:val="24"/>
                <w:szCs w:val="24"/>
                <w:lang w:val="en-US" w:eastAsia="zh-CN" w:bidi="ar-SA"/>
              </w:rPr>
            </w:pPr>
            <w:r>
              <w:rPr>
                <w:rFonts w:hint="default" w:ascii="Times New Roman" w:hAnsi="Times New Roman" w:eastAsia="宋体" w:cs="Times New Roman"/>
                <w:b/>
                <w:bCs/>
                <w:kern w:val="0"/>
                <w:sz w:val="24"/>
                <w:szCs w:val="24"/>
                <w:lang w:val="en-US" w:eastAsia="zh-CN" w:bidi="ar-SA"/>
              </w:rPr>
              <w:t>2.3、劳动定员及劳动制度</w:t>
            </w:r>
          </w:p>
          <w:p>
            <w:pPr>
              <w:keepNext w:val="0"/>
              <w:keepLines w:val="0"/>
              <w:pageBreakBefore w:val="0"/>
              <w:widowControl w:val="0"/>
              <w:kinsoku/>
              <w:wordWrap/>
              <w:overflowPunct/>
              <w:topLinePunct w:val="0"/>
              <w:autoSpaceDE/>
              <w:autoSpaceDN/>
              <w:bidi w:val="0"/>
              <w:adjustRightInd w:val="0"/>
              <w:snapToGrid w:val="0"/>
              <w:spacing w:line="360" w:lineRule="auto"/>
              <w:ind w:leftChars="0" w:firstLine="480" w:firstLineChars="200"/>
              <w:textAlignment w:val="auto"/>
              <w:rPr>
                <w:rFonts w:hint="default" w:ascii="Times New Roman" w:hAnsi="Times New Roman" w:eastAsia="宋体" w:cs="Times New Roman"/>
                <w:szCs w:val="24"/>
                <w:lang w:val="en-US" w:eastAsia="zh-CN"/>
              </w:rPr>
            </w:pPr>
            <w:r>
              <w:rPr>
                <w:rFonts w:hint="default" w:ascii="Times New Roman" w:hAnsi="Times New Roman" w:eastAsia="宋体" w:cs="Times New Roman"/>
                <w:color w:val="auto"/>
                <w:kern w:val="0"/>
                <w:sz w:val="24"/>
              </w:rPr>
              <w:t>劳动定员：</w:t>
            </w:r>
            <w:r>
              <w:rPr>
                <w:rFonts w:ascii="宋体" w:hAnsi="宋体" w:eastAsia="宋体" w:cs="宋体"/>
                <w:spacing w:val="10"/>
                <w:sz w:val="23"/>
                <w:szCs w:val="23"/>
              </w:rPr>
              <w:t>项</w:t>
            </w:r>
            <w:r>
              <w:rPr>
                <w:rFonts w:ascii="宋体" w:hAnsi="宋体" w:eastAsia="宋体" w:cs="宋体"/>
                <w:spacing w:val="8"/>
                <w:sz w:val="23"/>
                <w:szCs w:val="23"/>
              </w:rPr>
              <w:t>目现有员工约</w:t>
            </w:r>
            <w:r>
              <w:rPr>
                <w:rFonts w:hint="eastAsia" w:ascii="Times New Roman" w:hAnsi="Times New Roman" w:eastAsia="宋体" w:cs="Times New Roman"/>
                <w:spacing w:val="8"/>
                <w:sz w:val="23"/>
                <w:szCs w:val="23"/>
                <w:lang w:val="en-US" w:eastAsia="zh-CN"/>
              </w:rPr>
              <w:t>162</w:t>
            </w:r>
            <w:r>
              <w:rPr>
                <w:rFonts w:ascii="宋体" w:hAnsi="宋体" w:eastAsia="宋体" w:cs="宋体"/>
                <w:spacing w:val="8"/>
                <w:sz w:val="23"/>
                <w:szCs w:val="23"/>
              </w:rPr>
              <w:t>人，</w:t>
            </w:r>
            <w:r>
              <w:rPr>
                <w:rFonts w:hint="default" w:ascii="Times New Roman" w:hAnsi="Times New Roman" w:eastAsia="宋体" w:cs="Times New Roman"/>
                <w:color w:val="auto"/>
                <w:kern w:val="0"/>
                <w:sz w:val="24"/>
              </w:rPr>
              <w:t>年工作</w:t>
            </w:r>
            <w:r>
              <w:rPr>
                <w:rFonts w:hint="default" w:ascii="Times New Roman" w:hAnsi="Times New Roman" w:eastAsia="宋体" w:cs="Times New Roman"/>
                <w:color w:val="auto"/>
                <w:kern w:val="0"/>
                <w:sz w:val="24"/>
                <w:lang w:val="en-US" w:eastAsia="zh-CN"/>
              </w:rPr>
              <w:t>300</w:t>
            </w:r>
            <w:r>
              <w:rPr>
                <w:rFonts w:hint="default" w:ascii="Times New Roman" w:hAnsi="Times New Roman" w:eastAsia="宋体" w:cs="Times New Roman"/>
                <w:color w:val="auto"/>
                <w:kern w:val="0"/>
                <w:sz w:val="24"/>
              </w:rPr>
              <w:t>天，</w:t>
            </w:r>
            <w:r>
              <w:rPr>
                <w:rFonts w:hint="default" w:ascii="Times New Roman" w:hAnsi="Times New Roman" w:eastAsia="宋体" w:cs="Times New Roman"/>
                <w:color w:val="auto"/>
                <w:sz w:val="24"/>
                <w:szCs w:val="24"/>
                <w:highlight w:val="none"/>
                <w:lang w:val="en-US" w:eastAsia="zh-CN"/>
              </w:rPr>
              <w:t>采用两班制的工作模式，每班工作8小</w:t>
            </w:r>
            <w:r>
              <w:rPr>
                <w:rFonts w:hint="eastAsia" w:ascii="Times New Roman" w:hAnsi="Times New Roman" w:eastAsia="宋体" w:cs="Times New Roman"/>
                <w:color w:val="auto"/>
                <w:sz w:val="24"/>
                <w:szCs w:val="24"/>
                <w:highlight w:val="none"/>
                <w:lang w:val="en-US" w:eastAsia="zh-CN"/>
              </w:rPr>
              <w:t>时</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厂区不设食宿。</w:t>
            </w:r>
          </w:p>
          <w:p>
            <w:pPr>
              <w:pStyle w:val="32"/>
              <w:ind w:firstLine="0" w:firstLineChars="0"/>
              <w:jc w:val="both"/>
              <w:rPr>
                <w:rFonts w:hint="default" w:ascii="Times New Roman" w:hAnsi="Times New Roman" w:eastAsia="宋体" w:cs="Times New Roman"/>
                <w:b/>
                <w:bCs/>
                <w:szCs w:val="24"/>
                <w:lang w:val="en-US" w:eastAsia="zh-CN"/>
              </w:rPr>
            </w:pPr>
            <w:r>
              <w:rPr>
                <w:rFonts w:hint="default" w:ascii="Times New Roman" w:hAnsi="Times New Roman" w:eastAsia="宋体" w:cs="Times New Roman"/>
                <w:b/>
                <w:bCs/>
                <w:szCs w:val="24"/>
                <w:lang w:val="en-US" w:eastAsia="zh-CN"/>
              </w:rPr>
              <w:t>2.4、主要工艺流程及产污环节</w:t>
            </w:r>
          </w:p>
          <w:p>
            <w:pPr>
              <w:pStyle w:val="32"/>
              <w:ind w:firstLine="0" w:firstLineChars="0"/>
              <w:jc w:val="both"/>
              <w:rPr>
                <w:rFonts w:hint="default" w:ascii="Times New Roman" w:hAnsi="Times New Roman" w:eastAsia="宋体" w:cs="Times New Roman"/>
                <w:b/>
                <w:bCs/>
                <w:szCs w:val="24"/>
                <w:lang w:val="en-US" w:eastAsia="zh-CN"/>
              </w:rPr>
            </w:pPr>
            <w:r>
              <w:rPr>
                <w:rFonts w:hint="default" w:ascii="Times New Roman" w:hAnsi="Times New Roman" w:eastAsia="宋体" w:cs="Times New Roman"/>
                <w:b/>
                <w:bCs/>
                <w:szCs w:val="24"/>
                <w:lang w:val="en-US" w:eastAsia="zh-CN"/>
              </w:rPr>
              <w:t>1、生产工艺：</w:t>
            </w:r>
          </w:p>
          <w:p>
            <w:pPr>
              <w:pStyle w:val="32"/>
              <w:ind w:firstLine="0" w:firstLineChars="0"/>
              <w:jc w:val="both"/>
              <w:rPr>
                <w:rFonts w:hint="default" w:ascii="Times New Roman" w:hAnsi="Times New Roman" w:eastAsia="宋体" w:cs="Times New Roman"/>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spacing w:line="400" w:lineRule="exact"/>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（1）砂石料原材料搅拌</w:t>
            </w:r>
          </w:p>
          <w:p>
            <w:pPr>
              <w:keepNext w:val="0"/>
              <w:keepLines w:val="0"/>
              <w:pageBreakBefore w:val="0"/>
              <w:widowControl w:val="0"/>
              <w:numPr>
                <w:ilvl w:val="0"/>
                <w:numId w:val="0"/>
              </w:numPr>
              <w:kinsoku/>
              <w:wordWrap/>
              <w:overflowPunct/>
              <w:topLinePunct w:val="0"/>
              <w:autoSpaceDE/>
              <w:autoSpaceDN/>
              <w:bidi w:val="0"/>
              <w:adjustRightInd w:val="0"/>
              <w:snapToGrid/>
              <w:spacing w:line="400" w:lineRule="exact"/>
              <w:ind w:firstLine="480" w:firstLineChars="200"/>
              <w:jc w:val="left"/>
              <w:textAlignment w:val="auto"/>
              <w:rPr>
                <w:rFonts w:hint="default" w:ascii="Times New Roman" w:hAnsi="Times New Roman" w:cs="Times New Roman"/>
                <w:color w:val="auto"/>
                <w:highlight w:val="none"/>
                <w:lang w:val="en-US" w:eastAsia="zh-CN"/>
              </w:rPr>
            </w:pPr>
            <w:r>
              <w:rPr>
                <w:rFonts w:hint="default" w:ascii="Times New Roman" w:hAnsi="Times New Roman" w:cs="Times New Roman"/>
                <w:color w:val="auto"/>
                <w:sz w:val="24"/>
                <w:szCs w:val="24"/>
                <w:highlight w:val="none"/>
                <w:lang w:val="en-US" w:eastAsia="zh-CN"/>
              </w:rPr>
              <w:t>工艺流程图及产排污位置图项目</w:t>
            </w:r>
            <w:r>
              <w:rPr>
                <w:rFonts w:hint="default" w:ascii="Times New Roman" w:hAnsi="Times New Roman" w:cs="Times New Roman"/>
                <w:color w:val="auto"/>
                <w:sz w:val="24"/>
                <w:szCs w:val="24"/>
                <w:highlight w:val="none"/>
              </w:rPr>
              <w:t>生产工艺如下图</w:t>
            </w:r>
            <w:r>
              <w:rPr>
                <w:rFonts w:hint="default" w:ascii="Times New Roman" w:hAnsi="Times New Roman" w:cs="Times New Roman"/>
                <w:color w:val="auto"/>
                <w:sz w:val="24"/>
                <w:szCs w:val="24"/>
                <w:highlight w:val="none"/>
                <w:lang w:eastAsia="zh-CN"/>
              </w:rPr>
              <w:t>：</w:t>
            </w:r>
          </w:p>
          <w:p>
            <w:pPr>
              <w:rPr>
                <w:rFonts w:hint="default" w:ascii="Times New Roman" w:hAnsi="Times New Roman" w:cs="Times New Roman"/>
                <w:color w:val="auto"/>
                <w:sz w:val="24"/>
                <w:szCs w:val="24"/>
                <w:highlight w:val="none"/>
                <w:lang w:val="en-US" w:eastAsia="zh-CN"/>
              </w:rPr>
            </w:pPr>
            <w:r>
              <w:rPr>
                <w:rFonts w:ascii="Times New Roman" w:hAnsi="Times New Roman" w:cs="Times New Roman"/>
                <w:color w:val="auto"/>
                <w:highlight w:val="none"/>
              </w:rPr>
              <w:drawing>
                <wp:inline distT="0" distB="0" distL="114300" distR="114300">
                  <wp:extent cx="5080000" cy="2124075"/>
                  <wp:effectExtent l="0" t="0" r="0"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rcRect b="15334"/>
                          <a:stretch>
                            <a:fillRect/>
                          </a:stretch>
                        </pic:blipFill>
                        <pic:spPr>
                          <a:xfrm>
                            <a:off x="0" y="0"/>
                            <a:ext cx="5080000" cy="2124075"/>
                          </a:xfrm>
                          <a:prstGeom prst="rect">
                            <a:avLst/>
                          </a:prstGeom>
                          <a:noFill/>
                          <a:ln>
                            <a:noFill/>
                          </a:ln>
                        </pic:spPr>
                      </pic:pic>
                    </a:graphicData>
                  </a:graphic>
                </wp:inline>
              </w:drawing>
            </w:r>
            <w:r>
              <w:rPr>
                <w:rFonts w:ascii="Times New Roman" w:hAnsi="Times New Roman" w:cs="Times New Roman"/>
                <w:color w:val="auto"/>
                <w:sz w:val="21"/>
                <w:highlight w:val="none"/>
              </w:rPr>
              <mc:AlternateContent>
                <mc:Choice Requires="wps">
                  <w:drawing>
                    <wp:anchor distT="0" distB="0" distL="114300" distR="114300" simplePos="0" relativeHeight="251659264" behindDoc="0" locked="0" layoutInCell="1" allowOverlap="1">
                      <wp:simplePos x="0" y="0"/>
                      <wp:positionH relativeFrom="column">
                        <wp:posOffset>3462020</wp:posOffset>
                      </wp:positionH>
                      <wp:positionV relativeFrom="paragraph">
                        <wp:posOffset>1270</wp:posOffset>
                      </wp:positionV>
                      <wp:extent cx="886460" cy="431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886460" cy="431800"/>
                              </a:xfrm>
                              <a:prstGeom prst="rect">
                                <a:avLst/>
                              </a:prstGeom>
                              <a:noFill/>
                              <a:ln>
                                <a:noFill/>
                              </a:ln>
                            </wps:spPr>
                            <wps:txbx>
                              <w:txbxContent>
                                <w:p>
                                  <w:pPr>
                                    <w:rPr>
                                      <w:rFonts w:hint="eastAsia" w:eastAsia="宋体"/>
                                      <w:b/>
                                      <w:bCs/>
                                      <w:sz w:val="28"/>
                                      <w:szCs w:val="36"/>
                                      <w:lang w:val="en-US" w:eastAsia="zh-CN"/>
                                    </w:rPr>
                                  </w:pPr>
                                  <w:r>
                                    <w:rPr>
                                      <w:rFonts w:hint="eastAsia"/>
                                      <w:b/>
                                      <w:bCs/>
                                      <w:sz w:val="28"/>
                                      <w:szCs w:val="36"/>
                                      <w:lang w:val="en-US" w:eastAsia="zh-CN"/>
                                    </w:rPr>
                                    <w:t>骨料</w:t>
                                  </w:r>
                                </w:p>
                              </w:txbxContent>
                            </wps:txbx>
                            <wps:bodyPr upright="1"/>
                          </wps:wsp>
                        </a:graphicData>
                      </a:graphic>
                    </wp:anchor>
                  </w:drawing>
                </mc:Choice>
                <mc:Fallback>
                  <w:pict>
                    <v:shape id="_x0000_s1026" o:spid="_x0000_s1026" o:spt="202" type="#_x0000_t202" style="position:absolute;left:0pt;margin-left:272.6pt;margin-top:0.1pt;height:34pt;width:69.8pt;z-index:251659264;mso-width-relative:page;mso-height-relative:page;" filled="f" stroked="f" coordsize="21600,21600" o:gfxdata="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Al0e+j1QAAAAcB&#10;AAAPAAAAAAAAAAEAIAAAACIAAABkcnMvZG93bnJldi54bWxQSwECFAAUAAAACACHTuJAnpCU/KwB&#10;AABNAwAADgAAAAAAAAABACAAAAAkAQAAZHJzL2Uyb0RvYy54bWxQSwUGAAAAAAYABgBZAQAAQgUA&#10;AAAA&#10;">
                      <v:fill on="f" focussize="0,0"/>
                      <v:stroke on="f"/>
                      <v:imagedata o:title=""/>
                      <o:lock v:ext="edit" aspectratio="f"/>
                      <v:textbox>
                        <w:txbxContent>
                          <w:p>
                            <w:pPr>
                              <w:rPr>
                                <w:rFonts w:hint="eastAsia" w:eastAsia="宋体"/>
                                <w:b/>
                                <w:bCs/>
                                <w:sz w:val="28"/>
                                <w:szCs w:val="36"/>
                                <w:lang w:val="en-US" w:eastAsia="zh-CN"/>
                              </w:rPr>
                            </w:pPr>
                            <w:r>
                              <w:rPr>
                                <w:rFonts w:hint="eastAsia"/>
                                <w:b/>
                                <w:bCs/>
                                <w:sz w:val="28"/>
                                <w:szCs w:val="36"/>
                                <w:lang w:val="en-US" w:eastAsia="zh-CN"/>
                              </w:rPr>
                              <w:t>骨料</w:t>
                            </w:r>
                          </w:p>
                        </w:txbxContent>
                      </v:textbox>
                    </v:shape>
                  </w:pict>
                </mc:Fallback>
              </mc:AlternateContent>
            </w:r>
          </w:p>
          <w:p>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图</w:t>
            </w:r>
            <w:r>
              <w:rPr>
                <w:rFonts w:hint="default" w:ascii="Times New Roman" w:hAnsi="Times New Roman" w:cs="Times New Roman"/>
                <w:b/>
                <w:bCs/>
                <w:color w:val="auto"/>
                <w:highlight w:val="none"/>
                <w:lang w:val="en-US" w:eastAsia="zh-CN"/>
              </w:rPr>
              <w:t>2-</w:t>
            </w:r>
            <w:r>
              <w:rPr>
                <w:rFonts w:hint="eastAsia" w:ascii="Times New Roman" w:hAnsi="Times New Roman" w:cs="Times New Roman"/>
                <w:b/>
                <w:bCs/>
                <w:color w:val="auto"/>
                <w:highlight w:val="none"/>
                <w:lang w:val="en-US" w:eastAsia="zh-CN"/>
              </w:rPr>
              <w:t>1</w:t>
            </w:r>
            <w:r>
              <w:rPr>
                <w:rFonts w:hint="default" w:ascii="Times New Roman" w:hAnsi="Times New Roman" w:cs="Times New Roman"/>
                <w:b/>
                <w:bCs/>
                <w:color w:val="auto"/>
                <w:highlight w:val="none"/>
              </w:rPr>
              <w:t xml:space="preserve"> </w:t>
            </w:r>
            <w:r>
              <w:rPr>
                <w:rFonts w:hint="default" w:ascii="Times New Roman" w:hAnsi="Times New Roman" w:cs="Times New Roman"/>
                <w:b/>
                <w:bCs/>
                <w:color w:val="auto"/>
                <w:highlight w:val="none"/>
                <w:lang w:val="en-US" w:eastAsia="zh-CN"/>
              </w:rPr>
              <w:t>水砂石料原材料搅拌</w:t>
            </w:r>
            <w:r>
              <w:rPr>
                <w:rFonts w:hint="default" w:ascii="Times New Roman" w:hAnsi="Times New Roman" w:cs="Times New Roman"/>
                <w:b/>
                <w:bCs/>
                <w:color w:val="auto"/>
                <w:highlight w:val="none"/>
              </w:rPr>
              <w:t>工艺流程图</w:t>
            </w:r>
          </w:p>
          <w:p>
            <w:pPr>
              <w:pStyle w:val="4"/>
              <w:keepNext/>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ascii="Times New Roman" w:hAnsi="Times New Roman" w:eastAsia="宋体" w:cs="Times New Roman"/>
                <w:color w:val="auto"/>
                <w:sz w:val="24"/>
                <w:szCs w:val="24"/>
                <w:highlight w:val="none"/>
              </w:rPr>
            </w:pPr>
            <w:r>
              <w:rPr>
                <w:rFonts w:ascii="Times New Roman" w:hAnsi="Times New Roman" w:eastAsia="宋体" w:cs="Times New Roman"/>
                <w:color w:val="auto"/>
                <w:kern w:val="2"/>
                <w:sz w:val="24"/>
                <w:szCs w:val="24"/>
                <w:highlight w:val="none"/>
                <w:lang w:val="en-US" w:eastAsia="zh-CN" w:bidi="ar-SA"/>
              </w:rPr>
              <w:t>1）</w:t>
            </w:r>
            <w:r>
              <w:rPr>
                <w:rFonts w:ascii="Times New Roman" w:hAnsi="Times New Roman" w:eastAsia="宋体" w:cs="Times New Roman"/>
                <w:color w:val="auto"/>
                <w:sz w:val="24"/>
                <w:szCs w:val="24"/>
                <w:highlight w:val="none"/>
              </w:rPr>
              <w:t>原辅材料储运砂石：本项目使用的砂</w:t>
            </w:r>
            <w:r>
              <w:rPr>
                <w:rFonts w:hint="default" w:ascii="Times New Roman" w:hAnsi="Times New Roman" w:eastAsia="宋体" w:cs="Times New Roman"/>
                <w:color w:val="auto"/>
                <w:sz w:val="24"/>
                <w:szCs w:val="24"/>
                <w:highlight w:val="none"/>
                <w:lang w:val="en-US" w:eastAsia="zh-CN"/>
              </w:rPr>
              <w:t>子</w:t>
            </w:r>
            <w:r>
              <w:rPr>
                <w:rFonts w:ascii="Times New Roman" w:hAnsi="Times New Roman" w:eastAsia="宋体" w:cs="Times New Roman"/>
                <w:color w:val="auto"/>
                <w:sz w:val="24"/>
                <w:szCs w:val="24"/>
                <w:highlight w:val="none"/>
              </w:rPr>
              <w:t>骨料均为外购成品，不在厂区内加工处理，通过车辆运送至厂区内，储存于骨料堆场中，通过装载机输送至搅拌机。此过程会产生噪声、粉尘。水泥：本项目使用的水泥均为外购成品，通过罐车运送至厂区内，储存于水泥</w:t>
            </w:r>
            <w:r>
              <w:rPr>
                <w:rFonts w:hint="default" w:ascii="Times New Roman" w:hAnsi="Times New Roman" w:eastAsia="宋体" w:cs="Times New Roman"/>
                <w:color w:val="auto"/>
                <w:sz w:val="24"/>
                <w:szCs w:val="24"/>
                <w:highlight w:val="none"/>
                <w:lang w:val="en-US" w:eastAsia="zh-CN"/>
              </w:rPr>
              <w:t>罐</w:t>
            </w:r>
            <w:r>
              <w:rPr>
                <w:rFonts w:ascii="Times New Roman" w:hAnsi="Times New Roman" w:eastAsia="宋体" w:cs="Times New Roman"/>
                <w:color w:val="auto"/>
                <w:sz w:val="24"/>
                <w:szCs w:val="24"/>
                <w:highlight w:val="none"/>
              </w:rPr>
              <w:t>中，通过管道输送至搅拌机。此过程会产生噪声、粉尘。</w:t>
            </w:r>
          </w:p>
          <w:p>
            <w:pPr>
              <w:pStyle w:val="4"/>
              <w:keepNext/>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2）水泥及水通过管道</w:t>
            </w:r>
            <w:r>
              <w:rPr>
                <w:rFonts w:hint="default" w:ascii="Times New Roman" w:hAnsi="Times New Roman" w:eastAsia="宋体" w:cs="Times New Roman"/>
                <w:color w:val="auto"/>
                <w:sz w:val="24"/>
                <w:szCs w:val="24"/>
                <w:highlight w:val="none"/>
                <w:lang w:val="en-US" w:eastAsia="zh-CN"/>
              </w:rPr>
              <w:t>再经计量斗计量后</w:t>
            </w:r>
            <w:r>
              <w:rPr>
                <w:rFonts w:ascii="Times New Roman" w:hAnsi="Times New Roman" w:eastAsia="宋体" w:cs="Times New Roman"/>
                <w:color w:val="auto"/>
                <w:sz w:val="24"/>
                <w:szCs w:val="24"/>
                <w:highlight w:val="none"/>
              </w:rPr>
              <w:t>、砂石通过</w:t>
            </w:r>
            <w:r>
              <w:rPr>
                <w:rFonts w:hint="default" w:ascii="Times New Roman" w:hAnsi="Times New Roman" w:eastAsia="宋体" w:cs="Times New Roman"/>
                <w:color w:val="auto"/>
                <w:sz w:val="24"/>
                <w:szCs w:val="24"/>
                <w:highlight w:val="none"/>
                <w:lang w:val="en-US" w:eastAsia="zh-CN"/>
              </w:rPr>
              <w:t>给料机</w:t>
            </w:r>
            <w:r>
              <w:rPr>
                <w:rFonts w:ascii="Times New Roman" w:hAnsi="Times New Roman" w:eastAsia="宋体" w:cs="Times New Roman"/>
                <w:color w:val="auto"/>
                <w:sz w:val="24"/>
                <w:szCs w:val="24"/>
                <w:highlight w:val="none"/>
              </w:rPr>
              <w:t>输送至搅拌机料斗，据建设单位提供资料，搅拌时水、水泥、砂</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骨料</w:t>
            </w:r>
            <w:r>
              <w:rPr>
                <w:rFonts w:ascii="Times New Roman" w:hAnsi="Times New Roman" w:eastAsia="宋体" w:cs="Times New Roman"/>
                <w:color w:val="auto"/>
                <w:sz w:val="24"/>
                <w:szCs w:val="24"/>
                <w:highlight w:val="none"/>
              </w:rPr>
              <w:t>按照</w:t>
            </w:r>
            <w:r>
              <w:rPr>
                <w:rFonts w:hint="default" w:ascii="Times New Roman" w:hAnsi="Times New Roman" w:eastAsia="宋体" w:cs="Times New Roman"/>
                <w:color w:val="auto"/>
                <w:sz w:val="24"/>
                <w:szCs w:val="24"/>
                <w:highlight w:val="none"/>
              </w:rPr>
              <w:t>0.47：1：1.40：2.85</w:t>
            </w:r>
            <w:r>
              <w:rPr>
                <w:rFonts w:ascii="Times New Roman" w:hAnsi="Times New Roman" w:eastAsia="宋体" w:cs="Times New Roman"/>
                <w:color w:val="auto"/>
                <w:sz w:val="24"/>
                <w:szCs w:val="24"/>
                <w:highlight w:val="none"/>
              </w:rPr>
              <w:t>的比例混合后搅拌，搅拌过程密闭、湿式作业。此过程会产生噪声、粉尘。</w:t>
            </w:r>
          </w:p>
          <w:p>
            <w:pPr>
              <w:keepNext w:val="0"/>
              <w:keepLines w:val="0"/>
              <w:pageBreakBefore w:val="0"/>
              <w:widowControl w:val="0"/>
              <w:numPr>
                <w:ilvl w:val="0"/>
                <w:numId w:val="0"/>
              </w:numPr>
              <w:kinsoku/>
              <w:wordWrap/>
              <w:overflowPunct/>
              <w:topLinePunct w:val="0"/>
              <w:autoSpaceDE/>
              <w:autoSpaceDN/>
              <w:bidi w:val="0"/>
              <w:adjustRightInd w:val="0"/>
              <w:snapToGrid/>
              <w:spacing w:line="400" w:lineRule="exact"/>
              <w:ind w:firstLine="480" w:firstLineChars="200"/>
              <w:jc w:val="left"/>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2</w:t>
            </w:r>
            <w:r>
              <w:rPr>
                <w:rFonts w:hint="default" w:ascii="Times New Roman" w:hAnsi="Times New Roman" w:cs="Times New Roman"/>
                <w:color w:val="auto"/>
                <w:sz w:val="24"/>
                <w:szCs w:val="24"/>
                <w:highlight w:val="none"/>
                <w:lang w:val="en-US" w:eastAsia="zh-CN"/>
              </w:rPr>
              <w:t>）水泥构件及电力设施器材制造</w:t>
            </w:r>
          </w:p>
          <w:p>
            <w:pPr>
              <w:keepNext w:val="0"/>
              <w:keepLines w:val="0"/>
              <w:pageBreakBefore w:val="0"/>
              <w:widowControl w:val="0"/>
              <w:numPr>
                <w:ilvl w:val="0"/>
                <w:numId w:val="0"/>
              </w:numPr>
              <w:kinsoku/>
              <w:wordWrap/>
              <w:overflowPunct/>
              <w:topLinePunct w:val="0"/>
              <w:autoSpaceDE/>
              <w:autoSpaceDN/>
              <w:bidi w:val="0"/>
              <w:adjustRightInd w:val="0"/>
              <w:snapToGrid/>
              <w:spacing w:line="400" w:lineRule="exact"/>
              <w:ind w:firstLine="480" w:firstLineChars="200"/>
              <w:jc w:val="left"/>
              <w:textAlignment w:val="auto"/>
              <w:rPr>
                <w:rFonts w:hint="default"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lang w:val="en-US" w:eastAsia="zh-CN"/>
              </w:rPr>
              <w:t>工艺流程图</w:t>
            </w:r>
            <w:r>
              <w:rPr>
                <w:rFonts w:hint="eastAsia" w:ascii="Times New Roman" w:hAnsi="Times New Roman" w:cs="Times New Roman"/>
                <w:color w:val="auto"/>
                <w:sz w:val="24"/>
                <w:szCs w:val="24"/>
                <w:highlight w:val="none"/>
                <w:lang w:val="en-US" w:eastAsia="zh-CN"/>
              </w:rPr>
              <w:t>及产排污位置图</w:t>
            </w:r>
            <w:r>
              <w:rPr>
                <w:rFonts w:hint="default" w:ascii="Times New Roman" w:hAnsi="Times New Roman" w:cs="Times New Roman"/>
                <w:color w:val="auto"/>
                <w:sz w:val="24"/>
                <w:szCs w:val="24"/>
                <w:highlight w:val="none"/>
                <w:lang w:val="en-US" w:eastAsia="zh-CN"/>
              </w:rPr>
              <w:t>项目</w:t>
            </w:r>
            <w:r>
              <w:rPr>
                <w:rFonts w:hint="default" w:ascii="Times New Roman" w:hAnsi="Times New Roman" w:cs="Times New Roman"/>
                <w:color w:val="auto"/>
                <w:sz w:val="24"/>
                <w:szCs w:val="24"/>
                <w:highlight w:val="none"/>
              </w:rPr>
              <w:t>生产工艺如下图</w:t>
            </w:r>
            <w:r>
              <w:rPr>
                <w:rFonts w:hint="default" w:ascii="Times New Roman" w:hAnsi="Times New Roman" w:cs="Times New Roman"/>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ascii="Times New Roman" w:hAnsi="Times New Roman" w:cs="Times New Roman"/>
                <w:color w:val="auto"/>
                <w:highlight w:val="none"/>
              </w:rPr>
            </w:pPr>
          </w:p>
          <w:p>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hint="default" w:ascii="Times New Roman" w:hAnsi="Times New Roman" w:cs="Times New Roman"/>
                <w:color w:val="auto"/>
                <w:highlight w:val="none"/>
                <w:lang w:eastAsia="zh-CN"/>
              </w:rPr>
            </w:pPr>
            <w:r>
              <w:rPr>
                <w:color w:val="auto"/>
                <w:sz w:val="21"/>
                <w:highlight w:val="none"/>
              </w:rPr>
              <mc:AlternateContent>
                <mc:Choice Requires="wps">
                  <w:drawing>
                    <wp:anchor distT="0" distB="0" distL="114300" distR="114300" simplePos="0" relativeHeight="251661312" behindDoc="0" locked="0" layoutInCell="1" allowOverlap="1">
                      <wp:simplePos x="0" y="0"/>
                      <wp:positionH relativeFrom="column">
                        <wp:posOffset>3053715</wp:posOffset>
                      </wp:positionH>
                      <wp:positionV relativeFrom="paragraph">
                        <wp:posOffset>2803525</wp:posOffset>
                      </wp:positionV>
                      <wp:extent cx="1905000" cy="397510"/>
                      <wp:effectExtent l="0" t="0" r="0" b="8890"/>
                      <wp:wrapNone/>
                      <wp:docPr id="1" name="文本框 1"/>
                      <wp:cNvGraphicFramePr/>
                      <a:graphic xmlns:a="http://schemas.openxmlformats.org/drawingml/2006/main">
                        <a:graphicData uri="http://schemas.microsoft.com/office/word/2010/wordprocessingShape">
                          <wps:wsp>
                            <wps:cNvSpPr txBox="1"/>
                            <wps:spPr>
                              <a:xfrm>
                                <a:off x="0" y="0"/>
                                <a:ext cx="1905000" cy="397510"/>
                              </a:xfrm>
                              <a:prstGeom prst="rect">
                                <a:avLst/>
                              </a:prstGeom>
                              <a:solidFill>
                                <a:srgbClr val="FFFFFF"/>
                              </a:solidFill>
                              <a:ln>
                                <a:noFill/>
                              </a:ln>
                            </wps:spPr>
                            <wps:txbx>
                              <w:txbxContent>
                                <w:p/>
                              </w:txbxContent>
                            </wps:txbx>
                            <wps:bodyPr upright="1"/>
                          </wps:wsp>
                        </a:graphicData>
                      </a:graphic>
                    </wp:anchor>
                  </w:drawing>
                </mc:Choice>
                <mc:Fallback>
                  <w:pict>
                    <v:shape id="_x0000_s1026" o:spid="_x0000_s1026" o:spt="202" type="#_x0000_t202" style="position:absolute;left:0pt;margin-left:240.45pt;margin-top:220.75pt;height:31.3pt;width:150pt;z-index:251661312;mso-width-relative:page;mso-height-relative:page;" fillcolor="#FFFFFF" filled="t" stroked="f" coordsize="21600,21600" o:gfxdata="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Z+I/7XAAAACwEAAA8AAAAAAAAAAQAgAAAAIgAAAGRycy9kb3ducmV2Lnht&#10;bFBLAQIUABQAAAAIAIdO4kCuUl1VwQEAAHcDAAAOAAAAAAAAAAEAIAAAACYBAABkcnMvZTJvRG9j&#10;LnhtbFBLBQYAAAAABgAGAFkBAABZBQAAAAA=&#10;">
                      <v:fill on="t" focussize="0,0"/>
                      <v:stroke on="f"/>
                      <v:imagedata o:title=""/>
                      <o:lock v:ext="edit" aspectratio="f"/>
                      <v:textbox>
                        <w:txbxContent>
                          <w:p/>
                        </w:txbxContent>
                      </v:textbox>
                    </v:shape>
                  </w:pict>
                </mc:Fallback>
              </mc:AlternateContent>
            </w:r>
            <w:r>
              <w:rPr>
                <w:color w:val="auto"/>
                <w:sz w:val="21"/>
                <w:highlight w:val="none"/>
              </w:rPr>
              <mc:AlternateContent>
                <mc:Choice Requires="wps">
                  <w:drawing>
                    <wp:anchor distT="0" distB="0" distL="114300" distR="114300" simplePos="0" relativeHeight="251660288" behindDoc="0" locked="0" layoutInCell="1" allowOverlap="1">
                      <wp:simplePos x="0" y="0"/>
                      <wp:positionH relativeFrom="column">
                        <wp:posOffset>285115</wp:posOffset>
                      </wp:positionH>
                      <wp:positionV relativeFrom="paragraph">
                        <wp:posOffset>2735580</wp:posOffset>
                      </wp:positionV>
                      <wp:extent cx="965200" cy="516255"/>
                      <wp:effectExtent l="0" t="0" r="0" b="4445"/>
                      <wp:wrapNone/>
                      <wp:docPr id="5" name="文本框 5"/>
                      <wp:cNvGraphicFramePr/>
                      <a:graphic xmlns:a="http://schemas.openxmlformats.org/drawingml/2006/main">
                        <a:graphicData uri="http://schemas.microsoft.com/office/word/2010/wordprocessingShape">
                          <wps:wsp>
                            <wps:cNvSpPr txBox="1"/>
                            <wps:spPr>
                              <a:xfrm>
                                <a:off x="0" y="0"/>
                                <a:ext cx="965200" cy="516255"/>
                              </a:xfrm>
                              <a:prstGeom prst="rect">
                                <a:avLst/>
                              </a:prstGeom>
                              <a:solidFill>
                                <a:srgbClr val="FFFFFF"/>
                              </a:solidFill>
                              <a:ln>
                                <a:noFill/>
                              </a:ln>
                            </wps:spPr>
                            <wps:txbx>
                              <w:txbxContent>
                                <w:p/>
                              </w:txbxContent>
                            </wps:txbx>
                            <wps:bodyPr upright="1"/>
                          </wps:wsp>
                        </a:graphicData>
                      </a:graphic>
                    </wp:anchor>
                  </w:drawing>
                </mc:Choice>
                <mc:Fallback>
                  <w:pict>
                    <v:shape id="_x0000_s1026" o:spid="_x0000_s1026" o:spt="202" type="#_x0000_t202" style="position:absolute;left:0pt;margin-left:22.45pt;margin-top:215.4pt;height:40.65pt;width:76pt;z-index:251660288;mso-width-relative:page;mso-height-relative:page;" fillcolor="#FFFFFF" filled="t" stroked="f" coordsize="21600,21600" o:gfxdata="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Bstpah2AAAAAoBAAAPAAAAAAAAAAEAIAAAACIAAABkcnMvZG93bnJldi54&#10;bWxQSwECFAAUAAAACACHTuJAfsSSXMEBAAB2AwAADgAAAAAAAAABACAAAAAnAQAAZHJzL2Uyb0Rv&#10;Yy54bWxQSwUGAAAAAAYABgBZAQAAWgUAAAAA&#10;">
                      <v:fill on="t" focussize="0,0"/>
                      <v:stroke on="f"/>
                      <v:imagedata o:title=""/>
                      <o:lock v:ext="edit" aspectratio="f"/>
                      <v:textbox>
                        <w:txbxContent>
                          <w:p/>
                        </w:txbxContent>
                      </v:textbox>
                    </v:shape>
                  </w:pict>
                </mc:Fallback>
              </mc:AlternateContent>
            </w:r>
            <w:r>
              <w:rPr>
                <w:rFonts w:ascii="Times New Roman" w:hAnsi="Times New Roman" w:cs="Times New Roman"/>
                <w:color w:val="auto"/>
                <w:highlight w:val="none"/>
              </w:rPr>
              <w:drawing>
                <wp:inline distT="0" distB="0" distL="114300" distR="114300">
                  <wp:extent cx="5120640" cy="4645025"/>
                  <wp:effectExtent l="0" t="0" r="10160" b="317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6"/>
                          <a:srcRect t="4153"/>
                          <a:stretch>
                            <a:fillRect/>
                          </a:stretch>
                        </pic:blipFill>
                        <pic:spPr>
                          <a:xfrm>
                            <a:off x="0" y="0"/>
                            <a:ext cx="5120640" cy="46450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spacing w:line="360" w:lineRule="auto"/>
              <w:jc w:val="center"/>
              <w:textAlignment w:val="auto"/>
              <w:rPr>
                <w:rFonts w:hint="default" w:ascii="Times New Roman" w:hAnsi="Times New Roman" w:cs="Times New Roman"/>
                <w:color w:val="auto"/>
                <w:highlight w:val="none"/>
              </w:rPr>
            </w:pPr>
            <w:r>
              <w:rPr>
                <w:rFonts w:hint="default" w:ascii="Times New Roman" w:hAnsi="Times New Roman" w:cs="Times New Roman"/>
                <w:b/>
                <w:bCs/>
                <w:color w:val="auto"/>
                <w:highlight w:val="none"/>
              </w:rPr>
              <w:t>图</w:t>
            </w:r>
            <w:r>
              <w:rPr>
                <w:rFonts w:hint="default" w:ascii="Times New Roman" w:hAnsi="Times New Roman" w:cs="Times New Roman"/>
                <w:b/>
                <w:bCs/>
                <w:color w:val="auto"/>
                <w:highlight w:val="none"/>
                <w:lang w:val="en-US" w:eastAsia="zh-CN"/>
              </w:rPr>
              <w:t>2-</w:t>
            </w:r>
            <w:r>
              <w:rPr>
                <w:rFonts w:hint="eastAsia" w:ascii="Times New Roman" w:hAnsi="Times New Roman" w:cs="Times New Roman"/>
                <w:b/>
                <w:bCs/>
                <w:color w:val="auto"/>
                <w:highlight w:val="none"/>
                <w:lang w:val="en-US" w:eastAsia="zh-CN"/>
              </w:rPr>
              <w:t>2</w:t>
            </w:r>
            <w:r>
              <w:rPr>
                <w:rFonts w:hint="default" w:ascii="Times New Roman" w:hAnsi="Times New Roman" w:cs="Times New Roman"/>
                <w:b/>
                <w:bCs/>
                <w:color w:val="auto"/>
                <w:highlight w:val="none"/>
                <w:lang w:val="en-US" w:eastAsia="zh-CN"/>
              </w:rPr>
              <w:t>水泥构件及电力设施器材制造</w:t>
            </w:r>
            <w:r>
              <w:rPr>
                <w:rFonts w:hint="default" w:ascii="Times New Roman" w:hAnsi="Times New Roman" w:cs="Times New Roman"/>
                <w:b/>
                <w:bCs/>
                <w:color w:val="auto"/>
                <w:highlight w:val="none"/>
              </w:rPr>
              <w:t>工艺流程图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水泥构件及电力设施器材</w:t>
            </w:r>
            <w:r>
              <w:rPr>
                <w:rFonts w:hint="eastAsia" w:ascii="Times New Roman" w:hAnsi="Times New Roman" w:eastAsia="宋体" w:cs="Times New Roman"/>
                <w:color w:val="auto"/>
                <w:sz w:val="24"/>
                <w:szCs w:val="24"/>
                <w:highlight w:val="none"/>
                <w:lang w:val="en-US" w:eastAsia="zh-CN"/>
              </w:rPr>
              <w:t>工艺流程基本一致，主要区别为使用的模具不同。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z w:val="24"/>
                <w:szCs w:val="24"/>
                <w:highlight w:val="none"/>
              </w:rPr>
              <w:t>工艺流程描述：</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①砂石料原材料搅拌</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将砂子、骨料、水泥等原材料经给料机进入密闭的强制式搅拌机搅拌，再</w:t>
            </w:r>
            <w:r>
              <w:rPr>
                <w:rFonts w:hint="default" w:ascii="Times New Roman" w:hAnsi="Times New Roman" w:eastAsia="宋体" w:cs="Times New Roman"/>
                <w:color w:val="auto"/>
                <w:sz w:val="24"/>
                <w:szCs w:val="24"/>
                <w:highlight w:val="none"/>
                <w:lang w:val="en-US" w:eastAsia="zh-CN"/>
              </w:rPr>
              <w:t>将检验合格的钢筋骨架放入相应的外购模具内，安装完毕后，对其平面位置、纵横向稳定性等进行检查。</w:t>
            </w:r>
            <w:r>
              <w:rPr>
                <w:rFonts w:hint="eastAsia" w:ascii="Times New Roman" w:hAnsi="Times New Roman" w:eastAsia="宋体" w:cs="Times New Roman"/>
                <w:color w:val="auto"/>
                <w:sz w:val="24"/>
                <w:szCs w:val="24"/>
                <w:highlight w:val="none"/>
                <w:lang w:val="en-US" w:eastAsia="zh-CN"/>
              </w:rPr>
              <w:t>搅拌过程产生废气颗粒物，噪声，搅拌后产生废渣。</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②笼筋骨架焊接</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使用电焊机对</w:t>
            </w:r>
            <w:r>
              <w:rPr>
                <w:rFonts w:hint="default" w:ascii="Times New Roman" w:hAnsi="Times New Roman" w:eastAsia="宋体" w:cs="Times New Roman"/>
                <w:color w:val="auto"/>
                <w:sz w:val="24"/>
                <w:szCs w:val="24"/>
                <w:highlight w:val="none"/>
                <w:lang w:val="en-US" w:eastAsia="zh-CN"/>
              </w:rPr>
              <w:t>笼筋骨架焊接</w:t>
            </w:r>
            <w:r>
              <w:rPr>
                <w:rFonts w:hint="eastAsia" w:ascii="Times New Roman" w:hAnsi="Times New Roman" w:eastAsia="宋体" w:cs="Times New Roman"/>
                <w:color w:val="auto"/>
                <w:sz w:val="24"/>
                <w:szCs w:val="24"/>
                <w:highlight w:val="none"/>
                <w:lang w:val="en-US" w:eastAsia="zh-CN"/>
              </w:rPr>
              <w:t>，焊接过程产生焊接烟尘。</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③笼筋入模遥控分料至指定布料区域</w:t>
            </w:r>
          </w:p>
          <w:p>
            <w:pPr>
              <w:keepNext w:val="0"/>
              <w:keepLines w:val="0"/>
              <w:pageBreakBefore w:val="0"/>
              <w:widowControl w:val="0"/>
              <w:tabs>
                <w:tab w:val="left" w:pos="375"/>
              </w:tabs>
              <w:kinsoku/>
              <w:wordWrap/>
              <w:overflowPunct/>
              <w:topLinePunct w:val="0"/>
              <w:autoSpaceDE/>
              <w:autoSpaceDN/>
              <w:bidi w:val="0"/>
              <w:adjustRightInd w:val="0"/>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使用行车将焊接好的</w:t>
            </w:r>
            <w:r>
              <w:rPr>
                <w:rFonts w:hint="default" w:ascii="Times New Roman" w:hAnsi="Times New Roman" w:eastAsia="宋体" w:cs="Times New Roman"/>
                <w:color w:val="auto"/>
                <w:sz w:val="24"/>
                <w:szCs w:val="24"/>
                <w:highlight w:val="none"/>
                <w:lang w:val="en-US" w:eastAsia="zh-CN"/>
              </w:rPr>
              <w:t>笼筋骨架</w:t>
            </w:r>
            <w:r>
              <w:rPr>
                <w:rFonts w:hint="eastAsia" w:ascii="Times New Roman" w:hAnsi="Times New Roman" w:eastAsia="宋体" w:cs="Times New Roman"/>
                <w:color w:val="auto"/>
                <w:sz w:val="24"/>
                <w:szCs w:val="24"/>
                <w:highlight w:val="none"/>
                <w:lang w:val="en-US" w:eastAsia="zh-CN"/>
              </w:rPr>
              <w:t>放入模具内，为布料做准备。</w:t>
            </w:r>
          </w:p>
          <w:p>
            <w:pPr>
              <w:keepNext w:val="0"/>
              <w:keepLines w:val="0"/>
              <w:pageBreakBefore w:val="0"/>
              <w:widowControl w:val="0"/>
              <w:tabs>
                <w:tab w:val="left" w:pos="375"/>
              </w:tabs>
              <w:kinsoku/>
              <w:wordWrap/>
              <w:overflowPunct/>
              <w:topLinePunct w:val="0"/>
              <w:autoSpaceDE/>
              <w:autoSpaceDN/>
              <w:bidi w:val="0"/>
              <w:adjustRightInd w:val="0"/>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④智能布料</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搅拌后的砂石料原材料利用罐车运送至各固定模台，涂刷脱模剂使模板与混凝土表面形成一层膜，将两者隔开，保证脱模时混凝土表面光滑平整，保证混凝土的粘附量小于5g/m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。将原材料</w:t>
            </w:r>
            <w:r>
              <w:rPr>
                <w:rFonts w:hint="eastAsia" w:ascii="Times New Roman" w:hAnsi="Times New Roman" w:eastAsia="宋体" w:cs="Times New Roman"/>
                <w:color w:val="auto"/>
                <w:sz w:val="24"/>
                <w:szCs w:val="24"/>
                <w:highlight w:val="none"/>
                <w:lang w:val="en-US" w:eastAsia="zh-CN"/>
              </w:rPr>
              <w:t>使用固定式搅拌浇注机</w:t>
            </w:r>
            <w:r>
              <w:rPr>
                <w:rFonts w:hint="default" w:ascii="Times New Roman" w:hAnsi="Times New Roman" w:eastAsia="宋体" w:cs="Times New Roman"/>
                <w:color w:val="auto"/>
                <w:sz w:val="24"/>
                <w:szCs w:val="24"/>
                <w:highlight w:val="none"/>
                <w:lang w:val="en-US" w:eastAsia="zh-CN"/>
              </w:rPr>
              <w:t>装入模具内浇筑，加入模具后成型，即为半成品</w:t>
            </w:r>
            <w:r>
              <w:rPr>
                <w:rFonts w:hint="eastAsia" w:ascii="Times New Roman" w:hAnsi="Times New Roman" w:eastAsia="宋体" w:cs="Times New Roman"/>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⑤自动摇摆振</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用于对浇筑后的混凝土做振捣处理，直至混凝土转变为密实的状态为止。振捣时，驱动模台与预制构件共同振动，合理控制振捣设备的运行状态，由升降驱动轮提供竖直方向的振动。振捣具有较强的扰动性，在保证振捣密实的前提下，需尽可能减小振捣带来的不良影响</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摇摆振</w:t>
            </w:r>
            <w:r>
              <w:rPr>
                <w:rFonts w:hint="eastAsia" w:ascii="Times New Roman" w:hAnsi="Times New Roman" w:eastAsia="宋体" w:cs="Times New Roman"/>
                <w:color w:val="auto"/>
                <w:sz w:val="24"/>
                <w:szCs w:val="24"/>
                <w:highlight w:val="none"/>
                <w:lang w:val="en-US" w:eastAsia="zh-CN"/>
              </w:rPr>
              <w:t>过程会产生废渣。</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⑥表面抹光</w:t>
            </w:r>
            <w:r>
              <w:rPr>
                <w:rFonts w:hint="eastAsia" w:ascii="Times New Roman" w:hAnsi="Times New Roman" w:eastAsia="宋体" w:cs="Times New Roman"/>
                <w:color w:val="auto"/>
                <w:sz w:val="24"/>
                <w:szCs w:val="24"/>
                <w:highlight w:val="none"/>
                <w:lang w:val="en-US" w:eastAsia="zh-CN"/>
              </w:rPr>
              <w:t>、脱模</w:t>
            </w:r>
          </w:p>
          <w:p>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left"/>
              <w:textAlignment w:val="auto"/>
              <w:rPr>
                <w:rFonts w:hint="default" w:ascii="Times New Roman" w:hAnsi="Times New Roman" w:cs="Times New Roman"/>
                <w:color w:val="auto"/>
                <w:highlight w:val="none"/>
                <w:lang w:val="en-US" w:eastAsia="zh-CN"/>
              </w:rPr>
            </w:pPr>
            <w:r>
              <w:rPr>
                <w:rFonts w:hint="default" w:ascii="Times New Roman" w:hAnsi="Times New Roman" w:eastAsia="宋体" w:cs="Times New Roman"/>
                <w:color w:val="auto"/>
                <w:sz w:val="24"/>
                <w:szCs w:val="24"/>
                <w:highlight w:val="none"/>
                <w:lang w:val="en-US" w:eastAsia="zh-CN"/>
              </w:rPr>
              <w:t>在</w:t>
            </w:r>
            <w:r>
              <w:rPr>
                <w:rFonts w:hint="eastAsia" w:ascii="Times New Roman" w:hAnsi="Times New Roman" w:eastAsia="宋体" w:cs="Times New Roman"/>
                <w:color w:val="auto"/>
                <w:sz w:val="24"/>
                <w:szCs w:val="24"/>
                <w:highlight w:val="none"/>
                <w:lang w:val="en-US" w:eastAsia="zh-CN"/>
              </w:rPr>
              <w:t>产品</w:t>
            </w:r>
            <w:r>
              <w:rPr>
                <w:rFonts w:hint="default" w:ascii="Times New Roman" w:hAnsi="Times New Roman" w:eastAsia="宋体" w:cs="Times New Roman"/>
                <w:color w:val="auto"/>
                <w:sz w:val="24"/>
                <w:szCs w:val="24"/>
                <w:highlight w:val="none"/>
                <w:lang w:val="en-US" w:eastAsia="zh-CN"/>
              </w:rPr>
              <w:t>表面压实，使表面光洁、密实</w:t>
            </w:r>
            <w:r>
              <w:rPr>
                <w:rFonts w:hint="eastAsia" w:ascii="Times New Roman" w:hAnsi="Times New Roman" w:eastAsia="宋体" w:cs="Times New Roman"/>
                <w:color w:val="auto"/>
                <w:sz w:val="24"/>
                <w:szCs w:val="24"/>
                <w:highlight w:val="none"/>
                <w:lang w:val="en-US" w:eastAsia="zh-CN"/>
              </w:rPr>
              <w:t>。水泥成型后</w:t>
            </w:r>
            <w:r>
              <w:rPr>
                <w:rFonts w:hint="default" w:ascii="Times New Roman" w:hAnsi="Times New Roman" w:eastAsia="宋体" w:cs="Times New Roman"/>
                <w:color w:val="auto"/>
                <w:sz w:val="24"/>
                <w:szCs w:val="24"/>
                <w:highlight w:val="none"/>
                <w:lang w:val="en-US" w:eastAsia="zh-CN"/>
              </w:rPr>
              <w:t>人工脱模处理，模具重复利用。</w:t>
            </w:r>
          </w:p>
          <w:p>
            <w:pPr>
              <w:pStyle w:val="3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⑦产品养护</w:t>
            </w:r>
          </w:p>
          <w:p>
            <w:pPr>
              <w:pStyle w:val="33"/>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蒸汽养护工艺一般分为静停、升温、恒温、降温4个阶段，为了防止制品因内外温差过大或恒温温度过高而导致混凝土产生裂缝，严格控制蒸养过程中的升、降温速率及恒温温度。</w:t>
            </w:r>
          </w:p>
          <w:p>
            <w:pPr>
              <w:pStyle w:val="3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静停阶段也称预养期、前置期或静置期，为制品成型后及蒸汽养护开始前在大气环境下的一段放置时间。该阶段主要是保证混凝土中水泥进行了一定程度的水化，具有一定的结构强度，以防止升温期混凝土体积膨胀对结构产生破坏。静养阶段的时间应根据环境温度的变化做适当调整，但应遵循宜长不宜短的原则，一般不应少于1.5h。</w:t>
            </w:r>
          </w:p>
          <w:p>
            <w:pPr>
              <w:pStyle w:val="3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升温阶段分为两个步骤，即从环境温度升温至60摄氏度左右；保持两个小时左右后再升至80摄氏度左右，再保持2小时左右。如果制品早期预养时间越长，初期结构强度越高，升温速率可以相应提高；反之，则需缓慢升温。秋夏两季，升温速率应控制在25摄氏度左右每小时：春冬两季应控制在15摄氏度左右每小时为宜。如果产品表面出现明显裂纹，则应减小升温速率。所用时间在2到3小时左右。</w:t>
            </w:r>
          </w:p>
          <w:p>
            <w:pPr>
              <w:pStyle w:val="33"/>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恒温阶段的主要控制参数是恒温温度和恒温时间。对于水泥与混凝土制品，恒温阶段的温度越高和养护时间越长，制品的强度发展越快和最终获得的强度越高。但过高的恒温温度和较长的热养时间会造成制品后期强度的损失或其它特性受损，所以选择合适的恒温温度对于蒸养过程非常重要。恒温阶段的温度应保持在80摄氏度左右，湿度控制在85%--95%，且保持时间应控制在2--3小时左右。</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⑧成品堆码</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成品放置于堆码区，为避免成品开裂需定期喷雾喷洒少量自来水于成品表面（刚刚润湿产品表面即可）进行自然养护。</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fldChar w:fldCharType="begin"/>
            </w:r>
            <w:r>
              <w:rPr>
                <w:rFonts w:hint="default" w:ascii="Times New Roman" w:hAnsi="Times New Roman" w:eastAsia="宋体" w:cs="Times New Roman"/>
                <w:color w:val="auto"/>
                <w:sz w:val="24"/>
                <w:szCs w:val="24"/>
                <w:highlight w:val="none"/>
                <w:lang w:val="en-US" w:eastAsia="zh-CN"/>
              </w:rPr>
              <w:instrText xml:space="preserve"> = 9 \* GB3 \* MERGEFORMAT </w:instrText>
            </w:r>
            <w:r>
              <w:rPr>
                <w:rFonts w:hint="default" w:ascii="Times New Roman" w:hAnsi="Times New Roman" w:eastAsia="宋体" w:cs="Times New Roman"/>
                <w:color w:val="auto"/>
                <w:sz w:val="24"/>
                <w:szCs w:val="24"/>
                <w:highlight w:val="none"/>
                <w:lang w:val="en-US" w:eastAsia="zh-CN"/>
              </w:rPr>
              <w:fldChar w:fldCharType="separate"/>
            </w:r>
            <w:r>
              <w:rPr>
                <w:rFonts w:hint="default" w:ascii="Times New Roman" w:hAnsi="Times New Roman" w:eastAsia="宋体" w:cs="Times New Roman"/>
                <w:color w:val="auto"/>
                <w:sz w:val="24"/>
                <w:szCs w:val="24"/>
                <w:highlight w:val="none"/>
              </w:rPr>
              <w:t>⑨</w:t>
            </w:r>
            <w:r>
              <w:rPr>
                <w:rFonts w:hint="default" w:ascii="Times New Roman" w:hAnsi="Times New Roman" w:eastAsia="宋体" w:cs="Times New Roman"/>
                <w:color w:val="auto"/>
                <w:sz w:val="24"/>
                <w:szCs w:val="24"/>
                <w:highlight w:val="none"/>
                <w:lang w:val="en-US" w:eastAsia="zh-CN"/>
              </w:rPr>
              <w:fldChar w:fldCharType="end"/>
            </w:r>
            <w:r>
              <w:rPr>
                <w:rFonts w:hint="default" w:ascii="Times New Roman" w:hAnsi="Times New Roman" w:eastAsia="宋体" w:cs="Times New Roman"/>
                <w:color w:val="auto"/>
                <w:sz w:val="24"/>
                <w:szCs w:val="24"/>
                <w:highlight w:val="none"/>
                <w:lang w:val="en-US" w:eastAsia="zh-CN"/>
              </w:rPr>
              <w:t>产品验收入库</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入库前检查合格产品</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产品入库合格产品放入仓库</w:t>
            </w:r>
            <w:r>
              <w:rPr>
                <w:rFonts w:hint="eastAsia" w:ascii="Times New Roman" w:hAnsi="Times New Roman" w:eastAsia="宋体" w:cs="Times New Roman"/>
                <w:color w:val="auto"/>
                <w:sz w:val="24"/>
                <w:szCs w:val="24"/>
                <w:highlight w:val="none"/>
                <w:lang w:val="en-US" w:eastAsia="zh-CN"/>
              </w:rPr>
              <w:t>。</w:t>
            </w:r>
          </w:p>
          <w:p>
            <w:pPr>
              <w:spacing w:line="360" w:lineRule="auto"/>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sz w:val="24"/>
              </w:rPr>
              <w:t>2.6、验收期间项目主要污染源工序分析</w:t>
            </w:r>
          </w:p>
          <w:p>
            <w:pPr>
              <w:jc w:val="center"/>
              <w:rPr>
                <w:rFonts w:hint="default" w:ascii="Times New Roman" w:hAnsi="Times New Roman" w:eastAsia="宋体" w:cs="Times New Roman"/>
                <w:b/>
                <w:bCs/>
                <w:color w:val="auto"/>
                <w:kern w:val="0"/>
                <w:szCs w:val="21"/>
              </w:rPr>
            </w:pPr>
            <w:r>
              <w:rPr>
                <w:rFonts w:hint="default" w:ascii="Times New Roman" w:hAnsi="Times New Roman" w:eastAsia="宋体" w:cs="Times New Roman"/>
                <w:b/>
                <w:bCs/>
                <w:color w:val="auto"/>
                <w:kern w:val="0"/>
                <w:szCs w:val="21"/>
              </w:rPr>
              <w:t>表2-5 主要污染源、排放方式等一览表</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8"/>
              <w:gridCol w:w="921"/>
              <w:gridCol w:w="2128"/>
              <w:gridCol w:w="41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1211" w:type="pct"/>
                  <w:gridSpan w:val="2"/>
                  <w:tcBorders>
                    <w:tl2br w:val="nil"/>
                    <w:tr2bl w:val="nil"/>
                  </w:tcBorders>
                  <w:noWrap w:val="0"/>
                  <w:vAlign w:val="center"/>
                </w:tcPr>
                <w:p>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lang w:bidi="ar"/>
                    </w:rPr>
                    <w:t>项目</w:t>
                  </w:r>
                </w:p>
              </w:tc>
              <w:tc>
                <w:tcPr>
                  <w:tcW w:w="1283" w:type="pct"/>
                  <w:tcBorders>
                    <w:tl2br w:val="nil"/>
                    <w:tr2bl w:val="nil"/>
                  </w:tcBorders>
                  <w:noWrap w:val="0"/>
                  <w:vAlign w:val="center"/>
                </w:tcPr>
                <w:p>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lang w:bidi="ar"/>
                    </w:rPr>
                    <w:t>产污工序</w:t>
                  </w:r>
                </w:p>
              </w:tc>
              <w:tc>
                <w:tcPr>
                  <w:tcW w:w="2505" w:type="pct"/>
                  <w:tcBorders>
                    <w:tl2br w:val="nil"/>
                    <w:tr2bl w:val="nil"/>
                  </w:tcBorders>
                  <w:noWrap w:val="0"/>
                  <w:vAlign w:val="center"/>
                </w:tcPr>
                <w:p>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lang w:bidi="ar"/>
                    </w:rPr>
                    <w:t>污染因子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656" w:type="pct"/>
                  <w:vMerge w:val="restart"/>
                  <w:tcBorders>
                    <w:tl2br w:val="nil"/>
                    <w:tr2bl w:val="nil"/>
                  </w:tcBorders>
                  <w:noWrap w:val="0"/>
                  <w:vAlign w:val="center"/>
                </w:tcPr>
                <w:p>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lang w:bidi="ar"/>
                    </w:rPr>
                    <w:t>营运期</w:t>
                  </w:r>
                </w:p>
              </w:tc>
              <w:tc>
                <w:tcPr>
                  <w:tcW w:w="555" w:type="pct"/>
                  <w:vMerge w:val="restart"/>
                  <w:tcBorders>
                    <w:tl2br w:val="nil"/>
                    <w:tr2bl w:val="nil"/>
                  </w:tcBorders>
                  <w:noWrap w:val="0"/>
                  <w:vAlign w:val="center"/>
                </w:tcPr>
                <w:p>
                  <w:pPr>
                    <w:widowControl/>
                    <w:jc w:val="center"/>
                    <w:textAlignment w:val="center"/>
                    <w:rPr>
                      <w:rFonts w:hint="default" w:ascii="Times New Roman" w:hAnsi="Times New Roman" w:cs="Times New Roman"/>
                      <w:color w:val="auto"/>
                      <w:kern w:val="0"/>
                      <w:szCs w:val="21"/>
                      <w:highlight w:val="none"/>
                      <w:lang w:bidi="ar"/>
                    </w:rPr>
                  </w:pPr>
                  <w:r>
                    <w:rPr>
                      <w:rFonts w:hint="default" w:ascii="Times New Roman" w:hAnsi="Times New Roman" w:cs="Times New Roman"/>
                      <w:color w:val="auto"/>
                      <w:kern w:val="0"/>
                      <w:szCs w:val="21"/>
                      <w:highlight w:val="none"/>
                      <w:lang w:bidi="ar"/>
                    </w:rPr>
                    <w:t>废气</w:t>
                  </w:r>
                </w:p>
              </w:tc>
              <w:tc>
                <w:tcPr>
                  <w:tcW w:w="1283" w:type="pct"/>
                  <w:tcBorders>
                    <w:tl2br w:val="nil"/>
                    <w:tr2bl w:val="nil"/>
                  </w:tcBorders>
                  <w:noWrap w:val="0"/>
                  <w:vAlign w:val="center"/>
                </w:tcPr>
                <w:p>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default" w:ascii="Times New Roman" w:hAnsi="Times New Roman" w:cs="Times New Roman"/>
                      <w:color w:val="auto"/>
                      <w:kern w:val="0"/>
                      <w:szCs w:val="21"/>
                      <w:highlight w:val="none"/>
                      <w:lang w:val="en-US" w:eastAsia="zh-CN" w:bidi="ar"/>
                    </w:rPr>
                    <w:t>笼筋骨架焊接</w:t>
                  </w:r>
                </w:p>
              </w:tc>
              <w:tc>
                <w:tcPr>
                  <w:tcW w:w="2505" w:type="pct"/>
                  <w:tcBorders>
                    <w:tl2br w:val="nil"/>
                    <w:tr2bl w:val="nil"/>
                  </w:tcBorders>
                  <w:noWrap w:val="0"/>
                  <w:vAlign w:val="center"/>
                </w:tcPr>
                <w:p>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颗粒物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656" w:type="pct"/>
                  <w:vMerge w:val="continue"/>
                  <w:tcBorders>
                    <w:tl2br w:val="nil"/>
                    <w:tr2bl w:val="nil"/>
                  </w:tcBorders>
                  <w:noWrap w:val="0"/>
                  <w:vAlign w:val="center"/>
                </w:tcPr>
                <w:p>
                  <w:pPr>
                    <w:widowControl/>
                    <w:jc w:val="center"/>
                    <w:textAlignment w:val="center"/>
                    <w:rPr>
                      <w:rFonts w:hint="default" w:ascii="Times New Roman" w:hAnsi="Times New Roman" w:cs="Times New Roman"/>
                      <w:color w:val="auto"/>
                      <w:szCs w:val="21"/>
                      <w:highlight w:val="none"/>
                    </w:rPr>
                  </w:pPr>
                </w:p>
              </w:tc>
              <w:tc>
                <w:tcPr>
                  <w:tcW w:w="555" w:type="pct"/>
                  <w:vMerge w:val="continue"/>
                  <w:tcBorders>
                    <w:tl2br w:val="nil"/>
                    <w:tr2bl w:val="nil"/>
                  </w:tcBorders>
                  <w:noWrap w:val="0"/>
                  <w:vAlign w:val="center"/>
                </w:tcPr>
                <w:p>
                  <w:pPr>
                    <w:widowControl/>
                    <w:jc w:val="center"/>
                    <w:textAlignment w:val="center"/>
                    <w:rPr>
                      <w:rFonts w:hint="default" w:ascii="Times New Roman" w:hAnsi="Times New Roman" w:cs="Times New Roman"/>
                      <w:color w:val="auto"/>
                      <w:kern w:val="0"/>
                      <w:szCs w:val="21"/>
                      <w:highlight w:val="none"/>
                      <w:lang w:bidi="ar"/>
                    </w:rPr>
                  </w:pPr>
                </w:p>
              </w:tc>
              <w:tc>
                <w:tcPr>
                  <w:tcW w:w="1283" w:type="pct"/>
                  <w:tcBorders>
                    <w:tl2br w:val="nil"/>
                    <w:tr2bl w:val="nil"/>
                  </w:tcBorders>
                  <w:noWrap w:val="0"/>
                  <w:vAlign w:val="center"/>
                </w:tcPr>
                <w:p>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default" w:ascii="Times New Roman" w:hAnsi="Times New Roman" w:cs="Times New Roman"/>
                      <w:color w:val="auto"/>
                      <w:kern w:val="0"/>
                      <w:szCs w:val="21"/>
                      <w:highlight w:val="none"/>
                      <w:lang w:val="en-US" w:eastAsia="zh-CN" w:bidi="ar"/>
                    </w:rPr>
                    <w:t>砂石料等原材料搅拌</w:t>
                  </w:r>
                </w:p>
              </w:tc>
              <w:tc>
                <w:tcPr>
                  <w:tcW w:w="2505" w:type="pct"/>
                  <w:tcBorders>
                    <w:tl2br w:val="nil"/>
                    <w:tr2bl w:val="nil"/>
                  </w:tcBorders>
                  <w:noWrap w:val="0"/>
                  <w:vAlign w:val="center"/>
                </w:tcPr>
                <w:p>
                  <w:pPr>
                    <w:widowControl/>
                    <w:jc w:val="center"/>
                    <w:textAlignment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颗粒物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656" w:type="pct"/>
                  <w:vMerge w:val="continue"/>
                  <w:tcBorders>
                    <w:tl2br w:val="nil"/>
                    <w:tr2bl w:val="nil"/>
                  </w:tcBorders>
                  <w:noWrap w:val="0"/>
                  <w:vAlign w:val="center"/>
                </w:tcPr>
                <w:p>
                  <w:pPr>
                    <w:widowControl/>
                    <w:jc w:val="center"/>
                    <w:textAlignment w:val="center"/>
                    <w:rPr>
                      <w:rFonts w:hint="default" w:ascii="Times New Roman" w:hAnsi="Times New Roman" w:cs="Times New Roman"/>
                      <w:color w:val="auto"/>
                      <w:szCs w:val="21"/>
                      <w:highlight w:val="none"/>
                    </w:rPr>
                  </w:pPr>
                </w:p>
              </w:tc>
              <w:tc>
                <w:tcPr>
                  <w:tcW w:w="555" w:type="pct"/>
                  <w:vMerge w:val="continue"/>
                  <w:tcBorders>
                    <w:tl2br w:val="nil"/>
                    <w:tr2bl w:val="nil"/>
                  </w:tcBorders>
                  <w:noWrap w:val="0"/>
                  <w:vAlign w:val="center"/>
                </w:tcPr>
                <w:p>
                  <w:pPr>
                    <w:widowControl/>
                    <w:jc w:val="center"/>
                    <w:textAlignment w:val="center"/>
                    <w:rPr>
                      <w:rFonts w:hint="default" w:ascii="Times New Roman" w:hAnsi="Times New Roman" w:cs="Times New Roman"/>
                      <w:color w:val="auto"/>
                      <w:kern w:val="0"/>
                      <w:szCs w:val="21"/>
                      <w:highlight w:val="none"/>
                      <w:lang w:bidi="ar"/>
                    </w:rPr>
                  </w:pPr>
                </w:p>
              </w:tc>
              <w:tc>
                <w:tcPr>
                  <w:tcW w:w="1283" w:type="pct"/>
                  <w:tcBorders>
                    <w:tl2br w:val="nil"/>
                    <w:tr2bl w:val="nil"/>
                  </w:tcBorders>
                  <w:noWrap w:val="0"/>
                  <w:vAlign w:val="center"/>
                </w:tcPr>
                <w:p>
                  <w:pPr>
                    <w:widowControl/>
                    <w:jc w:val="center"/>
                    <w:textAlignment w:val="center"/>
                    <w:rPr>
                      <w:rFonts w:hint="default" w:ascii="Times New Roman" w:hAnsi="Times New Roman" w:cs="Times New Roman"/>
                      <w:color w:val="auto"/>
                      <w:kern w:val="0"/>
                      <w:szCs w:val="21"/>
                      <w:highlight w:val="none"/>
                      <w:lang w:val="en-US" w:eastAsia="zh-CN" w:bidi="ar"/>
                    </w:rPr>
                  </w:pPr>
                  <w:r>
                    <w:rPr>
                      <w:rFonts w:hint="eastAsia" w:ascii="Times New Roman" w:hAnsi="Times New Roman" w:cs="Times New Roman"/>
                      <w:color w:val="auto"/>
                      <w:kern w:val="0"/>
                      <w:szCs w:val="21"/>
                      <w:highlight w:val="none"/>
                      <w:lang w:val="en-US" w:eastAsia="zh-CN" w:bidi="ar"/>
                    </w:rPr>
                    <w:t>水泥罐</w:t>
                  </w:r>
                </w:p>
              </w:tc>
              <w:tc>
                <w:tcPr>
                  <w:tcW w:w="2505" w:type="pct"/>
                  <w:tcBorders>
                    <w:tl2br w:val="nil"/>
                    <w:tr2bl w:val="nil"/>
                  </w:tcBorders>
                  <w:noWrap w:val="0"/>
                  <w:vAlign w:val="center"/>
                </w:tcPr>
                <w:p>
                  <w:pPr>
                    <w:widowControl/>
                    <w:jc w:val="center"/>
                    <w:textAlignment w:val="cente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颗粒物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656" w:type="pct"/>
                  <w:vMerge w:val="continue"/>
                  <w:tcBorders>
                    <w:tl2br w:val="nil"/>
                    <w:tr2bl w:val="nil"/>
                  </w:tcBorders>
                  <w:noWrap w:val="0"/>
                  <w:vAlign w:val="center"/>
                </w:tcPr>
                <w:p>
                  <w:pPr>
                    <w:widowControl/>
                    <w:jc w:val="center"/>
                    <w:textAlignment w:val="center"/>
                    <w:rPr>
                      <w:rFonts w:hint="default" w:ascii="Times New Roman" w:hAnsi="Times New Roman" w:cs="Times New Roman"/>
                      <w:color w:val="auto"/>
                      <w:szCs w:val="21"/>
                      <w:highlight w:val="none"/>
                    </w:rPr>
                  </w:pPr>
                </w:p>
              </w:tc>
              <w:tc>
                <w:tcPr>
                  <w:tcW w:w="555" w:type="pct"/>
                  <w:vMerge w:val="continue"/>
                  <w:tcBorders>
                    <w:tl2br w:val="nil"/>
                    <w:tr2bl w:val="nil"/>
                  </w:tcBorders>
                  <w:noWrap w:val="0"/>
                  <w:vAlign w:val="center"/>
                </w:tcPr>
                <w:p>
                  <w:pPr>
                    <w:widowControl/>
                    <w:jc w:val="center"/>
                    <w:textAlignment w:val="center"/>
                    <w:rPr>
                      <w:rFonts w:hint="default" w:ascii="Times New Roman" w:hAnsi="Times New Roman" w:cs="Times New Roman"/>
                      <w:color w:val="auto"/>
                      <w:szCs w:val="21"/>
                      <w:highlight w:val="none"/>
                    </w:rPr>
                  </w:pPr>
                </w:p>
              </w:tc>
              <w:tc>
                <w:tcPr>
                  <w:tcW w:w="1283" w:type="pct"/>
                  <w:tcBorders>
                    <w:tl2br w:val="nil"/>
                    <w:tr2bl w:val="nil"/>
                  </w:tcBorders>
                  <w:noWrap w:val="0"/>
                  <w:vAlign w:val="center"/>
                </w:tcPr>
                <w:p>
                  <w:pPr>
                    <w:widowControl/>
                    <w:jc w:val="center"/>
                    <w:textAlignment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kern w:val="0"/>
                      <w:szCs w:val="21"/>
                      <w:highlight w:val="none"/>
                      <w:lang w:val="en-US" w:eastAsia="zh-CN" w:bidi="ar"/>
                    </w:rPr>
                    <w:t>蒸汽</w:t>
                  </w:r>
                  <w:r>
                    <w:rPr>
                      <w:rFonts w:hint="default" w:ascii="Times New Roman" w:hAnsi="Times New Roman" w:cs="Times New Roman"/>
                      <w:color w:val="auto"/>
                      <w:kern w:val="0"/>
                      <w:szCs w:val="21"/>
                      <w:highlight w:val="none"/>
                      <w:lang w:val="en-US" w:eastAsia="zh-CN" w:bidi="ar"/>
                    </w:rPr>
                    <w:t>养护废气</w:t>
                  </w:r>
                </w:p>
              </w:tc>
              <w:tc>
                <w:tcPr>
                  <w:tcW w:w="2505" w:type="pct"/>
                  <w:tcBorders>
                    <w:tl2br w:val="nil"/>
                    <w:tr2bl w:val="nil"/>
                  </w:tcBorders>
                  <w:noWrap w:val="0"/>
                  <w:vAlign w:val="center"/>
                </w:tcPr>
                <w:p>
                  <w:pPr>
                    <w:widowControl/>
                    <w:jc w:val="center"/>
                    <w:textAlignment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水蒸气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656" w:type="pct"/>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c>
                <w:tcPr>
                  <w:tcW w:w="555" w:type="pct"/>
                  <w:vMerge w:val="restart"/>
                  <w:tcBorders>
                    <w:tl2br w:val="nil"/>
                    <w:tr2bl w:val="nil"/>
                  </w:tcBorders>
                  <w:noWrap w:val="0"/>
                  <w:vAlign w:val="center"/>
                </w:tcPr>
                <w:p>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lang w:bidi="ar"/>
                    </w:rPr>
                    <w:t>废水</w:t>
                  </w:r>
                </w:p>
              </w:tc>
              <w:tc>
                <w:tcPr>
                  <w:tcW w:w="1283" w:type="pct"/>
                  <w:tcBorders>
                    <w:tl2br w:val="nil"/>
                    <w:tr2bl w:val="nil"/>
                  </w:tcBorders>
                  <w:noWrap w:val="0"/>
                  <w:vAlign w:val="center"/>
                </w:tcPr>
                <w:p>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lang w:bidi="ar"/>
                    </w:rPr>
                    <w:t>生产废水</w:t>
                  </w:r>
                </w:p>
              </w:tc>
              <w:tc>
                <w:tcPr>
                  <w:tcW w:w="2505" w:type="pct"/>
                  <w:tcBorders>
                    <w:tl2br w:val="nil"/>
                    <w:tr2bl w:val="nil"/>
                  </w:tcBorders>
                  <w:noWrap w:val="0"/>
                  <w:vAlign w:val="center"/>
                </w:tcPr>
                <w:p>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bCs/>
                      <w:color w:val="auto"/>
                      <w:spacing w:val="6"/>
                      <w:szCs w:val="21"/>
                      <w:highlight w:val="none"/>
                    </w:rPr>
                    <w:t>pH、COD</w:t>
                  </w:r>
                  <w:r>
                    <w:rPr>
                      <w:rFonts w:hint="default" w:ascii="Times New Roman" w:hAnsi="Times New Roman" w:cs="Times New Roman"/>
                      <w:bCs/>
                      <w:color w:val="auto"/>
                      <w:spacing w:val="6"/>
                      <w:szCs w:val="21"/>
                      <w:highlight w:val="none"/>
                      <w:vertAlign w:val="subscript"/>
                    </w:rPr>
                    <w:t>cr</w:t>
                  </w:r>
                  <w:r>
                    <w:rPr>
                      <w:rFonts w:hint="default" w:ascii="Times New Roman" w:hAnsi="Times New Roman" w:cs="Times New Roman"/>
                      <w:bCs/>
                      <w:color w:val="auto"/>
                      <w:spacing w:val="6"/>
                      <w:szCs w:val="21"/>
                      <w:highlight w:val="none"/>
                    </w:rPr>
                    <w:t>、SS、石油类、LAS、TP、氨氮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656" w:type="pct"/>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c>
                <w:tcPr>
                  <w:tcW w:w="555" w:type="pct"/>
                  <w:vMerge w:val="continue"/>
                  <w:tcBorders>
                    <w:tl2br w:val="nil"/>
                    <w:tr2bl w:val="nil"/>
                  </w:tcBorders>
                  <w:noWrap w:val="0"/>
                  <w:vAlign w:val="center"/>
                </w:tcPr>
                <w:p>
                  <w:pPr>
                    <w:widowControl/>
                    <w:jc w:val="center"/>
                    <w:textAlignment w:val="center"/>
                    <w:rPr>
                      <w:rFonts w:hint="default" w:ascii="Times New Roman" w:hAnsi="Times New Roman" w:cs="Times New Roman"/>
                      <w:color w:val="auto"/>
                      <w:kern w:val="0"/>
                      <w:szCs w:val="21"/>
                      <w:highlight w:val="none"/>
                      <w:lang w:bidi="ar"/>
                    </w:rPr>
                  </w:pPr>
                </w:p>
              </w:tc>
              <w:tc>
                <w:tcPr>
                  <w:tcW w:w="1283" w:type="pct"/>
                  <w:tcBorders>
                    <w:tl2br w:val="nil"/>
                    <w:tr2bl w:val="nil"/>
                  </w:tcBorders>
                  <w:noWrap w:val="0"/>
                  <w:vAlign w:val="center"/>
                </w:tcPr>
                <w:p>
                  <w:pPr>
                    <w:widowControl/>
                    <w:jc w:val="center"/>
                    <w:textAlignment w:val="center"/>
                    <w:rPr>
                      <w:rFonts w:hint="default" w:ascii="Times New Roman" w:hAnsi="Times New Roman" w:eastAsia="宋体" w:cs="Times New Roman"/>
                      <w:color w:val="auto"/>
                      <w:kern w:val="0"/>
                      <w:szCs w:val="21"/>
                      <w:highlight w:val="none"/>
                      <w:lang w:val="en-US" w:eastAsia="zh-CN" w:bidi="ar"/>
                    </w:rPr>
                  </w:pPr>
                  <w:r>
                    <w:rPr>
                      <w:rFonts w:hint="eastAsia" w:ascii="Times New Roman" w:hAnsi="Times New Roman" w:cs="Times New Roman"/>
                      <w:color w:val="auto"/>
                      <w:kern w:val="0"/>
                      <w:szCs w:val="21"/>
                      <w:highlight w:val="none"/>
                      <w:lang w:val="en-US" w:eastAsia="zh-CN" w:bidi="ar"/>
                    </w:rPr>
                    <w:t>生活污水</w:t>
                  </w:r>
                </w:p>
              </w:tc>
              <w:tc>
                <w:tcPr>
                  <w:tcW w:w="2505" w:type="pct"/>
                  <w:tcBorders>
                    <w:tl2br w:val="nil"/>
                    <w:tr2bl w:val="nil"/>
                  </w:tcBorders>
                  <w:noWrap w:val="0"/>
                  <w:vAlign w:val="center"/>
                </w:tcPr>
                <w:p>
                  <w:pPr>
                    <w:widowControl/>
                    <w:jc w:val="center"/>
                    <w:textAlignment w:val="center"/>
                    <w:rPr>
                      <w:rFonts w:hint="default" w:ascii="Times New Roman" w:hAnsi="Times New Roman" w:cs="Times New Roman"/>
                      <w:bCs/>
                      <w:color w:val="auto"/>
                      <w:spacing w:val="6"/>
                      <w:szCs w:val="21"/>
                      <w:highlight w:val="none"/>
                    </w:rPr>
                  </w:pPr>
                  <w:r>
                    <w:rPr>
                      <w:rFonts w:hint="default" w:ascii="Times New Roman" w:hAnsi="Times New Roman" w:cs="Times New Roman"/>
                      <w:bCs/>
                      <w:color w:val="auto"/>
                      <w:spacing w:val="6"/>
                      <w:szCs w:val="21"/>
                      <w:highlight w:val="none"/>
                    </w:rPr>
                    <w:t>pH、COD</w:t>
                  </w:r>
                  <w:r>
                    <w:rPr>
                      <w:rFonts w:hint="default" w:ascii="Times New Roman" w:hAnsi="Times New Roman" w:cs="Times New Roman"/>
                      <w:bCs/>
                      <w:color w:val="auto"/>
                      <w:spacing w:val="6"/>
                      <w:szCs w:val="21"/>
                      <w:highlight w:val="none"/>
                      <w:vertAlign w:val="subscript"/>
                    </w:rPr>
                    <w:t>cr</w:t>
                  </w:r>
                  <w:r>
                    <w:rPr>
                      <w:rFonts w:hint="default" w:ascii="Times New Roman" w:hAnsi="Times New Roman" w:cs="Times New Roman"/>
                      <w:bCs/>
                      <w:color w:val="auto"/>
                      <w:spacing w:val="6"/>
                      <w:szCs w:val="21"/>
                      <w:highlight w:val="none"/>
                    </w:rPr>
                    <w:t>、SS、</w:t>
                  </w:r>
                  <w:r>
                    <w:rPr>
                      <w:rFonts w:hint="default" w:ascii="Times New Roman" w:hAnsi="Times New Roman" w:cs="Times New Roman"/>
                      <w:bCs/>
                      <w:color w:val="auto"/>
                      <w:spacing w:val="6"/>
                      <w:szCs w:val="21"/>
                      <w:highlight w:val="none"/>
                      <w:lang w:val="en-US" w:eastAsia="zh-CN"/>
                    </w:rPr>
                    <w:t>动植物油</w:t>
                  </w:r>
                  <w:r>
                    <w:rPr>
                      <w:rFonts w:hint="default" w:ascii="Times New Roman" w:hAnsi="Times New Roman" w:cs="Times New Roman"/>
                      <w:bCs/>
                      <w:color w:val="auto"/>
                      <w:spacing w:val="6"/>
                      <w:szCs w:val="21"/>
                      <w:highlight w:val="none"/>
                    </w:rPr>
                    <w:t>、LAS、TP、氨氮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656" w:type="pct"/>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c>
                <w:tcPr>
                  <w:tcW w:w="555" w:type="pct"/>
                  <w:vMerge w:val="restart"/>
                  <w:tcBorders>
                    <w:tl2br w:val="nil"/>
                    <w:tr2bl w:val="nil"/>
                  </w:tcBorders>
                  <w:noWrap w:val="0"/>
                  <w:vAlign w:val="center"/>
                </w:tcPr>
                <w:p>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lang w:bidi="ar"/>
                    </w:rPr>
                    <w:t>固废</w:t>
                  </w:r>
                </w:p>
              </w:tc>
              <w:tc>
                <w:tcPr>
                  <w:tcW w:w="1283" w:type="pct"/>
                  <w:vMerge w:val="restart"/>
                  <w:tcBorders>
                    <w:tl2br w:val="nil"/>
                    <w:tr2bl w:val="nil"/>
                  </w:tcBorders>
                  <w:noWrap w:val="0"/>
                  <w:vAlign w:val="center"/>
                </w:tcPr>
                <w:p>
                  <w:pPr>
                    <w:widowControl/>
                    <w:jc w:val="center"/>
                    <w:textAlignment w:val="center"/>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lang w:bidi="ar"/>
                    </w:rPr>
                    <w:t>一般固废</w:t>
                  </w:r>
                </w:p>
              </w:tc>
              <w:tc>
                <w:tcPr>
                  <w:tcW w:w="2505" w:type="pct"/>
                  <w:tcBorders>
                    <w:tl2br w:val="nil"/>
                    <w:tr2bl w:val="nil"/>
                  </w:tcBorders>
                  <w:noWrap w:val="0"/>
                  <w:vAlign w:val="center"/>
                </w:tcPr>
                <w:p>
                  <w:pPr>
                    <w:pStyle w:val="3"/>
                    <w:adjustRightInd w:val="0"/>
                    <w:snapToGrid w:val="0"/>
                    <w:ind w:firstLine="0" w:firstLineChars="0"/>
                    <w:jc w:val="center"/>
                    <w:rPr>
                      <w:rFonts w:hint="default" w:ascii="Times New Roman" w:hAnsi="Times New Roman" w:cs="Times New Roman"/>
                      <w:color w:val="auto"/>
                      <w:szCs w:val="21"/>
                      <w:highlight w:val="none"/>
                    </w:rPr>
                  </w:pPr>
                  <w:r>
                    <w:rPr>
                      <w:rFonts w:hint="default" w:ascii="Times New Roman" w:hAnsi="Times New Roman" w:eastAsia="宋体" w:cs="Times New Roman"/>
                      <w:color w:val="auto"/>
                      <w:kern w:val="2"/>
                      <w:sz w:val="21"/>
                      <w:szCs w:val="21"/>
                      <w:highlight w:val="none"/>
                      <w:lang w:val="en-US" w:eastAsia="zh-CN" w:bidi="ar-SA"/>
                    </w:rPr>
                    <w:t>边角料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656" w:type="pct"/>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c>
                <w:tcPr>
                  <w:tcW w:w="555" w:type="pct"/>
                  <w:vMerge w:val="continue"/>
                  <w:tcBorders>
                    <w:tl2br w:val="nil"/>
                    <w:tr2bl w:val="nil"/>
                  </w:tcBorders>
                  <w:noWrap w:val="0"/>
                  <w:vAlign w:val="center"/>
                </w:tcPr>
                <w:p>
                  <w:pPr>
                    <w:widowControl/>
                    <w:jc w:val="center"/>
                    <w:textAlignment w:val="center"/>
                    <w:rPr>
                      <w:rFonts w:hint="default" w:ascii="Times New Roman" w:hAnsi="Times New Roman" w:cs="Times New Roman"/>
                      <w:color w:val="auto"/>
                      <w:kern w:val="0"/>
                      <w:szCs w:val="21"/>
                      <w:highlight w:val="none"/>
                      <w:lang w:bidi="ar"/>
                    </w:rPr>
                  </w:pPr>
                </w:p>
              </w:tc>
              <w:tc>
                <w:tcPr>
                  <w:tcW w:w="1283" w:type="pct"/>
                  <w:vMerge w:val="continue"/>
                  <w:tcBorders>
                    <w:tl2br w:val="nil"/>
                    <w:tr2bl w:val="nil"/>
                  </w:tcBorders>
                  <w:noWrap w:val="0"/>
                  <w:vAlign w:val="center"/>
                </w:tcPr>
                <w:p>
                  <w:pPr>
                    <w:widowControl/>
                    <w:jc w:val="center"/>
                    <w:textAlignment w:val="center"/>
                    <w:rPr>
                      <w:rFonts w:hint="default" w:ascii="Times New Roman" w:hAnsi="Times New Roman" w:cs="Times New Roman"/>
                      <w:color w:val="auto"/>
                      <w:kern w:val="0"/>
                      <w:szCs w:val="21"/>
                      <w:highlight w:val="none"/>
                      <w:lang w:bidi="ar"/>
                    </w:rPr>
                  </w:pPr>
                </w:p>
              </w:tc>
              <w:tc>
                <w:tcPr>
                  <w:tcW w:w="2505" w:type="pct"/>
                  <w:tcBorders>
                    <w:tl2br w:val="nil"/>
                    <w:tr2bl w:val="nil"/>
                  </w:tcBorders>
                  <w:noWrap w:val="0"/>
                  <w:vAlign w:val="center"/>
                </w:tcPr>
                <w:p>
                  <w:pPr>
                    <w:pStyle w:val="3"/>
                    <w:adjustRightInd w:val="0"/>
                    <w:snapToGrid w:val="0"/>
                    <w:ind w:firstLine="0" w:firstLineChars="0"/>
                    <w:jc w:val="center"/>
                    <w:rPr>
                      <w:rFonts w:hint="default" w:ascii="Times New Roman" w:hAnsi="Times New Roman" w:cs="Times New Roman"/>
                      <w:color w:val="auto"/>
                      <w:highlight w:val="none"/>
                    </w:rPr>
                  </w:pPr>
                  <w:r>
                    <w:rPr>
                      <w:rFonts w:hint="default" w:ascii="Times New Roman" w:hAnsi="Times New Roman" w:cs="Times New Roman"/>
                      <w:color w:val="auto"/>
                      <w:kern w:val="2"/>
                      <w:sz w:val="21"/>
                      <w:szCs w:val="21"/>
                      <w:highlight w:val="none"/>
                      <w:lang w:val="en-US" w:eastAsia="zh-CN" w:bidi="ar-SA"/>
                    </w:rPr>
                    <w:t>沉渣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656" w:type="pct"/>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c>
                <w:tcPr>
                  <w:tcW w:w="555" w:type="pct"/>
                  <w:vMerge w:val="continue"/>
                  <w:tcBorders>
                    <w:tl2br w:val="nil"/>
                    <w:tr2bl w:val="nil"/>
                  </w:tcBorders>
                  <w:noWrap w:val="0"/>
                  <w:vAlign w:val="center"/>
                </w:tcPr>
                <w:p>
                  <w:pPr>
                    <w:widowControl/>
                    <w:jc w:val="center"/>
                    <w:textAlignment w:val="center"/>
                    <w:rPr>
                      <w:rFonts w:hint="default" w:ascii="Times New Roman" w:hAnsi="Times New Roman" w:cs="Times New Roman"/>
                      <w:color w:val="auto"/>
                      <w:kern w:val="0"/>
                      <w:szCs w:val="21"/>
                      <w:highlight w:val="none"/>
                      <w:lang w:bidi="ar"/>
                    </w:rPr>
                  </w:pPr>
                </w:p>
              </w:tc>
              <w:tc>
                <w:tcPr>
                  <w:tcW w:w="1283" w:type="pct"/>
                  <w:vMerge w:val="continue"/>
                  <w:tcBorders>
                    <w:tl2br w:val="nil"/>
                    <w:tr2bl w:val="nil"/>
                  </w:tcBorders>
                  <w:noWrap w:val="0"/>
                  <w:vAlign w:val="center"/>
                </w:tcPr>
                <w:p>
                  <w:pPr>
                    <w:widowControl/>
                    <w:jc w:val="center"/>
                    <w:textAlignment w:val="center"/>
                    <w:rPr>
                      <w:rFonts w:hint="default" w:ascii="Times New Roman" w:hAnsi="Times New Roman" w:cs="Times New Roman"/>
                      <w:color w:val="auto"/>
                      <w:kern w:val="0"/>
                      <w:szCs w:val="21"/>
                      <w:highlight w:val="none"/>
                      <w:lang w:bidi="ar"/>
                    </w:rPr>
                  </w:pPr>
                </w:p>
              </w:tc>
              <w:tc>
                <w:tcPr>
                  <w:tcW w:w="2505" w:type="pct"/>
                  <w:tcBorders>
                    <w:tl2br w:val="nil"/>
                    <w:tr2bl w:val="nil"/>
                  </w:tcBorders>
                  <w:noWrap w:val="0"/>
                  <w:vAlign w:val="center"/>
                </w:tcPr>
                <w:p>
                  <w:pPr>
                    <w:pStyle w:val="3"/>
                    <w:adjustRightInd w:val="0"/>
                    <w:snapToGrid w:val="0"/>
                    <w:ind w:firstLine="0" w:firstLineChars="0"/>
                    <w:jc w:val="center"/>
                    <w:rPr>
                      <w:rFonts w:hint="default" w:ascii="Times New Roman" w:hAnsi="Times New Roman" w:cs="Times New Roman"/>
                      <w:color w:val="auto"/>
                      <w:szCs w:val="21"/>
                      <w:highlight w:val="none"/>
                    </w:rPr>
                  </w:pPr>
                  <w:r>
                    <w:rPr>
                      <w:rFonts w:hint="default" w:ascii="Times New Roman" w:hAnsi="Times New Roman" w:cs="Times New Roman"/>
                      <w:color w:val="auto"/>
                      <w:kern w:val="2"/>
                      <w:sz w:val="21"/>
                      <w:szCs w:val="21"/>
                      <w:highlight w:val="none"/>
                      <w:lang w:val="en-US" w:eastAsia="zh-CN" w:bidi="ar-SA"/>
                    </w:rPr>
                    <w:t>废渣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656" w:type="pct"/>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c>
                <w:tcPr>
                  <w:tcW w:w="555" w:type="pct"/>
                  <w:vMerge w:val="continue"/>
                  <w:tcBorders>
                    <w:tl2br w:val="nil"/>
                    <w:tr2bl w:val="nil"/>
                  </w:tcBorders>
                  <w:noWrap w:val="0"/>
                  <w:vAlign w:val="center"/>
                </w:tcPr>
                <w:p>
                  <w:pPr>
                    <w:widowControl/>
                    <w:jc w:val="center"/>
                    <w:textAlignment w:val="center"/>
                    <w:rPr>
                      <w:rFonts w:hint="default" w:ascii="Times New Roman" w:hAnsi="Times New Roman" w:cs="Times New Roman"/>
                      <w:color w:val="auto"/>
                      <w:kern w:val="0"/>
                      <w:szCs w:val="21"/>
                      <w:highlight w:val="none"/>
                      <w:lang w:bidi="ar"/>
                    </w:rPr>
                  </w:pPr>
                </w:p>
              </w:tc>
              <w:tc>
                <w:tcPr>
                  <w:tcW w:w="1283" w:type="pct"/>
                  <w:vMerge w:val="continue"/>
                  <w:tcBorders>
                    <w:tl2br w:val="nil"/>
                    <w:tr2bl w:val="nil"/>
                  </w:tcBorders>
                  <w:noWrap w:val="0"/>
                  <w:vAlign w:val="center"/>
                </w:tcPr>
                <w:p>
                  <w:pPr>
                    <w:widowControl/>
                    <w:jc w:val="center"/>
                    <w:textAlignment w:val="center"/>
                    <w:rPr>
                      <w:rFonts w:hint="default" w:ascii="Times New Roman" w:hAnsi="Times New Roman" w:cs="Times New Roman"/>
                      <w:color w:val="auto"/>
                      <w:kern w:val="0"/>
                      <w:szCs w:val="21"/>
                      <w:highlight w:val="none"/>
                      <w:lang w:bidi="ar"/>
                    </w:rPr>
                  </w:pPr>
                </w:p>
              </w:tc>
              <w:tc>
                <w:tcPr>
                  <w:tcW w:w="2505" w:type="pct"/>
                  <w:tcBorders>
                    <w:tl2br w:val="nil"/>
                    <w:tr2bl w:val="nil"/>
                  </w:tcBorders>
                  <w:noWrap w:val="0"/>
                  <w:vAlign w:val="center"/>
                </w:tcPr>
                <w:p>
                  <w:pPr>
                    <w:pStyle w:val="3"/>
                    <w:adjustRightInd w:val="0"/>
                    <w:snapToGrid w:val="0"/>
                    <w:ind w:firstLine="0" w:firstLineChars="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kern w:val="2"/>
                      <w:sz w:val="21"/>
                      <w:szCs w:val="21"/>
                      <w:highlight w:val="none"/>
                      <w:lang w:val="en-US" w:eastAsia="zh-CN" w:bidi="ar-SA"/>
                    </w:rPr>
                    <w:t>除尘灰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656" w:type="pct"/>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c>
                <w:tcPr>
                  <w:tcW w:w="555" w:type="pct"/>
                  <w:vMerge w:val="continue"/>
                  <w:tcBorders>
                    <w:tl2br w:val="nil"/>
                    <w:tr2bl w:val="nil"/>
                  </w:tcBorders>
                  <w:noWrap w:val="0"/>
                  <w:vAlign w:val="center"/>
                </w:tcPr>
                <w:p>
                  <w:pPr>
                    <w:widowControl/>
                    <w:jc w:val="center"/>
                    <w:textAlignment w:val="center"/>
                    <w:rPr>
                      <w:rFonts w:hint="default" w:ascii="Times New Roman" w:hAnsi="Times New Roman" w:cs="Times New Roman"/>
                      <w:color w:val="auto"/>
                      <w:kern w:val="0"/>
                      <w:szCs w:val="21"/>
                      <w:highlight w:val="none"/>
                      <w:lang w:bidi="ar"/>
                    </w:rPr>
                  </w:pPr>
                </w:p>
              </w:tc>
              <w:tc>
                <w:tcPr>
                  <w:tcW w:w="1283" w:type="pct"/>
                  <w:vMerge w:val="continue"/>
                  <w:tcBorders>
                    <w:tl2br w:val="nil"/>
                    <w:tr2bl w:val="nil"/>
                  </w:tcBorders>
                  <w:noWrap w:val="0"/>
                  <w:vAlign w:val="center"/>
                </w:tcPr>
                <w:p>
                  <w:pPr>
                    <w:widowControl/>
                    <w:jc w:val="center"/>
                    <w:textAlignment w:val="center"/>
                    <w:rPr>
                      <w:rFonts w:hint="default" w:ascii="Times New Roman" w:hAnsi="Times New Roman" w:cs="Times New Roman"/>
                      <w:color w:val="auto"/>
                      <w:kern w:val="0"/>
                      <w:szCs w:val="21"/>
                      <w:highlight w:val="none"/>
                      <w:lang w:bidi="ar"/>
                    </w:rPr>
                  </w:pPr>
                </w:p>
              </w:tc>
              <w:tc>
                <w:tcPr>
                  <w:tcW w:w="2505" w:type="pct"/>
                  <w:tcBorders>
                    <w:tl2br w:val="nil"/>
                    <w:tr2bl w:val="nil"/>
                  </w:tcBorders>
                  <w:noWrap w:val="0"/>
                  <w:vAlign w:val="center"/>
                </w:tcPr>
                <w:p>
                  <w:pPr>
                    <w:pStyle w:val="3"/>
                    <w:adjustRightInd w:val="0"/>
                    <w:snapToGrid w:val="0"/>
                    <w:ind w:firstLine="0" w:firstLineChars="0"/>
                    <w:jc w:val="center"/>
                    <w:rPr>
                      <w:rFonts w:hint="default" w:ascii="Times New Roman" w:hAnsi="Times New Roman" w:cs="Times New Roman"/>
                      <w:color w:val="auto"/>
                      <w:kern w:val="0"/>
                      <w:szCs w:val="21"/>
                      <w:highlight w:val="none"/>
                      <w:lang w:bidi="ar"/>
                    </w:rPr>
                  </w:pPr>
                  <w:r>
                    <w:rPr>
                      <w:rFonts w:hint="default" w:ascii="Times New Roman" w:hAnsi="Times New Roman" w:cs="Times New Roman"/>
                      <w:color w:val="auto"/>
                      <w:kern w:val="2"/>
                      <w:sz w:val="21"/>
                      <w:szCs w:val="21"/>
                      <w:highlight w:val="none"/>
                      <w:lang w:val="en-US" w:eastAsia="zh-CN" w:bidi="ar-SA"/>
                    </w:rPr>
                    <w:t>废脱模剂桶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656" w:type="pct"/>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c>
                <w:tcPr>
                  <w:tcW w:w="555" w:type="pct"/>
                  <w:vMerge w:val="continue"/>
                  <w:tcBorders>
                    <w:tl2br w:val="nil"/>
                    <w:tr2bl w:val="nil"/>
                  </w:tcBorders>
                  <w:noWrap w:val="0"/>
                  <w:vAlign w:val="center"/>
                </w:tcPr>
                <w:p>
                  <w:pPr>
                    <w:widowControl/>
                    <w:jc w:val="center"/>
                    <w:textAlignment w:val="center"/>
                    <w:rPr>
                      <w:rFonts w:hint="default" w:ascii="Times New Roman" w:hAnsi="Times New Roman" w:cs="Times New Roman"/>
                      <w:color w:val="auto"/>
                      <w:szCs w:val="21"/>
                      <w:highlight w:val="none"/>
                    </w:rPr>
                  </w:pPr>
                </w:p>
              </w:tc>
              <w:tc>
                <w:tcPr>
                  <w:tcW w:w="1283" w:type="pct"/>
                  <w:tcBorders>
                    <w:tl2br w:val="nil"/>
                    <w:tr2bl w:val="nil"/>
                  </w:tcBorders>
                  <w:noWrap w:val="0"/>
                  <w:vAlign w:val="center"/>
                </w:tcPr>
                <w:p>
                  <w:pPr>
                    <w:widowControl/>
                    <w:jc w:val="center"/>
                    <w:textAlignment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危险固废</w:t>
                  </w:r>
                </w:p>
              </w:tc>
              <w:tc>
                <w:tcPr>
                  <w:tcW w:w="2505" w:type="pct"/>
                  <w:tcBorders>
                    <w:tl2br w:val="nil"/>
                    <w:tr2bl w:val="nil"/>
                  </w:tcBorders>
                  <w:noWrap w:val="0"/>
                  <w:vAlign w:val="center"/>
                </w:tcPr>
                <w:p>
                  <w:pPr>
                    <w:widowControl/>
                    <w:jc w:val="center"/>
                    <w:textAlignment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kern w:val="0"/>
                      <w:szCs w:val="21"/>
                      <w:highlight w:val="none"/>
                      <w:lang w:val="en-US" w:eastAsia="zh-CN" w:bidi="ar"/>
                    </w:rPr>
                    <w:t>废润滑油桶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656" w:type="pct"/>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c>
                <w:tcPr>
                  <w:tcW w:w="555" w:type="pct"/>
                  <w:tcBorders>
                    <w:tl2br w:val="nil"/>
                    <w:tr2bl w:val="nil"/>
                  </w:tcBorders>
                  <w:noWrap w:val="0"/>
                  <w:vAlign w:val="center"/>
                </w:tcPr>
                <w:p>
                  <w:pPr>
                    <w:widowControl/>
                    <w:jc w:val="center"/>
                    <w:textAlignment w:val="center"/>
                    <w:rPr>
                      <w:rFonts w:hint="default" w:ascii="Times New Roman" w:hAnsi="Times New Roman" w:cs="Times New Roman"/>
                      <w:color w:val="auto"/>
                      <w:kern w:val="0"/>
                      <w:szCs w:val="21"/>
                      <w:highlight w:val="none"/>
                      <w:lang w:bidi="ar"/>
                    </w:rPr>
                  </w:pPr>
                  <w:r>
                    <w:rPr>
                      <w:rFonts w:hint="default" w:ascii="Times New Roman" w:hAnsi="Times New Roman" w:cs="Times New Roman"/>
                      <w:color w:val="auto"/>
                      <w:kern w:val="0"/>
                      <w:szCs w:val="21"/>
                      <w:highlight w:val="none"/>
                      <w:lang w:bidi="ar"/>
                    </w:rPr>
                    <w:t>噪声</w:t>
                  </w:r>
                </w:p>
              </w:tc>
              <w:tc>
                <w:tcPr>
                  <w:tcW w:w="1283" w:type="pct"/>
                  <w:tcBorders>
                    <w:tl2br w:val="nil"/>
                    <w:tr2bl w:val="nil"/>
                  </w:tcBorders>
                  <w:noWrap w:val="0"/>
                  <w:vAlign w:val="center"/>
                </w:tcPr>
                <w:p>
                  <w:pPr>
                    <w:widowControl/>
                    <w:jc w:val="center"/>
                    <w:textAlignment w:val="center"/>
                    <w:rPr>
                      <w:rFonts w:hint="default" w:ascii="Times New Roman" w:hAnsi="Times New Roman" w:cs="Times New Roman"/>
                      <w:color w:val="auto"/>
                      <w:kern w:val="0"/>
                      <w:szCs w:val="21"/>
                      <w:highlight w:val="none"/>
                      <w:lang w:bidi="ar"/>
                    </w:rPr>
                  </w:pPr>
                  <w:r>
                    <w:rPr>
                      <w:rFonts w:hint="default" w:ascii="Times New Roman" w:hAnsi="Times New Roman" w:cs="Times New Roman"/>
                      <w:color w:val="auto"/>
                      <w:kern w:val="0"/>
                      <w:szCs w:val="21"/>
                      <w:highlight w:val="none"/>
                      <w:lang w:bidi="ar"/>
                    </w:rPr>
                    <w:t>设备噪声</w:t>
                  </w:r>
                </w:p>
              </w:tc>
              <w:tc>
                <w:tcPr>
                  <w:tcW w:w="2505" w:type="pct"/>
                  <w:tcBorders>
                    <w:tl2br w:val="nil"/>
                    <w:tr2bl w:val="nil"/>
                  </w:tcBorders>
                  <w:noWrap w:val="0"/>
                  <w:vAlign w:val="center"/>
                </w:tcPr>
                <w:p>
                  <w:pPr>
                    <w:widowControl/>
                    <w:jc w:val="center"/>
                    <w:textAlignment w:val="center"/>
                    <w:rPr>
                      <w:rFonts w:hint="default" w:ascii="Times New Roman" w:hAnsi="Times New Roman" w:cs="Times New Roman"/>
                      <w:color w:val="auto"/>
                      <w:kern w:val="0"/>
                      <w:szCs w:val="21"/>
                      <w:highlight w:val="none"/>
                      <w:lang w:bidi="ar"/>
                    </w:rPr>
                  </w:pPr>
                  <w:r>
                    <w:rPr>
                      <w:rFonts w:hint="default" w:ascii="Times New Roman" w:hAnsi="Times New Roman" w:cs="Times New Roman"/>
                      <w:color w:val="auto"/>
                      <w:kern w:val="0"/>
                      <w:szCs w:val="21"/>
                      <w:highlight w:val="none"/>
                      <w:lang w:bidi="ar"/>
                    </w:rPr>
                    <w:t>等效A声级</w:t>
                  </w:r>
                </w:p>
              </w:tc>
            </w:tr>
          </w:tbl>
          <w:p>
            <w:pPr>
              <w:pStyle w:val="32"/>
              <w:ind w:firstLine="0" w:firstLineChars="0"/>
              <w:jc w:val="both"/>
              <w:rPr>
                <w:rFonts w:hint="default" w:ascii="Times New Roman" w:hAnsi="Times New Roman" w:eastAsia="宋体" w:cs="Times New Roman"/>
                <w:b/>
                <w:bCs/>
                <w:szCs w:val="24"/>
                <w:lang w:val="en-US" w:eastAsia="zh-CN"/>
              </w:rPr>
            </w:pPr>
            <w:r>
              <w:rPr>
                <w:rFonts w:hint="default" w:ascii="Times New Roman" w:hAnsi="Times New Roman" w:eastAsia="宋体" w:cs="Times New Roman"/>
                <w:b/>
                <w:bCs/>
                <w:szCs w:val="24"/>
                <w:lang w:val="en-US" w:eastAsia="zh-CN"/>
              </w:rPr>
              <w:t>2.7、项目变动情况</w:t>
            </w:r>
          </w:p>
          <w:p>
            <w:pPr>
              <w:pStyle w:val="33"/>
              <w:spacing w:line="360" w:lineRule="auto"/>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表2-</w:t>
            </w:r>
            <w:r>
              <w:rPr>
                <w:rFonts w:hint="default" w:ascii="Times New Roman" w:hAnsi="Times New Roman" w:eastAsia="宋体" w:cs="Times New Roman"/>
                <w:b/>
                <w:bCs/>
                <w:sz w:val="21"/>
                <w:szCs w:val="21"/>
                <w:lang w:val="en-US" w:eastAsia="zh-CN"/>
              </w:rPr>
              <w:t>7</w:t>
            </w:r>
            <w:r>
              <w:rPr>
                <w:rFonts w:hint="default" w:ascii="Times New Roman" w:hAnsi="Times New Roman" w:eastAsia="宋体" w:cs="Times New Roman"/>
                <w:b/>
                <w:bCs/>
                <w:sz w:val="21"/>
                <w:szCs w:val="21"/>
              </w:rPr>
              <w:t xml:space="preserve"> 项目判定情况</w:t>
            </w:r>
          </w:p>
          <w:tbl>
            <w:tblPr>
              <w:tblStyle w:val="21"/>
              <w:tblW w:w="839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72"/>
              <w:gridCol w:w="6409"/>
              <w:gridCol w:w="131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400" w:type="pct"/>
                  <w:tcBorders>
                    <w:top w:val="single" w:color="auto" w:sz="12" w:space="0"/>
                    <w:left w:val="nil"/>
                    <w:bottom w:val="single" w:color="auto" w:sz="4" w:space="0"/>
                    <w:right w:val="single" w:color="auto" w:sz="4" w:space="0"/>
                  </w:tcBorders>
                  <w:noWrap w:val="0"/>
                  <w:vAlign w:val="center"/>
                </w:tcPr>
                <w:p>
                  <w:pPr>
                    <w:jc w:val="both"/>
                    <w:rPr>
                      <w:rFonts w:hint="default" w:ascii="Times New Roman" w:hAnsi="Times New Roman" w:eastAsia="宋体" w:cs="Times New Roman"/>
                      <w:b/>
                      <w:bCs w:val="0"/>
                      <w:color w:val="auto"/>
                      <w:szCs w:val="21"/>
                    </w:rPr>
                  </w:pPr>
                  <w:r>
                    <w:rPr>
                      <w:rFonts w:hint="default" w:ascii="Times New Roman" w:hAnsi="Times New Roman" w:eastAsia="宋体" w:cs="Times New Roman"/>
                      <w:b/>
                      <w:bCs w:val="0"/>
                      <w:color w:val="auto"/>
                      <w:szCs w:val="21"/>
                    </w:rPr>
                    <w:t>类别</w:t>
                  </w:r>
                </w:p>
              </w:tc>
              <w:tc>
                <w:tcPr>
                  <w:tcW w:w="3815" w:type="pct"/>
                  <w:tcBorders>
                    <w:top w:val="single" w:color="auto" w:sz="12" w:space="0"/>
                    <w:left w:val="single" w:color="auto" w:sz="4" w:space="0"/>
                    <w:bottom w:val="single" w:color="auto" w:sz="4" w:space="0"/>
                    <w:right w:val="single" w:color="auto" w:sz="4" w:space="0"/>
                  </w:tcBorders>
                  <w:noWrap w:val="0"/>
                  <w:vAlign w:val="center"/>
                </w:tcPr>
                <w:p>
                  <w:pPr>
                    <w:jc w:val="both"/>
                    <w:rPr>
                      <w:rFonts w:hint="default" w:ascii="Times New Roman" w:hAnsi="Times New Roman" w:eastAsia="宋体" w:cs="Times New Roman"/>
                      <w:b/>
                      <w:bCs w:val="0"/>
                      <w:color w:val="auto"/>
                      <w:szCs w:val="21"/>
                    </w:rPr>
                  </w:pPr>
                  <w:r>
                    <w:rPr>
                      <w:rFonts w:hint="default" w:ascii="Times New Roman" w:hAnsi="Times New Roman" w:eastAsia="宋体" w:cs="Times New Roman"/>
                      <w:b/>
                      <w:bCs w:val="0"/>
                      <w:color w:val="auto"/>
                      <w:szCs w:val="21"/>
                    </w:rPr>
                    <w:t>要求</w:t>
                  </w:r>
                </w:p>
              </w:tc>
              <w:tc>
                <w:tcPr>
                  <w:tcW w:w="784" w:type="pct"/>
                  <w:tcBorders>
                    <w:top w:val="single" w:color="auto" w:sz="12" w:space="0"/>
                    <w:left w:val="single" w:color="auto" w:sz="4" w:space="0"/>
                    <w:bottom w:val="single" w:color="auto" w:sz="4" w:space="0"/>
                    <w:right w:val="nil"/>
                  </w:tcBorders>
                  <w:noWrap w:val="0"/>
                  <w:vAlign w:val="center"/>
                </w:tcPr>
                <w:p>
                  <w:pPr>
                    <w:jc w:val="both"/>
                    <w:rPr>
                      <w:rFonts w:hint="default" w:ascii="Times New Roman" w:hAnsi="Times New Roman" w:eastAsia="宋体" w:cs="Times New Roman"/>
                      <w:b/>
                      <w:bCs w:val="0"/>
                      <w:color w:val="auto"/>
                      <w:szCs w:val="21"/>
                    </w:rPr>
                  </w:pPr>
                  <w:r>
                    <w:rPr>
                      <w:rFonts w:hint="default" w:ascii="Times New Roman" w:hAnsi="Times New Roman" w:eastAsia="宋体" w:cs="Times New Roman"/>
                      <w:b/>
                      <w:bCs w:val="0"/>
                      <w:color w:val="auto"/>
                      <w:szCs w:val="21"/>
                    </w:rPr>
                    <w:t>实际情况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400" w:type="pct"/>
                  <w:vMerge w:val="restart"/>
                  <w:tcBorders>
                    <w:top w:val="single" w:color="auto" w:sz="4" w:space="0"/>
                    <w:left w:val="nil"/>
                    <w:right w:val="single" w:color="auto" w:sz="4" w:space="0"/>
                  </w:tcBorders>
                  <w:noWrap w:val="0"/>
                  <w:vAlign w:val="center"/>
                </w:tcPr>
                <w:p>
                  <w:pPr>
                    <w:jc w:val="both"/>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重大变动情形</w:t>
                  </w:r>
                </w:p>
              </w:tc>
              <w:tc>
                <w:tcPr>
                  <w:tcW w:w="38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ind w:left="0" w:leftChars="0" w:firstLine="420" w:firstLineChars="200"/>
                    <w:jc w:val="both"/>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rPr>
                    <w:t>建设项目开发、使用功能发生变化的。</w:t>
                  </w:r>
                </w:p>
              </w:tc>
              <w:tc>
                <w:tcPr>
                  <w:tcW w:w="784" w:type="pct"/>
                  <w:tcBorders>
                    <w:top w:val="single" w:color="auto" w:sz="4" w:space="0"/>
                    <w:left w:val="single" w:color="auto" w:sz="4" w:space="0"/>
                    <w:bottom w:val="single" w:color="auto" w:sz="4" w:space="0"/>
                    <w:right w:val="nil"/>
                  </w:tcBorders>
                  <w:noWrap w:val="0"/>
                  <w:vAlign w:val="center"/>
                </w:tcPr>
                <w:p>
                  <w:pPr>
                    <w:jc w:val="both"/>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无相关情形</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400" w:type="pct"/>
                  <w:vMerge w:val="continue"/>
                  <w:tcBorders>
                    <w:left w:val="nil"/>
                    <w:right w:val="single" w:color="auto" w:sz="4" w:space="0"/>
                  </w:tcBorders>
                  <w:noWrap w:val="0"/>
                  <w:vAlign w:val="center"/>
                </w:tcPr>
                <w:p>
                  <w:pPr>
                    <w:jc w:val="both"/>
                    <w:rPr>
                      <w:rFonts w:hint="default" w:ascii="Times New Roman" w:hAnsi="Times New Roman" w:eastAsia="宋体" w:cs="Times New Roman"/>
                      <w:bCs/>
                      <w:color w:val="auto"/>
                      <w:szCs w:val="21"/>
                    </w:rPr>
                  </w:pPr>
                </w:p>
              </w:tc>
              <w:tc>
                <w:tcPr>
                  <w:tcW w:w="38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ind w:left="0" w:leftChars="0" w:firstLine="420" w:firstLineChars="200"/>
                    <w:jc w:val="both"/>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rPr>
                    <w:t>生产、处置或储存能力增大30</w:t>
                  </w:r>
                  <w:r>
                    <w:rPr>
                      <w:rFonts w:hint="default" w:ascii="Times New Roman" w:hAnsi="Times New Roman" w:eastAsia="宋体" w:cs="Times New Roman"/>
                      <w:lang w:val="en-US" w:eastAsia="zh-CN"/>
                    </w:rPr>
                    <w:t>%</w:t>
                  </w:r>
                  <w:r>
                    <w:rPr>
                      <w:rFonts w:hint="default" w:ascii="Times New Roman" w:hAnsi="Times New Roman" w:eastAsia="宋体" w:cs="Times New Roman"/>
                    </w:rPr>
                    <w:t>及以上的。</w:t>
                  </w:r>
                </w:p>
              </w:tc>
              <w:tc>
                <w:tcPr>
                  <w:tcW w:w="784" w:type="pct"/>
                  <w:tcBorders>
                    <w:top w:val="single" w:color="auto" w:sz="4" w:space="0"/>
                    <w:left w:val="single" w:color="auto" w:sz="4" w:space="0"/>
                    <w:bottom w:val="single" w:color="auto" w:sz="4" w:space="0"/>
                    <w:right w:val="nil"/>
                  </w:tcBorders>
                  <w:noWrap w:val="0"/>
                  <w:vAlign w:val="center"/>
                </w:tcPr>
                <w:p>
                  <w:pPr>
                    <w:jc w:val="both"/>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无相关情形</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400" w:type="pct"/>
                  <w:vMerge w:val="continue"/>
                  <w:tcBorders>
                    <w:left w:val="nil"/>
                    <w:right w:val="single" w:color="auto" w:sz="4" w:space="0"/>
                  </w:tcBorders>
                  <w:noWrap w:val="0"/>
                  <w:vAlign w:val="center"/>
                </w:tcPr>
                <w:p>
                  <w:pPr>
                    <w:jc w:val="both"/>
                    <w:rPr>
                      <w:rFonts w:hint="default" w:ascii="Times New Roman" w:hAnsi="Times New Roman" w:eastAsia="宋体" w:cs="Times New Roman"/>
                      <w:bCs/>
                      <w:color w:val="auto"/>
                      <w:szCs w:val="21"/>
                    </w:rPr>
                  </w:pPr>
                </w:p>
              </w:tc>
              <w:tc>
                <w:tcPr>
                  <w:tcW w:w="38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ind w:left="0" w:leftChars="0" w:firstLine="420" w:firstLineChars="200"/>
                    <w:jc w:val="both"/>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rPr>
                    <w:t>生产、处置或储存能力增大，导致废水第一类污染物排放量增加的。</w:t>
                  </w:r>
                </w:p>
              </w:tc>
              <w:tc>
                <w:tcPr>
                  <w:tcW w:w="784" w:type="pct"/>
                  <w:tcBorders>
                    <w:top w:val="single" w:color="auto" w:sz="4" w:space="0"/>
                    <w:left w:val="single" w:color="auto" w:sz="4" w:space="0"/>
                    <w:bottom w:val="single" w:color="auto" w:sz="4" w:space="0"/>
                    <w:right w:val="nil"/>
                  </w:tcBorders>
                  <w:noWrap w:val="0"/>
                  <w:vAlign w:val="center"/>
                </w:tcPr>
                <w:p>
                  <w:pPr>
                    <w:jc w:val="both"/>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无相关情形</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591" w:hRule="atLeast"/>
                <w:jc w:val="center"/>
              </w:trPr>
              <w:tc>
                <w:tcPr>
                  <w:tcW w:w="400" w:type="pct"/>
                  <w:vMerge w:val="continue"/>
                  <w:tcBorders>
                    <w:left w:val="nil"/>
                    <w:right w:val="single" w:color="auto" w:sz="4" w:space="0"/>
                  </w:tcBorders>
                  <w:noWrap w:val="0"/>
                  <w:vAlign w:val="center"/>
                </w:tcPr>
                <w:p>
                  <w:pPr>
                    <w:jc w:val="both"/>
                    <w:rPr>
                      <w:rFonts w:hint="default" w:ascii="Times New Roman" w:hAnsi="Times New Roman" w:eastAsia="宋体" w:cs="Times New Roman"/>
                      <w:bCs/>
                      <w:color w:val="auto"/>
                      <w:szCs w:val="21"/>
                    </w:rPr>
                  </w:pPr>
                </w:p>
              </w:tc>
              <w:tc>
                <w:tcPr>
                  <w:tcW w:w="38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ind w:left="0" w:leftChars="0" w:firstLine="420" w:firstLineChars="200"/>
                    <w:jc w:val="both"/>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rPr>
                    <w:t>位于环境质量不达标区的建设项目生产、处置或储存能力曾大，导致相应污染物排放量增加的（细颗粒物不达标区，相应污染物为二氧化硫、氮氧化物、可吸入颗粒物、挥发性有机物央；臭氧不达标区，相应污染物为氮氧化物、挥发性有机物；其他大气、水污染物因子不达标区，相应污染物为超标污染因子）；位于达标区的建设项目生产、处置或储存能力增大，导致污染物放量增加10%及以上的。</w:t>
                  </w:r>
                </w:p>
              </w:tc>
              <w:tc>
                <w:tcPr>
                  <w:tcW w:w="784" w:type="pct"/>
                  <w:tcBorders>
                    <w:top w:val="single" w:color="auto" w:sz="4" w:space="0"/>
                    <w:left w:val="single" w:color="auto" w:sz="4" w:space="0"/>
                    <w:bottom w:val="single" w:color="auto" w:sz="4" w:space="0"/>
                    <w:right w:val="nil"/>
                  </w:tcBorders>
                  <w:noWrap w:val="0"/>
                  <w:vAlign w:val="center"/>
                </w:tcPr>
                <w:p>
                  <w:pPr>
                    <w:jc w:val="both"/>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无相关情形</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400" w:type="pct"/>
                  <w:vMerge w:val="continue"/>
                  <w:tcBorders>
                    <w:left w:val="nil"/>
                    <w:right w:val="single" w:color="auto" w:sz="4" w:space="0"/>
                  </w:tcBorders>
                  <w:noWrap w:val="0"/>
                  <w:vAlign w:val="center"/>
                </w:tcPr>
                <w:p>
                  <w:pPr>
                    <w:jc w:val="both"/>
                    <w:rPr>
                      <w:rFonts w:hint="default" w:ascii="Times New Roman" w:hAnsi="Times New Roman" w:eastAsia="宋体" w:cs="Times New Roman"/>
                      <w:bCs/>
                      <w:color w:val="auto"/>
                      <w:szCs w:val="21"/>
                    </w:rPr>
                  </w:pPr>
                </w:p>
              </w:tc>
              <w:tc>
                <w:tcPr>
                  <w:tcW w:w="38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sz w:val="21"/>
                      <w:szCs w:val="24"/>
                    </w:rPr>
                    <w:t>重新选址</w:t>
                  </w:r>
                  <w:r>
                    <w:rPr>
                      <w:rFonts w:hint="default" w:ascii="Times New Roman" w:hAnsi="Times New Roman" w:eastAsia="宋体" w:cs="Times New Roman"/>
                      <w:sz w:val="21"/>
                      <w:szCs w:val="24"/>
                      <w:lang w:eastAsia="zh-CN"/>
                    </w:rPr>
                    <w:t>；</w:t>
                  </w:r>
                  <w:r>
                    <w:rPr>
                      <w:rFonts w:hint="default" w:ascii="Times New Roman" w:hAnsi="Times New Roman" w:eastAsia="宋体" w:cs="Times New Roman"/>
                      <w:sz w:val="21"/>
                      <w:szCs w:val="24"/>
                    </w:rPr>
                    <w:t>在原厂址附近调整（包括总平面布置变化）导致环境防护距离范围变化且新增敏感点的。</w:t>
                  </w:r>
                </w:p>
              </w:tc>
              <w:tc>
                <w:tcPr>
                  <w:tcW w:w="784" w:type="pct"/>
                  <w:tcBorders>
                    <w:top w:val="single" w:color="auto" w:sz="4" w:space="0"/>
                    <w:left w:val="single" w:color="auto" w:sz="4" w:space="0"/>
                    <w:bottom w:val="single" w:color="auto" w:sz="4" w:space="0"/>
                    <w:right w:val="nil"/>
                  </w:tcBorders>
                  <w:noWrap w:val="0"/>
                  <w:vAlign w:val="center"/>
                </w:tcPr>
                <w:p>
                  <w:pPr>
                    <w:jc w:val="both"/>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无相关情形</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400" w:type="pct"/>
                  <w:vMerge w:val="continue"/>
                  <w:tcBorders>
                    <w:left w:val="nil"/>
                    <w:right w:val="single" w:color="auto" w:sz="4" w:space="0"/>
                  </w:tcBorders>
                  <w:noWrap w:val="0"/>
                  <w:vAlign w:val="center"/>
                </w:tcPr>
                <w:p>
                  <w:pPr>
                    <w:jc w:val="both"/>
                    <w:rPr>
                      <w:rFonts w:hint="default" w:ascii="Times New Roman" w:hAnsi="Times New Roman" w:eastAsia="宋体" w:cs="Times New Roman"/>
                      <w:bCs/>
                      <w:color w:val="auto"/>
                      <w:szCs w:val="21"/>
                    </w:rPr>
                  </w:pPr>
                </w:p>
              </w:tc>
              <w:tc>
                <w:tcPr>
                  <w:tcW w:w="38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sz w:val="21"/>
                      <w:szCs w:val="24"/>
                    </w:rPr>
                    <w:t>新增产品品种或生产工艺（含主要生产装置、设备及配套设施）、主要原辅材料、燃料变化，导致以下情形之一</w:t>
                  </w:r>
                  <w:r>
                    <w:rPr>
                      <w:rFonts w:hint="default" w:ascii="Times New Roman" w:hAnsi="Times New Roman" w:eastAsia="宋体" w:cs="Times New Roman"/>
                      <w:sz w:val="21"/>
                      <w:szCs w:val="24"/>
                      <w:lang w:eastAsia="zh-CN"/>
                    </w:rPr>
                    <w:t>：</w:t>
                  </w:r>
                  <w:r>
                    <w:rPr>
                      <w:rFonts w:hint="default" w:ascii="Times New Roman" w:hAnsi="Times New Roman" w:eastAsia="宋体" w:cs="Times New Roman"/>
                      <w:sz w:val="21"/>
                      <w:szCs w:val="24"/>
                    </w:rPr>
                    <w:t>（1）新增排放污染物种类的（毒性、挥发性降低的除外）</w:t>
                  </w:r>
                  <w:r>
                    <w:rPr>
                      <w:rFonts w:hint="default" w:ascii="Times New Roman" w:hAnsi="Times New Roman" w:eastAsia="宋体" w:cs="Times New Roman"/>
                      <w:sz w:val="21"/>
                      <w:szCs w:val="24"/>
                      <w:lang w:eastAsia="zh-CN"/>
                    </w:rPr>
                    <w:t>；</w:t>
                  </w:r>
                  <w:r>
                    <w:rPr>
                      <w:rFonts w:hint="default" w:ascii="Times New Roman" w:hAnsi="Times New Roman" w:eastAsia="宋体" w:cs="Times New Roman"/>
                      <w:sz w:val="21"/>
                      <w:szCs w:val="24"/>
                    </w:rPr>
                    <w:t>（2）位于环境质量不达标区的建设项目相应污染物排放量增加的</w:t>
                  </w:r>
                  <w:r>
                    <w:rPr>
                      <w:rFonts w:hint="default" w:ascii="Times New Roman" w:hAnsi="Times New Roman" w:eastAsia="宋体" w:cs="Times New Roman"/>
                      <w:sz w:val="21"/>
                      <w:szCs w:val="24"/>
                      <w:lang w:eastAsia="zh-CN"/>
                    </w:rPr>
                    <w:t>；</w:t>
                  </w:r>
                  <w:r>
                    <w:rPr>
                      <w:rFonts w:hint="default" w:ascii="Times New Roman" w:hAnsi="Times New Roman" w:eastAsia="宋体" w:cs="Times New Roman"/>
                      <w:sz w:val="21"/>
                      <w:szCs w:val="24"/>
                    </w:rPr>
                    <w:t>（3）废水第一类污染物排放量增加的</w:t>
                  </w:r>
                  <w:r>
                    <w:rPr>
                      <w:rFonts w:hint="default" w:ascii="Times New Roman" w:hAnsi="Times New Roman" w:eastAsia="宋体" w:cs="Times New Roman"/>
                      <w:sz w:val="21"/>
                      <w:szCs w:val="24"/>
                      <w:lang w:eastAsia="zh-CN"/>
                    </w:rPr>
                    <w:t>；</w:t>
                  </w:r>
                  <w:r>
                    <w:rPr>
                      <w:rFonts w:hint="default" w:ascii="Times New Roman" w:hAnsi="Times New Roman" w:eastAsia="宋体" w:cs="Times New Roman"/>
                      <w:sz w:val="21"/>
                      <w:szCs w:val="24"/>
                    </w:rPr>
                    <w:t>（4）其他污染物排放量增加10%及以上的。</w:t>
                  </w:r>
                </w:p>
              </w:tc>
              <w:tc>
                <w:tcPr>
                  <w:tcW w:w="784" w:type="pct"/>
                  <w:tcBorders>
                    <w:top w:val="single" w:color="auto" w:sz="4" w:space="0"/>
                    <w:left w:val="single" w:color="auto" w:sz="4" w:space="0"/>
                    <w:bottom w:val="single" w:color="auto" w:sz="4" w:space="0"/>
                    <w:right w:val="nil"/>
                  </w:tcBorders>
                  <w:noWrap w:val="0"/>
                  <w:vAlign w:val="center"/>
                </w:tcPr>
                <w:p>
                  <w:pPr>
                    <w:jc w:val="both"/>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无相关情形</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400" w:type="pct"/>
                  <w:vMerge w:val="continue"/>
                  <w:tcBorders>
                    <w:left w:val="nil"/>
                    <w:right w:val="single" w:color="auto" w:sz="4" w:space="0"/>
                  </w:tcBorders>
                  <w:noWrap w:val="0"/>
                  <w:vAlign w:val="center"/>
                </w:tcPr>
                <w:p>
                  <w:pPr>
                    <w:jc w:val="both"/>
                    <w:rPr>
                      <w:rFonts w:hint="default" w:ascii="Times New Roman" w:hAnsi="Times New Roman" w:eastAsia="宋体" w:cs="Times New Roman"/>
                      <w:bCs/>
                      <w:color w:val="auto"/>
                      <w:szCs w:val="21"/>
                    </w:rPr>
                  </w:pPr>
                </w:p>
              </w:tc>
              <w:tc>
                <w:tcPr>
                  <w:tcW w:w="38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sz w:val="21"/>
                      <w:szCs w:val="24"/>
                    </w:rPr>
                    <w:t>物料运输、装卸、贮存方式变化，导致大气污染物无组织排放量增加10%及以上的。</w:t>
                  </w:r>
                </w:p>
              </w:tc>
              <w:tc>
                <w:tcPr>
                  <w:tcW w:w="784" w:type="pct"/>
                  <w:tcBorders>
                    <w:top w:val="single" w:color="auto" w:sz="4" w:space="0"/>
                    <w:left w:val="single" w:color="auto" w:sz="4" w:space="0"/>
                    <w:bottom w:val="single" w:color="auto" w:sz="4" w:space="0"/>
                    <w:right w:val="nil"/>
                  </w:tcBorders>
                  <w:noWrap w:val="0"/>
                  <w:vAlign w:val="center"/>
                </w:tcPr>
                <w:p>
                  <w:pPr>
                    <w:jc w:val="both"/>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无相关情形</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400" w:type="pct"/>
                  <w:vMerge w:val="continue"/>
                  <w:tcBorders>
                    <w:left w:val="nil"/>
                    <w:right w:val="single" w:color="auto" w:sz="4" w:space="0"/>
                  </w:tcBorders>
                  <w:noWrap w:val="0"/>
                  <w:vAlign w:val="center"/>
                </w:tcPr>
                <w:p>
                  <w:pPr>
                    <w:jc w:val="both"/>
                    <w:rPr>
                      <w:rFonts w:hint="default" w:ascii="Times New Roman" w:hAnsi="Times New Roman" w:eastAsia="宋体" w:cs="Times New Roman"/>
                      <w:bCs/>
                      <w:color w:val="auto"/>
                      <w:szCs w:val="21"/>
                    </w:rPr>
                  </w:pPr>
                </w:p>
              </w:tc>
              <w:tc>
                <w:tcPr>
                  <w:tcW w:w="38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sz w:val="21"/>
                      <w:szCs w:val="24"/>
                    </w:rPr>
                    <w:t>废气、废水污染防治措施变化，导致第6条中所列情形之一（废气无组织排放改为有组织排放、污染防治措施强化或改进的除外）或大气污染物无组织排放量增加10%及以上的。</w:t>
                  </w:r>
                </w:p>
              </w:tc>
              <w:tc>
                <w:tcPr>
                  <w:tcW w:w="784" w:type="pct"/>
                  <w:tcBorders>
                    <w:top w:val="single" w:color="auto" w:sz="4" w:space="0"/>
                    <w:left w:val="single" w:color="auto" w:sz="4" w:space="0"/>
                    <w:bottom w:val="single" w:color="auto" w:sz="4" w:space="0"/>
                    <w:right w:val="nil"/>
                  </w:tcBorders>
                  <w:noWrap w:val="0"/>
                  <w:vAlign w:val="center"/>
                </w:tcPr>
                <w:p>
                  <w:pPr>
                    <w:jc w:val="both"/>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无相关情形</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400" w:type="pct"/>
                  <w:vMerge w:val="continue"/>
                  <w:tcBorders>
                    <w:left w:val="nil"/>
                    <w:right w:val="single" w:color="auto" w:sz="4" w:space="0"/>
                  </w:tcBorders>
                  <w:noWrap w:val="0"/>
                  <w:vAlign w:val="center"/>
                </w:tcPr>
                <w:p>
                  <w:pPr>
                    <w:jc w:val="both"/>
                    <w:rPr>
                      <w:rFonts w:hint="default" w:ascii="Times New Roman" w:hAnsi="Times New Roman" w:eastAsia="宋体" w:cs="Times New Roman"/>
                      <w:bCs/>
                      <w:color w:val="auto"/>
                      <w:szCs w:val="21"/>
                    </w:rPr>
                  </w:pPr>
                </w:p>
              </w:tc>
              <w:tc>
                <w:tcPr>
                  <w:tcW w:w="38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sz w:val="21"/>
                      <w:szCs w:val="24"/>
                    </w:rPr>
                    <w:t>新增废水直接排放口</w:t>
                  </w:r>
                  <w:r>
                    <w:rPr>
                      <w:rFonts w:hint="default" w:ascii="Times New Roman" w:hAnsi="Times New Roman" w:eastAsia="宋体" w:cs="Times New Roman"/>
                      <w:sz w:val="21"/>
                      <w:szCs w:val="24"/>
                      <w:lang w:eastAsia="zh-CN"/>
                    </w:rPr>
                    <w:t>；</w:t>
                  </w:r>
                  <w:r>
                    <w:rPr>
                      <w:rFonts w:hint="default" w:ascii="Times New Roman" w:hAnsi="Times New Roman" w:eastAsia="宋体" w:cs="Times New Roman"/>
                      <w:sz w:val="21"/>
                      <w:szCs w:val="24"/>
                    </w:rPr>
                    <w:t>废水由间接排放改为直接排放</w:t>
                  </w:r>
                  <w:r>
                    <w:rPr>
                      <w:rFonts w:hint="default" w:ascii="Times New Roman" w:hAnsi="Times New Roman" w:eastAsia="宋体" w:cs="Times New Roman"/>
                      <w:sz w:val="21"/>
                      <w:szCs w:val="24"/>
                      <w:lang w:eastAsia="zh-CN"/>
                    </w:rPr>
                    <w:t>；</w:t>
                  </w:r>
                  <w:r>
                    <w:rPr>
                      <w:rFonts w:hint="default" w:ascii="Times New Roman" w:hAnsi="Times New Roman" w:eastAsia="宋体" w:cs="Times New Roman"/>
                      <w:sz w:val="21"/>
                      <w:szCs w:val="24"/>
                    </w:rPr>
                    <w:t>废水直接排放口位置变化，导致不利环境影响加重的。</w:t>
                  </w:r>
                </w:p>
              </w:tc>
              <w:tc>
                <w:tcPr>
                  <w:tcW w:w="784" w:type="pct"/>
                  <w:tcBorders>
                    <w:top w:val="single" w:color="auto" w:sz="4" w:space="0"/>
                    <w:left w:val="single" w:color="auto" w:sz="4" w:space="0"/>
                    <w:bottom w:val="single" w:color="auto" w:sz="4" w:space="0"/>
                    <w:right w:val="nil"/>
                  </w:tcBorders>
                  <w:noWrap w:val="0"/>
                  <w:vAlign w:val="center"/>
                </w:tcPr>
                <w:p>
                  <w:pPr>
                    <w:jc w:val="both"/>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无相关情形</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400" w:type="pct"/>
                  <w:vMerge w:val="continue"/>
                  <w:tcBorders>
                    <w:left w:val="nil"/>
                    <w:right w:val="single" w:color="auto" w:sz="4" w:space="0"/>
                  </w:tcBorders>
                  <w:noWrap w:val="0"/>
                  <w:vAlign w:val="center"/>
                </w:tcPr>
                <w:p>
                  <w:pPr>
                    <w:jc w:val="both"/>
                    <w:rPr>
                      <w:rFonts w:hint="default" w:ascii="Times New Roman" w:hAnsi="Times New Roman" w:eastAsia="宋体" w:cs="Times New Roman"/>
                      <w:bCs/>
                      <w:color w:val="auto"/>
                      <w:szCs w:val="21"/>
                    </w:rPr>
                  </w:pPr>
                </w:p>
              </w:tc>
              <w:tc>
                <w:tcPr>
                  <w:tcW w:w="38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sz w:val="21"/>
                      <w:szCs w:val="24"/>
                    </w:rPr>
                    <w:t>新增废气主要排放口（废气无组织排放改为有组织排放的除外）</w:t>
                  </w:r>
                  <w:r>
                    <w:rPr>
                      <w:rFonts w:hint="default" w:ascii="Times New Roman" w:hAnsi="Times New Roman" w:eastAsia="宋体" w:cs="Times New Roman"/>
                      <w:sz w:val="21"/>
                      <w:szCs w:val="24"/>
                      <w:lang w:eastAsia="zh-CN"/>
                    </w:rPr>
                    <w:t>；</w:t>
                  </w:r>
                  <w:r>
                    <w:rPr>
                      <w:rFonts w:hint="default" w:ascii="Times New Roman" w:hAnsi="Times New Roman" w:eastAsia="宋体" w:cs="Times New Roman"/>
                      <w:sz w:val="21"/>
                      <w:szCs w:val="24"/>
                    </w:rPr>
                    <w:t>主要排放口排气筒高度降低10%及以上的。</w:t>
                  </w:r>
                </w:p>
              </w:tc>
              <w:tc>
                <w:tcPr>
                  <w:tcW w:w="784" w:type="pct"/>
                  <w:tcBorders>
                    <w:top w:val="single" w:color="auto" w:sz="4" w:space="0"/>
                    <w:left w:val="single" w:color="auto" w:sz="4" w:space="0"/>
                    <w:bottom w:val="single" w:color="auto" w:sz="4" w:space="0"/>
                    <w:right w:val="nil"/>
                  </w:tcBorders>
                  <w:noWrap w:val="0"/>
                  <w:vAlign w:val="center"/>
                </w:tcPr>
                <w:p>
                  <w:pPr>
                    <w:jc w:val="both"/>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无相关情形</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400" w:type="pct"/>
                  <w:vMerge w:val="continue"/>
                  <w:tcBorders>
                    <w:left w:val="nil"/>
                    <w:right w:val="single" w:color="auto" w:sz="4" w:space="0"/>
                  </w:tcBorders>
                  <w:noWrap w:val="0"/>
                  <w:vAlign w:val="center"/>
                </w:tcPr>
                <w:p>
                  <w:pPr>
                    <w:jc w:val="both"/>
                    <w:rPr>
                      <w:rFonts w:hint="default" w:ascii="Times New Roman" w:hAnsi="Times New Roman" w:eastAsia="宋体" w:cs="Times New Roman"/>
                      <w:bCs/>
                      <w:color w:val="auto"/>
                      <w:szCs w:val="21"/>
                    </w:rPr>
                  </w:pPr>
                </w:p>
              </w:tc>
              <w:tc>
                <w:tcPr>
                  <w:tcW w:w="38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sz w:val="21"/>
                      <w:szCs w:val="24"/>
                    </w:rPr>
                    <w:t>噪声、土壤或地下水污染防治措施变化，导致不利环境影响加重的。</w:t>
                  </w:r>
                </w:p>
              </w:tc>
              <w:tc>
                <w:tcPr>
                  <w:tcW w:w="784" w:type="pct"/>
                  <w:tcBorders>
                    <w:top w:val="single" w:color="auto" w:sz="4" w:space="0"/>
                    <w:left w:val="single" w:color="auto" w:sz="4" w:space="0"/>
                    <w:bottom w:val="single" w:color="auto" w:sz="4" w:space="0"/>
                    <w:right w:val="nil"/>
                  </w:tcBorders>
                  <w:noWrap w:val="0"/>
                  <w:vAlign w:val="center"/>
                </w:tcPr>
                <w:p>
                  <w:pPr>
                    <w:jc w:val="both"/>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无相关情形</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400" w:type="pct"/>
                  <w:vMerge w:val="continue"/>
                  <w:tcBorders>
                    <w:left w:val="nil"/>
                    <w:right w:val="single" w:color="auto" w:sz="4" w:space="0"/>
                  </w:tcBorders>
                  <w:noWrap w:val="0"/>
                  <w:vAlign w:val="center"/>
                </w:tcPr>
                <w:p>
                  <w:pPr>
                    <w:jc w:val="both"/>
                    <w:rPr>
                      <w:rFonts w:hint="default" w:ascii="Times New Roman" w:hAnsi="Times New Roman" w:eastAsia="宋体" w:cs="Times New Roman"/>
                      <w:bCs/>
                      <w:color w:val="auto"/>
                      <w:szCs w:val="21"/>
                    </w:rPr>
                  </w:pPr>
                </w:p>
              </w:tc>
              <w:tc>
                <w:tcPr>
                  <w:tcW w:w="381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default" w:ascii="Times New Roman" w:hAnsi="Times New Roman" w:eastAsia="宋体" w:cs="Times New Roman"/>
                      <w:bCs/>
                      <w:color w:val="auto"/>
                      <w:szCs w:val="21"/>
                    </w:rPr>
                  </w:pPr>
                  <w:r>
                    <w:rPr>
                      <w:rFonts w:hint="default" w:ascii="Times New Roman" w:hAnsi="Times New Roman" w:eastAsia="宋体" w:cs="Times New Roman"/>
                      <w:sz w:val="21"/>
                      <w:szCs w:val="24"/>
                    </w:rPr>
                    <w:t>固体废物利用处置方式由委托外单位利用处置改为自行利用处置的（自行利用处置设施单独开展环境影响评价的除外）</w:t>
                  </w:r>
                  <w:r>
                    <w:rPr>
                      <w:rFonts w:hint="default" w:ascii="Times New Roman" w:hAnsi="Times New Roman" w:eastAsia="宋体" w:cs="Times New Roman"/>
                      <w:sz w:val="21"/>
                      <w:szCs w:val="24"/>
                      <w:lang w:eastAsia="zh-CN"/>
                    </w:rPr>
                    <w:t>；</w:t>
                  </w:r>
                  <w:r>
                    <w:rPr>
                      <w:rFonts w:hint="default" w:ascii="Times New Roman" w:hAnsi="Times New Roman" w:eastAsia="宋体" w:cs="Times New Roman"/>
                      <w:sz w:val="21"/>
                      <w:szCs w:val="24"/>
                    </w:rPr>
                    <w:t>固体废物自行处置方式变化，导致不利环境影响加重的。</w:t>
                  </w:r>
                </w:p>
              </w:tc>
              <w:tc>
                <w:tcPr>
                  <w:tcW w:w="784" w:type="pct"/>
                  <w:tcBorders>
                    <w:top w:val="single" w:color="auto" w:sz="4" w:space="0"/>
                    <w:left w:val="single" w:color="auto" w:sz="4" w:space="0"/>
                    <w:bottom w:val="single" w:color="auto" w:sz="4" w:space="0"/>
                    <w:right w:val="nil"/>
                  </w:tcBorders>
                  <w:noWrap w:val="0"/>
                  <w:vAlign w:val="center"/>
                </w:tcPr>
                <w:p>
                  <w:pPr>
                    <w:jc w:val="both"/>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无相关情形</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400" w:type="pct"/>
                  <w:vMerge w:val="continue"/>
                  <w:tcBorders>
                    <w:left w:val="nil"/>
                    <w:bottom w:val="single" w:color="auto" w:sz="12" w:space="0"/>
                    <w:right w:val="single" w:color="auto" w:sz="4" w:space="0"/>
                  </w:tcBorders>
                  <w:noWrap w:val="0"/>
                  <w:vAlign w:val="center"/>
                </w:tcPr>
                <w:p>
                  <w:pPr>
                    <w:jc w:val="both"/>
                    <w:rPr>
                      <w:rFonts w:hint="default" w:ascii="Times New Roman" w:hAnsi="Times New Roman" w:eastAsia="宋体" w:cs="Times New Roman"/>
                      <w:bCs/>
                      <w:color w:val="auto"/>
                      <w:szCs w:val="21"/>
                    </w:rPr>
                  </w:pPr>
                </w:p>
              </w:tc>
              <w:tc>
                <w:tcPr>
                  <w:tcW w:w="3815" w:type="pct"/>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420" w:firstLineChars="200"/>
                    <w:jc w:val="both"/>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sz w:val="21"/>
                      <w:szCs w:val="24"/>
                    </w:rPr>
                    <w:t>事故废水暂存能力或拦截设施变化，导致环境风险防范能力弱化或降低的</w:t>
                  </w:r>
                  <w:r>
                    <w:rPr>
                      <w:rFonts w:hint="default" w:ascii="Times New Roman" w:hAnsi="Times New Roman" w:eastAsia="宋体" w:cs="Times New Roman"/>
                      <w:sz w:val="21"/>
                      <w:szCs w:val="24"/>
                      <w:lang w:eastAsia="zh-CN"/>
                    </w:rPr>
                    <w:t>。</w:t>
                  </w:r>
                </w:p>
              </w:tc>
              <w:tc>
                <w:tcPr>
                  <w:tcW w:w="784" w:type="pct"/>
                  <w:tcBorders>
                    <w:top w:val="single" w:color="auto" w:sz="4" w:space="0"/>
                    <w:left w:val="single" w:color="auto" w:sz="4" w:space="0"/>
                    <w:bottom w:val="single" w:color="auto" w:sz="12" w:space="0"/>
                    <w:right w:val="nil"/>
                  </w:tcBorders>
                  <w:noWrap w:val="0"/>
                  <w:vAlign w:val="center"/>
                </w:tcPr>
                <w:p>
                  <w:pPr>
                    <w:jc w:val="both"/>
                    <w:rPr>
                      <w:rFonts w:hint="default" w:ascii="Times New Roman" w:hAnsi="Times New Roman" w:eastAsia="宋体" w:cs="Times New Roman"/>
                      <w:bCs/>
                      <w:color w:val="auto"/>
                      <w:szCs w:val="21"/>
                    </w:rPr>
                  </w:pPr>
                  <w:r>
                    <w:rPr>
                      <w:rFonts w:hint="default" w:ascii="Times New Roman" w:hAnsi="Times New Roman" w:eastAsia="宋体" w:cs="Times New Roman"/>
                      <w:bCs/>
                      <w:color w:val="auto"/>
                      <w:szCs w:val="21"/>
                    </w:rPr>
                    <w:t>无相关情形</w:t>
                  </w:r>
                </w:p>
              </w:tc>
            </w:tr>
          </w:tbl>
          <w:p>
            <w:pPr>
              <w:pStyle w:val="32"/>
              <w:ind w:firstLine="0" w:firstLineChars="0"/>
              <w:jc w:val="both"/>
              <w:rPr>
                <w:rFonts w:hint="default" w:ascii="Times New Roman" w:hAnsi="Times New Roman" w:eastAsia="宋体" w:cs="Times New Roman"/>
                <w:szCs w:val="24"/>
                <w:lang w:val="en-US" w:eastAsia="zh-CN"/>
              </w:rPr>
            </w:pPr>
          </w:p>
        </w:tc>
      </w:tr>
    </w:tbl>
    <w:p>
      <w:pPr>
        <w:pStyle w:val="30"/>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5"/>
        <w:spacing w:before="0" w:beforeAutospacing="0" w:after="0" w:afterAutospacing="0"/>
        <w:rPr>
          <w:rFonts w:hint="default" w:ascii="Times New Roman" w:hAnsi="Times New Roman" w:cs="Times New Roman"/>
          <w:sz w:val="30"/>
          <w:szCs w:val="30"/>
        </w:rPr>
      </w:pPr>
      <w:r>
        <w:rPr>
          <w:rFonts w:hint="default" w:ascii="Times New Roman" w:hAnsi="Times New Roman" w:cs="Times New Roman"/>
          <w:sz w:val="30"/>
          <w:szCs w:val="30"/>
        </w:rPr>
        <w:t>表三、环境保护设施和主要污染源、污染物处理及排放</w:t>
      </w:r>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fixed"/>
        <w:tblCellMar>
          <w:top w:w="0" w:type="dxa"/>
          <w:left w:w="108" w:type="dxa"/>
          <w:bottom w:w="0" w:type="dxa"/>
          <w:right w:w="108" w:type="dxa"/>
        </w:tblCellMar>
      </w:tblPr>
      <w:tblGrid>
        <w:gridCol w:w="9456"/>
      </w:tblGrid>
      <w:tr>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1347" w:hRule="atLeast"/>
          <w:jc w:val="center"/>
        </w:trPr>
        <w:tc>
          <w:tcPr>
            <w:tcW w:w="9456" w:type="dxa"/>
            <w:noWrap w:val="0"/>
            <w:vAlign w:val="top"/>
          </w:tcPr>
          <w:p>
            <w:pPr>
              <w:spacing w:line="360" w:lineRule="auto"/>
              <w:rPr>
                <w:rFonts w:hint="default" w:ascii="Times New Roman" w:hAnsi="Times New Roman" w:cs="Times New Roman"/>
                <w:b/>
                <w:bCs/>
                <w:color w:val="000000"/>
                <w:sz w:val="28"/>
                <w:szCs w:val="28"/>
              </w:rPr>
            </w:pPr>
            <w:r>
              <w:rPr>
                <w:rFonts w:hint="default" w:ascii="Times New Roman" w:hAnsi="Times New Roman" w:cs="Times New Roman"/>
                <w:b/>
                <w:sz w:val="28"/>
                <w:szCs w:val="28"/>
              </w:rPr>
              <w:t>3、主要污染源、污染物处理和排放：</w:t>
            </w:r>
          </w:p>
          <w:p>
            <w:pPr>
              <w:pStyle w:val="32"/>
              <w:ind w:firstLine="0" w:firstLineChars="0"/>
              <w:jc w:val="both"/>
              <w:rPr>
                <w:rFonts w:hint="default" w:ascii="Times New Roman" w:hAnsi="Times New Roman" w:cs="Times New Roman"/>
                <w:szCs w:val="24"/>
                <w:lang w:val="en-US" w:eastAsia="zh-CN"/>
              </w:rPr>
            </w:pPr>
            <w:r>
              <w:rPr>
                <w:rFonts w:hint="default" w:ascii="Times New Roman" w:hAnsi="Times New Roman" w:cs="Times New Roman"/>
                <w:b/>
                <w:szCs w:val="24"/>
                <w:lang w:val="en-US" w:eastAsia="zh-CN"/>
              </w:rPr>
              <w:t>3.1</w:t>
            </w:r>
            <w:r>
              <w:rPr>
                <w:rFonts w:hint="default" w:ascii="Times New Roman" w:hAnsi="Times New Roman" w:cs="Times New Roman"/>
                <w:b/>
                <w:szCs w:val="24"/>
                <w:highlight w:val="none"/>
                <w:lang w:val="en-US" w:eastAsia="zh-CN"/>
              </w:rPr>
              <w:t xml:space="preserve"> 废水</w:t>
            </w:r>
          </w:p>
          <w:p>
            <w:pPr>
              <w:spacing w:line="360" w:lineRule="auto"/>
              <w:ind w:firstLine="480" w:firstLineChars="200"/>
              <w:rPr>
                <w:rFonts w:hint="default" w:ascii="Times New Roman" w:hAnsi="Times New Roman" w:cs="Times New Roman"/>
                <w:sz w:val="24"/>
              </w:rPr>
            </w:pPr>
            <w:r>
              <w:rPr>
                <w:rFonts w:hint="eastAsia" w:ascii="Times New Roman" w:hAnsi="Times New Roman" w:cs="Times New Roman"/>
                <w:sz w:val="24"/>
                <w:lang w:val="en-US" w:eastAsia="zh-CN"/>
              </w:rPr>
              <w:t>项目废水为</w:t>
            </w:r>
            <w:r>
              <w:rPr>
                <w:rFonts w:hint="default" w:ascii="Times New Roman" w:hAnsi="Times New Roman" w:cs="Times New Roman"/>
                <w:sz w:val="24"/>
                <w:lang w:val="en-US" w:eastAsia="zh-CN"/>
              </w:rPr>
              <w:t>车辆冲洗废水和</w:t>
            </w:r>
            <w:r>
              <w:rPr>
                <w:rFonts w:hint="default" w:ascii="Times New Roman" w:hAnsi="Times New Roman" w:cs="Times New Roman"/>
                <w:sz w:val="24"/>
              </w:rPr>
              <w:t>地面冲洗废水</w:t>
            </w:r>
            <w:r>
              <w:rPr>
                <w:rFonts w:hint="default" w:ascii="Times New Roman" w:hAnsi="Times New Roman" w:cs="Times New Roman"/>
                <w:sz w:val="24"/>
                <w:lang w:val="en-US" w:eastAsia="zh-CN"/>
              </w:rPr>
              <w:t>经洗车平台沉淀池沉淀后循环使用，不外排；罐车、搅拌机清洗废水经砂石分离机处理+沉淀池沉淀后循环使用，不外排；生活污水后经化粪池处理排入污水管网，蒸养废水未进入产品的全部蒸发，</w:t>
            </w:r>
            <w:r>
              <w:rPr>
                <w:rFonts w:hint="default" w:ascii="Times New Roman" w:hAnsi="Times New Roman" w:cs="Times New Roman"/>
                <w:sz w:val="24"/>
              </w:rPr>
              <w:t>不会对周围的</w:t>
            </w:r>
            <w:r>
              <w:rPr>
                <w:rFonts w:hint="default" w:ascii="Times New Roman" w:hAnsi="Times New Roman" w:cs="Times New Roman"/>
                <w:sz w:val="24"/>
                <w:lang w:val="en-US" w:eastAsia="zh-CN"/>
              </w:rPr>
              <w:t>水</w:t>
            </w:r>
            <w:r>
              <w:rPr>
                <w:rFonts w:hint="default" w:ascii="Times New Roman" w:hAnsi="Times New Roman" w:cs="Times New Roman"/>
                <w:sz w:val="24"/>
              </w:rPr>
              <w:t>环境产生不良影响</w:t>
            </w:r>
            <w:r>
              <w:rPr>
                <w:rFonts w:hint="default" w:ascii="Times New Roman" w:hAnsi="Times New Roman" w:cs="Times New Roman"/>
                <w:sz w:val="24"/>
                <w:lang w:eastAsia="zh-CN"/>
              </w:rPr>
              <w:t>。</w:t>
            </w:r>
            <w:r>
              <w:rPr>
                <w:rFonts w:hint="default" w:ascii="Times New Roman" w:hAnsi="Times New Roman" w:cs="Times New Roman"/>
                <w:sz w:val="24"/>
              </w:rPr>
              <w:t>。详见表3-1。</w:t>
            </w:r>
          </w:p>
          <w:p>
            <w:pPr>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表3-1 废水排放及防治措施表</w:t>
            </w:r>
          </w:p>
          <w:tbl>
            <w:tblPr>
              <w:tblStyle w:val="21"/>
              <w:tblW w:w="927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42"/>
              <w:gridCol w:w="924"/>
              <w:gridCol w:w="1731"/>
              <w:gridCol w:w="1270"/>
              <w:gridCol w:w="1880"/>
              <w:gridCol w:w="1763"/>
              <w:gridCol w:w="96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42" w:type="dxa"/>
                  <w:vMerge w:val="restart"/>
                  <w:noWrap w:val="0"/>
                  <w:vAlign w:val="center"/>
                </w:tcPr>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废水类别</w:t>
                  </w:r>
                </w:p>
              </w:tc>
              <w:tc>
                <w:tcPr>
                  <w:tcW w:w="924" w:type="dxa"/>
                  <w:vMerge w:val="restart"/>
                  <w:noWrap w:val="0"/>
                  <w:vAlign w:val="center"/>
                </w:tcPr>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来源</w:t>
                  </w:r>
                </w:p>
              </w:tc>
              <w:tc>
                <w:tcPr>
                  <w:tcW w:w="1731" w:type="dxa"/>
                  <w:vMerge w:val="restart"/>
                  <w:noWrap w:val="0"/>
                  <w:vAlign w:val="center"/>
                </w:tcPr>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污染物种类</w:t>
                  </w:r>
                </w:p>
              </w:tc>
              <w:tc>
                <w:tcPr>
                  <w:tcW w:w="1270" w:type="dxa"/>
                  <w:vMerge w:val="restart"/>
                  <w:noWrap w:val="0"/>
                  <w:vAlign w:val="center"/>
                </w:tcPr>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排放规律</w:t>
                  </w:r>
                </w:p>
              </w:tc>
              <w:tc>
                <w:tcPr>
                  <w:tcW w:w="3643" w:type="dxa"/>
                  <w:gridSpan w:val="2"/>
                  <w:noWrap w:val="0"/>
                  <w:vAlign w:val="center"/>
                </w:tcPr>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治理措施</w:t>
                  </w:r>
                </w:p>
              </w:tc>
              <w:tc>
                <w:tcPr>
                  <w:tcW w:w="967" w:type="dxa"/>
                  <w:vMerge w:val="restart"/>
                  <w:noWrap w:val="0"/>
                  <w:vAlign w:val="center"/>
                </w:tcPr>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排放去向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742" w:type="dxa"/>
                  <w:vMerge w:val="continue"/>
                  <w:noWrap w:val="0"/>
                  <w:vAlign w:val="center"/>
                </w:tcPr>
                <w:p>
                  <w:pPr>
                    <w:spacing w:line="340" w:lineRule="exact"/>
                    <w:jc w:val="center"/>
                    <w:rPr>
                      <w:rFonts w:hint="default" w:ascii="Times New Roman" w:hAnsi="Times New Roman" w:eastAsia="宋体" w:cs="Times New Roman"/>
                      <w:b/>
                      <w:bCs/>
                      <w:kern w:val="0"/>
                      <w:sz w:val="21"/>
                      <w:szCs w:val="21"/>
                    </w:rPr>
                  </w:pPr>
                </w:p>
              </w:tc>
              <w:tc>
                <w:tcPr>
                  <w:tcW w:w="924" w:type="dxa"/>
                  <w:vMerge w:val="continue"/>
                  <w:noWrap w:val="0"/>
                  <w:vAlign w:val="center"/>
                </w:tcPr>
                <w:p>
                  <w:pPr>
                    <w:spacing w:line="340" w:lineRule="exact"/>
                    <w:jc w:val="center"/>
                    <w:rPr>
                      <w:rFonts w:hint="default" w:ascii="Times New Roman" w:hAnsi="Times New Roman" w:eastAsia="宋体" w:cs="Times New Roman"/>
                      <w:b/>
                      <w:bCs/>
                      <w:kern w:val="0"/>
                      <w:sz w:val="21"/>
                      <w:szCs w:val="21"/>
                    </w:rPr>
                  </w:pPr>
                </w:p>
              </w:tc>
              <w:tc>
                <w:tcPr>
                  <w:tcW w:w="1731" w:type="dxa"/>
                  <w:vMerge w:val="continue"/>
                  <w:noWrap w:val="0"/>
                  <w:vAlign w:val="center"/>
                </w:tcPr>
                <w:p>
                  <w:pPr>
                    <w:spacing w:line="340" w:lineRule="exact"/>
                    <w:jc w:val="center"/>
                    <w:rPr>
                      <w:rFonts w:hint="default" w:ascii="Times New Roman" w:hAnsi="Times New Roman" w:eastAsia="宋体" w:cs="Times New Roman"/>
                      <w:b/>
                      <w:bCs/>
                      <w:kern w:val="0"/>
                      <w:sz w:val="21"/>
                      <w:szCs w:val="21"/>
                    </w:rPr>
                  </w:pPr>
                </w:p>
              </w:tc>
              <w:tc>
                <w:tcPr>
                  <w:tcW w:w="1270" w:type="dxa"/>
                  <w:vMerge w:val="continue"/>
                  <w:noWrap w:val="0"/>
                  <w:vAlign w:val="center"/>
                </w:tcPr>
                <w:p>
                  <w:pPr>
                    <w:spacing w:line="340" w:lineRule="exact"/>
                    <w:jc w:val="center"/>
                    <w:rPr>
                      <w:rFonts w:hint="default" w:ascii="Times New Roman" w:hAnsi="Times New Roman" w:eastAsia="宋体" w:cs="Times New Roman"/>
                      <w:b/>
                      <w:bCs/>
                      <w:kern w:val="0"/>
                      <w:sz w:val="21"/>
                      <w:szCs w:val="21"/>
                    </w:rPr>
                  </w:pPr>
                </w:p>
              </w:tc>
              <w:tc>
                <w:tcPr>
                  <w:tcW w:w="1880" w:type="dxa"/>
                  <w:noWrap w:val="0"/>
                  <w:vAlign w:val="center"/>
                </w:tcPr>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环评及批复要求</w:t>
                  </w:r>
                </w:p>
              </w:tc>
              <w:tc>
                <w:tcPr>
                  <w:tcW w:w="1763" w:type="dxa"/>
                  <w:noWrap w:val="0"/>
                  <w:vAlign w:val="center"/>
                </w:tcPr>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实际建设</w:t>
                  </w:r>
                </w:p>
              </w:tc>
              <w:tc>
                <w:tcPr>
                  <w:tcW w:w="967" w:type="dxa"/>
                  <w:vMerge w:val="continue"/>
                  <w:noWrap w:val="0"/>
                  <w:vAlign w:val="center"/>
                </w:tcPr>
                <w:p>
                  <w:pPr>
                    <w:spacing w:line="340" w:lineRule="exact"/>
                    <w:jc w:val="center"/>
                    <w:rPr>
                      <w:rFonts w:hint="default" w:ascii="Times New Roman" w:hAnsi="Times New Roman" w:eastAsia="宋体" w:cs="Times New Roman"/>
                      <w:b/>
                      <w:bCs/>
                      <w:kern w:val="0"/>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742" w:type="dxa"/>
                  <w:noWrap w:val="0"/>
                  <w:vAlign w:val="center"/>
                </w:tcPr>
                <w:p>
                  <w:pPr>
                    <w:spacing w:line="34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员工生活用水</w:t>
                  </w:r>
                </w:p>
              </w:tc>
              <w:tc>
                <w:tcPr>
                  <w:tcW w:w="924" w:type="dxa"/>
                  <w:noWrap w:val="0"/>
                  <w:vAlign w:val="center"/>
                </w:tcPr>
                <w:p>
                  <w:pPr>
                    <w:spacing w:line="34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生活用水</w:t>
                  </w:r>
                </w:p>
              </w:tc>
              <w:tc>
                <w:tcPr>
                  <w:tcW w:w="1731" w:type="dxa"/>
                  <w:noWrap w:val="0"/>
                  <w:vAlign w:val="center"/>
                </w:tcPr>
                <w:p>
                  <w:pPr>
                    <w:spacing w:line="340" w:lineRule="exact"/>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pH、CODcr、SS、动植物油、LAS、TP、氨氮</w:t>
                  </w:r>
                </w:p>
              </w:tc>
              <w:tc>
                <w:tcPr>
                  <w:tcW w:w="1270" w:type="dxa"/>
                  <w:noWrap w:val="0"/>
                  <w:vAlign w:val="center"/>
                </w:tcPr>
                <w:p>
                  <w:pPr>
                    <w:spacing w:line="34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间断</w:t>
                  </w:r>
                </w:p>
              </w:tc>
              <w:tc>
                <w:tcPr>
                  <w:tcW w:w="1880" w:type="dxa"/>
                  <w:noWrap w:val="0"/>
                  <w:vAlign w:val="center"/>
                </w:tcPr>
                <w:p>
                  <w:pPr>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color w:val="auto"/>
                      <w:kern w:val="10"/>
                      <w:sz w:val="21"/>
                      <w:szCs w:val="21"/>
                      <w:highlight w:val="none"/>
                    </w:rPr>
                    <w:t>三级化粪池</w:t>
                  </w:r>
                </w:p>
              </w:tc>
              <w:tc>
                <w:tcPr>
                  <w:tcW w:w="1763" w:type="dxa"/>
                  <w:noWrap w:val="0"/>
                  <w:vAlign w:val="center"/>
                </w:tcPr>
                <w:p>
                  <w:pPr>
                    <w:jc w:val="center"/>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color w:val="auto"/>
                      <w:kern w:val="10"/>
                      <w:sz w:val="21"/>
                      <w:szCs w:val="21"/>
                      <w:highlight w:val="none"/>
                    </w:rPr>
                    <w:t>三级化粪池</w:t>
                  </w:r>
                </w:p>
              </w:tc>
              <w:tc>
                <w:tcPr>
                  <w:tcW w:w="967" w:type="dxa"/>
                  <w:vMerge w:val="restart"/>
                  <w:noWrap w:val="0"/>
                  <w:vAlign w:val="center"/>
                </w:tcPr>
                <w:p>
                  <w:pPr>
                    <w:spacing w:line="340" w:lineRule="exact"/>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袁州区彬江机电产业园污水处理厂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57" w:hRule="atLeast"/>
                <w:jc w:val="center"/>
              </w:trPr>
              <w:tc>
                <w:tcPr>
                  <w:tcW w:w="742" w:type="dxa"/>
                  <w:noWrap w:val="0"/>
                  <w:vAlign w:val="center"/>
                </w:tcPr>
                <w:p>
                  <w:pPr>
                    <w:spacing w:line="340" w:lineRule="exact"/>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生产废水</w:t>
                  </w:r>
                </w:p>
              </w:tc>
              <w:tc>
                <w:tcPr>
                  <w:tcW w:w="924" w:type="dxa"/>
                  <w:noWrap w:val="0"/>
                  <w:vAlign w:val="center"/>
                </w:tcPr>
                <w:p>
                  <w:pPr>
                    <w:spacing w:line="340" w:lineRule="exact"/>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清洗废水</w:t>
                  </w:r>
                </w:p>
              </w:tc>
              <w:tc>
                <w:tcPr>
                  <w:tcW w:w="1731" w:type="dxa"/>
                  <w:noWrap w:val="0"/>
                  <w:vAlign w:val="center"/>
                </w:tcPr>
                <w:p>
                  <w:pPr>
                    <w:spacing w:before="100" w:line="232" w:lineRule="auto"/>
                    <w:jc w:val="both"/>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pH、CODcr、SS、石油类、LAS、TP、氨氮</w:t>
                  </w:r>
                </w:p>
              </w:tc>
              <w:tc>
                <w:tcPr>
                  <w:tcW w:w="1270" w:type="dxa"/>
                  <w:noWrap w:val="0"/>
                  <w:vAlign w:val="center"/>
                </w:tcPr>
                <w:p>
                  <w:pPr>
                    <w:spacing w:line="340" w:lineRule="exact"/>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间断</w:t>
                  </w:r>
                </w:p>
              </w:tc>
              <w:tc>
                <w:tcPr>
                  <w:tcW w:w="1880" w:type="dxa"/>
                  <w:noWrap w:val="0"/>
                  <w:vAlign w:val="center"/>
                </w:tcPr>
                <w:p>
                  <w:pPr>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回用不外排</w:t>
                  </w:r>
                </w:p>
              </w:tc>
              <w:tc>
                <w:tcPr>
                  <w:tcW w:w="1763" w:type="dxa"/>
                  <w:noWrap w:val="0"/>
                  <w:vAlign w:val="center"/>
                </w:tcPr>
                <w:p>
                  <w:pPr>
                    <w:tabs>
                      <w:tab w:val="center" w:pos="-180"/>
                    </w:tabs>
                    <w:jc w:val="center"/>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kern w:val="0"/>
                      <w:sz w:val="21"/>
                      <w:szCs w:val="21"/>
                      <w:lang w:val="en-US" w:eastAsia="zh-CN"/>
                    </w:rPr>
                    <w:t>回用不外排</w:t>
                  </w:r>
                </w:p>
              </w:tc>
              <w:tc>
                <w:tcPr>
                  <w:tcW w:w="967" w:type="dxa"/>
                  <w:vMerge w:val="continue"/>
                  <w:noWrap w:val="0"/>
                  <w:vAlign w:val="center"/>
                </w:tcPr>
                <w:p>
                  <w:pPr>
                    <w:spacing w:line="340" w:lineRule="exact"/>
                    <w:jc w:val="center"/>
                    <w:rPr>
                      <w:rFonts w:hint="default" w:ascii="Times New Roman" w:hAnsi="Times New Roman" w:eastAsia="宋体" w:cs="Times New Roman"/>
                      <w:kern w:val="0"/>
                      <w:sz w:val="21"/>
                      <w:szCs w:val="21"/>
                      <w:lang w:val="en-US" w:eastAsia="zh-CN"/>
                    </w:rPr>
                  </w:pPr>
                </w:p>
              </w:tc>
            </w:tr>
          </w:tbl>
          <w:p>
            <w:pPr>
              <w:pStyle w:val="32"/>
              <w:ind w:firstLine="0" w:firstLineChars="0"/>
              <w:jc w:val="both"/>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3.2 废气</w:t>
            </w:r>
          </w:p>
          <w:p>
            <w:pPr>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项目验收期间产生的大气污染物主要</w:t>
            </w:r>
            <w:r>
              <w:rPr>
                <w:rFonts w:hint="eastAsia" w:ascii="Times New Roman" w:hAnsi="Times New Roman" w:cs="Times New Roman"/>
                <w:bCs/>
                <w:sz w:val="24"/>
                <w:lang w:val="en-US" w:eastAsia="zh-CN"/>
              </w:rPr>
              <w:t>焊接烟尘</w:t>
            </w:r>
            <w:r>
              <w:rPr>
                <w:rFonts w:hint="default" w:ascii="Times New Roman" w:hAnsi="Times New Roman" w:cs="Times New Roman"/>
                <w:bCs/>
                <w:sz w:val="24"/>
              </w:rPr>
              <w:t>、</w:t>
            </w:r>
            <w:r>
              <w:rPr>
                <w:rFonts w:hint="default" w:ascii="Times New Roman" w:hAnsi="Times New Roman" w:cs="Times New Roman"/>
                <w:bCs/>
                <w:sz w:val="24"/>
                <w:lang w:val="en-US" w:eastAsia="zh-CN"/>
              </w:rPr>
              <w:t>原料装卸粉尘</w:t>
            </w:r>
            <w:r>
              <w:rPr>
                <w:rFonts w:hint="default" w:ascii="Times New Roman" w:hAnsi="Times New Roman" w:cs="Times New Roman"/>
                <w:bCs/>
                <w:sz w:val="24"/>
              </w:rPr>
              <w:t>、</w:t>
            </w:r>
            <w:r>
              <w:rPr>
                <w:rFonts w:hint="default" w:ascii="Times New Roman" w:hAnsi="Times New Roman" w:cs="Times New Roman"/>
                <w:bCs/>
                <w:sz w:val="24"/>
                <w:lang w:val="en-US" w:eastAsia="zh-CN"/>
              </w:rPr>
              <w:t>运输扬尘</w:t>
            </w:r>
            <w:r>
              <w:rPr>
                <w:rFonts w:hint="eastAsia" w:ascii="Times New Roman" w:hAnsi="Times New Roman" w:cs="Times New Roman"/>
                <w:bCs/>
                <w:sz w:val="24"/>
                <w:lang w:val="en-US" w:eastAsia="zh-CN"/>
              </w:rPr>
              <w:t>、搅拌废气、粉料入仓</w:t>
            </w:r>
            <w:r>
              <w:rPr>
                <w:rFonts w:hint="default" w:ascii="Times New Roman" w:hAnsi="Times New Roman" w:cs="Times New Roman"/>
                <w:bCs/>
                <w:sz w:val="24"/>
              </w:rPr>
              <w:t>。详见表3-2。</w:t>
            </w:r>
          </w:p>
          <w:p>
            <w:pPr>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表3-2 废气排放及防治措施表</w:t>
            </w:r>
          </w:p>
          <w:tbl>
            <w:tblPr>
              <w:tblStyle w:val="21"/>
              <w:tblW w:w="929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44"/>
              <w:gridCol w:w="1345"/>
              <w:gridCol w:w="1032"/>
              <w:gridCol w:w="966"/>
              <w:gridCol w:w="2280"/>
              <w:gridCol w:w="2169"/>
              <w:gridCol w:w="76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744" w:type="dxa"/>
                  <w:vMerge w:val="restart"/>
                  <w:noWrap w:val="0"/>
                  <w:vAlign w:val="center"/>
                </w:tcPr>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废气类别</w:t>
                  </w:r>
                </w:p>
              </w:tc>
              <w:tc>
                <w:tcPr>
                  <w:tcW w:w="1345" w:type="dxa"/>
                  <w:vMerge w:val="restart"/>
                  <w:noWrap w:val="0"/>
                  <w:vAlign w:val="center"/>
                </w:tcPr>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来源</w:t>
                  </w:r>
                </w:p>
              </w:tc>
              <w:tc>
                <w:tcPr>
                  <w:tcW w:w="1032" w:type="dxa"/>
                  <w:vMerge w:val="restart"/>
                  <w:noWrap w:val="0"/>
                  <w:vAlign w:val="center"/>
                </w:tcPr>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污染物种类</w:t>
                  </w:r>
                </w:p>
              </w:tc>
              <w:tc>
                <w:tcPr>
                  <w:tcW w:w="966" w:type="dxa"/>
                  <w:vMerge w:val="restart"/>
                  <w:noWrap w:val="0"/>
                  <w:vAlign w:val="center"/>
                </w:tcPr>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排放</w:t>
                  </w:r>
                </w:p>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规律</w:t>
                  </w:r>
                </w:p>
              </w:tc>
              <w:tc>
                <w:tcPr>
                  <w:tcW w:w="4449" w:type="dxa"/>
                  <w:gridSpan w:val="2"/>
                  <w:noWrap w:val="0"/>
                  <w:vAlign w:val="center"/>
                </w:tcPr>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治理措施</w:t>
                  </w:r>
                </w:p>
              </w:tc>
              <w:tc>
                <w:tcPr>
                  <w:tcW w:w="761" w:type="dxa"/>
                  <w:vMerge w:val="restart"/>
                  <w:noWrap w:val="0"/>
                  <w:vAlign w:val="center"/>
                </w:tcPr>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排放去向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744" w:type="dxa"/>
                  <w:vMerge w:val="continue"/>
                  <w:noWrap w:val="0"/>
                  <w:vAlign w:val="center"/>
                </w:tcPr>
                <w:p>
                  <w:pPr>
                    <w:spacing w:line="340" w:lineRule="exact"/>
                    <w:jc w:val="center"/>
                    <w:rPr>
                      <w:rFonts w:hint="default" w:ascii="Times New Roman" w:hAnsi="Times New Roman" w:eastAsia="宋体" w:cs="Times New Roman"/>
                      <w:b/>
                      <w:bCs/>
                      <w:kern w:val="0"/>
                      <w:sz w:val="21"/>
                      <w:szCs w:val="21"/>
                    </w:rPr>
                  </w:pPr>
                </w:p>
              </w:tc>
              <w:tc>
                <w:tcPr>
                  <w:tcW w:w="1345" w:type="dxa"/>
                  <w:vMerge w:val="continue"/>
                  <w:noWrap w:val="0"/>
                  <w:vAlign w:val="center"/>
                </w:tcPr>
                <w:p>
                  <w:pPr>
                    <w:spacing w:line="340" w:lineRule="exact"/>
                    <w:jc w:val="center"/>
                    <w:rPr>
                      <w:rFonts w:hint="default" w:ascii="Times New Roman" w:hAnsi="Times New Roman" w:eastAsia="宋体" w:cs="Times New Roman"/>
                      <w:b/>
                      <w:bCs/>
                      <w:kern w:val="0"/>
                      <w:sz w:val="21"/>
                      <w:szCs w:val="21"/>
                    </w:rPr>
                  </w:pPr>
                </w:p>
              </w:tc>
              <w:tc>
                <w:tcPr>
                  <w:tcW w:w="1032" w:type="dxa"/>
                  <w:vMerge w:val="continue"/>
                  <w:noWrap w:val="0"/>
                  <w:vAlign w:val="center"/>
                </w:tcPr>
                <w:p>
                  <w:pPr>
                    <w:spacing w:line="340" w:lineRule="exact"/>
                    <w:jc w:val="center"/>
                    <w:rPr>
                      <w:rFonts w:hint="default" w:ascii="Times New Roman" w:hAnsi="Times New Roman" w:eastAsia="宋体" w:cs="Times New Roman"/>
                      <w:b/>
                      <w:bCs/>
                      <w:kern w:val="0"/>
                      <w:sz w:val="21"/>
                      <w:szCs w:val="21"/>
                    </w:rPr>
                  </w:pPr>
                </w:p>
              </w:tc>
              <w:tc>
                <w:tcPr>
                  <w:tcW w:w="966" w:type="dxa"/>
                  <w:vMerge w:val="continue"/>
                  <w:noWrap w:val="0"/>
                  <w:vAlign w:val="center"/>
                </w:tcPr>
                <w:p>
                  <w:pPr>
                    <w:spacing w:line="340" w:lineRule="exact"/>
                    <w:jc w:val="center"/>
                    <w:rPr>
                      <w:rFonts w:hint="default" w:ascii="Times New Roman" w:hAnsi="Times New Roman" w:eastAsia="宋体" w:cs="Times New Roman"/>
                      <w:b/>
                      <w:bCs/>
                      <w:kern w:val="0"/>
                      <w:sz w:val="21"/>
                      <w:szCs w:val="21"/>
                    </w:rPr>
                  </w:pPr>
                </w:p>
              </w:tc>
              <w:tc>
                <w:tcPr>
                  <w:tcW w:w="2280" w:type="dxa"/>
                  <w:noWrap w:val="0"/>
                  <w:vAlign w:val="center"/>
                </w:tcPr>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环评及批复要求</w:t>
                  </w:r>
                </w:p>
              </w:tc>
              <w:tc>
                <w:tcPr>
                  <w:tcW w:w="2169" w:type="dxa"/>
                  <w:noWrap w:val="0"/>
                  <w:vAlign w:val="center"/>
                </w:tcPr>
                <w:p>
                  <w:pPr>
                    <w:spacing w:line="340" w:lineRule="exact"/>
                    <w:jc w:val="center"/>
                    <w:rPr>
                      <w:rFonts w:hint="default" w:ascii="Times New Roman" w:hAnsi="Times New Roman" w:eastAsia="宋体" w:cs="Times New Roman"/>
                      <w:b/>
                      <w:bCs/>
                      <w:kern w:val="0"/>
                      <w:sz w:val="21"/>
                      <w:szCs w:val="21"/>
                    </w:rPr>
                  </w:pPr>
                  <w:r>
                    <w:rPr>
                      <w:rFonts w:hint="default" w:ascii="Times New Roman" w:hAnsi="Times New Roman" w:eastAsia="宋体" w:cs="Times New Roman"/>
                      <w:b/>
                      <w:bCs/>
                      <w:kern w:val="0"/>
                      <w:sz w:val="21"/>
                      <w:szCs w:val="21"/>
                    </w:rPr>
                    <w:t>实际建设</w:t>
                  </w:r>
                </w:p>
              </w:tc>
              <w:tc>
                <w:tcPr>
                  <w:tcW w:w="761" w:type="dxa"/>
                  <w:vMerge w:val="continue"/>
                  <w:noWrap w:val="0"/>
                  <w:vAlign w:val="center"/>
                </w:tcPr>
                <w:p>
                  <w:pPr>
                    <w:spacing w:line="340" w:lineRule="exact"/>
                    <w:jc w:val="center"/>
                    <w:rPr>
                      <w:rFonts w:hint="default" w:ascii="Times New Roman" w:hAnsi="Times New Roman" w:eastAsia="宋体" w:cs="Times New Roman"/>
                      <w:b/>
                      <w:bCs/>
                      <w:kern w:val="0"/>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44" w:type="dxa"/>
                  <w:vMerge w:val="restart"/>
                  <w:noWrap w:val="0"/>
                  <w:vAlign w:val="center"/>
                </w:tcPr>
                <w:p>
                  <w:pPr>
                    <w:spacing w:line="34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生产废气</w:t>
                  </w:r>
                </w:p>
              </w:tc>
              <w:tc>
                <w:tcPr>
                  <w:tcW w:w="1345" w:type="dxa"/>
                  <w:noWrap w:val="0"/>
                  <w:vAlign w:val="center"/>
                </w:tcPr>
                <w:p>
                  <w:pPr>
                    <w:spacing w:line="340" w:lineRule="exact"/>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焊接烟尘</w:t>
                  </w:r>
                </w:p>
              </w:tc>
              <w:tc>
                <w:tcPr>
                  <w:tcW w:w="1032" w:type="dxa"/>
                  <w:noWrap w:val="0"/>
                  <w:vAlign w:val="center"/>
                </w:tcPr>
                <w:p>
                  <w:pPr>
                    <w:spacing w:line="340" w:lineRule="exact"/>
                    <w:jc w:val="center"/>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spacing w:val="9"/>
                      <w:sz w:val="21"/>
                      <w:szCs w:val="21"/>
                    </w:rPr>
                    <w:t>颗粒物</w:t>
                  </w:r>
                </w:p>
              </w:tc>
              <w:tc>
                <w:tcPr>
                  <w:tcW w:w="966" w:type="dxa"/>
                  <w:noWrap w:val="0"/>
                  <w:vAlign w:val="center"/>
                </w:tcPr>
                <w:p>
                  <w:pPr>
                    <w:spacing w:line="340" w:lineRule="exact"/>
                    <w:jc w:val="center"/>
                    <w:rPr>
                      <w:rFonts w:hint="default" w:ascii="Times New Roman" w:hAnsi="Times New Roman" w:eastAsia="宋体" w:cs="Times New Roman"/>
                      <w:kern w:val="0"/>
                      <w:sz w:val="21"/>
                      <w:szCs w:val="21"/>
                      <w:lang w:eastAsia="zh-CN"/>
                    </w:rPr>
                  </w:pPr>
                  <w:r>
                    <w:rPr>
                      <w:rFonts w:hint="eastAsia" w:ascii="Times New Roman" w:hAnsi="Times New Roman" w:eastAsia="宋体" w:cs="Times New Roman"/>
                      <w:kern w:val="0"/>
                      <w:sz w:val="21"/>
                      <w:szCs w:val="21"/>
                      <w:lang w:val="en-US" w:eastAsia="zh-CN"/>
                    </w:rPr>
                    <w:t>无</w:t>
                  </w:r>
                  <w:r>
                    <w:rPr>
                      <w:rFonts w:hint="default" w:ascii="Times New Roman" w:hAnsi="Times New Roman" w:eastAsia="宋体" w:cs="Times New Roman"/>
                      <w:kern w:val="0"/>
                      <w:sz w:val="21"/>
                      <w:szCs w:val="21"/>
                      <w:lang w:eastAsia="zh-CN"/>
                    </w:rPr>
                    <w:t>组织</w:t>
                  </w:r>
                </w:p>
              </w:tc>
              <w:tc>
                <w:tcPr>
                  <w:tcW w:w="2280" w:type="dxa"/>
                  <w:noWrap w:val="0"/>
                  <w:vAlign w:val="center"/>
                </w:tcPr>
                <w:p>
                  <w:pPr>
                    <w:spacing w:before="146" w:line="233" w:lineRule="exact"/>
                    <w:ind w:left="189"/>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1台移动式焊接烟尘净化器</w:t>
                  </w:r>
                </w:p>
              </w:tc>
              <w:tc>
                <w:tcPr>
                  <w:tcW w:w="2169" w:type="dxa"/>
                  <w:noWrap w:val="0"/>
                  <w:vAlign w:val="center"/>
                </w:tcPr>
                <w:p>
                  <w:pPr>
                    <w:spacing w:line="340" w:lineRule="exact"/>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1台移动式焊接烟尘净化器</w:t>
                  </w:r>
                </w:p>
              </w:tc>
              <w:tc>
                <w:tcPr>
                  <w:tcW w:w="761" w:type="dxa"/>
                  <w:noWrap w:val="0"/>
                  <w:vAlign w:val="center"/>
                </w:tcPr>
                <w:p>
                  <w:pPr>
                    <w:spacing w:line="340" w:lineRule="exact"/>
                    <w:jc w:val="center"/>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kern w:val="0"/>
                      <w:sz w:val="21"/>
                      <w:szCs w:val="21"/>
                      <w:lang w:eastAsia="zh-CN"/>
                    </w:rPr>
                    <w:t>大气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744" w:type="dxa"/>
                  <w:vMerge w:val="continue"/>
                  <w:noWrap w:val="0"/>
                  <w:vAlign w:val="center"/>
                </w:tcPr>
                <w:p>
                  <w:pPr>
                    <w:spacing w:line="340" w:lineRule="exact"/>
                    <w:jc w:val="center"/>
                    <w:rPr>
                      <w:rFonts w:hint="default" w:ascii="Times New Roman" w:hAnsi="Times New Roman" w:eastAsia="宋体" w:cs="Times New Roman"/>
                      <w:kern w:val="0"/>
                      <w:sz w:val="21"/>
                      <w:szCs w:val="21"/>
                    </w:rPr>
                  </w:pPr>
                </w:p>
              </w:tc>
              <w:tc>
                <w:tcPr>
                  <w:tcW w:w="1345" w:type="dxa"/>
                  <w:noWrap w:val="0"/>
                  <w:vAlign w:val="center"/>
                </w:tcPr>
                <w:p>
                  <w:pPr>
                    <w:spacing w:line="34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lang w:val="en-US" w:eastAsia="zh-CN"/>
                    </w:rPr>
                    <w:t>原料装卸粉尘</w:t>
                  </w:r>
                </w:p>
              </w:tc>
              <w:tc>
                <w:tcPr>
                  <w:tcW w:w="1032" w:type="dxa"/>
                  <w:noWrap w:val="0"/>
                  <w:vAlign w:val="center"/>
                </w:tcPr>
                <w:p>
                  <w:pPr>
                    <w:spacing w:line="340" w:lineRule="exact"/>
                    <w:jc w:val="center"/>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spacing w:val="3"/>
                      <w:sz w:val="21"/>
                      <w:szCs w:val="21"/>
                    </w:rPr>
                    <w:t>颗粒物</w:t>
                  </w:r>
                </w:p>
              </w:tc>
              <w:tc>
                <w:tcPr>
                  <w:tcW w:w="966" w:type="dxa"/>
                  <w:noWrap w:val="0"/>
                  <w:vAlign w:val="center"/>
                </w:tcPr>
                <w:p>
                  <w:pPr>
                    <w:spacing w:line="340" w:lineRule="exact"/>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无</w:t>
                  </w:r>
                  <w:r>
                    <w:rPr>
                      <w:rFonts w:hint="default" w:ascii="Times New Roman" w:hAnsi="Times New Roman" w:eastAsia="宋体" w:cs="Times New Roman"/>
                      <w:kern w:val="0"/>
                      <w:sz w:val="21"/>
                      <w:szCs w:val="21"/>
                      <w:lang w:val="en-US" w:eastAsia="zh-CN"/>
                    </w:rPr>
                    <w:t>组织</w:t>
                  </w:r>
                </w:p>
              </w:tc>
              <w:tc>
                <w:tcPr>
                  <w:tcW w:w="2280" w:type="dxa"/>
                  <w:noWrap w:val="0"/>
                  <w:vAlign w:val="center"/>
                </w:tcPr>
                <w:p>
                  <w:pPr>
                    <w:spacing w:before="49" w:line="233" w:lineRule="auto"/>
                    <w:ind w:left="221"/>
                    <w:rPr>
                      <w:rFonts w:hint="default" w:ascii="Times New Roman" w:hAnsi="Times New Roman" w:eastAsia="宋体" w:cs="Times New Roman"/>
                      <w:bCs/>
                      <w:color w:val="000000"/>
                      <w:sz w:val="21"/>
                      <w:szCs w:val="21"/>
                      <w:lang w:eastAsia="zh-CN"/>
                    </w:rPr>
                  </w:pPr>
                  <w:r>
                    <w:rPr>
                      <w:rFonts w:hint="default" w:ascii="Times New Roman" w:hAnsi="Times New Roman" w:eastAsia="宋体" w:cs="Times New Roman"/>
                      <w:color w:val="auto"/>
                      <w:sz w:val="21"/>
                      <w:szCs w:val="21"/>
                      <w:highlight w:val="none"/>
                      <w:lang w:val="en-US" w:eastAsia="zh-CN"/>
                    </w:rPr>
                    <w:t>喷雾洒水</w:t>
                  </w:r>
                </w:p>
              </w:tc>
              <w:tc>
                <w:tcPr>
                  <w:tcW w:w="2169" w:type="dxa"/>
                  <w:noWrap w:val="0"/>
                  <w:vAlign w:val="center"/>
                </w:tcPr>
                <w:p>
                  <w:pPr>
                    <w:spacing w:line="340" w:lineRule="exact"/>
                    <w:jc w:val="center"/>
                    <w:rPr>
                      <w:rFonts w:hint="default" w:ascii="Times New Roman" w:hAnsi="Times New Roman" w:eastAsia="宋体" w:cs="Times New Roman"/>
                      <w:bCs/>
                      <w:color w:val="000000"/>
                      <w:sz w:val="21"/>
                      <w:szCs w:val="21"/>
                      <w:lang w:val="en-US" w:eastAsia="zh-CN"/>
                    </w:rPr>
                  </w:pPr>
                  <w:r>
                    <w:rPr>
                      <w:rFonts w:hint="default" w:ascii="Times New Roman" w:hAnsi="Times New Roman" w:eastAsia="宋体" w:cs="Times New Roman"/>
                      <w:color w:val="auto"/>
                      <w:sz w:val="21"/>
                      <w:szCs w:val="21"/>
                      <w:highlight w:val="none"/>
                      <w:lang w:val="en-US" w:eastAsia="zh-CN"/>
                    </w:rPr>
                    <w:t>喷雾洒水</w:t>
                  </w:r>
                </w:p>
              </w:tc>
              <w:tc>
                <w:tcPr>
                  <w:tcW w:w="761" w:type="dxa"/>
                  <w:noWrap w:val="0"/>
                  <w:vAlign w:val="center"/>
                </w:tcPr>
                <w:p>
                  <w:pPr>
                    <w:spacing w:line="340" w:lineRule="exact"/>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大气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44" w:type="dxa"/>
                  <w:vMerge w:val="continue"/>
                  <w:noWrap w:val="0"/>
                  <w:vAlign w:val="center"/>
                </w:tcPr>
                <w:p>
                  <w:pPr>
                    <w:spacing w:line="340" w:lineRule="exact"/>
                    <w:jc w:val="center"/>
                    <w:rPr>
                      <w:rFonts w:hint="default" w:ascii="Times New Roman" w:hAnsi="Times New Roman" w:eastAsia="宋体" w:cs="Times New Roman"/>
                      <w:kern w:val="0"/>
                      <w:sz w:val="21"/>
                      <w:szCs w:val="21"/>
                    </w:rPr>
                  </w:pPr>
                </w:p>
              </w:tc>
              <w:tc>
                <w:tcPr>
                  <w:tcW w:w="1345" w:type="dxa"/>
                  <w:noWrap w:val="0"/>
                  <w:vAlign w:val="center"/>
                </w:tcPr>
                <w:p>
                  <w:pPr>
                    <w:spacing w:line="34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运输扬尘</w:t>
                  </w:r>
                </w:p>
              </w:tc>
              <w:tc>
                <w:tcPr>
                  <w:tcW w:w="1032" w:type="dxa"/>
                  <w:noWrap w:val="0"/>
                  <w:vAlign w:val="center"/>
                </w:tcPr>
                <w:p>
                  <w:pPr>
                    <w:spacing w:line="340" w:lineRule="exact"/>
                    <w:jc w:val="center"/>
                    <w:rPr>
                      <w:rFonts w:hint="eastAsia" w:ascii="Times New Roman" w:hAnsi="Times New Roman" w:eastAsia="宋体" w:cs="Times New Roman"/>
                      <w:spacing w:val="3"/>
                      <w:sz w:val="21"/>
                      <w:szCs w:val="21"/>
                      <w:lang w:val="en-US" w:eastAsia="zh-CN"/>
                    </w:rPr>
                  </w:pPr>
                  <w:r>
                    <w:rPr>
                      <w:rFonts w:hint="eastAsia" w:ascii="Times New Roman" w:hAnsi="Times New Roman" w:eastAsia="宋体" w:cs="Times New Roman"/>
                      <w:spacing w:val="3"/>
                      <w:sz w:val="21"/>
                      <w:szCs w:val="21"/>
                      <w:lang w:val="en-US" w:eastAsia="zh-CN"/>
                    </w:rPr>
                    <w:t>颗粒物</w:t>
                  </w:r>
                </w:p>
              </w:tc>
              <w:tc>
                <w:tcPr>
                  <w:tcW w:w="966" w:type="dxa"/>
                  <w:noWrap w:val="0"/>
                  <w:vAlign w:val="center"/>
                </w:tcPr>
                <w:p>
                  <w:pPr>
                    <w:spacing w:line="340" w:lineRule="exact"/>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无组织</w:t>
                  </w:r>
                </w:p>
              </w:tc>
              <w:tc>
                <w:tcPr>
                  <w:tcW w:w="2280" w:type="dxa"/>
                  <w:noWrap w:val="0"/>
                  <w:vAlign w:val="center"/>
                </w:tcPr>
                <w:p>
                  <w:pPr>
                    <w:spacing w:before="49" w:line="233" w:lineRule="auto"/>
                    <w:ind w:left="22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洒水抑尘</w:t>
                  </w:r>
                </w:p>
              </w:tc>
              <w:tc>
                <w:tcPr>
                  <w:tcW w:w="2169" w:type="dxa"/>
                  <w:noWrap w:val="0"/>
                  <w:vAlign w:val="center"/>
                </w:tcPr>
                <w:p>
                  <w:pPr>
                    <w:spacing w:before="49" w:line="233" w:lineRule="auto"/>
                    <w:ind w:left="221" w:leftChars="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洒水抑尘</w:t>
                  </w:r>
                </w:p>
              </w:tc>
              <w:tc>
                <w:tcPr>
                  <w:tcW w:w="761" w:type="dxa"/>
                  <w:noWrap w:val="0"/>
                  <w:vAlign w:val="center"/>
                </w:tcPr>
                <w:p>
                  <w:pPr>
                    <w:spacing w:line="340" w:lineRule="exact"/>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大气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Merge w:val="continue"/>
                  <w:noWrap w:val="0"/>
                  <w:vAlign w:val="center"/>
                </w:tcPr>
                <w:p>
                  <w:pPr>
                    <w:spacing w:line="340" w:lineRule="exact"/>
                    <w:jc w:val="center"/>
                    <w:rPr>
                      <w:rFonts w:hint="default" w:ascii="Times New Roman" w:hAnsi="Times New Roman" w:eastAsia="宋体" w:cs="Times New Roman"/>
                      <w:kern w:val="0"/>
                      <w:sz w:val="21"/>
                      <w:szCs w:val="21"/>
                    </w:rPr>
                  </w:pPr>
                </w:p>
              </w:tc>
              <w:tc>
                <w:tcPr>
                  <w:tcW w:w="1345"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eastAsia" w:ascii="Times New Roman" w:hAnsi="Times New Roman" w:eastAsia="宋体" w:cs="Times New Roman"/>
                      <w:spacing w:val="18"/>
                      <w:sz w:val="21"/>
                      <w:szCs w:val="21"/>
                      <w:lang w:val="en-US" w:eastAsia="zh-CN"/>
                    </w:rPr>
                  </w:pPr>
                  <w:r>
                    <w:rPr>
                      <w:rFonts w:hint="default" w:ascii="Times New Roman" w:hAnsi="Times New Roman" w:eastAsia="宋体" w:cs="Times New Roman"/>
                      <w:color w:val="auto"/>
                      <w:sz w:val="21"/>
                      <w:szCs w:val="21"/>
                      <w:highlight w:val="none"/>
                      <w:lang w:val="en-US" w:eastAsia="zh-CN"/>
                    </w:rPr>
                    <w:t>搅拌粉尘</w:t>
                  </w:r>
                </w:p>
              </w:tc>
              <w:tc>
                <w:tcPr>
                  <w:tcW w:w="1032" w:type="dxa"/>
                  <w:noWrap w:val="0"/>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sz w:val="21"/>
                      <w:szCs w:val="21"/>
                    </w:rPr>
                  </w:pPr>
                  <w:r>
                    <w:rPr>
                      <w:rFonts w:hint="default" w:ascii="Times New Roman" w:hAnsi="Times New Roman" w:eastAsia="宋体" w:cs="Times New Roman"/>
                      <w:color w:val="auto"/>
                      <w:sz w:val="21"/>
                      <w:szCs w:val="21"/>
                      <w:highlight w:val="none"/>
                      <w:lang w:val="en-US" w:eastAsia="zh-CN"/>
                    </w:rPr>
                    <w:t>颗粒物</w:t>
                  </w:r>
                </w:p>
              </w:tc>
              <w:tc>
                <w:tcPr>
                  <w:tcW w:w="966" w:type="dxa"/>
                  <w:noWrap w:val="0"/>
                  <w:vAlign w:val="center"/>
                </w:tcPr>
                <w:p>
                  <w:pPr>
                    <w:keepNext w:val="0"/>
                    <w:keepLines w:val="0"/>
                    <w:pageBreakBefore w:val="0"/>
                    <w:widowControl/>
                    <w:kinsoku/>
                    <w:wordWrap/>
                    <w:overflowPunct/>
                    <w:topLinePunct w:val="0"/>
                    <w:autoSpaceDE/>
                    <w:autoSpaceDN/>
                    <w:bidi w:val="0"/>
                    <w:adjustRightInd w:val="0"/>
                    <w:snapToGrid w:val="0"/>
                    <w:ind w:firstLine="0" w:firstLineChars="0"/>
                    <w:jc w:val="center"/>
                    <w:textAlignment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无组织</w:t>
                  </w:r>
                </w:p>
              </w:tc>
              <w:tc>
                <w:tcPr>
                  <w:tcW w:w="2280" w:type="dxa"/>
                  <w:noWrap w:val="0"/>
                  <w:vAlign w:val="center"/>
                </w:tcPr>
                <w:p>
                  <w:pPr>
                    <w:spacing w:before="49" w:line="233" w:lineRule="auto"/>
                    <w:ind w:left="221"/>
                    <w:rPr>
                      <w:rFonts w:hint="default" w:ascii="Times New Roman" w:hAnsi="Times New Roman" w:eastAsia="宋体" w:cs="Times New Roman"/>
                      <w:bCs/>
                      <w:color w:val="000000"/>
                      <w:sz w:val="21"/>
                      <w:szCs w:val="21"/>
                    </w:rPr>
                  </w:pPr>
                  <w:r>
                    <w:rPr>
                      <w:rFonts w:hint="default" w:ascii="Times New Roman" w:hAnsi="Times New Roman" w:eastAsia="宋体" w:cs="Times New Roman"/>
                      <w:color w:val="auto"/>
                      <w:sz w:val="21"/>
                      <w:szCs w:val="21"/>
                      <w:highlight w:val="none"/>
                      <w:lang w:val="en-US" w:eastAsia="zh-CN"/>
                    </w:rPr>
                    <w:t>喷淋洒水装置</w:t>
                  </w:r>
                </w:p>
              </w:tc>
              <w:tc>
                <w:tcPr>
                  <w:tcW w:w="2169" w:type="dxa"/>
                  <w:noWrap w:val="0"/>
                  <w:vAlign w:val="center"/>
                </w:tcPr>
                <w:p>
                  <w:pPr>
                    <w:spacing w:before="49" w:line="233" w:lineRule="auto"/>
                    <w:ind w:left="221" w:leftChars="0"/>
                    <w:rPr>
                      <w:rFonts w:hint="default" w:ascii="Times New Roman" w:hAnsi="Times New Roman" w:eastAsia="宋体" w:cs="Times New Roman"/>
                      <w:bCs/>
                      <w:color w:val="000000"/>
                      <w:sz w:val="21"/>
                      <w:szCs w:val="21"/>
                    </w:rPr>
                  </w:pPr>
                  <w:r>
                    <w:rPr>
                      <w:rFonts w:hint="default" w:ascii="Times New Roman" w:hAnsi="Times New Roman" w:eastAsia="宋体" w:cs="Times New Roman"/>
                      <w:color w:val="auto"/>
                      <w:sz w:val="21"/>
                      <w:szCs w:val="21"/>
                      <w:highlight w:val="none"/>
                      <w:lang w:val="en-US" w:eastAsia="zh-CN"/>
                    </w:rPr>
                    <w:t>喷淋洒水装置</w:t>
                  </w:r>
                </w:p>
              </w:tc>
              <w:tc>
                <w:tcPr>
                  <w:tcW w:w="761" w:type="dxa"/>
                  <w:noWrap w:val="0"/>
                  <w:vAlign w:val="center"/>
                </w:tcPr>
                <w:p>
                  <w:pPr>
                    <w:spacing w:line="340" w:lineRule="exact"/>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大气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744" w:type="dxa"/>
                  <w:vMerge w:val="continue"/>
                  <w:noWrap w:val="0"/>
                  <w:vAlign w:val="center"/>
                </w:tcPr>
                <w:p>
                  <w:pPr>
                    <w:spacing w:line="340" w:lineRule="exact"/>
                    <w:jc w:val="center"/>
                    <w:rPr>
                      <w:rFonts w:hint="default" w:ascii="Times New Roman" w:hAnsi="Times New Roman" w:eastAsia="宋体" w:cs="Times New Roman"/>
                      <w:kern w:val="0"/>
                      <w:sz w:val="21"/>
                      <w:szCs w:val="21"/>
                    </w:rPr>
                  </w:pPr>
                </w:p>
              </w:tc>
              <w:tc>
                <w:tcPr>
                  <w:tcW w:w="1345" w:type="dxa"/>
                  <w:noWrap w:val="0"/>
                  <w:vAlign w:val="center"/>
                </w:tcPr>
                <w:p>
                  <w:pPr>
                    <w:spacing w:line="340" w:lineRule="exact"/>
                    <w:jc w:val="center"/>
                    <w:rPr>
                      <w:rFonts w:hint="default" w:ascii="Times New Roman" w:hAnsi="Times New Roman" w:eastAsia="宋体" w:cs="Times New Roman"/>
                      <w:spacing w:val="18"/>
                      <w:sz w:val="21"/>
                      <w:szCs w:val="21"/>
                      <w:lang w:val="en-US" w:eastAsia="zh-CN"/>
                    </w:rPr>
                  </w:pPr>
                  <w:r>
                    <w:rPr>
                      <w:rFonts w:hint="eastAsia" w:ascii="Times New Roman" w:hAnsi="Times New Roman" w:eastAsia="宋体" w:cs="Times New Roman"/>
                      <w:sz w:val="21"/>
                      <w:szCs w:val="21"/>
                      <w:highlight w:val="none"/>
                      <w:lang w:val="en-US" w:eastAsia="zh-CN"/>
                    </w:rPr>
                    <w:t>粉料入仓</w:t>
                  </w:r>
                </w:p>
              </w:tc>
              <w:tc>
                <w:tcPr>
                  <w:tcW w:w="1032" w:type="dxa"/>
                  <w:noWrap w:val="0"/>
                  <w:vAlign w:val="center"/>
                </w:tcPr>
                <w:p>
                  <w:pPr>
                    <w:spacing w:line="340" w:lineRule="exact"/>
                    <w:jc w:val="center"/>
                    <w:rPr>
                      <w:rFonts w:hint="eastAsia" w:ascii="Times New Roman" w:hAnsi="Times New Roman" w:eastAsia="宋体" w:cs="Times New Roman"/>
                      <w:spacing w:val="9"/>
                      <w:sz w:val="21"/>
                      <w:szCs w:val="21"/>
                      <w:lang w:val="en-US" w:eastAsia="zh-CN"/>
                    </w:rPr>
                  </w:pPr>
                  <w:r>
                    <w:rPr>
                      <w:rFonts w:hint="default" w:ascii="Times New Roman" w:hAnsi="Times New Roman" w:eastAsia="宋体" w:cs="Times New Roman"/>
                      <w:spacing w:val="9"/>
                      <w:sz w:val="21"/>
                      <w:szCs w:val="21"/>
                    </w:rPr>
                    <w:t>颗粒物</w:t>
                  </w:r>
                </w:p>
              </w:tc>
              <w:tc>
                <w:tcPr>
                  <w:tcW w:w="966" w:type="dxa"/>
                  <w:noWrap w:val="0"/>
                  <w:vAlign w:val="center"/>
                </w:tcPr>
                <w:p>
                  <w:pPr>
                    <w:spacing w:line="340" w:lineRule="exact"/>
                    <w:jc w:val="center"/>
                    <w:rPr>
                      <w:rFonts w:hint="default" w:ascii="Times New Roman" w:hAnsi="Times New Roman" w:eastAsia="宋体" w:cs="Times New Roman"/>
                      <w:kern w:val="0"/>
                      <w:sz w:val="21"/>
                      <w:szCs w:val="21"/>
                      <w:lang w:val="en-US" w:eastAsia="zh-CN"/>
                    </w:rPr>
                  </w:pPr>
                  <w:r>
                    <w:rPr>
                      <w:rFonts w:hint="eastAsia" w:ascii="Times New Roman" w:hAnsi="Times New Roman" w:eastAsia="宋体" w:cs="Times New Roman"/>
                      <w:kern w:val="0"/>
                      <w:sz w:val="21"/>
                      <w:szCs w:val="21"/>
                      <w:lang w:val="en-US" w:eastAsia="zh-CN"/>
                    </w:rPr>
                    <w:t>有组织</w:t>
                  </w:r>
                </w:p>
              </w:tc>
              <w:tc>
                <w:tcPr>
                  <w:tcW w:w="2280" w:type="dxa"/>
                  <w:noWrap w:val="0"/>
                  <w:vAlign w:val="center"/>
                </w:tcPr>
                <w:p>
                  <w:pPr>
                    <w:spacing w:before="49" w:line="233" w:lineRule="auto"/>
                    <w:rPr>
                      <w:rFonts w:hint="default" w:ascii="Times New Roman" w:hAnsi="Times New Roman" w:eastAsia="宋体" w:cs="Times New Roman"/>
                      <w:spacing w:val="5"/>
                      <w:sz w:val="21"/>
                      <w:szCs w:val="21"/>
                    </w:rPr>
                  </w:pPr>
                  <w:r>
                    <w:rPr>
                      <w:rFonts w:hint="default" w:ascii="Times New Roman" w:hAnsi="Times New Roman" w:cs="Times New Roman"/>
                      <w:color w:val="auto"/>
                      <w:sz w:val="21"/>
                      <w:szCs w:val="21"/>
                      <w:highlight w:val="none"/>
                      <w:lang w:val="en-US" w:eastAsia="zh-CN"/>
                    </w:rPr>
                    <w:t>水泥入仓出气口连接集气管并设置集气管道经</w:t>
                  </w:r>
                  <w:r>
                    <w:rPr>
                      <w:rFonts w:hint="eastAsia" w:ascii="Times New Roman" w:hAnsi="Times New Roman" w:cs="Times New Roman"/>
                      <w:color w:val="auto"/>
                      <w:sz w:val="21"/>
                      <w:szCs w:val="21"/>
                      <w:highlight w:val="none"/>
                      <w:lang w:val="en-US" w:eastAsia="zh-CN"/>
                    </w:rPr>
                    <w:t>脉冲除尘处理后通过1根15m排气筒排放</w:t>
                  </w:r>
                </w:p>
              </w:tc>
              <w:tc>
                <w:tcPr>
                  <w:tcW w:w="2169" w:type="dxa"/>
                  <w:noWrap w:val="0"/>
                  <w:vAlign w:val="center"/>
                </w:tcPr>
                <w:p>
                  <w:pPr>
                    <w:spacing w:line="340" w:lineRule="exact"/>
                    <w:jc w:val="both"/>
                    <w:rPr>
                      <w:rFonts w:hint="default" w:ascii="Times New Roman" w:hAnsi="Times New Roman" w:eastAsia="宋体" w:cs="Times New Roman"/>
                      <w:spacing w:val="5"/>
                      <w:sz w:val="21"/>
                      <w:szCs w:val="21"/>
                    </w:rPr>
                  </w:pPr>
                  <w:r>
                    <w:rPr>
                      <w:rFonts w:hint="default" w:ascii="Times New Roman" w:hAnsi="Times New Roman" w:cs="Times New Roman"/>
                      <w:color w:val="auto"/>
                      <w:sz w:val="21"/>
                      <w:szCs w:val="21"/>
                      <w:highlight w:val="none"/>
                      <w:lang w:val="en-US" w:eastAsia="zh-CN"/>
                    </w:rPr>
                    <w:t>水泥入仓出气口连接集气管并设置集气管道经</w:t>
                  </w:r>
                  <w:r>
                    <w:rPr>
                      <w:rFonts w:hint="eastAsia" w:ascii="Times New Roman" w:hAnsi="Times New Roman" w:cs="Times New Roman"/>
                      <w:color w:val="auto"/>
                      <w:sz w:val="21"/>
                      <w:szCs w:val="21"/>
                      <w:highlight w:val="none"/>
                      <w:lang w:val="en-US" w:eastAsia="zh-CN"/>
                    </w:rPr>
                    <w:t>脉冲除尘处理后通过1根15m排气筒排放</w:t>
                  </w:r>
                </w:p>
              </w:tc>
              <w:tc>
                <w:tcPr>
                  <w:tcW w:w="761" w:type="dxa"/>
                  <w:noWrap w:val="0"/>
                  <w:vAlign w:val="center"/>
                </w:tcPr>
                <w:p>
                  <w:pPr>
                    <w:spacing w:line="340" w:lineRule="exact"/>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大气</w:t>
                  </w:r>
                </w:p>
              </w:tc>
            </w:tr>
          </w:tbl>
          <w:p>
            <w:pPr>
              <w:pStyle w:val="32"/>
              <w:ind w:firstLine="0" w:firstLineChars="0"/>
              <w:jc w:val="both"/>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3.3 噪声</w:t>
            </w:r>
          </w:p>
          <w:p>
            <w:pPr>
              <w:spacing w:line="360" w:lineRule="auto"/>
              <w:ind w:firstLine="480" w:firstLineChars="200"/>
              <w:rPr>
                <w:rFonts w:hint="default" w:ascii="Times New Roman" w:hAnsi="Times New Roman" w:cs="Times New Roman"/>
                <w:b/>
                <w:bCs/>
                <w:kern w:val="0"/>
                <w:szCs w:val="21"/>
              </w:rPr>
            </w:pPr>
            <w:r>
              <w:rPr>
                <w:rFonts w:hint="default" w:ascii="Times New Roman" w:hAnsi="Times New Roman" w:cs="Times New Roman"/>
                <w:sz w:val="24"/>
              </w:rPr>
              <w:t>项目验收期间噪声主要来源</w:t>
            </w:r>
            <w:r>
              <w:rPr>
                <w:rFonts w:hint="default" w:ascii="Times New Roman" w:hAnsi="Times New Roman" w:cs="Times New Roman"/>
                <w:color w:val="auto"/>
                <w:sz w:val="24"/>
              </w:rPr>
              <w:t>于等机</w:t>
            </w:r>
            <w:r>
              <w:rPr>
                <w:rFonts w:hint="default" w:ascii="Times New Roman" w:hAnsi="Times New Roman" w:cs="Times New Roman"/>
                <w:sz w:val="24"/>
              </w:rPr>
              <w:t>械设备运行过程产生的噪声。详见表3-3。</w:t>
            </w:r>
          </w:p>
          <w:p>
            <w:pPr>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表3-3 噪声排放及防治措施表</w:t>
            </w:r>
          </w:p>
          <w:tbl>
            <w:tblPr>
              <w:tblStyle w:val="21"/>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121"/>
              <w:gridCol w:w="1373"/>
              <w:gridCol w:w="1134"/>
              <w:gridCol w:w="2053"/>
              <w:gridCol w:w="2115"/>
              <w:gridCol w:w="73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14" w:type="dxa"/>
                  <w:vMerge w:val="restart"/>
                  <w:noWrap w:val="0"/>
                  <w:vAlign w:val="center"/>
                </w:tcPr>
                <w:p>
                  <w:pPr>
                    <w:spacing w:line="340" w:lineRule="exact"/>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噪声类别</w:t>
                  </w:r>
                </w:p>
              </w:tc>
              <w:tc>
                <w:tcPr>
                  <w:tcW w:w="1121" w:type="dxa"/>
                  <w:vMerge w:val="restart"/>
                  <w:noWrap w:val="0"/>
                  <w:vAlign w:val="center"/>
                </w:tcPr>
                <w:p>
                  <w:pPr>
                    <w:spacing w:line="340" w:lineRule="exact"/>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来源</w:t>
                  </w:r>
                </w:p>
              </w:tc>
              <w:tc>
                <w:tcPr>
                  <w:tcW w:w="1373" w:type="dxa"/>
                  <w:vMerge w:val="restart"/>
                  <w:noWrap w:val="0"/>
                  <w:vAlign w:val="center"/>
                </w:tcPr>
                <w:p>
                  <w:pPr>
                    <w:spacing w:line="340" w:lineRule="exact"/>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污染物种类</w:t>
                  </w:r>
                </w:p>
              </w:tc>
              <w:tc>
                <w:tcPr>
                  <w:tcW w:w="1134" w:type="dxa"/>
                  <w:vMerge w:val="restart"/>
                  <w:noWrap w:val="0"/>
                  <w:vAlign w:val="center"/>
                </w:tcPr>
                <w:p>
                  <w:pPr>
                    <w:spacing w:line="340" w:lineRule="exact"/>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排放规律</w:t>
                  </w:r>
                </w:p>
              </w:tc>
              <w:tc>
                <w:tcPr>
                  <w:tcW w:w="4168" w:type="dxa"/>
                  <w:gridSpan w:val="2"/>
                  <w:noWrap w:val="0"/>
                  <w:vAlign w:val="center"/>
                </w:tcPr>
                <w:p>
                  <w:pPr>
                    <w:spacing w:line="340" w:lineRule="exact"/>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治理措施</w:t>
                  </w:r>
                </w:p>
              </w:tc>
              <w:tc>
                <w:tcPr>
                  <w:tcW w:w="730" w:type="dxa"/>
                  <w:vMerge w:val="restart"/>
                  <w:noWrap w:val="0"/>
                  <w:vAlign w:val="center"/>
                </w:tcPr>
                <w:p>
                  <w:pPr>
                    <w:spacing w:line="340" w:lineRule="exact"/>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排放去向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14" w:type="dxa"/>
                  <w:vMerge w:val="continue"/>
                  <w:noWrap w:val="0"/>
                  <w:vAlign w:val="center"/>
                </w:tcPr>
                <w:p>
                  <w:pPr>
                    <w:spacing w:line="340" w:lineRule="exact"/>
                    <w:jc w:val="center"/>
                    <w:rPr>
                      <w:rFonts w:hint="default" w:ascii="Times New Roman" w:hAnsi="Times New Roman" w:cs="Times New Roman"/>
                      <w:b/>
                      <w:bCs/>
                      <w:kern w:val="0"/>
                      <w:szCs w:val="21"/>
                    </w:rPr>
                  </w:pPr>
                </w:p>
              </w:tc>
              <w:tc>
                <w:tcPr>
                  <w:tcW w:w="1121" w:type="dxa"/>
                  <w:vMerge w:val="continue"/>
                  <w:noWrap w:val="0"/>
                  <w:vAlign w:val="center"/>
                </w:tcPr>
                <w:p>
                  <w:pPr>
                    <w:spacing w:line="340" w:lineRule="exact"/>
                    <w:jc w:val="center"/>
                    <w:rPr>
                      <w:rFonts w:hint="default" w:ascii="Times New Roman" w:hAnsi="Times New Roman" w:cs="Times New Roman"/>
                      <w:b/>
                      <w:bCs/>
                      <w:kern w:val="0"/>
                      <w:szCs w:val="21"/>
                    </w:rPr>
                  </w:pPr>
                </w:p>
              </w:tc>
              <w:tc>
                <w:tcPr>
                  <w:tcW w:w="1373" w:type="dxa"/>
                  <w:vMerge w:val="continue"/>
                  <w:noWrap w:val="0"/>
                  <w:vAlign w:val="center"/>
                </w:tcPr>
                <w:p>
                  <w:pPr>
                    <w:spacing w:line="340" w:lineRule="exact"/>
                    <w:jc w:val="center"/>
                    <w:rPr>
                      <w:rFonts w:hint="default" w:ascii="Times New Roman" w:hAnsi="Times New Roman" w:cs="Times New Roman"/>
                      <w:b/>
                      <w:bCs/>
                      <w:kern w:val="0"/>
                      <w:szCs w:val="21"/>
                    </w:rPr>
                  </w:pPr>
                </w:p>
              </w:tc>
              <w:tc>
                <w:tcPr>
                  <w:tcW w:w="1134" w:type="dxa"/>
                  <w:vMerge w:val="continue"/>
                  <w:noWrap w:val="0"/>
                  <w:vAlign w:val="center"/>
                </w:tcPr>
                <w:p>
                  <w:pPr>
                    <w:spacing w:line="340" w:lineRule="exact"/>
                    <w:jc w:val="center"/>
                    <w:rPr>
                      <w:rFonts w:hint="default" w:ascii="Times New Roman" w:hAnsi="Times New Roman" w:cs="Times New Roman"/>
                      <w:b/>
                      <w:bCs/>
                      <w:kern w:val="0"/>
                      <w:szCs w:val="21"/>
                    </w:rPr>
                  </w:pPr>
                </w:p>
              </w:tc>
              <w:tc>
                <w:tcPr>
                  <w:tcW w:w="2053" w:type="dxa"/>
                  <w:noWrap w:val="0"/>
                  <w:vAlign w:val="center"/>
                </w:tcPr>
                <w:p>
                  <w:pPr>
                    <w:spacing w:line="340" w:lineRule="exact"/>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环评及批复要求</w:t>
                  </w:r>
                </w:p>
              </w:tc>
              <w:tc>
                <w:tcPr>
                  <w:tcW w:w="2115" w:type="dxa"/>
                  <w:noWrap w:val="0"/>
                  <w:vAlign w:val="center"/>
                </w:tcPr>
                <w:p>
                  <w:pPr>
                    <w:spacing w:line="340" w:lineRule="exact"/>
                    <w:jc w:val="center"/>
                    <w:rPr>
                      <w:rFonts w:hint="default" w:ascii="Times New Roman" w:hAnsi="Times New Roman" w:cs="Times New Roman"/>
                      <w:b/>
                      <w:bCs/>
                      <w:kern w:val="0"/>
                      <w:szCs w:val="21"/>
                    </w:rPr>
                  </w:pPr>
                  <w:r>
                    <w:rPr>
                      <w:rFonts w:hint="default" w:ascii="Times New Roman" w:hAnsi="Times New Roman" w:cs="Times New Roman"/>
                      <w:b/>
                      <w:bCs/>
                      <w:kern w:val="0"/>
                      <w:szCs w:val="21"/>
                    </w:rPr>
                    <w:t>实际建设</w:t>
                  </w:r>
                </w:p>
              </w:tc>
              <w:tc>
                <w:tcPr>
                  <w:tcW w:w="730" w:type="dxa"/>
                  <w:vMerge w:val="continue"/>
                  <w:noWrap w:val="0"/>
                  <w:vAlign w:val="center"/>
                </w:tcPr>
                <w:p>
                  <w:pPr>
                    <w:spacing w:line="340" w:lineRule="exact"/>
                    <w:jc w:val="center"/>
                    <w:rPr>
                      <w:rFonts w:hint="default" w:ascii="Times New Roman" w:hAnsi="Times New Roman" w:cs="Times New Roman"/>
                      <w:b/>
                      <w:bCs/>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714" w:type="dxa"/>
                  <w:noWrap w:val="0"/>
                  <w:vAlign w:val="center"/>
                </w:tcPr>
                <w:p>
                  <w:pPr>
                    <w:spacing w:line="340" w:lineRule="exact"/>
                    <w:jc w:val="center"/>
                    <w:rPr>
                      <w:rFonts w:hint="default" w:ascii="Times New Roman" w:hAnsi="Times New Roman" w:cs="Times New Roman"/>
                      <w:kern w:val="0"/>
                      <w:szCs w:val="21"/>
                    </w:rPr>
                  </w:pPr>
                  <w:r>
                    <w:rPr>
                      <w:rFonts w:hint="default" w:ascii="Times New Roman" w:hAnsi="Times New Roman" w:cs="Times New Roman"/>
                      <w:kern w:val="0"/>
                      <w:szCs w:val="21"/>
                    </w:rPr>
                    <w:t>厂界噪声</w:t>
                  </w:r>
                </w:p>
              </w:tc>
              <w:tc>
                <w:tcPr>
                  <w:tcW w:w="1121" w:type="dxa"/>
                  <w:noWrap w:val="0"/>
                  <w:vAlign w:val="center"/>
                </w:tcPr>
                <w:p>
                  <w:pPr>
                    <w:spacing w:line="340" w:lineRule="exact"/>
                    <w:jc w:val="center"/>
                    <w:rPr>
                      <w:rFonts w:hint="default" w:ascii="Times New Roman" w:hAnsi="Times New Roman" w:cs="Times New Roman"/>
                      <w:kern w:val="0"/>
                      <w:szCs w:val="21"/>
                    </w:rPr>
                  </w:pPr>
                  <w:r>
                    <w:rPr>
                      <w:rFonts w:hint="default" w:ascii="Times New Roman" w:hAnsi="Times New Roman" w:cs="Times New Roman"/>
                      <w:kern w:val="0"/>
                      <w:szCs w:val="21"/>
                    </w:rPr>
                    <w:t>设备运行</w:t>
                  </w:r>
                </w:p>
              </w:tc>
              <w:tc>
                <w:tcPr>
                  <w:tcW w:w="1373" w:type="dxa"/>
                  <w:noWrap w:val="0"/>
                  <w:vAlign w:val="center"/>
                </w:tcPr>
                <w:p>
                  <w:pPr>
                    <w:spacing w:line="340" w:lineRule="exact"/>
                    <w:jc w:val="center"/>
                    <w:rPr>
                      <w:rFonts w:hint="default" w:ascii="Times New Roman" w:hAnsi="Times New Roman" w:cs="Times New Roman"/>
                      <w:kern w:val="0"/>
                      <w:szCs w:val="21"/>
                    </w:rPr>
                  </w:pPr>
                  <w:r>
                    <w:rPr>
                      <w:rFonts w:hint="default" w:ascii="Times New Roman" w:hAnsi="Times New Roman" w:cs="Times New Roman"/>
                      <w:kern w:val="0"/>
                      <w:szCs w:val="21"/>
                    </w:rPr>
                    <w:t>设备噪声</w:t>
                  </w:r>
                </w:p>
              </w:tc>
              <w:tc>
                <w:tcPr>
                  <w:tcW w:w="1134" w:type="dxa"/>
                  <w:noWrap w:val="0"/>
                  <w:vAlign w:val="center"/>
                </w:tcPr>
                <w:p>
                  <w:pPr>
                    <w:spacing w:line="340" w:lineRule="exact"/>
                    <w:jc w:val="center"/>
                    <w:rPr>
                      <w:rFonts w:hint="default" w:ascii="Times New Roman" w:hAnsi="Times New Roman" w:cs="Times New Roman"/>
                      <w:kern w:val="0"/>
                      <w:szCs w:val="21"/>
                    </w:rPr>
                  </w:pPr>
                  <w:r>
                    <w:rPr>
                      <w:rFonts w:hint="default" w:ascii="Times New Roman" w:hAnsi="Times New Roman" w:cs="Times New Roman"/>
                      <w:kern w:val="0"/>
                      <w:szCs w:val="21"/>
                    </w:rPr>
                    <w:t>间断</w:t>
                  </w:r>
                </w:p>
              </w:tc>
              <w:tc>
                <w:tcPr>
                  <w:tcW w:w="2053" w:type="dxa"/>
                  <w:noWrap w:val="0"/>
                  <w:vAlign w:val="center"/>
                </w:tcPr>
                <w:p>
                  <w:pPr>
                    <w:spacing w:line="340" w:lineRule="exact"/>
                    <w:jc w:val="center"/>
                    <w:rPr>
                      <w:rFonts w:hint="eastAsia" w:ascii="Times New Roman" w:hAnsi="Times New Roman" w:cs="Times New Roman" w:eastAsiaTheme="minorEastAsia"/>
                      <w:kern w:val="0"/>
                      <w:szCs w:val="21"/>
                      <w:lang w:eastAsia="zh-CN"/>
                    </w:rPr>
                  </w:pPr>
                  <w:r>
                    <w:rPr>
                      <w:bCs/>
                      <w:color w:val="000000"/>
                      <w:szCs w:val="21"/>
                    </w:rPr>
                    <w:t>厂房隔音、设备减震垫等</w:t>
                  </w:r>
                  <w:r>
                    <w:rPr>
                      <w:rFonts w:hint="eastAsia" w:ascii="Times New Roman" w:hAnsi="Times New Roman" w:cs="Times New Roman"/>
                      <w:kern w:val="0"/>
                      <w:szCs w:val="21"/>
                      <w:lang w:eastAsia="zh-CN"/>
                    </w:rPr>
                    <w:t>。</w:t>
                  </w:r>
                </w:p>
              </w:tc>
              <w:tc>
                <w:tcPr>
                  <w:tcW w:w="2115" w:type="dxa"/>
                  <w:noWrap w:val="0"/>
                  <w:vAlign w:val="center"/>
                </w:tcPr>
                <w:p>
                  <w:pPr>
                    <w:spacing w:line="340" w:lineRule="exact"/>
                    <w:jc w:val="center"/>
                    <w:rPr>
                      <w:rFonts w:hint="default" w:ascii="Times New Roman" w:hAnsi="Times New Roman" w:cs="Times New Roman"/>
                      <w:kern w:val="0"/>
                      <w:szCs w:val="21"/>
                    </w:rPr>
                  </w:pPr>
                  <w:r>
                    <w:rPr>
                      <w:bCs/>
                      <w:color w:val="000000"/>
                      <w:szCs w:val="21"/>
                    </w:rPr>
                    <w:t>厂房隔音、设备减震垫等</w:t>
                  </w:r>
                  <w:r>
                    <w:rPr>
                      <w:rFonts w:hint="eastAsia"/>
                      <w:color w:val="auto"/>
                      <w:szCs w:val="21"/>
                      <w:lang w:val="en-US" w:eastAsia="zh-CN"/>
                    </w:rPr>
                    <w:t>处理。</w:t>
                  </w:r>
                </w:p>
              </w:tc>
              <w:tc>
                <w:tcPr>
                  <w:tcW w:w="730" w:type="dxa"/>
                  <w:noWrap w:val="0"/>
                  <w:vAlign w:val="center"/>
                </w:tcPr>
                <w:p>
                  <w:pPr>
                    <w:spacing w:line="340" w:lineRule="exact"/>
                    <w:jc w:val="center"/>
                    <w:rPr>
                      <w:rFonts w:hint="default" w:ascii="Times New Roman" w:hAnsi="Times New Roman" w:cs="Times New Roman"/>
                      <w:kern w:val="0"/>
                      <w:szCs w:val="21"/>
                    </w:rPr>
                  </w:pPr>
                  <w:r>
                    <w:rPr>
                      <w:rFonts w:hint="default" w:ascii="Times New Roman" w:hAnsi="Times New Roman" w:cs="Times New Roman"/>
                      <w:kern w:val="0"/>
                      <w:szCs w:val="21"/>
                    </w:rPr>
                    <w:t>周边环境</w:t>
                  </w:r>
                </w:p>
              </w:tc>
            </w:tr>
          </w:tbl>
          <w:p>
            <w:pPr>
              <w:pStyle w:val="32"/>
              <w:ind w:firstLine="0" w:firstLineChars="0"/>
              <w:jc w:val="both"/>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3.4 固体废弃物</w:t>
            </w:r>
          </w:p>
          <w:p>
            <w:pPr>
              <w:pStyle w:val="18"/>
              <w:keepNext w:val="0"/>
              <w:keepLines w:val="0"/>
              <w:widowControl/>
              <w:suppressLineNumbers w:val="0"/>
              <w:spacing w:before="0" w:beforeAutospacing="0" w:after="0" w:afterAutospacing="0"/>
              <w:ind w:left="0" w:right="0" w:firstLine="0"/>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项目运营期固体废物为</w:t>
            </w:r>
            <w:r>
              <w:t>生活垃圾、废边角料、废脱模剂桶、废润滑油桶等</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①一般固废</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项目入模工序会产生边角料，产生量约为原料用量的1.5%，即279t/a，收集后回用于生产；项目沉淀池会产生少量沉渣，产生量约为原料用量的0.5%，即93t/a，收集后回用于生产；项目清理搅拌机时会产生少量废渣，产生量约为原料用量的0.1%，即19t/a，收集后回用于生产。根据工程分析，除尘灰产生量约为0.2t/a，除尘器设置密闭灰仓并及时卸灰，采用气力输送方式运输除尘灰至水泥筒仓，回用于生产；涂刷脱模剂产生的废脱模剂桶量为0.2t/a（脱模剂主要成分为植物油、水，故属于一般固废），收集后由厂家回收；项目劳动定员162人，生活垃圾人均日产生量约0.5kg/d·人，年工作300天，则本项目生活垃圾产生量为24.3t/a。生活垃圾集中收集后交由环卫部门统一清运。</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一般固废暂存间和危废暂存间建设要求</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一般固废暂存间按照《一般工业固体废物贮存和填埋污染控制标准》（GB18599-2020）的要求建设，</w:t>
            </w:r>
            <w:r>
              <w:rPr>
                <w:rFonts w:hint="eastAsia" w:ascii="宋体" w:hAnsi="宋体" w:eastAsia="宋体" w:cs="宋体"/>
                <w:spacing w:val="8"/>
                <w:sz w:val="24"/>
                <w:szCs w:val="24"/>
              </w:rPr>
              <w:t>占地面积为</w:t>
            </w:r>
            <w:r>
              <w:rPr>
                <w:rFonts w:hint="eastAsia" w:ascii="宋体" w:hAnsi="宋体" w:eastAsia="宋体" w:cs="宋体"/>
                <w:spacing w:val="8"/>
                <w:sz w:val="24"/>
                <w:szCs w:val="24"/>
                <w:lang w:val="en-US" w:eastAsia="zh-CN"/>
              </w:rPr>
              <w:t>100</w:t>
            </w:r>
            <w:r>
              <w:rPr>
                <w:rFonts w:hint="eastAsia" w:ascii="宋体" w:hAnsi="宋体" w:eastAsia="宋体" w:cs="宋体"/>
                <w:spacing w:val="8"/>
                <w:sz w:val="24"/>
                <w:szCs w:val="24"/>
              </w:rPr>
              <w:t>m</w:t>
            </w:r>
            <w:r>
              <w:rPr>
                <w:rFonts w:hint="eastAsia" w:ascii="宋体" w:hAnsi="宋体" w:eastAsia="宋体" w:cs="宋体"/>
                <w:spacing w:val="8"/>
                <w:sz w:val="24"/>
                <w:szCs w:val="24"/>
                <w:vertAlign w:val="superscript"/>
              </w:rPr>
              <w:t>2</w:t>
            </w:r>
            <w:r>
              <w:rPr>
                <w:rFonts w:hint="eastAsia" w:ascii="宋体" w:hAnsi="宋体" w:eastAsia="宋体" w:cs="宋体"/>
                <w:spacing w:val="8"/>
                <w:sz w:val="24"/>
                <w:szCs w:val="24"/>
              </w:rPr>
              <w:t>，</w:t>
            </w:r>
            <w:r>
              <w:rPr>
                <w:rFonts w:hint="eastAsia" w:ascii="宋体" w:hAnsi="宋体" w:eastAsia="宋体" w:cs="宋体"/>
                <w:spacing w:val="8"/>
                <w:sz w:val="24"/>
                <w:szCs w:val="24"/>
                <w:lang w:val="en-US" w:eastAsia="zh-CN"/>
              </w:rPr>
              <w:t>最大存储量为50t，</w:t>
            </w:r>
            <w:r>
              <w:rPr>
                <w:rFonts w:hint="eastAsia" w:ascii="宋体" w:hAnsi="宋体" w:eastAsia="宋体" w:cs="宋体"/>
                <w:spacing w:val="8"/>
                <w:sz w:val="24"/>
                <w:szCs w:val="24"/>
              </w:rPr>
              <w:t>储存周期为</w:t>
            </w:r>
            <w:r>
              <w:rPr>
                <w:rFonts w:hint="eastAsia" w:ascii="宋体" w:hAnsi="宋体" w:eastAsia="宋体" w:cs="宋体"/>
                <w:spacing w:val="8"/>
                <w:sz w:val="24"/>
                <w:szCs w:val="24"/>
                <w:lang w:eastAsia="zh-CN"/>
              </w:rPr>
              <w:t>3</w:t>
            </w:r>
            <w:r>
              <w:rPr>
                <w:rFonts w:hint="eastAsia" w:ascii="宋体" w:hAnsi="宋体" w:eastAsia="宋体" w:cs="宋体"/>
                <w:spacing w:val="8"/>
                <w:sz w:val="24"/>
                <w:szCs w:val="24"/>
                <w:lang w:val="en-US" w:eastAsia="zh-CN"/>
              </w:rPr>
              <w:t>0d</w:t>
            </w:r>
            <w:r>
              <w:rPr>
                <w:rFonts w:hint="eastAsia" w:ascii="宋体" w:hAnsi="宋体" w:eastAsia="宋体" w:cs="宋体"/>
                <w:spacing w:val="8"/>
                <w:sz w:val="24"/>
                <w:szCs w:val="24"/>
              </w:rPr>
              <w:t>。</w:t>
            </w:r>
            <w:r>
              <w:rPr>
                <w:rFonts w:hint="eastAsia" w:ascii="宋体" w:hAnsi="宋体" w:eastAsia="宋体" w:cs="宋体"/>
                <w:spacing w:val="8"/>
                <w:sz w:val="24"/>
                <w:szCs w:val="24"/>
                <w:lang w:val="en-US" w:eastAsia="zh-CN"/>
              </w:rPr>
              <w:t>禁止危险废物和生活垃圾混入一般固废间，地面做硬化、防渗处理。</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val="en-US" w:eastAsia="zh-CN"/>
              </w:rPr>
              <w:t>②危险废物</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rPr>
              <w:t>本项目生产设备在使用过程中定期维护保养会产生一定量的废弃润滑油，产生量约为0.</w:t>
            </w:r>
            <w:r>
              <w:rPr>
                <w:rFonts w:hint="eastAsia" w:ascii="宋体" w:hAnsi="宋体" w:eastAsia="宋体" w:cs="宋体"/>
                <w:spacing w:val="8"/>
                <w:sz w:val="24"/>
                <w:szCs w:val="24"/>
                <w:lang w:val="en-US" w:eastAsia="zh-CN"/>
              </w:rPr>
              <w:t>1</w:t>
            </w:r>
            <w:r>
              <w:rPr>
                <w:rFonts w:hint="eastAsia" w:ascii="宋体" w:hAnsi="宋体" w:eastAsia="宋体" w:cs="宋体"/>
                <w:spacing w:val="8"/>
                <w:sz w:val="24"/>
                <w:szCs w:val="24"/>
              </w:rPr>
              <w:t>t/a，属于《国家危险废物名录》（2021年本）HW08（900-214-08）车辆、轮船及其它机械维修过程中产生的废发动机油、制动器油、自动变速器油、齿轮油等废润滑油，收集暂存于 危废暂存间，定期交有资质的单位处置。 项目设置危废暂存间（14m2）</w:t>
            </w:r>
            <w:r>
              <w:rPr>
                <w:rFonts w:hint="eastAsia" w:ascii="宋体" w:hAnsi="宋体" w:eastAsia="宋体" w:cs="宋体"/>
                <w:spacing w:val="8"/>
                <w:sz w:val="24"/>
                <w:szCs w:val="24"/>
                <w:lang w:eastAsia="zh-CN"/>
              </w:rPr>
              <w:t>，</w:t>
            </w:r>
            <w:r>
              <w:rPr>
                <w:rFonts w:hint="eastAsia" w:ascii="宋体" w:hAnsi="宋体" w:eastAsia="宋体" w:cs="宋体"/>
                <w:spacing w:val="8"/>
                <w:sz w:val="24"/>
                <w:szCs w:val="24"/>
                <w:lang w:val="en-US" w:eastAsia="zh-CN"/>
              </w:rPr>
              <w:t>最大存储量为5t，可满足一年的贮存需求</w:t>
            </w:r>
            <w:r>
              <w:rPr>
                <w:rFonts w:hint="eastAsia" w:ascii="宋体" w:hAnsi="宋体" w:eastAsia="宋体" w:cs="宋体"/>
                <w:spacing w:val="8"/>
                <w:sz w:val="24"/>
                <w:szCs w:val="24"/>
              </w:rPr>
              <w:t>，采取相应的防风、防雨、防晒、防渗、防漏、防流失等设施，用于项目产生危险废物的堆放</w:t>
            </w:r>
            <w:r>
              <w:rPr>
                <w:rFonts w:hint="eastAsia" w:ascii="宋体" w:hAnsi="宋体" w:eastAsia="宋体" w:cs="宋体"/>
                <w:spacing w:val="8"/>
                <w:sz w:val="24"/>
                <w:szCs w:val="24"/>
                <w:lang w:eastAsia="zh-CN"/>
              </w:rPr>
              <w:t>。</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val="en-US" w:eastAsia="zh-CN"/>
              </w:rPr>
              <w:t>项目危险废物暂存间应</w:t>
            </w:r>
            <w:r>
              <w:rPr>
                <w:rFonts w:hint="eastAsia" w:ascii="宋体" w:hAnsi="宋体" w:eastAsia="宋体" w:cs="宋体"/>
                <w:spacing w:val="8"/>
                <w:sz w:val="24"/>
                <w:szCs w:val="24"/>
                <w:lang w:eastAsia="zh-CN"/>
              </w:rPr>
              <w:t>按照</w:t>
            </w:r>
            <w:r>
              <w:rPr>
                <w:rFonts w:hint="eastAsia" w:ascii="宋体" w:hAnsi="宋体" w:eastAsia="宋体" w:cs="宋体"/>
                <w:spacing w:val="8"/>
                <w:sz w:val="24"/>
                <w:szCs w:val="24"/>
              </w:rPr>
              <w:t>《危险废物贮存污染控制标准》（GB18597-20</w:t>
            </w:r>
            <w:r>
              <w:rPr>
                <w:rFonts w:hint="eastAsia" w:ascii="宋体" w:hAnsi="宋体" w:eastAsia="宋体" w:cs="宋体"/>
                <w:spacing w:val="8"/>
                <w:sz w:val="24"/>
                <w:szCs w:val="24"/>
                <w:lang w:val="en-US" w:eastAsia="zh-CN"/>
              </w:rPr>
              <w:t>23</w:t>
            </w:r>
            <w:r>
              <w:rPr>
                <w:rFonts w:hint="eastAsia" w:ascii="宋体" w:hAnsi="宋体" w:eastAsia="宋体" w:cs="宋体"/>
                <w:spacing w:val="8"/>
                <w:sz w:val="24"/>
                <w:szCs w:val="24"/>
              </w:rPr>
              <w:t>）</w:t>
            </w:r>
            <w:r>
              <w:rPr>
                <w:rFonts w:hint="eastAsia" w:ascii="宋体" w:hAnsi="宋体" w:eastAsia="宋体" w:cs="宋体"/>
                <w:spacing w:val="8"/>
                <w:sz w:val="24"/>
                <w:szCs w:val="24"/>
                <w:lang w:val="en-US" w:eastAsia="zh-CN"/>
              </w:rPr>
              <w:t>要求进行</w:t>
            </w:r>
            <w:r>
              <w:rPr>
                <w:rFonts w:hint="eastAsia" w:ascii="宋体" w:hAnsi="宋体" w:eastAsia="宋体" w:cs="宋体"/>
                <w:spacing w:val="8"/>
                <w:sz w:val="24"/>
                <w:szCs w:val="24"/>
              </w:rPr>
              <w:t>维护和使用，并做好防风、防雨、防渗，其他要求如下：</w:t>
            </w:r>
            <w:r>
              <w:rPr>
                <w:rFonts w:hint="eastAsia" w:ascii="宋体" w:hAnsi="宋体" w:eastAsia="宋体" w:cs="宋体"/>
                <w:spacing w:val="8"/>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1）应建有堵截泄漏的裙脚，地面与裙脚要用坚固防渗的材料建造。应有隔离设施、报警装置和防风、防晒、防雨、防渗设施；</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2）基础防渗层为厚度在2毫米以上的高密度聚乙烯或其他人工防渗材料组成，渗透系数应小于1.0×10</w:t>
            </w:r>
            <w:r>
              <w:rPr>
                <w:rFonts w:hint="eastAsia" w:ascii="宋体" w:hAnsi="宋体" w:eastAsia="宋体" w:cs="宋体"/>
                <w:spacing w:val="8"/>
                <w:sz w:val="24"/>
                <w:szCs w:val="24"/>
                <w:lang w:val="en-US" w:eastAsia="zh-CN"/>
              </w:rPr>
              <w:t>-</w:t>
            </w:r>
            <w:r>
              <w:rPr>
                <w:rFonts w:hint="eastAsia" w:ascii="宋体" w:hAnsi="宋体" w:eastAsia="宋体" w:cs="宋体"/>
                <w:spacing w:val="8"/>
                <w:sz w:val="24"/>
                <w:szCs w:val="24"/>
              </w:rPr>
              <w:t>10厘米/秒；</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3）须有泄漏液体收集装置及气体导出口和气体净化装置；</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4）用于存放液体、半固体危险废物的地方，还须有耐腐蚀的硬化地面，地面无裂隙，并设置应急收集池；</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5）不相容的危险废物堆放区必须有隔离间隔断；</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rPr>
            </w:pPr>
            <w:r>
              <w:rPr>
                <w:rFonts w:hint="eastAsia" w:ascii="宋体" w:hAnsi="宋体" w:eastAsia="宋体" w:cs="宋体"/>
                <w:spacing w:val="8"/>
                <w:sz w:val="24"/>
                <w:szCs w:val="24"/>
              </w:rPr>
              <w:t>6）衬层上需建有渗滤液收集清除系统、径流疏导系统。</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危险废物储存要求：</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危险废物储存应当使用符合标准的容器，容器应完好无损；</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eastAsia="zh-CN"/>
              </w:rPr>
              <w:t>（</w:t>
            </w:r>
            <w:r>
              <w:rPr>
                <w:rFonts w:hint="eastAsia" w:ascii="宋体" w:hAnsi="宋体" w:eastAsia="宋体" w:cs="宋体"/>
                <w:spacing w:val="8"/>
                <w:sz w:val="24"/>
                <w:szCs w:val="24"/>
                <w:lang w:val="en-US" w:eastAsia="zh-CN"/>
              </w:rPr>
              <w:t>2</w:t>
            </w:r>
            <w:r>
              <w:rPr>
                <w:rFonts w:hint="eastAsia" w:ascii="宋体" w:hAnsi="宋体" w:eastAsia="宋体" w:cs="宋体"/>
                <w:spacing w:val="8"/>
                <w:sz w:val="24"/>
                <w:szCs w:val="24"/>
                <w:lang w:eastAsia="zh-CN"/>
              </w:rPr>
              <w:t>）禁止将不相容（相互反应）的危险废物在同一容器内混装；</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val="en-US" w:eastAsia="zh-CN"/>
              </w:rPr>
            </w:pPr>
            <w:r>
              <w:rPr>
                <w:rFonts w:hint="eastAsia" w:ascii="宋体" w:hAnsi="宋体" w:eastAsia="宋体" w:cs="宋体"/>
                <w:spacing w:val="8"/>
                <w:sz w:val="24"/>
                <w:szCs w:val="24"/>
                <w:lang w:eastAsia="zh-CN"/>
              </w:rPr>
              <w:t>（</w:t>
            </w:r>
            <w:r>
              <w:rPr>
                <w:rFonts w:hint="eastAsia" w:ascii="宋体" w:hAnsi="宋体" w:eastAsia="宋体" w:cs="宋体"/>
                <w:spacing w:val="8"/>
                <w:sz w:val="24"/>
                <w:szCs w:val="24"/>
                <w:lang w:val="en-US" w:eastAsia="zh-CN"/>
              </w:rPr>
              <w:t>3</w:t>
            </w:r>
            <w:r>
              <w:rPr>
                <w:rFonts w:hint="eastAsia" w:ascii="宋体" w:hAnsi="宋体" w:eastAsia="宋体" w:cs="宋体"/>
                <w:spacing w:val="8"/>
                <w:sz w:val="24"/>
                <w:szCs w:val="24"/>
                <w:lang w:eastAsia="zh-CN"/>
              </w:rPr>
              <w:t>）装载液体、半固体危险废物容器内留足够空间，容器顶部与液体表面之间保留</w:t>
            </w:r>
            <w:r>
              <w:rPr>
                <w:rFonts w:hint="eastAsia" w:ascii="宋体" w:hAnsi="宋体" w:eastAsia="宋体" w:cs="宋体"/>
                <w:spacing w:val="8"/>
                <w:sz w:val="24"/>
                <w:szCs w:val="24"/>
                <w:lang w:val="en-US" w:eastAsia="zh-CN"/>
              </w:rPr>
              <w:t>100mm以上空间。</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危险废物台账要求：</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根据危险废物产生后不同的管理流程，在产生、贮存、利用、处置等环节建立危险废物的台账记录表（或生产报表）；</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定期（如按月、季或年）汇总危险废物台账记录表（或生产报表），形成周期性报表；</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w:t>
            </w:r>
            <w:r>
              <w:rPr>
                <w:rFonts w:hint="eastAsia" w:ascii="宋体" w:hAnsi="宋体" w:eastAsia="宋体" w:cs="宋体"/>
                <w:spacing w:val="8"/>
                <w:sz w:val="24"/>
                <w:szCs w:val="24"/>
                <w:lang w:val="en-US" w:eastAsia="zh-CN"/>
              </w:rPr>
              <w:t>3</w:t>
            </w:r>
            <w:r>
              <w:rPr>
                <w:rFonts w:hint="eastAsia" w:ascii="宋体" w:hAnsi="宋体" w:eastAsia="宋体" w:cs="宋体"/>
                <w:spacing w:val="8"/>
                <w:sz w:val="24"/>
                <w:szCs w:val="24"/>
                <w:lang w:eastAsia="zh-CN"/>
              </w:rPr>
              <w:t>）汇总危险废物台账报表，以及危险废物产生工序调查表及工序图，危险废物特性表，危险废物产生情况一览表，委托处置利用合同等，形成完整的危险废物台账。</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危险废物运输要求：（</w:t>
            </w:r>
            <w:r>
              <w:rPr>
                <w:rFonts w:hint="eastAsia" w:ascii="宋体" w:hAnsi="宋体" w:eastAsia="宋体" w:cs="宋体"/>
                <w:spacing w:val="8"/>
                <w:sz w:val="24"/>
                <w:szCs w:val="24"/>
                <w:lang w:val="en-US" w:eastAsia="zh-CN"/>
              </w:rPr>
              <w:t>1</w:t>
            </w:r>
            <w:r>
              <w:rPr>
                <w:rFonts w:hint="eastAsia" w:ascii="宋体" w:hAnsi="宋体" w:eastAsia="宋体" w:cs="宋体"/>
                <w:spacing w:val="8"/>
                <w:sz w:val="24"/>
                <w:szCs w:val="24"/>
                <w:lang w:eastAsia="zh-CN"/>
              </w:rPr>
              <w:t>）危险废物的运输是指从危险废物产生地转移至处理或处置地的过程。危险废物的运输需选择合适的容器、确定装载的方式、选择适宜的运输工具，再确定合理的运输路线以及制定泄漏或临时事故的补救措施。</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w:t>
            </w:r>
            <w:r>
              <w:rPr>
                <w:rFonts w:hint="eastAsia" w:ascii="宋体" w:hAnsi="宋体" w:eastAsia="宋体" w:cs="宋体"/>
                <w:spacing w:val="8"/>
                <w:sz w:val="24"/>
                <w:szCs w:val="24"/>
                <w:lang w:val="en-US" w:eastAsia="zh-CN"/>
              </w:rPr>
              <w:t>2</w:t>
            </w:r>
            <w:r>
              <w:rPr>
                <w:rFonts w:hint="eastAsia" w:ascii="宋体" w:hAnsi="宋体" w:eastAsia="宋体" w:cs="宋体"/>
                <w:spacing w:val="8"/>
                <w:sz w:val="24"/>
                <w:szCs w:val="24"/>
                <w:lang w:eastAsia="zh-CN"/>
              </w:rPr>
              <w:t>）危险废物运输单位需要具备危险货物运输资质，运输危险废物的车辆必须是危险货物运输车辆。运输者还应经过专门的培训并配备必要的防护工具，熟悉突发状况的应急处理措施。</w:t>
            </w:r>
          </w:p>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lang w:eastAsia="zh-CN"/>
              </w:rPr>
            </w:pPr>
            <w:r>
              <w:rPr>
                <w:rFonts w:hint="eastAsia" w:ascii="宋体" w:hAnsi="宋体" w:eastAsia="宋体" w:cs="宋体"/>
                <w:spacing w:val="8"/>
                <w:sz w:val="24"/>
                <w:szCs w:val="24"/>
                <w:lang w:eastAsia="zh-CN"/>
              </w:rPr>
              <w:t>（</w:t>
            </w:r>
            <w:r>
              <w:rPr>
                <w:rFonts w:hint="eastAsia" w:ascii="宋体" w:hAnsi="宋体" w:eastAsia="宋体" w:cs="宋体"/>
                <w:spacing w:val="8"/>
                <w:sz w:val="24"/>
                <w:szCs w:val="24"/>
                <w:lang w:val="en-US" w:eastAsia="zh-CN"/>
              </w:rPr>
              <w:t>3</w:t>
            </w:r>
            <w:r>
              <w:rPr>
                <w:rFonts w:hint="eastAsia" w:ascii="宋体" w:hAnsi="宋体" w:eastAsia="宋体" w:cs="宋体"/>
                <w:spacing w:val="8"/>
                <w:sz w:val="24"/>
                <w:szCs w:val="24"/>
                <w:lang w:eastAsia="zh-CN"/>
              </w:rPr>
              <w:t>）运输单位和个人在运输危险废物的过程中，应按要求填写《危险废物转移联单》，并采取防扬散、防流失、防渗漏或其他防止污染环境的措施。不得将危险废物与旅客在同一运输工具上载运。</w:t>
            </w:r>
          </w:p>
          <w:p>
            <w:pPr>
              <w:keepNext w:val="0"/>
              <w:keepLines w:val="0"/>
              <w:pageBreakBefore w:val="0"/>
              <w:widowControl w:val="0"/>
              <w:kinsoku/>
              <w:wordWrap/>
              <w:overflowPunct/>
              <w:topLinePunct w:val="0"/>
              <w:autoSpaceDE/>
              <w:autoSpaceDN/>
              <w:bidi w:val="0"/>
              <w:adjustRightInd/>
              <w:snapToGrid/>
              <w:spacing w:before="195" w:line="360" w:lineRule="auto"/>
              <w:ind w:firstLine="422" w:firstLineChars="200"/>
              <w:jc w:val="center"/>
              <w:textAlignment w:val="auto"/>
              <w:rPr>
                <w:rFonts w:hint="eastAsia" w:ascii="宋体" w:hAnsi="宋体" w:eastAsia="宋体" w:cs="宋体"/>
                <w:spacing w:val="8"/>
                <w:sz w:val="24"/>
                <w:szCs w:val="24"/>
              </w:rPr>
            </w:pPr>
            <w:r>
              <w:rPr>
                <w:rFonts w:hint="eastAsia" w:ascii="Times New Roman" w:hAnsi="Times New Roman" w:cs="Times New Roman"/>
                <w:b/>
                <w:bCs w:val="0"/>
                <w:color w:val="auto"/>
                <w:sz w:val="21"/>
                <w:szCs w:val="21"/>
                <w:highlight w:val="none"/>
                <w:lang w:val="en-US" w:eastAsia="zh-CN"/>
              </w:rPr>
              <w:t>3</w:t>
            </w:r>
            <w:r>
              <w:rPr>
                <w:rFonts w:hint="default" w:ascii="Times New Roman" w:hAnsi="Times New Roman" w:cs="Times New Roman"/>
                <w:b/>
                <w:bCs w:val="0"/>
                <w:color w:val="auto"/>
                <w:sz w:val="21"/>
                <w:szCs w:val="21"/>
                <w:highlight w:val="none"/>
                <w:lang w:val="en-US" w:eastAsia="zh-CN"/>
              </w:rPr>
              <w:t>-</w:t>
            </w:r>
            <w:r>
              <w:rPr>
                <w:rFonts w:hint="eastAsia" w:ascii="Times New Roman" w:hAnsi="Times New Roman" w:cs="Times New Roman"/>
                <w:b/>
                <w:bCs w:val="0"/>
                <w:color w:val="auto"/>
                <w:sz w:val="21"/>
                <w:szCs w:val="21"/>
                <w:highlight w:val="none"/>
                <w:lang w:val="en-US" w:eastAsia="zh-CN"/>
              </w:rPr>
              <w:t>4</w:t>
            </w:r>
            <w:r>
              <w:rPr>
                <w:rFonts w:hint="default" w:ascii="Times New Roman" w:hAnsi="Times New Roman" w:cs="Times New Roman"/>
                <w:b/>
                <w:bCs w:val="0"/>
                <w:color w:val="auto"/>
                <w:sz w:val="21"/>
                <w:szCs w:val="21"/>
                <w:highlight w:val="none"/>
              </w:rPr>
              <w:t>项目固废情况一览表</w:t>
            </w:r>
          </w:p>
          <w:tbl>
            <w:tblPr>
              <w:tblStyle w:val="2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33"/>
              <w:gridCol w:w="1010"/>
              <w:gridCol w:w="1184"/>
              <w:gridCol w:w="1238"/>
              <w:gridCol w:w="1227"/>
              <w:gridCol w:w="1264"/>
              <w:gridCol w:w="1738"/>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23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序号</w:t>
                  </w:r>
                </w:p>
              </w:tc>
              <w:tc>
                <w:tcPr>
                  <w:tcW w:w="547"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产生环节</w:t>
                  </w:r>
                </w:p>
              </w:tc>
              <w:tc>
                <w:tcPr>
                  <w:tcW w:w="641"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污染物</w:t>
                  </w:r>
                </w:p>
              </w:tc>
              <w:tc>
                <w:tcPr>
                  <w:tcW w:w="670"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年度计划产生量(t/a)</w:t>
                  </w:r>
                </w:p>
              </w:tc>
              <w:tc>
                <w:tcPr>
                  <w:tcW w:w="66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属性</w:t>
                  </w:r>
                </w:p>
              </w:tc>
              <w:tc>
                <w:tcPr>
                  <w:tcW w:w="684" w:type="pct"/>
                  <w:tcBorders>
                    <w:tl2br w:val="nil"/>
                    <w:tr2bl w:val="nil"/>
                  </w:tcBorders>
                  <w:noWrap w:val="0"/>
                  <w:vAlign w:val="center"/>
                </w:tcPr>
                <w:p>
                  <w:pPr>
                    <w:jc w:val="center"/>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cs="Times New Roman"/>
                      <w:color w:val="auto"/>
                      <w:highlight w:val="none"/>
                      <w:vertAlign w:val="baseline"/>
                      <w:lang w:val="en-US" w:eastAsia="zh-CN"/>
                    </w:rPr>
                    <w:t>代码</w:t>
                  </w:r>
                </w:p>
              </w:tc>
              <w:tc>
                <w:tcPr>
                  <w:tcW w:w="941"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贮存方式</w:t>
                  </w:r>
                </w:p>
              </w:tc>
              <w:tc>
                <w:tcPr>
                  <w:tcW w:w="61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处置措施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23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w:t>
                  </w:r>
                </w:p>
              </w:tc>
              <w:tc>
                <w:tcPr>
                  <w:tcW w:w="547"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入模</w:t>
                  </w:r>
                  <w:r>
                    <w:rPr>
                      <w:rFonts w:hint="default" w:ascii="Times New Roman" w:hAnsi="Times New Roman" w:eastAsia="宋体" w:cs="Times New Roman"/>
                      <w:color w:val="auto"/>
                      <w:sz w:val="21"/>
                      <w:szCs w:val="21"/>
                      <w:highlight w:val="none"/>
                      <w:vertAlign w:val="baseline"/>
                      <w:lang w:val="en-US" w:eastAsia="zh-CN"/>
                    </w:rPr>
                    <w:t>工序</w:t>
                  </w:r>
                </w:p>
              </w:tc>
              <w:tc>
                <w:tcPr>
                  <w:tcW w:w="641"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边角料</w:t>
                  </w:r>
                </w:p>
              </w:tc>
              <w:tc>
                <w:tcPr>
                  <w:tcW w:w="670"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279</w:t>
                  </w:r>
                </w:p>
              </w:tc>
              <w:tc>
                <w:tcPr>
                  <w:tcW w:w="66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highlight w:val="none"/>
                    </w:rPr>
                    <w:t>一般固废</w:t>
                  </w:r>
                </w:p>
              </w:tc>
              <w:tc>
                <w:tcPr>
                  <w:tcW w:w="684" w:type="pct"/>
                  <w:tcBorders>
                    <w:tl2br w:val="nil"/>
                    <w:tr2bl w:val="nil"/>
                  </w:tcBorders>
                  <w:noWrap w:val="0"/>
                  <w:vAlign w:val="center"/>
                </w:tcPr>
                <w:p>
                  <w:pPr>
                    <w:jc w:val="center"/>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cs="Times New Roman"/>
                      <w:color w:val="auto"/>
                      <w:highlight w:val="none"/>
                      <w:vertAlign w:val="baseline"/>
                      <w:lang w:val="en-US" w:eastAsia="zh-CN"/>
                    </w:rPr>
                    <w:t>302-003-99</w:t>
                  </w:r>
                </w:p>
              </w:tc>
              <w:tc>
                <w:tcPr>
                  <w:tcW w:w="941"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固定地点贮存</w:t>
                  </w:r>
                </w:p>
              </w:tc>
              <w:tc>
                <w:tcPr>
                  <w:tcW w:w="61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收集后回用于生产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23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2</w:t>
                  </w:r>
                </w:p>
              </w:tc>
              <w:tc>
                <w:tcPr>
                  <w:tcW w:w="547"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沉淀池</w:t>
                  </w:r>
                </w:p>
              </w:tc>
              <w:tc>
                <w:tcPr>
                  <w:tcW w:w="641"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沉渣</w:t>
                  </w:r>
                </w:p>
              </w:tc>
              <w:tc>
                <w:tcPr>
                  <w:tcW w:w="670"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vertAlign w:val="baseline"/>
                      <w:lang w:val="en-US" w:eastAsia="zh-CN"/>
                    </w:rPr>
                    <w:t>93</w:t>
                  </w:r>
                </w:p>
              </w:tc>
              <w:tc>
                <w:tcPr>
                  <w:tcW w:w="664"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highlight w:val="none"/>
                    </w:rPr>
                    <w:t>一般固废</w:t>
                  </w:r>
                </w:p>
              </w:tc>
              <w:tc>
                <w:tcPr>
                  <w:tcW w:w="684"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highlight w:val="none"/>
                      <w:vertAlign w:val="baseline"/>
                      <w:lang w:val="en-US" w:eastAsia="zh-CN"/>
                    </w:rPr>
                    <w:t>302-003-99</w:t>
                  </w:r>
                </w:p>
              </w:tc>
              <w:tc>
                <w:tcPr>
                  <w:tcW w:w="941"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固定地点贮存</w:t>
                  </w:r>
                </w:p>
              </w:tc>
              <w:tc>
                <w:tcPr>
                  <w:tcW w:w="614"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收集后回用于生产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378" w:type="dxa"/>
                  <w:tcBorders>
                    <w:tl2br w:val="nil"/>
                    <w:tr2bl w:val="nil"/>
                  </w:tcBorders>
                  <w:noWrap w:val="0"/>
                  <w:vAlign w:val="center"/>
                </w:tcPr>
                <w:p>
                  <w:pPr>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3</w:t>
                  </w:r>
                </w:p>
              </w:tc>
              <w:tc>
                <w:tcPr>
                  <w:tcW w:w="547"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清理搅拌机过程</w:t>
                  </w:r>
                </w:p>
              </w:tc>
              <w:tc>
                <w:tcPr>
                  <w:tcW w:w="641"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搅拌机废渣</w:t>
                  </w:r>
                </w:p>
              </w:tc>
              <w:tc>
                <w:tcPr>
                  <w:tcW w:w="670"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kern w:val="2"/>
                      <w:sz w:val="21"/>
                      <w:szCs w:val="21"/>
                      <w:highlight w:val="none"/>
                      <w:vertAlign w:val="baseline"/>
                      <w:lang w:val="en-US" w:eastAsia="zh-CN" w:bidi="ar-SA"/>
                    </w:rPr>
                    <w:t>1</w:t>
                  </w:r>
                  <w:r>
                    <w:rPr>
                      <w:rFonts w:hint="eastAsia" w:ascii="Times New Roman" w:hAnsi="Times New Roman" w:eastAsia="宋体" w:cs="Times New Roman"/>
                      <w:color w:val="auto"/>
                      <w:kern w:val="2"/>
                      <w:sz w:val="21"/>
                      <w:szCs w:val="21"/>
                      <w:highlight w:val="none"/>
                      <w:vertAlign w:val="baseline"/>
                      <w:lang w:val="en-US" w:eastAsia="zh-CN" w:bidi="ar-SA"/>
                    </w:rPr>
                    <w:t>9</w:t>
                  </w:r>
                </w:p>
              </w:tc>
              <w:tc>
                <w:tcPr>
                  <w:tcW w:w="1072" w:type="dxa"/>
                  <w:tcBorders>
                    <w:tl2br w:val="nil"/>
                    <w:tr2bl w:val="nil"/>
                  </w:tcBorders>
                  <w:noWrap w:val="0"/>
                  <w:vAlign w:val="center"/>
                </w:tcPr>
                <w:p>
                  <w:pPr>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一般固废</w:t>
                  </w:r>
                </w:p>
              </w:tc>
              <w:tc>
                <w:tcPr>
                  <w:tcW w:w="1105" w:type="dxa"/>
                  <w:tcBorders>
                    <w:tl2br w:val="nil"/>
                    <w:tr2bl w:val="nil"/>
                  </w:tcBorders>
                  <w:noWrap w:val="0"/>
                  <w:vAlign w:val="center"/>
                </w:tcPr>
                <w:p>
                  <w:pPr>
                    <w:jc w:val="center"/>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302-003-99</w:t>
                  </w:r>
                </w:p>
              </w:tc>
              <w:tc>
                <w:tcPr>
                  <w:tcW w:w="1520" w:type="dxa"/>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固定地点贮存</w:t>
                  </w:r>
                </w:p>
              </w:tc>
              <w:tc>
                <w:tcPr>
                  <w:tcW w:w="992" w:type="dxa"/>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收集后回用于生产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378" w:type="dxa"/>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4</w:t>
                  </w:r>
                </w:p>
              </w:tc>
              <w:tc>
                <w:tcPr>
                  <w:tcW w:w="547"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kern w:val="2"/>
                      <w:sz w:val="21"/>
                      <w:szCs w:val="21"/>
                      <w:highlight w:val="none"/>
                      <w:vertAlign w:val="baseline"/>
                      <w:lang w:val="en-US" w:eastAsia="zh-CN" w:bidi="ar-SA"/>
                    </w:rPr>
                    <w:t>集气罩</w:t>
                  </w:r>
                </w:p>
              </w:tc>
              <w:tc>
                <w:tcPr>
                  <w:tcW w:w="641"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除尘灰</w:t>
                  </w:r>
                </w:p>
              </w:tc>
              <w:tc>
                <w:tcPr>
                  <w:tcW w:w="670"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0.2</w:t>
                  </w:r>
                </w:p>
              </w:tc>
              <w:tc>
                <w:tcPr>
                  <w:tcW w:w="664"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highlight w:val="none"/>
                    </w:rPr>
                    <w:t>一般固废</w:t>
                  </w:r>
                </w:p>
              </w:tc>
              <w:tc>
                <w:tcPr>
                  <w:tcW w:w="684"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highlight w:val="none"/>
                      <w:vertAlign w:val="baseline"/>
                      <w:lang w:val="en-US" w:eastAsia="zh-CN"/>
                    </w:rPr>
                    <w:t>302-003-99</w:t>
                  </w:r>
                </w:p>
              </w:tc>
              <w:tc>
                <w:tcPr>
                  <w:tcW w:w="941"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除尘器设置密闭灰仓并及时卸灰，采用气力输送方式运输除尘灰至水泥筒仓</w:t>
                  </w:r>
                </w:p>
              </w:tc>
              <w:tc>
                <w:tcPr>
                  <w:tcW w:w="614"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回用于生产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378" w:type="dxa"/>
                  <w:tcBorders>
                    <w:tl2br w:val="nil"/>
                    <w:tr2bl w:val="nil"/>
                  </w:tcBorders>
                  <w:noWrap w:val="0"/>
                  <w:vAlign w:val="center"/>
                </w:tcPr>
                <w:p>
                  <w:pPr>
                    <w:jc w:val="center"/>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5</w:t>
                  </w:r>
                </w:p>
              </w:tc>
              <w:tc>
                <w:tcPr>
                  <w:tcW w:w="547"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涂刷脱模剂</w:t>
                  </w:r>
                </w:p>
              </w:tc>
              <w:tc>
                <w:tcPr>
                  <w:tcW w:w="641"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kern w:val="2"/>
                      <w:sz w:val="21"/>
                      <w:szCs w:val="21"/>
                      <w:highlight w:val="none"/>
                      <w:vertAlign w:val="baseline"/>
                      <w:lang w:val="en-US" w:eastAsia="zh-CN" w:bidi="ar-SA"/>
                    </w:rPr>
                    <w:t>废脱模剂桶</w:t>
                  </w:r>
                </w:p>
              </w:tc>
              <w:tc>
                <w:tcPr>
                  <w:tcW w:w="670"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0.2</w:t>
                  </w:r>
                </w:p>
              </w:tc>
              <w:tc>
                <w:tcPr>
                  <w:tcW w:w="664"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highlight w:val="none"/>
                    </w:rPr>
                    <w:t>一般固废</w:t>
                  </w:r>
                </w:p>
              </w:tc>
              <w:tc>
                <w:tcPr>
                  <w:tcW w:w="684"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highlight w:val="none"/>
                      <w:vertAlign w:val="baseline"/>
                      <w:lang w:val="en-US" w:eastAsia="zh-CN"/>
                    </w:rPr>
                    <w:t>302-003-99</w:t>
                  </w:r>
                </w:p>
              </w:tc>
              <w:tc>
                <w:tcPr>
                  <w:tcW w:w="941"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固定地点贮存</w:t>
                  </w:r>
                </w:p>
              </w:tc>
              <w:tc>
                <w:tcPr>
                  <w:tcW w:w="614"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sz w:val="21"/>
                      <w:szCs w:val="21"/>
                      <w:highlight w:val="none"/>
                      <w:lang w:val="en-US" w:eastAsia="zh-CN"/>
                    </w:rPr>
                    <w:t>收集后由厂家回收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23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6</w:t>
                  </w:r>
                </w:p>
              </w:tc>
              <w:tc>
                <w:tcPr>
                  <w:tcW w:w="547"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职工生活</w:t>
                  </w:r>
                </w:p>
              </w:tc>
              <w:tc>
                <w:tcPr>
                  <w:tcW w:w="641"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生活垃圾</w:t>
                  </w:r>
                </w:p>
              </w:tc>
              <w:tc>
                <w:tcPr>
                  <w:tcW w:w="670"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24.3</w:t>
                  </w:r>
                </w:p>
              </w:tc>
              <w:tc>
                <w:tcPr>
                  <w:tcW w:w="664"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生活垃圾</w:t>
                  </w:r>
                </w:p>
              </w:tc>
              <w:tc>
                <w:tcPr>
                  <w:tcW w:w="684" w:type="pct"/>
                  <w:tcBorders>
                    <w:tl2br w:val="nil"/>
                    <w:tr2bl w:val="nil"/>
                  </w:tcBorders>
                  <w:noWrap w:val="0"/>
                  <w:vAlign w:val="center"/>
                </w:tcPr>
                <w:p>
                  <w:pPr>
                    <w:jc w:val="center"/>
                    <w:rPr>
                      <w:rFonts w:hint="default" w:ascii="Times New Roman" w:hAnsi="Times New Roman" w:eastAsia="宋体" w:cs="Times New Roman"/>
                      <w:color w:val="auto"/>
                      <w:kern w:val="2"/>
                      <w:sz w:val="21"/>
                      <w:szCs w:val="24"/>
                      <w:highlight w:val="none"/>
                      <w:vertAlign w:val="baseline"/>
                      <w:lang w:val="en-US" w:eastAsia="zh-CN" w:bidi="ar-SA"/>
                    </w:rPr>
                  </w:pPr>
                  <w:r>
                    <w:rPr>
                      <w:rFonts w:hint="default" w:ascii="Times New Roman" w:hAnsi="Times New Roman" w:cs="Times New Roman"/>
                      <w:color w:val="auto"/>
                      <w:kern w:val="2"/>
                      <w:sz w:val="21"/>
                      <w:szCs w:val="24"/>
                      <w:highlight w:val="none"/>
                      <w:vertAlign w:val="baseline"/>
                      <w:lang w:val="en-US" w:eastAsia="zh-CN" w:bidi="ar-SA"/>
                    </w:rPr>
                    <w:t>/</w:t>
                  </w:r>
                </w:p>
              </w:tc>
              <w:tc>
                <w:tcPr>
                  <w:tcW w:w="941"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固定地点贮存</w:t>
                  </w:r>
                </w:p>
              </w:tc>
              <w:tc>
                <w:tcPr>
                  <w:tcW w:w="614" w:type="pct"/>
                  <w:tcBorders>
                    <w:tl2br w:val="nil"/>
                    <w:tr2bl w:val="nil"/>
                  </w:tcBorders>
                  <w:noWrap w:val="0"/>
                  <w:vAlign w:val="center"/>
                </w:tcPr>
                <w:p>
                  <w:pPr>
                    <w:jc w:val="center"/>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rPr>
                    <w:t>环卫部门统一收集处理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23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7</w:t>
                  </w:r>
                </w:p>
              </w:tc>
              <w:tc>
                <w:tcPr>
                  <w:tcW w:w="547"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设备润滑</w:t>
                  </w:r>
                </w:p>
              </w:tc>
              <w:tc>
                <w:tcPr>
                  <w:tcW w:w="641"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废润滑油桶</w:t>
                  </w:r>
                </w:p>
              </w:tc>
              <w:tc>
                <w:tcPr>
                  <w:tcW w:w="670"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0.1</w:t>
                  </w:r>
                </w:p>
              </w:tc>
              <w:tc>
                <w:tcPr>
                  <w:tcW w:w="66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危险废物</w:t>
                  </w:r>
                </w:p>
              </w:tc>
              <w:tc>
                <w:tcPr>
                  <w:tcW w:w="684" w:type="pct"/>
                  <w:tcBorders>
                    <w:tl2br w:val="nil"/>
                    <w:tr2bl w:val="nil"/>
                  </w:tcBorders>
                  <w:noWrap w:val="0"/>
                  <w:vAlign w:val="center"/>
                </w:tcPr>
                <w:p>
                  <w:pPr>
                    <w:jc w:val="center"/>
                    <w:rPr>
                      <w:rFonts w:hint="default" w:ascii="Times New Roman" w:hAnsi="Times New Roman" w:cs="Times New Roman"/>
                      <w:color w:val="auto"/>
                      <w:kern w:val="2"/>
                      <w:sz w:val="21"/>
                      <w:szCs w:val="24"/>
                      <w:highlight w:val="none"/>
                      <w:vertAlign w:val="baseline"/>
                      <w:lang w:val="en-US" w:eastAsia="zh-CN" w:bidi="ar-SA"/>
                    </w:rPr>
                  </w:pPr>
                  <w:r>
                    <w:rPr>
                      <w:rFonts w:hint="default" w:ascii="Times New Roman" w:hAnsi="Times New Roman" w:cs="Times New Roman"/>
                      <w:color w:val="auto"/>
                      <w:highlight w:val="none"/>
                      <w:vertAlign w:val="baseline"/>
                      <w:lang w:val="en-US" w:eastAsia="zh-CN"/>
                    </w:rPr>
                    <w:t>900-249-08</w:t>
                  </w:r>
                </w:p>
              </w:tc>
              <w:tc>
                <w:tcPr>
                  <w:tcW w:w="941"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危废间</w:t>
                  </w:r>
                </w:p>
              </w:tc>
              <w:tc>
                <w:tcPr>
                  <w:tcW w:w="614" w:type="pct"/>
                  <w:tcBorders>
                    <w:tl2br w:val="nil"/>
                    <w:tr2bl w:val="nil"/>
                  </w:tcBorders>
                  <w:noWrap w:val="0"/>
                  <w:vAlign w:val="center"/>
                </w:tcPr>
                <w:p>
                  <w:pPr>
                    <w:jc w:val="center"/>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收集后</w:t>
                  </w:r>
                  <w:r>
                    <w:rPr>
                      <w:rFonts w:hint="default" w:ascii="Times New Roman" w:hAnsi="Times New Roman" w:eastAsia="宋体" w:cs="Times New Roman"/>
                      <w:color w:val="auto"/>
                      <w:sz w:val="21"/>
                      <w:szCs w:val="21"/>
                      <w:highlight w:val="none"/>
                      <w:vertAlign w:val="baseline"/>
                      <w:lang w:val="en-US" w:eastAsia="zh-CN"/>
                    </w:rPr>
                    <w:t>与卖家交换新桶处理</w:t>
                  </w:r>
                </w:p>
              </w:tc>
            </w:tr>
          </w:tbl>
          <w:p>
            <w:pPr>
              <w:keepNext w:val="0"/>
              <w:keepLines w:val="0"/>
              <w:pageBreakBefore w:val="0"/>
              <w:widowControl w:val="0"/>
              <w:kinsoku/>
              <w:wordWrap/>
              <w:overflowPunct/>
              <w:topLinePunct w:val="0"/>
              <w:autoSpaceDE/>
              <w:autoSpaceDN/>
              <w:bidi w:val="0"/>
              <w:adjustRightInd/>
              <w:snapToGrid/>
              <w:spacing w:before="195" w:line="360" w:lineRule="auto"/>
              <w:ind w:firstLine="512" w:firstLineChars="200"/>
              <w:textAlignment w:val="auto"/>
              <w:rPr>
                <w:rFonts w:hint="eastAsia" w:ascii="宋体" w:hAnsi="宋体" w:eastAsia="宋体" w:cs="宋体"/>
                <w:spacing w:val="8"/>
                <w:sz w:val="24"/>
                <w:szCs w:val="24"/>
              </w:rPr>
            </w:pPr>
          </w:p>
          <w:p>
            <w:pPr>
              <w:pStyle w:val="32"/>
              <w:ind w:firstLine="0" w:firstLineChars="0"/>
              <w:jc w:val="both"/>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3.</w:t>
            </w:r>
            <w:r>
              <w:rPr>
                <w:rFonts w:hint="eastAsia" w:ascii="Times New Roman" w:hAnsi="Times New Roman" w:cs="Times New Roman"/>
                <w:b/>
                <w:szCs w:val="24"/>
                <w:lang w:val="en-US" w:eastAsia="zh-CN"/>
              </w:rPr>
              <w:t>5</w:t>
            </w:r>
            <w:r>
              <w:rPr>
                <w:rFonts w:hint="default" w:ascii="Times New Roman" w:hAnsi="Times New Roman" w:cs="Times New Roman"/>
                <w:b/>
                <w:szCs w:val="24"/>
                <w:lang w:val="en-US" w:eastAsia="zh-CN"/>
              </w:rPr>
              <w:t>环保设施建设情况</w:t>
            </w:r>
          </w:p>
          <w:p>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项目总投资</w:t>
            </w:r>
            <w:r>
              <w:rPr>
                <w:rFonts w:hint="eastAsia" w:ascii="Times New Roman" w:hAnsi="Times New Roman" w:cs="Times New Roman"/>
                <w:color w:val="auto"/>
                <w:sz w:val="24"/>
                <w:lang w:val="en-US" w:eastAsia="zh-CN"/>
              </w:rPr>
              <w:t>12000</w:t>
            </w:r>
            <w:r>
              <w:rPr>
                <w:rFonts w:hint="default" w:ascii="Times New Roman" w:hAnsi="Times New Roman" w:cs="Times New Roman"/>
                <w:color w:val="auto"/>
                <w:sz w:val="24"/>
              </w:rPr>
              <w:t>万元，其中环保投资</w:t>
            </w:r>
            <w:r>
              <w:rPr>
                <w:rFonts w:hint="eastAsia" w:ascii="Times New Roman" w:hAnsi="Times New Roman" w:cs="Times New Roman"/>
                <w:color w:val="auto"/>
                <w:sz w:val="24"/>
                <w:lang w:val="en-US" w:eastAsia="zh-CN"/>
              </w:rPr>
              <w:t>120</w:t>
            </w:r>
            <w:r>
              <w:rPr>
                <w:rFonts w:hint="default" w:ascii="Times New Roman" w:hAnsi="Times New Roman" w:cs="Times New Roman"/>
                <w:color w:val="auto"/>
                <w:sz w:val="24"/>
              </w:rPr>
              <w:t>万元，占项目总投资的</w:t>
            </w:r>
            <w:r>
              <w:rPr>
                <w:rFonts w:hint="eastAsia" w:ascii="Times New Roman" w:hAnsi="Times New Roman" w:cs="Times New Roman"/>
                <w:color w:val="auto"/>
                <w:sz w:val="24"/>
                <w:lang w:val="en-US" w:eastAsia="zh-CN"/>
              </w:rPr>
              <w:t>1%</w:t>
            </w:r>
            <w:r>
              <w:rPr>
                <w:rFonts w:hint="default" w:ascii="Times New Roman" w:hAnsi="Times New Roman" w:cs="Times New Roman"/>
                <w:color w:val="auto"/>
                <w:sz w:val="24"/>
              </w:rPr>
              <w:t>。详见表3-5。</w:t>
            </w:r>
          </w:p>
          <w:p>
            <w:pPr>
              <w:jc w:val="center"/>
              <w:rPr>
                <w:rFonts w:hint="default" w:ascii="Times New Roman" w:hAnsi="Times New Roman" w:cs="Times New Roman"/>
                <w:color w:val="auto"/>
                <w:szCs w:val="21"/>
              </w:rPr>
            </w:pPr>
            <w:r>
              <w:rPr>
                <w:rFonts w:hint="default" w:ascii="Times New Roman" w:hAnsi="Times New Roman" w:cs="Times New Roman"/>
                <w:b/>
                <w:bCs/>
                <w:color w:val="auto"/>
                <w:szCs w:val="21"/>
              </w:rPr>
              <w:t>表3-5 环保投资概算 单位/万元</w:t>
            </w:r>
          </w:p>
          <w:tbl>
            <w:tblPr>
              <w:tblStyle w:val="21"/>
              <w:tblW w:w="931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43"/>
              <w:gridCol w:w="4557"/>
              <w:gridCol w:w="2153"/>
              <w:gridCol w:w="1118"/>
              <w:gridCol w:w="84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643" w:type="dxa"/>
                  <w:noWrap w:val="0"/>
                  <w:vAlign w:val="center"/>
                </w:tcPr>
                <w:p>
                  <w:pPr>
                    <w:adjustRightInd w:val="0"/>
                    <w:snapToGrid w:val="0"/>
                    <w:spacing w:line="340" w:lineRule="exact"/>
                    <w:jc w:val="center"/>
                    <w:rPr>
                      <w:rFonts w:hint="default" w:ascii="Times New Roman" w:hAnsi="Times New Roman" w:cs="Times New Roman"/>
                      <w:b/>
                      <w:bCs/>
                      <w:snapToGrid w:val="0"/>
                      <w:kern w:val="0"/>
                      <w:szCs w:val="21"/>
                    </w:rPr>
                  </w:pPr>
                  <w:r>
                    <w:rPr>
                      <w:rFonts w:hint="default" w:ascii="Times New Roman" w:hAnsi="Times New Roman" w:cs="Times New Roman"/>
                      <w:b/>
                      <w:bCs/>
                      <w:snapToGrid w:val="0"/>
                      <w:kern w:val="0"/>
                      <w:szCs w:val="21"/>
                    </w:rPr>
                    <w:t>类别</w:t>
                  </w:r>
                </w:p>
              </w:tc>
              <w:tc>
                <w:tcPr>
                  <w:tcW w:w="4557" w:type="dxa"/>
                  <w:noWrap w:val="0"/>
                  <w:vAlign w:val="center"/>
                </w:tcPr>
                <w:p>
                  <w:pPr>
                    <w:adjustRightInd w:val="0"/>
                    <w:snapToGrid w:val="0"/>
                    <w:spacing w:line="340" w:lineRule="exact"/>
                    <w:jc w:val="center"/>
                    <w:rPr>
                      <w:rFonts w:hint="default" w:ascii="Times New Roman" w:hAnsi="Times New Roman" w:cs="Times New Roman"/>
                      <w:b/>
                      <w:bCs/>
                      <w:snapToGrid w:val="0"/>
                      <w:kern w:val="0"/>
                      <w:szCs w:val="21"/>
                    </w:rPr>
                  </w:pPr>
                  <w:r>
                    <w:rPr>
                      <w:rFonts w:hint="default" w:ascii="Times New Roman" w:hAnsi="Times New Roman" w:cs="Times New Roman"/>
                      <w:b/>
                      <w:bCs/>
                      <w:snapToGrid w:val="0"/>
                      <w:kern w:val="0"/>
                      <w:szCs w:val="21"/>
                    </w:rPr>
                    <w:t>环保治理措施</w:t>
                  </w:r>
                </w:p>
              </w:tc>
              <w:tc>
                <w:tcPr>
                  <w:tcW w:w="2153" w:type="dxa"/>
                  <w:noWrap w:val="0"/>
                  <w:vAlign w:val="center"/>
                </w:tcPr>
                <w:p>
                  <w:pPr>
                    <w:adjustRightInd w:val="0"/>
                    <w:snapToGrid w:val="0"/>
                    <w:spacing w:line="340" w:lineRule="exact"/>
                    <w:jc w:val="center"/>
                    <w:rPr>
                      <w:rFonts w:hint="default" w:ascii="Times New Roman" w:hAnsi="Times New Roman" w:cs="Times New Roman"/>
                      <w:b/>
                      <w:bCs/>
                      <w:snapToGrid w:val="0"/>
                      <w:kern w:val="0"/>
                      <w:szCs w:val="21"/>
                    </w:rPr>
                  </w:pPr>
                  <w:r>
                    <w:rPr>
                      <w:rFonts w:hint="default" w:ascii="Times New Roman" w:hAnsi="Times New Roman" w:cs="Times New Roman"/>
                      <w:b/>
                      <w:bCs/>
                      <w:snapToGrid w:val="0"/>
                      <w:kern w:val="0"/>
                      <w:szCs w:val="21"/>
                    </w:rPr>
                    <w:t>预期治理效果</w:t>
                  </w:r>
                </w:p>
              </w:tc>
              <w:tc>
                <w:tcPr>
                  <w:tcW w:w="1118" w:type="dxa"/>
                  <w:noWrap w:val="0"/>
                  <w:vAlign w:val="center"/>
                </w:tcPr>
                <w:p>
                  <w:pPr>
                    <w:adjustRightInd w:val="0"/>
                    <w:snapToGrid w:val="0"/>
                    <w:spacing w:line="340" w:lineRule="exact"/>
                    <w:jc w:val="center"/>
                    <w:rPr>
                      <w:rFonts w:hint="default" w:ascii="Times New Roman" w:hAnsi="Times New Roman" w:cs="Times New Roman"/>
                      <w:b/>
                      <w:bCs/>
                      <w:snapToGrid w:val="0"/>
                      <w:kern w:val="0"/>
                      <w:szCs w:val="21"/>
                    </w:rPr>
                  </w:pPr>
                  <w:r>
                    <w:rPr>
                      <w:rFonts w:hint="default" w:ascii="Times New Roman" w:hAnsi="Times New Roman" w:cs="Times New Roman"/>
                      <w:b/>
                      <w:bCs/>
                      <w:snapToGrid w:val="0"/>
                      <w:kern w:val="0"/>
                      <w:szCs w:val="21"/>
                    </w:rPr>
                    <w:t>环评规划投资</w:t>
                  </w:r>
                </w:p>
              </w:tc>
              <w:tc>
                <w:tcPr>
                  <w:tcW w:w="846" w:type="dxa"/>
                  <w:noWrap w:val="0"/>
                  <w:vAlign w:val="center"/>
                </w:tcPr>
                <w:p>
                  <w:pPr>
                    <w:adjustRightInd w:val="0"/>
                    <w:snapToGrid w:val="0"/>
                    <w:spacing w:line="340" w:lineRule="exact"/>
                    <w:jc w:val="center"/>
                    <w:rPr>
                      <w:rFonts w:hint="default" w:ascii="Times New Roman" w:hAnsi="Times New Roman" w:cs="Times New Roman"/>
                      <w:b/>
                      <w:bCs/>
                      <w:snapToGrid w:val="0"/>
                      <w:kern w:val="0"/>
                      <w:szCs w:val="21"/>
                      <w:highlight w:val="yellow"/>
                    </w:rPr>
                  </w:pPr>
                  <w:r>
                    <w:rPr>
                      <w:rFonts w:hint="default" w:ascii="Times New Roman" w:hAnsi="Times New Roman" w:cs="Times New Roman"/>
                      <w:b/>
                      <w:bCs/>
                      <w:snapToGrid w:val="0"/>
                      <w:kern w:val="0"/>
                      <w:szCs w:val="21"/>
                    </w:rPr>
                    <w:t>实际投资</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43" w:type="dxa"/>
                  <w:noWrap w:val="0"/>
                  <w:vAlign w:val="center"/>
                </w:tcPr>
                <w:p>
                  <w:pPr>
                    <w:spacing w:line="280" w:lineRule="exact"/>
                    <w:jc w:val="center"/>
                    <w:rPr>
                      <w:rFonts w:hint="default" w:ascii="Times New Roman" w:hAnsi="Times New Roman" w:cs="Times New Roman"/>
                      <w:snapToGrid w:val="0"/>
                      <w:kern w:val="0"/>
                      <w:szCs w:val="21"/>
                    </w:rPr>
                  </w:pPr>
                  <w:r>
                    <w:rPr>
                      <w:rFonts w:hint="default" w:ascii="Times New Roman" w:hAnsi="Times New Roman" w:cs="Times New Roman"/>
                      <w:color w:val="auto"/>
                      <w:sz w:val="21"/>
                      <w:szCs w:val="21"/>
                      <w:highlight w:val="none"/>
                    </w:rPr>
                    <w:t>废水</w:t>
                  </w:r>
                </w:p>
              </w:tc>
              <w:tc>
                <w:tcPr>
                  <w:tcW w:w="4557" w:type="dxa"/>
                  <w:noWrap w:val="0"/>
                  <w:vAlign w:val="center"/>
                </w:tcPr>
                <w:p>
                  <w:pPr>
                    <w:spacing w:line="280" w:lineRule="exact"/>
                    <w:jc w:val="center"/>
                    <w:rPr>
                      <w:rFonts w:hint="default" w:ascii="Times New Roman" w:hAnsi="Times New Roman" w:eastAsia="宋体" w:cs="Times New Roman"/>
                      <w:snapToGrid w:val="0"/>
                      <w:kern w:val="0"/>
                      <w:szCs w:val="21"/>
                      <w:lang w:eastAsia="zh-CN"/>
                    </w:rPr>
                  </w:pPr>
                  <w:r>
                    <w:rPr>
                      <w:rFonts w:hint="default" w:ascii="Times New Roman" w:hAnsi="Times New Roman" w:cs="Times New Roman"/>
                      <w:color w:val="auto"/>
                      <w:kern w:val="2"/>
                      <w:sz w:val="21"/>
                      <w:szCs w:val="21"/>
                      <w:highlight w:val="none"/>
                      <w:lang w:val="en-US" w:eastAsia="zh-CN"/>
                    </w:rPr>
                    <w:t>沉淀池</w:t>
                  </w:r>
                </w:p>
              </w:tc>
              <w:tc>
                <w:tcPr>
                  <w:tcW w:w="2153" w:type="dxa"/>
                  <w:noWrap w:val="0"/>
                  <w:vAlign w:val="center"/>
                </w:tcPr>
                <w:p>
                  <w:pPr>
                    <w:adjustRightInd w:val="0"/>
                    <w:snapToGrid w:val="0"/>
                    <w:spacing w:line="340" w:lineRule="exact"/>
                    <w:jc w:val="center"/>
                    <w:rPr>
                      <w:rFonts w:hint="eastAsia" w:ascii="Times New Roman" w:hAnsi="Times New Roman" w:cs="Times New Roman" w:eastAsiaTheme="minorEastAsia"/>
                      <w:snapToGrid w:val="0"/>
                      <w:kern w:val="0"/>
                      <w:szCs w:val="21"/>
                      <w:highlight w:val="yellow"/>
                      <w:lang w:eastAsia="zh-CN"/>
                    </w:rPr>
                  </w:pPr>
                  <w:r>
                    <w:rPr>
                      <w:rFonts w:hint="eastAsia" w:ascii="Times New Roman" w:hAnsi="Times New Roman" w:cs="Times New Roman"/>
                      <w:snapToGrid w:val="0"/>
                      <w:spacing w:val="0"/>
                      <w:kern w:val="0"/>
                      <w:sz w:val="21"/>
                      <w:szCs w:val="21"/>
                      <w:highlight w:val="none"/>
                      <w:lang w:val="en-US" w:eastAsia="zh-CN" w:bidi="ar-SA"/>
                    </w:rPr>
                    <w:t>接管标准</w:t>
                  </w:r>
                </w:p>
              </w:tc>
              <w:tc>
                <w:tcPr>
                  <w:tcW w:w="1118" w:type="dxa"/>
                  <w:noWrap w:val="0"/>
                  <w:vAlign w:val="center"/>
                </w:tcPr>
                <w:p>
                  <w:pPr>
                    <w:spacing w:line="280" w:lineRule="exact"/>
                    <w:jc w:val="center"/>
                    <w:rPr>
                      <w:rFonts w:hint="default" w:ascii="Times New Roman" w:hAnsi="Times New Roman" w:eastAsia="宋体" w:cs="Times New Roman"/>
                      <w:szCs w:val="21"/>
                      <w:lang w:val="en-US" w:eastAsia="zh-CN"/>
                    </w:rPr>
                  </w:pPr>
                  <w:r>
                    <w:rPr>
                      <w:rFonts w:hint="default" w:ascii="Times New Roman" w:hAnsi="Times New Roman" w:cs="Times New Roman"/>
                      <w:color w:val="auto"/>
                      <w:sz w:val="21"/>
                      <w:szCs w:val="21"/>
                      <w:highlight w:val="none"/>
                      <w:lang w:val="en-US" w:eastAsia="zh-CN"/>
                    </w:rPr>
                    <w:t>40</w:t>
                  </w:r>
                </w:p>
              </w:tc>
              <w:tc>
                <w:tcPr>
                  <w:tcW w:w="846" w:type="dxa"/>
                  <w:noWrap w:val="0"/>
                  <w:vAlign w:val="center"/>
                </w:tcPr>
                <w:p>
                  <w:pPr>
                    <w:spacing w:line="280" w:lineRule="exact"/>
                    <w:jc w:val="center"/>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cs="Times New Roman"/>
                      <w:color w:val="auto"/>
                      <w:sz w:val="21"/>
                      <w:szCs w:val="21"/>
                      <w:highlight w:val="none"/>
                      <w:lang w:val="en-US" w:eastAsia="zh-CN"/>
                    </w:rPr>
                    <w:t>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643" w:type="dxa"/>
                  <w:noWrap w:val="0"/>
                  <w:vAlign w:val="center"/>
                </w:tcPr>
                <w:p>
                  <w:pPr>
                    <w:spacing w:line="280" w:lineRule="exact"/>
                    <w:jc w:val="center"/>
                    <w:rPr>
                      <w:rFonts w:hint="default" w:ascii="Times New Roman" w:hAnsi="Times New Roman" w:cs="Times New Roman"/>
                      <w:snapToGrid w:val="0"/>
                      <w:kern w:val="0"/>
                      <w:szCs w:val="21"/>
                    </w:rPr>
                  </w:pPr>
                  <w:r>
                    <w:rPr>
                      <w:rFonts w:hint="default" w:ascii="Times New Roman" w:hAnsi="Times New Roman" w:cs="Times New Roman"/>
                      <w:color w:val="auto"/>
                      <w:sz w:val="21"/>
                      <w:szCs w:val="21"/>
                      <w:highlight w:val="none"/>
                    </w:rPr>
                    <w:t>废气</w:t>
                  </w:r>
                </w:p>
              </w:tc>
              <w:tc>
                <w:tcPr>
                  <w:tcW w:w="4557" w:type="dxa"/>
                  <w:noWrap w:val="0"/>
                  <w:vAlign w:val="center"/>
                </w:tcPr>
                <w:p>
                  <w:pPr>
                    <w:spacing w:line="280" w:lineRule="exact"/>
                    <w:jc w:val="center"/>
                    <w:rPr>
                      <w:rFonts w:hint="default" w:ascii="Times New Roman" w:hAnsi="Times New Roman" w:eastAsia="宋体" w:cs="Times New Roman"/>
                      <w:snapToGrid w:val="0"/>
                      <w:kern w:val="0"/>
                      <w:szCs w:val="21"/>
                      <w:lang w:val="en-US" w:eastAsia="zh-CN"/>
                    </w:rPr>
                  </w:pPr>
                  <w:r>
                    <w:rPr>
                      <w:rFonts w:hint="default" w:ascii="Times New Roman" w:hAnsi="Times New Roman" w:cs="Times New Roman"/>
                      <w:color w:val="auto"/>
                      <w:sz w:val="21"/>
                      <w:szCs w:val="21"/>
                      <w:highlight w:val="none"/>
                    </w:rPr>
                    <w:t>水喷淋装置、</w:t>
                  </w:r>
                  <w:r>
                    <w:rPr>
                      <w:rFonts w:hint="default" w:ascii="Times New Roman" w:hAnsi="Times New Roman" w:cs="Times New Roman"/>
                      <w:color w:val="auto"/>
                      <w:sz w:val="21"/>
                      <w:szCs w:val="21"/>
                      <w:highlight w:val="none"/>
                      <w:lang w:val="en-US" w:eastAsia="zh-CN"/>
                    </w:rPr>
                    <w:t>集气罩</w:t>
                  </w:r>
                  <w:r>
                    <w:rPr>
                      <w:rFonts w:hint="eastAsia" w:ascii="Times New Roman" w:hAnsi="Times New Roman" w:cs="Times New Roman"/>
                      <w:color w:val="auto"/>
                      <w:sz w:val="21"/>
                      <w:szCs w:val="21"/>
                      <w:highlight w:val="none"/>
                      <w:lang w:val="en-US" w:eastAsia="zh-CN"/>
                    </w:rPr>
                    <w:t>+脉冲除尘</w:t>
                  </w:r>
                </w:p>
              </w:tc>
              <w:tc>
                <w:tcPr>
                  <w:tcW w:w="2153" w:type="dxa"/>
                  <w:noWrap w:val="0"/>
                  <w:vAlign w:val="center"/>
                </w:tcPr>
                <w:p>
                  <w:pPr>
                    <w:pStyle w:val="36"/>
                    <w:adjustRightInd w:val="0"/>
                    <w:snapToGrid w:val="0"/>
                    <w:spacing w:before="0" w:after="0" w:line="340" w:lineRule="exact"/>
                    <w:rPr>
                      <w:rFonts w:hint="default" w:ascii="Times New Roman" w:hAnsi="Times New Roman" w:cs="Times New Roman"/>
                      <w:snapToGrid w:val="0"/>
                      <w:spacing w:val="0"/>
                      <w:kern w:val="0"/>
                      <w:sz w:val="21"/>
                      <w:szCs w:val="21"/>
                      <w:highlight w:val="yellow"/>
                    </w:rPr>
                  </w:pPr>
                  <w:r>
                    <w:rPr>
                      <w:rFonts w:hint="default" w:ascii="Times New Roman" w:hAnsi="Times New Roman" w:cs="Times New Roman"/>
                      <w:snapToGrid w:val="0"/>
                      <w:spacing w:val="0"/>
                      <w:kern w:val="0"/>
                      <w:sz w:val="21"/>
                      <w:szCs w:val="21"/>
                      <w:highlight w:val="none"/>
                    </w:rPr>
                    <w:t>达标排放</w:t>
                  </w:r>
                </w:p>
              </w:tc>
              <w:tc>
                <w:tcPr>
                  <w:tcW w:w="1118" w:type="dxa"/>
                  <w:noWrap w:val="0"/>
                  <w:vAlign w:val="center"/>
                </w:tcPr>
                <w:p>
                  <w:pPr>
                    <w:spacing w:line="280" w:lineRule="exact"/>
                    <w:jc w:val="center"/>
                    <w:rPr>
                      <w:rFonts w:hint="default" w:ascii="Times New Roman" w:hAnsi="Times New Roman" w:eastAsia="宋体" w:cs="Times New Roman"/>
                      <w:snapToGrid w:val="0"/>
                      <w:kern w:val="0"/>
                      <w:szCs w:val="21"/>
                      <w:lang w:val="en-US" w:eastAsia="zh-CN"/>
                    </w:rPr>
                  </w:pPr>
                  <w:r>
                    <w:rPr>
                      <w:rFonts w:hint="default" w:ascii="Times New Roman" w:hAnsi="Times New Roman" w:cs="Times New Roman"/>
                      <w:color w:val="auto"/>
                      <w:sz w:val="21"/>
                      <w:szCs w:val="21"/>
                      <w:highlight w:val="none"/>
                      <w:lang w:val="en-US" w:eastAsia="zh-CN"/>
                    </w:rPr>
                    <w:t>30</w:t>
                  </w:r>
                </w:p>
              </w:tc>
              <w:tc>
                <w:tcPr>
                  <w:tcW w:w="846" w:type="dxa"/>
                  <w:noWrap w:val="0"/>
                  <w:vAlign w:val="center"/>
                </w:tcPr>
                <w:p>
                  <w:pPr>
                    <w:spacing w:line="280" w:lineRule="exact"/>
                    <w:jc w:val="center"/>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cs="Times New Roman"/>
                      <w:color w:val="auto"/>
                      <w:sz w:val="21"/>
                      <w:szCs w:val="21"/>
                      <w:highlight w:val="none"/>
                      <w:lang w:val="en-US" w:eastAsia="zh-CN"/>
                    </w:rPr>
                    <w:t>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43" w:type="dxa"/>
                  <w:noWrap w:val="0"/>
                  <w:vAlign w:val="center"/>
                </w:tcPr>
                <w:p>
                  <w:pPr>
                    <w:spacing w:line="280" w:lineRule="exact"/>
                    <w:jc w:val="center"/>
                    <w:rPr>
                      <w:rFonts w:hint="default" w:ascii="Times New Roman" w:hAnsi="Times New Roman" w:cs="Times New Roman"/>
                      <w:snapToGrid w:val="0"/>
                      <w:kern w:val="0"/>
                      <w:szCs w:val="21"/>
                    </w:rPr>
                  </w:pPr>
                  <w:r>
                    <w:rPr>
                      <w:rFonts w:hint="default" w:ascii="Times New Roman" w:hAnsi="Times New Roman" w:cs="Times New Roman"/>
                      <w:color w:val="auto"/>
                      <w:sz w:val="21"/>
                      <w:szCs w:val="21"/>
                      <w:highlight w:val="none"/>
                    </w:rPr>
                    <w:t>固体</w:t>
                  </w:r>
                </w:p>
              </w:tc>
              <w:tc>
                <w:tcPr>
                  <w:tcW w:w="4557" w:type="dxa"/>
                  <w:noWrap w:val="0"/>
                  <w:vAlign w:val="center"/>
                </w:tcPr>
                <w:p>
                  <w:pPr>
                    <w:spacing w:line="280" w:lineRule="exact"/>
                    <w:jc w:val="center"/>
                    <w:rPr>
                      <w:rFonts w:hint="eastAsia" w:ascii="Times New Roman" w:hAnsi="Times New Roman" w:eastAsia="宋体" w:cs="Times New Roman"/>
                      <w:snapToGrid w:val="0"/>
                      <w:kern w:val="0"/>
                      <w:szCs w:val="21"/>
                      <w:lang w:eastAsia="zh-CN"/>
                    </w:rPr>
                  </w:pPr>
                  <w:r>
                    <w:rPr>
                      <w:rFonts w:hint="default" w:ascii="Times New Roman" w:hAnsi="Times New Roman" w:cs="Times New Roman"/>
                      <w:color w:val="auto"/>
                      <w:sz w:val="21"/>
                      <w:szCs w:val="21"/>
                      <w:highlight w:val="none"/>
                    </w:rPr>
                    <w:t>一般固废堆场10</w:t>
                  </w:r>
                  <w:r>
                    <w:rPr>
                      <w:rFonts w:hint="eastAsia" w:ascii="Times New Roman" w:hAnsi="Times New Roman" w:cs="Times New Roman"/>
                      <w:color w:val="auto"/>
                      <w:sz w:val="21"/>
                      <w:szCs w:val="21"/>
                      <w:highlight w:val="none"/>
                      <w:lang w:val="en-US" w:eastAsia="zh-CN"/>
                    </w:rPr>
                    <w:t>0</w:t>
                  </w:r>
                  <w:r>
                    <w:rPr>
                      <w:rFonts w:hint="default" w:ascii="Times New Roman" w:hAnsi="Times New Roman" w:cs="Times New Roman"/>
                      <w:color w:val="auto"/>
                      <w:sz w:val="21"/>
                      <w:szCs w:val="21"/>
                      <w:highlight w:val="none"/>
                    </w:rPr>
                    <w:t>m</w:t>
                  </w:r>
                  <w:r>
                    <w:rPr>
                      <w:rFonts w:hint="default" w:ascii="Times New Roman" w:hAnsi="Times New Roman" w:cs="Times New Roman"/>
                      <w:color w:val="auto"/>
                      <w:sz w:val="21"/>
                      <w:szCs w:val="21"/>
                      <w:highlight w:val="none"/>
                      <w:vertAlign w:val="superscript"/>
                    </w:rPr>
                    <w:t>2</w:t>
                  </w:r>
                  <w:r>
                    <w:rPr>
                      <w:rFonts w:hint="default" w:ascii="Times New Roman" w:hAnsi="Times New Roman" w:cs="Times New Roman"/>
                      <w:color w:val="auto"/>
                      <w:sz w:val="21"/>
                      <w:szCs w:val="21"/>
                      <w:highlight w:val="none"/>
                    </w:rPr>
                    <w:t>，危废暂存间</w:t>
                  </w:r>
                  <w:r>
                    <w:rPr>
                      <w:rFonts w:hint="eastAsia" w:ascii="Times New Roman" w:hAnsi="Times New Roman" w:cs="Times New Roman"/>
                      <w:color w:val="auto"/>
                      <w:sz w:val="21"/>
                      <w:szCs w:val="21"/>
                      <w:highlight w:val="none"/>
                      <w:lang w:val="en-US" w:eastAsia="zh-CN"/>
                    </w:rPr>
                    <w:t>14</w:t>
                  </w:r>
                  <w:r>
                    <w:rPr>
                      <w:rFonts w:hint="default" w:ascii="Times New Roman" w:hAnsi="Times New Roman" w:cs="Times New Roman"/>
                      <w:color w:val="auto"/>
                      <w:sz w:val="21"/>
                      <w:szCs w:val="21"/>
                      <w:highlight w:val="none"/>
                    </w:rPr>
                    <w:t>m</w:t>
                  </w:r>
                  <w:r>
                    <w:rPr>
                      <w:rFonts w:hint="default" w:ascii="Times New Roman" w:hAnsi="Times New Roman" w:cs="Times New Roman"/>
                      <w:color w:val="auto"/>
                      <w:sz w:val="21"/>
                      <w:szCs w:val="21"/>
                      <w:highlight w:val="none"/>
                      <w:vertAlign w:val="superscript"/>
                    </w:rPr>
                    <w:t>2</w:t>
                  </w:r>
                </w:p>
              </w:tc>
              <w:tc>
                <w:tcPr>
                  <w:tcW w:w="2153" w:type="dxa"/>
                  <w:noWrap w:val="0"/>
                  <w:vAlign w:val="center"/>
                </w:tcPr>
                <w:p>
                  <w:pPr>
                    <w:pStyle w:val="36"/>
                    <w:adjustRightInd w:val="0"/>
                    <w:snapToGrid w:val="0"/>
                    <w:spacing w:before="0" w:after="0" w:line="340" w:lineRule="exact"/>
                    <w:rPr>
                      <w:rFonts w:hint="default" w:ascii="Times New Roman" w:hAnsi="Times New Roman" w:cs="Times New Roman"/>
                      <w:snapToGrid w:val="0"/>
                      <w:spacing w:val="0"/>
                      <w:kern w:val="0"/>
                      <w:sz w:val="21"/>
                      <w:szCs w:val="21"/>
                      <w:highlight w:val="yellow"/>
                    </w:rPr>
                  </w:pPr>
                  <w:r>
                    <w:rPr>
                      <w:rFonts w:hint="default" w:ascii="Times New Roman" w:hAnsi="Times New Roman" w:cs="Times New Roman"/>
                      <w:snapToGrid w:val="0"/>
                      <w:kern w:val="0"/>
                      <w:sz w:val="21"/>
                      <w:szCs w:val="21"/>
                      <w:highlight w:val="none"/>
                    </w:rPr>
                    <w:t>处理率100%</w:t>
                  </w:r>
                </w:p>
              </w:tc>
              <w:tc>
                <w:tcPr>
                  <w:tcW w:w="1118" w:type="dxa"/>
                  <w:noWrap w:val="0"/>
                  <w:vAlign w:val="center"/>
                </w:tcPr>
                <w:p>
                  <w:pPr>
                    <w:spacing w:line="280" w:lineRule="exact"/>
                    <w:jc w:val="center"/>
                    <w:rPr>
                      <w:rFonts w:hint="default" w:ascii="Times New Roman" w:hAnsi="Times New Roman" w:eastAsia="宋体" w:cs="Times New Roman"/>
                      <w:snapToGrid w:val="0"/>
                      <w:kern w:val="0"/>
                      <w:szCs w:val="21"/>
                      <w:lang w:val="en-US" w:eastAsia="zh-CN"/>
                    </w:rPr>
                  </w:pPr>
                  <w:r>
                    <w:rPr>
                      <w:rFonts w:hint="default" w:ascii="Times New Roman" w:hAnsi="Times New Roman" w:cs="Times New Roman"/>
                      <w:color w:val="auto"/>
                      <w:sz w:val="21"/>
                      <w:szCs w:val="21"/>
                      <w:highlight w:val="none"/>
                      <w:lang w:val="en-US" w:eastAsia="zh-CN"/>
                    </w:rPr>
                    <w:t>30</w:t>
                  </w:r>
                </w:p>
              </w:tc>
              <w:tc>
                <w:tcPr>
                  <w:tcW w:w="846" w:type="dxa"/>
                  <w:noWrap w:val="0"/>
                  <w:vAlign w:val="center"/>
                </w:tcPr>
                <w:p>
                  <w:pPr>
                    <w:spacing w:line="280" w:lineRule="exact"/>
                    <w:jc w:val="center"/>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cs="Times New Roman"/>
                      <w:color w:val="auto"/>
                      <w:sz w:val="21"/>
                      <w:szCs w:val="21"/>
                      <w:highlight w:val="none"/>
                      <w:lang w:val="en-US" w:eastAsia="zh-CN"/>
                    </w:rPr>
                    <w:t>30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643" w:type="dxa"/>
                  <w:noWrap w:val="0"/>
                  <w:vAlign w:val="center"/>
                </w:tcPr>
                <w:p>
                  <w:pPr>
                    <w:spacing w:line="280" w:lineRule="exact"/>
                    <w:jc w:val="center"/>
                    <w:rPr>
                      <w:rFonts w:hint="default" w:ascii="Times New Roman" w:hAnsi="Times New Roman" w:cs="Times New Roman"/>
                      <w:snapToGrid w:val="0"/>
                      <w:kern w:val="0"/>
                      <w:szCs w:val="21"/>
                    </w:rPr>
                  </w:pPr>
                  <w:r>
                    <w:rPr>
                      <w:rFonts w:hint="default" w:ascii="Times New Roman" w:hAnsi="Times New Roman" w:cs="Times New Roman"/>
                      <w:color w:val="auto"/>
                      <w:sz w:val="21"/>
                      <w:szCs w:val="21"/>
                      <w:highlight w:val="none"/>
                    </w:rPr>
                    <w:t>噪声</w:t>
                  </w:r>
                </w:p>
              </w:tc>
              <w:tc>
                <w:tcPr>
                  <w:tcW w:w="4557" w:type="dxa"/>
                  <w:noWrap w:val="0"/>
                  <w:vAlign w:val="center"/>
                </w:tcPr>
                <w:p>
                  <w:pPr>
                    <w:spacing w:line="280" w:lineRule="exact"/>
                    <w:jc w:val="center"/>
                    <w:rPr>
                      <w:rFonts w:hint="default" w:ascii="Times New Roman" w:hAnsi="Times New Roman" w:eastAsia="宋体" w:cs="Times New Roman"/>
                      <w:snapToGrid w:val="0"/>
                      <w:kern w:val="0"/>
                      <w:szCs w:val="21"/>
                      <w:lang w:eastAsia="zh-CN"/>
                    </w:rPr>
                  </w:pPr>
                  <w:r>
                    <w:rPr>
                      <w:rFonts w:hint="default" w:ascii="Times New Roman" w:hAnsi="Times New Roman" w:cs="Times New Roman"/>
                      <w:color w:val="auto"/>
                      <w:sz w:val="21"/>
                      <w:szCs w:val="21"/>
                      <w:highlight w:val="none"/>
                    </w:rPr>
                    <w:t>隔声、消声、减震等</w:t>
                  </w:r>
                </w:p>
              </w:tc>
              <w:tc>
                <w:tcPr>
                  <w:tcW w:w="2153" w:type="dxa"/>
                  <w:noWrap w:val="0"/>
                  <w:vAlign w:val="center"/>
                </w:tcPr>
                <w:p>
                  <w:pPr>
                    <w:adjustRightInd w:val="0"/>
                    <w:snapToGrid w:val="0"/>
                    <w:spacing w:line="340" w:lineRule="exact"/>
                    <w:jc w:val="center"/>
                    <w:rPr>
                      <w:rFonts w:hint="default" w:ascii="Times New Roman" w:hAnsi="Times New Roman" w:cs="Times New Roman"/>
                      <w:snapToGrid w:val="0"/>
                      <w:kern w:val="0"/>
                      <w:szCs w:val="21"/>
                      <w:highlight w:val="yellow"/>
                    </w:rPr>
                  </w:pPr>
                  <w:r>
                    <w:rPr>
                      <w:rFonts w:hint="default" w:ascii="Times New Roman" w:hAnsi="Times New Roman" w:cs="Times New Roman"/>
                      <w:snapToGrid w:val="0"/>
                      <w:spacing w:val="0"/>
                      <w:kern w:val="0"/>
                      <w:sz w:val="21"/>
                      <w:szCs w:val="21"/>
                      <w:highlight w:val="none"/>
                    </w:rPr>
                    <w:t>厂界达标</w:t>
                  </w:r>
                </w:p>
              </w:tc>
              <w:tc>
                <w:tcPr>
                  <w:tcW w:w="1118" w:type="dxa"/>
                  <w:noWrap w:val="0"/>
                  <w:vAlign w:val="center"/>
                </w:tcPr>
                <w:p>
                  <w:pPr>
                    <w:spacing w:line="280" w:lineRule="exact"/>
                    <w:jc w:val="center"/>
                    <w:rPr>
                      <w:rFonts w:hint="default" w:ascii="Times New Roman" w:hAnsi="Times New Roman" w:eastAsia="宋体" w:cs="Times New Roman"/>
                      <w:szCs w:val="21"/>
                      <w:lang w:val="en-US" w:eastAsia="zh-CN"/>
                    </w:rPr>
                  </w:pPr>
                  <w:r>
                    <w:rPr>
                      <w:rFonts w:hint="default" w:ascii="Times New Roman" w:hAnsi="Times New Roman" w:cs="Times New Roman"/>
                      <w:color w:val="auto"/>
                      <w:sz w:val="21"/>
                      <w:szCs w:val="21"/>
                      <w:highlight w:val="none"/>
                      <w:lang w:val="en-US" w:eastAsia="zh-CN"/>
                    </w:rPr>
                    <w:t>20</w:t>
                  </w:r>
                </w:p>
              </w:tc>
              <w:tc>
                <w:tcPr>
                  <w:tcW w:w="846" w:type="dxa"/>
                  <w:noWrap w:val="0"/>
                  <w:vAlign w:val="center"/>
                </w:tcPr>
                <w:p>
                  <w:pPr>
                    <w:spacing w:line="280" w:lineRule="exact"/>
                    <w:jc w:val="center"/>
                    <w:rPr>
                      <w:rFonts w:hint="default" w:ascii="Times New Roman" w:hAnsi="Times New Roman" w:eastAsia="宋体" w:cs="Times New Roman"/>
                      <w:snapToGrid w:val="0"/>
                      <w:kern w:val="0"/>
                      <w:sz w:val="21"/>
                      <w:szCs w:val="21"/>
                      <w:lang w:val="en-US" w:eastAsia="zh-CN" w:bidi="ar-SA"/>
                    </w:rPr>
                  </w:pPr>
                  <w:r>
                    <w:rPr>
                      <w:rFonts w:hint="default" w:ascii="Times New Roman" w:hAnsi="Times New Roman" w:cs="Times New Roman"/>
                      <w:color w:val="auto"/>
                      <w:sz w:val="21"/>
                      <w:szCs w:val="21"/>
                      <w:highlight w:val="none"/>
                      <w:lang w:val="en-US" w:eastAsia="zh-CN"/>
                    </w:rPr>
                    <w:t>20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7353" w:type="dxa"/>
                  <w:gridSpan w:val="3"/>
                  <w:noWrap w:val="0"/>
                  <w:vAlign w:val="center"/>
                </w:tcPr>
                <w:p>
                  <w:pPr>
                    <w:adjustRightInd w:val="0"/>
                    <w:snapToGrid w:val="0"/>
                    <w:spacing w:line="340" w:lineRule="exact"/>
                    <w:jc w:val="center"/>
                    <w:rPr>
                      <w:rFonts w:hint="default" w:ascii="Times New Roman" w:hAnsi="Times New Roman" w:cs="Times New Roman"/>
                      <w:snapToGrid w:val="0"/>
                      <w:kern w:val="0"/>
                      <w:szCs w:val="21"/>
                    </w:rPr>
                  </w:pPr>
                  <w:r>
                    <w:rPr>
                      <w:rFonts w:hint="default" w:ascii="Times New Roman" w:hAnsi="Times New Roman" w:cs="Times New Roman"/>
                      <w:snapToGrid w:val="0"/>
                      <w:kern w:val="0"/>
                      <w:szCs w:val="21"/>
                    </w:rPr>
                    <w:t>合计</w:t>
                  </w:r>
                </w:p>
              </w:tc>
              <w:tc>
                <w:tcPr>
                  <w:tcW w:w="1118" w:type="dxa"/>
                  <w:noWrap w:val="0"/>
                  <w:vAlign w:val="center"/>
                </w:tcPr>
                <w:p>
                  <w:pPr>
                    <w:adjustRightInd w:val="0"/>
                    <w:snapToGrid w:val="0"/>
                    <w:spacing w:line="340" w:lineRule="exact"/>
                    <w:jc w:val="center"/>
                    <w:rPr>
                      <w:rFonts w:hint="default" w:ascii="Times New Roman" w:hAnsi="Times New Roman" w:eastAsia="宋体" w:cs="Times New Roman"/>
                      <w:snapToGrid w:val="0"/>
                      <w:kern w:val="0"/>
                      <w:szCs w:val="21"/>
                      <w:lang w:val="en-US" w:eastAsia="zh-CN"/>
                    </w:rPr>
                  </w:pPr>
                  <w:r>
                    <w:rPr>
                      <w:rFonts w:hint="eastAsia" w:ascii="Times New Roman" w:hAnsi="Times New Roman" w:eastAsia="宋体" w:cs="Times New Roman"/>
                      <w:snapToGrid w:val="0"/>
                      <w:kern w:val="0"/>
                      <w:szCs w:val="21"/>
                      <w:highlight w:val="none"/>
                      <w:lang w:val="en-US" w:eastAsia="zh-CN"/>
                    </w:rPr>
                    <w:t>120</w:t>
                  </w:r>
                </w:p>
              </w:tc>
              <w:tc>
                <w:tcPr>
                  <w:tcW w:w="846" w:type="dxa"/>
                  <w:noWrap w:val="0"/>
                  <w:vAlign w:val="center"/>
                </w:tcPr>
                <w:p>
                  <w:pPr>
                    <w:adjustRightInd w:val="0"/>
                    <w:snapToGrid w:val="0"/>
                    <w:spacing w:line="340" w:lineRule="exact"/>
                    <w:jc w:val="center"/>
                    <w:rPr>
                      <w:rFonts w:hint="default" w:ascii="Times New Roman" w:hAnsi="Times New Roman" w:eastAsia="宋体" w:cs="Times New Roman"/>
                      <w:snapToGrid w:val="0"/>
                      <w:kern w:val="0"/>
                      <w:szCs w:val="21"/>
                      <w:highlight w:val="yellow"/>
                      <w:lang w:val="en-US" w:eastAsia="zh-CN"/>
                    </w:rPr>
                  </w:pPr>
                  <w:r>
                    <w:rPr>
                      <w:rFonts w:hint="eastAsia" w:ascii="Times New Roman" w:hAnsi="Times New Roman" w:eastAsia="宋体" w:cs="Times New Roman"/>
                      <w:snapToGrid w:val="0"/>
                      <w:kern w:val="0"/>
                      <w:szCs w:val="21"/>
                      <w:highlight w:val="none"/>
                      <w:lang w:val="en-US" w:eastAsia="zh-CN"/>
                    </w:rPr>
                    <w:t>120</w:t>
                  </w:r>
                </w:p>
              </w:tc>
            </w:tr>
          </w:tbl>
          <w:p>
            <w:pPr>
              <w:pStyle w:val="8"/>
              <w:spacing w:before="160"/>
              <w:ind w:firstLine="0"/>
              <w:rPr>
                <w:rFonts w:hint="default" w:ascii="Times New Roman" w:hAnsi="Times New Roman" w:cs="Times New Roman"/>
              </w:rPr>
            </w:pPr>
          </w:p>
        </w:tc>
      </w:tr>
    </w:tbl>
    <w:p>
      <w:pPr>
        <w:pStyle w:val="5"/>
        <w:spacing w:before="0" w:beforeAutospacing="0" w:after="0" w:afterAutospacing="0"/>
        <w:rPr>
          <w:rFonts w:hint="default" w:ascii="Times New Roman" w:hAnsi="Times New Roman" w:cs="Times New Roman"/>
          <w:sz w:val="30"/>
          <w:szCs w:val="30"/>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5"/>
        <w:spacing w:before="0" w:beforeAutospacing="0" w:after="0" w:afterAutospacing="0"/>
        <w:rPr>
          <w:rFonts w:hint="default" w:ascii="Times New Roman" w:hAnsi="Times New Roman" w:cs="Times New Roman"/>
          <w:sz w:val="30"/>
          <w:szCs w:val="30"/>
        </w:rPr>
      </w:pPr>
      <w:r>
        <w:rPr>
          <w:rFonts w:hint="default" w:ascii="Times New Roman" w:hAnsi="Times New Roman" w:cs="Times New Roman"/>
          <w:sz w:val="30"/>
          <w:szCs w:val="30"/>
        </w:rPr>
        <w:t>表四、建设项目环境影响报告表主要结论及审批部门审批决定</w:t>
      </w:r>
    </w:p>
    <w:tbl>
      <w:tblPr>
        <w:tblStyle w:val="21"/>
        <w:tblW w:w="5000"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11844" w:hRule="atLeast"/>
          <w:jc w:val="center"/>
        </w:trPr>
        <w:tc>
          <w:tcPr>
            <w:tcW w:w="5000" w:type="pct"/>
            <w:noWrap w:val="0"/>
            <w:vAlign w:val="top"/>
          </w:tcPr>
          <w:p>
            <w:pPr>
              <w:pStyle w:val="32"/>
              <w:ind w:firstLine="0" w:firstLineChars="0"/>
              <w:jc w:val="both"/>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4.1 建设项目环境影响报告表主要结论</w:t>
            </w:r>
          </w:p>
          <w:p>
            <w:pPr>
              <w:pStyle w:val="32"/>
              <w:jc w:val="both"/>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建设项目环评报告表的主要结论及建议详见表4-1。</w:t>
            </w:r>
          </w:p>
          <w:tbl>
            <w:tblPr>
              <w:tblStyle w:val="21"/>
              <w:tblpPr w:leftFromText="180" w:rightFromText="180" w:vertAnchor="text" w:horzAnchor="page" w:tblpX="9" w:tblpY="508"/>
              <w:tblOverlap w:val="never"/>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64"/>
              <w:gridCol w:w="753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47" w:hRule="atLeast"/>
              </w:trPr>
              <w:tc>
                <w:tcPr>
                  <w:tcW w:w="460" w:type="pct"/>
                  <w:noWrap w:val="0"/>
                  <w:vAlign w:val="center"/>
                </w:tcPr>
                <w:p>
                  <w:pPr>
                    <w:pStyle w:val="17"/>
                    <w:spacing w:line="240" w:lineRule="auto"/>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项目</w:t>
                  </w:r>
                </w:p>
              </w:tc>
              <w:tc>
                <w:tcPr>
                  <w:tcW w:w="4539" w:type="pct"/>
                  <w:noWrap w:val="0"/>
                  <w:vAlign w:val="center"/>
                </w:tcPr>
                <w:p>
                  <w:pPr>
                    <w:pStyle w:val="17"/>
                    <w:spacing w:line="240" w:lineRule="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环境影响评价报告表中对废水、废气、噪声、固体废弃物污染防治设施效果的要求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57" w:hRule="atLeast"/>
              </w:trPr>
              <w:tc>
                <w:tcPr>
                  <w:tcW w:w="460" w:type="pct"/>
                  <w:noWrap w:val="0"/>
                  <w:vAlign w:val="center"/>
                </w:tcPr>
                <w:p>
                  <w:pPr>
                    <w:pStyle w:val="17"/>
                    <w:spacing w:line="240" w:lineRule="auto"/>
                    <w:rPr>
                      <w:rFonts w:hint="default" w:ascii="Times New Roman" w:hAnsi="Times New Roman" w:eastAsia="宋体" w:cs="Times New Roman"/>
                      <w:bCs/>
                      <w:sz w:val="21"/>
                      <w:szCs w:val="21"/>
                      <w:highlight w:val="none"/>
                      <w:lang w:val="en-US" w:eastAsia="zh-CN"/>
                    </w:rPr>
                  </w:pPr>
                  <w:r>
                    <w:rPr>
                      <w:rFonts w:hint="default" w:ascii="Times New Roman" w:hAnsi="Times New Roman" w:eastAsia="宋体" w:cs="Times New Roman"/>
                      <w:bCs/>
                      <w:sz w:val="21"/>
                      <w:szCs w:val="21"/>
                      <w:highlight w:val="none"/>
                      <w:lang w:val="en-US" w:eastAsia="zh-CN"/>
                    </w:rPr>
                    <w:t>废气</w:t>
                  </w:r>
                </w:p>
              </w:tc>
              <w:tc>
                <w:tcPr>
                  <w:tcW w:w="4539" w:type="pct"/>
                  <w:noWrap w:val="0"/>
                  <w:vAlign w:val="center"/>
                </w:tcPr>
                <w:p>
                  <w:pPr>
                    <w:spacing w:line="240" w:lineRule="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本项目废气主要焊接烟尘、原料装卸粉尘、运输扬尘、搅拌粉尘、水泥罐废气。</w:t>
                  </w:r>
                </w:p>
                <w:p>
                  <w:pPr>
                    <w:spacing w:line="240" w:lineRule="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项目焊接烟尘经移动式焊接烟尘净化器处理后，无组织排放，项目原料装卸粉尘经洒水抑尘处理后，无组织排放，项目运输扬尘经洒水降尘处理后，无组织排放，项目搅拌粉尘经喷淋洒水装置抑尘处理后，无组织排放；水泥罐废气经脉冲除尘处理后，通过1根15m排气筒(DA001)高空排放；项目有组织污染物颗粒物排放执行《水泥工业大气污染物排放标准》 (GB4915-2013)标准限值，无组织污染物颗粒物排放执行《水泥工业大气污染物排放标准》(GB4915-2013)标准限值。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460" w:type="pct"/>
                  <w:noWrap w:val="0"/>
                  <w:vAlign w:val="center"/>
                </w:tcPr>
                <w:p>
                  <w:pPr>
                    <w:pStyle w:val="17"/>
                    <w:spacing w:line="240" w:lineRule="auto"/>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lang w:eastAsia="zh-CN"/>
                    </w:rPr>
                    <w:t>废水</w:t>
                  </w:r>
                </w:p>
              </w:tc>
              <w:tc>
                <w:tcPr>
                  <w:tcW w:w="4539" w:type="pct"/>
                  <w:noWrap w:val="0"/>
                  <w:vAlign w:val="center"/>
                </w:tcPr>
                <w:p>
                  <w:pPr>
                    <w:pStyle w:val="18"/>
                    <w:keepNext w:val="0"/>
                    <w:keepLines w:val="0"/>
                    <w:widowControl/>
                    <w:suppressLineNumbers w:val="0"/>
                    <w:spacing w:before="0" w:beforeAutospacing="0" w:after="0" w:afterAutospacing="0"/>
                    <w:ind w:left="0" w:right="0" w:firstLine="0"/>
                    <w:rPr>
                      <w:rFonts w:hint="default" w:ascii="Times New Roman" w:hAnsi="Times New Roman" w:eastAsia="宋体" w:cs="Times New Roman"/>
                      <w:sz w:val="21"/>
                      <w:szCs w:val="21"/>
                      <w:highlight w:val="yellow"/>
                      <w:lang w:eastAsia="zh-CN"/>
                    </w:rPr>
                  </w:pPr>
                  <w:r>
                    <w:rPr>
                      <w:rFonts w:hint="default" w:ascii="Times New Roman" w:hAnsi="Times New Roman" w:eastAsia="宋体" w:cs="Times New Roman"/>
                      <w:sz w:val="21"/>
                      <w:szCs w:val="21"/>
                      <w:highlight w:val="none"/>
                      <w:lang w:eastAsia="zh-CN"/>
                    </w:rPr>
                    <w:t>项目运营期废水主要为</w:t>
                  </w:r>
                  <w:r>
                    <w:rPr>
                      <w:rFonts w:hint="eastAsia" w:ascii="Times New Roman" w:hAnsi="Times New Roman" w:eastAsia="宋体" w:cs="Times New Roman"/>
                      <w:sz w:val="21"/>
                      <w:szCs w:val="21"/>
                      <w:highlight w:val="none"/>
                      <w:lang w:val="en-US" w:eastAsia="zh-CN"/>
                    </w:rPr>
                    <w:t>生活废水、清洗废水</w:t>
                  </w:r>
                  <w:r>
                    <w:rPr>
                      <w:rFonts w:hint="default" w:ascii="Times New Roman" w:hAnsi="Times New Roman" w:eastAsia="宋体" w:cs="Times New Roman"/>
                      <w:sz w:val="21"/>
                      <w:szCs w:val="21"/>
                      <w:highlight w:val="none"/>
                      <w:lang w:eastAsia="zh-CN"/>
                    </w:rPr>
                    <w:t>。洗车用水循环使用不外排；生活废水经化粪池处理后经园区市政污水管网进入袁州区彬江机电产业园污水处理厂处理达到《城镇污水处理厂污水排放标准》(GB18918-2002)一级A标准后，尾水排入袁河</w:t>
                  </w:r>
                  <w:r>
                    <w:rPr>
                      <w:rFonts w:hint="eastAsia" w:ascii="Times New Roman" w:hAnsi="Times New Roman" w:eastAsia="宋体" w:cs="Times New Roman"/>
                      <w:sz w:val="21"/>
                      <w:szCs w:val="21"/>
                      <w:highlight w:val="none"/>
                      <w:lang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37" w:hRule="atLeast"/>
              </w:trPr>
              <w:tc>
                <w:tcPr>
                  <w:tcW w:w="460" w:type="pct"/>
                  <w:noWrap w:val="0"/>
                  <w:vAlign w:val="center"/>
                </w:tcPr>
                <w:p>
                  <w:pPr>
                    <w:pStyle w:val="17"/>
                    <w:spacing w:line="240" w:lineRule="auto"/>
                    <w:rPr>
                      <w:rFonts w:hint="default" w:ascii="Times New Roman" w:hAnsi="Times New Roman" w:eastAsia="宋体" w:cs="Times New Roman"/>
                      <w:bCs/>
                      <w:sz w:val="21"/>
                      <w:szCs w:val="21"/>
                    </w:rPr>
                  </w:pPr>
                  <w:r>
                    <w:rPr>
                      <w:rFonts w:hint="default" w:ascii="Times New Roman" w:hAnsi="Times New Roman" w:eastAsia="宋体" w:cs="Times New Roman"/>
                      <w:bCs/>
                      <w:sz w:val="21"/>
                      <w:szCs w:val="21"/>
                    </w:rPr>
                    <w:t>噪声</w:t>
                  </w:r>
                </w:p>
              </w:tc>
              <w:tc>
                <w:tcPr>
                  <w:tcW w:w="4539" w:type="pct"/>
                  <w:noWrap w:val="0"/>
                  <w:vAlign w:val="center"/>
                </w:tcPr>
                <w:p>
                  <w:pPr>
                    <w:snapToGrid w:val="0"/>
                    <w:spacing w:line="240" w:lineRule="auto"/>
                    <w:rPr>
                      <w:rFonts w:hint="default" w:ascii="Times New Roman" w:hAnsi="Times New Roman" w:eastAsia="宋体" w:cs="Times New Roman"/>
                      <w:sz w:val="21"/>
                      <w:szCs w:val="21"/>
                      <w:highlight w:val="yellow"/>
                      <w:lang w:eastAsia="zh-CN"/>
                    </w:rPr>
                  </w:pPr>
                  <w:r>
                    <w:rPr>
                      <w:rFonts w:hint="default" w:ascii="Times New Roman" w:hAnsi="Times New Roman" w:eastAsia="宋体" w:cs="Times New Roman"/>
                      <w:sz w:val="21"/>
                      <w:szCs w:val="21"/>
                      <w:highlight w:val="none"/>
                      <w:lang w:eastAsia="zh-CN"/>
                    </w:rPr>
                    <w:t>选用低噪声设备，同时采用减振、隔声、降噪、合理布局等措施，控制环境噪声影响。厂界噪声须达到《工业企业厂界环境噪声排放标准》(GB12348-2008)中3类标准。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88" w:hRule="atLeast"/>
              </w:trPr>
              <w:tc>
                <w:tcPr>
                  <w:tcW w:w="460" w:type="pct"/>
                  <w:noWrap w:val="0"/>
                  <w:vAlign w:val="center"/>
                </w:tcPr>
                <w:p>
                  <w:pPr>
                    <w:pStyle w:val="17"/>
                    <w:spacing w:line="240" w:lineRule="auto"/>
                    <w:rPr>
                      <w:rFonts w:hint="default" w:ascii="Times New Roman" w:hAnsi="Times New Roman" w:eastAsia="宋体" w:cs="Times New Roman"/>
                      <w:snapToGrid/>
                      <w:color w:val="000000"/>
                      <w:spacing w:val="0"/>
                      <w:kern w:val="21"/>
                      <w:sz w:val="21"/>
                      <w:szCs w:val="21"/>
                      <w:lang w:val="en-US" w:eastAsia="zh-CN" w:bidi="ar-SA"/>
                    </w:rPr>
                  </w:pPr>
                  <w:r>
                    <w:rPr>
                      <w:rFonts w:hint="default" w:ascii="Times New Roman" w:hAnsi="Times New Roman" w:eastAsia="宋体" w:cs="Times New Roman"/>
                      <w:snapToGrid/>
                      <w:color w:val="000000"/>
                      <w:spacing w:val="0"/>
                      <w:kern w:val="21"/>
                      <w:sz w:val="21"/>
                      <w:szCs w:val="21"/>
                      <w:lang w:val="en-US" w:eastAsia="zh-CN" w:bidi="ar-SA"/>
                    </w:rPr>
                    <w:t>固体废弃物</w:t>
                  </w:r>
                </w:p>
              </w:tc>
              <w:tc>
                <w:tcPr>
                  <w:tcW w:w="4539" w:type="pct"/>
                  <w:noWrap w:val="0"/>
                  <w:vAlign w:val="center"/>
                </w:tcPr>
                <w:p>
                  <w:pPr>
                    <w:spacing w:line="240" w:lineRule="auto"/>
                    <w:rPr>
                      <w:rFonts w:hint="default" w:ascii="Times New Roman" w:hAnsi="Times New Roman" w:eastAsia="宋体" w:cs="Times New Roman"/>
                      <w:snapToGrid/>
                      <w:color w:val="000000"/>
                      <w:spacing w:val="0"/>
                      <w:kern w:val="21"/>
                      <w:sz w:val="21"/>
                      <w:szCs w:val="21"/>
                      <w:lang w:val="en-US" w:eastAsia="zh-CN" w:bidi="ar-SA"/>
                    </w:rPr>
                  </w:pPr>
                  <w:r>
                    <w:rPr>
                      <w:rFonts w:hint="default" w:ascii="Times New Roman" w:hAnsi="Times New Roman" w:eastAsia="宋体" w:cs="Times New Roman"/>
                      <w:snapToGrid/>
                      <w:color w:val="000000"/>
                      <w:spacing w:val="0"/>
                      <w:kern w:val="21"/>
                      <w:sz w:val="21"/>
                      <w:szCs w:val="21"/>
                      <w:lang w:val="en-US" w:eastAsia="zh-CN" w:bidi="ar-SA"/>
                    </w:rPr>
                    <w:t>本项目的固体废弃物主要为员工的生活垃圾、废边角料、废脱模剂桶、废润滑油桶等。应按“资源化、减量化、无害化”处理原则，认真落实固废分类收集、处置和综合利用措施。一般工业固体废物暂存场按《一般工业固体废物贮存和填埋污染物控制标准》(GB18599-2020)要求设置。危险废物暂存场按《危险废物贮存污染控制标准》(GB18597-2023)相关要求设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60" w:type="pct"/>
                  <w:noWrap w:val="0"/>
                  <w:vAlign w:val="center"/>
                </w:tcPr>
                <w:p>
                  <w:pPr>
                    <w:pStyle w:val="17"/>
                    <w:spacing w:line="240" w:lineRule="auto"/>
                    <w:rPr>
                      <w:rFonts w:hint="default" w:ascii="Times New Roman" w:hAnsi="Times New Roman" w:eastAsia="宋体" w:cs="Times New Roman"/>
                      <w:bCs/>
                      <w:sz w:val="21"/>
                      <w:szCs w:val="21"/>
                      <w:lang w:eastAsia="zh-CN"/>
                    </w:rPr>
                  </w:pPr>
                  <w:r>
                    <w:rPr>
                      <w:rFonts w:hint="default" w:ascii="Times New Roman" w:hAnsi="Times New Roman" w:eastAsia="宋体" w:cs="Times New Roman"/>
                      <w:bCs/>
                      <w:sz w:val="21"/>
                      <w:szCs w:val="21"/>
                      <w:lang w:eastAsia="zh-CN"/>
                    </w:rPr>
                    <w:t>总结论</w:t>
                  </w:r>
                </w:p>
              </w:tc>
              <w:tc>
                <w:tcPr>
                  <w:tcW w:w="4539" w:type="pct"/>
                  <w:noWrap w:val="0"/>
                  <w:vAlign w:val="center"/>
                </w:tcPr>
                <w:p>
                  <w:pPr>
                    <w:snapToGrid w:val="0"/>
                    <w:spacing w:line="240" w:lineRule="auto"/>
                    <w:jc w:val="left"/>
                    <w:rPr>
                      <w:rFonts w:hint="default" w:ascii="Times New Roman" w:hAnsi="Times New Roman" w:eastAsia="宋体" w:cs="Times New Roman"/>
                      <w:sz w:val="21"/>
                      <w:szCs w:val="21"/>
                    </w:rPr>
                  </w:pPr>
                  <w:r>
                    <w:rPr>
                      <w:rFonts w:hint="default" w:ascii="Times New Roman" w:hAnsi="Times New Roman" w:eastAsia="宋体" w:cs="Times New Roman"/>
                      <w:color w:val="000000"/>
                      <w:kern w:val="21"/>
                      <w:sz w:val="21"/>
                      <w:szCs w:val="21"/>
                      <w:lang w:eastAsia="zh-CN"/>
                    </w:rPr>
                    <w:t>项目符合国家产业政策，选址合理，平面布置合理；项目营运期认真落实本次环评提出的防治措施后，对外环境的影响较小，且外环境不会制约本项目的建设。因此，从环境保护的角度而言，本项目是可行的，并可获得较好的环境、经济、社会效益。</w:t>
                  </w:r>
                </w:p>
              </w:tc>
            </w:tr>
          </w:tbl>
          <w:p>
            <w:pPr>
              <w:ind w:right="420"/>
              <w:jc w:val="center"/>
              <w:rPr>
                <w:rFonts w:hint="eastAsia" w:ascii="Times New Roman" w:hAnsi="Times New Roman" w:eastAsia="宋体" w:cs="Times New Roman"/>
                <w:lang w:eastAsia="zh-CN"/>
              </w:rPr>
            </w:pPr>
            <w:r>
              <w:rPr>
                <w:rFonts w:hint="default" w:ascii="Times New Roman" w:hAnsi="Times New Roman" w:cs="Times New Roman"/>
                <w:b/>
                <w:bCs/>
                <w:sz w:val="21"/>
                <w:szCs w:val="21"/>
              </w:rPr>
              <w:t>表4-1 环境影响评价报告表主要结论及建议</w:t>
            </w:r>
          </w:p>
        </w:tc>
      </w:tr>
    </w:tbl>
    <w:p>
      <w:pPr>
        <w:pStyle w:val="26"/>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5"/>
        <w:spacing w:before="0" w:beforeAutospacing="0" w:after="0" w:afterAutospacing="0"/>
        <w:rPr>
          <w:rFonts w:hint="default" w:ascii="Times New Roman" w:hAnsi="Times New Roman" w:cs="Times New Roman"/>
          <w:sz w:val="30"/>
          <w:szCs w:val="30"/>
        </w:rPr>
      </w:pPr>
      <w:r>
        <w:rPr>
          <w:rFonts w:hint="default" w:ascii="Times New Roman" w:hAnsi="Times New Roman" w:cs="Times New Roman"/>
          <w:sz w:val="30"/>
          <w:szCs w:val="30"/>
        </w:rPr>
        <w:t>表五、验收监测质量保证及质量控制</w:t>
      </w:r>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Layout w:type="autofit"/>
        <w:tblCellMar>
          <w:top w:w="0" w:type="dxa"/>
          <w:left w:w="108" w:type="dxa"/>
          <w:bottom w:w="0" w:type="dxa"/>
          <w:right w:w="108" w:type="dxa"/>
        </w:tblCellMar>
      </w:tblPr>
      <w:tblGrid>
        <w:gridCol w:w="8459"/>
      </w:tblGrid>
      <w:tr>
        <w:tblPrEx>
          <w:tblBorders>
            <w:top w:val="single" w:color="auto" w:sz="12" w:space="0"/>
            <w:left w:val="single" w:color="auto" w:sz="12" w:space="0"/>
            <w:bottom w:val="single" w:color="auto" w:sz="12" w:space="0"/>
            <w:right w:val="single" w:color="auto" w:sz="12" w:space="0"/>
            <w:insideH w:val="single" w:color="auto" w:sz="4" w:space="0"/>
            <w:insideV w:val="none" w:color="auto" w:sz="0" w:space="0"/>
          </w:tblBorders>
          <w:tblCellMar>
            <w:top w:w="0" w:type="dxa"/>
            <w:left w:w="108" w:type="dxa"/>
            <w:bottom w:w="0" w:type="dxa"/>
            <w:right w:w="108" w:type="dxa"/>
          </w:tblCellMar>
        </w:tblPrEx>
        <w:trPr>
          <w:trHeight w:val="12474" w:hRule="atLeast"/>
          <w:jc w:val="center"/>
        </w:trPr>
        <w:tc>
          <w:tcPr>
            <w:tcW w:w="8459" w:type="dxa"/>
            <w:noWrap w:val="0"/>
            <w:vAlign w:val="top"/>
          </w:tcPr>
          <w:p>
            <w:pPr>
              <w:pStyle w:val="32"/>
              <w:ind w:firstLine="0" w:firstLineChars="0"/>
              <w:jc w:val="both"/>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5.1 验收监测分析方法依据</w:t>
            </w:r>
            <w:r>
              <w:rPr>
                <w:rFonts w:hint="eastAsia" w:ascii="Times New Roman" w:hAnsi="Times New Roman" w:cs="Times New Roman"/>
                <w:b/>
                <w:szCs w:val="24"/>
                <w:lang w:val="en-US" w:eastAsia="zh-CN"/>
              </w:rPr>
              <w:t>及监测</w:t>
            </w:r>
            <w:r>
              <w:rPr>
                <w:rFonts w:hint="default" w:ascii="Times New Roman" w:hAnsi="Times New Roman" w:cs="Times New Roman"/>
                <w:b/>
                <w:szCs w:val="24"/>
                <w:lang w:val="en-US" w:eastAsia="zh-CN"/>
              </w:rPr>
              <w:t>（见表5-1）</w:t>
            </w:r>
          </w:p>
          <w:p>
            <w:pPr>
              <w:pStyle w:val="32"/>
              <w:rPr>
                <w:rFonts w:hint="default" w:ascii="Times New Roman" w:hAnsi="Times New Roman" w:cs="Times New Roman"/>
                <w:b/>
                <w:szCs w:val="24"/>
                <w:lang w:val="en-US" w:eastAsia="zh-CN"/>
              </w:rPr>
            </w:pPr>
            <w:r>
              <w:rPr>
                <w:rFonts w:hint="default" w:ascii="Times New Roman" w:hAnsi="Times New Roman" w:cs="Times New Roman"/>
                <w:szCs w:val="24"/>
                <w:lang w:val="en-US" w:eastAsia="zh-CN"/>
              </w:rPr>
              <w:t>监测过程中使用的仪器设备均要符合国家有关标准和技术要求。《中华人民共和国强制检定的工作计量器具明细目录》里的仪器设备，经计量检定合格并在有效期内使用；不属于《中华人民共和国强制检定的工作计量器具明细目录》里的仪器设备，均校准合格并在有效期内使用。</w:t>
            </w:r>
          </w:p>
          <w:p>
            <w:pPr>
              <w:ind w:right="420" w:firstLine="482"/>
              <w:jc w:val="center"/>
              <w:rPr>
                <w:rFonts w:hint="eastAsia" w:ascii="Times New Roman" w:hAnsi="Times New Roman" w:eastAsia="宋体" w:cs="Times New Roman"/>
                <w:b/>
                <w:bCs/>
                <w:szCs w:val="21"/>
                <w:highlight w:val="none"/>
                <w:lang w:eastAsia="zh-CN"/>
              </w:rPr>
            </w:pPr>
            <w:r>
              <w:rPr>
                <w:rFonts w:hint="default" w:ascii="Times New Roman" w:hAnsi="Times New Roman" w:cs="Times New Roman"/>
                <w:b/>
                <w:bCs/>
                <w:szCs w:val="21"/>
                <w:highlight w:val="none"/>
              </w:rPr>
              <w:t>表5-1 验收监测分析方法依据</w:t>
            </w:r>
            <w:r>
              <w:rPr>
                <w:rFonts w:hint="eastAsia" w:ascii="Times New Roman" w:hAnsi="Times New Roman" w:cs="Times New Roman"/>
                <w:b/>
                <w:bCs/>
                <w:szCs w:val="21"/>
                <w:highlight w:val="none"/>
                <w:lang w:eastAsia="zh-CN"/>
              </w:rPr>
              <w:t>及监测仪器</w:t>
            </w:r>
          </w:p>
          <w:tbl>
            <w:tblPr>
              <w:tblStyle w:val="21"/>
              <w:tblW w:w="4998" w:type="pct"/>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12"/>
              <w:gridCol w:w="2713"/>
              <w:gridCol w:w="3361"/>
              <w:gridCol w:w="114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00" w:type="pct"/>
                  <w:tcBorders>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分析项目</w:t>
                  </w:r>
                </w:p>
              </w:tc>
              <w:tc>
                <w:tcPr>
                  <w:tcW w:w="1499" w:type="pct"/>
                  <w:tcBorders>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分析仪器型号</w:t>
                  </w:r>
                </w:p>
              </w:tc>
              <w:tc>
                <w:tcPr>
                  <w:tcW w:w="2127" w:type="pct"/>
                  <w:tcBorders>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检测标准（方法）名称</w:t>
                  </w:r>
                </w:p>
              </w:tc>
              <w:tc>
                <w:tcPr>
                  <w:tcW w:w="672" w:type="pct"/>
                  <w:tcBorders>
                    <w:left w:val="single" w:color="888E93" w:sz="8" w:space="0"/>
                    <w:bottom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检出限</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700" w:type="pct"/>
                  <w:tcBorders>
                    <w:top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pH值</w:t>
                  </w:r>
                </w:p>
              </w:tc>
              <w:tc>
                <w:tcPr>
                  <w:tcW w:w="1499" w:type="pct"/>
                  <w:tcBorders>
                    <w:top w:val="single" w:color="888E93" w:sz="8" w:space="0"/>
                    <w:left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XY-YQ-066/SX751/PH/ORP</w:t>
                  </w:r>
                  <w:r>
                    <w:rPr>
                      <w:rFonts w:hint="default" w:ascii="Times New Roman" w:hAnsi="Times New Roman" w:eastAsia="宋体" w:cs="Times New Roman"/>
                      <w:i w:val="0"/>
                      <w:iCs w:val="0"/>
                      <w:color w:val="000000"/>
                      <w:kern w:val="0"/>
                      <w:sz w:val="21"/>
                      <w:szCs w:val="21"/>
                      <w:u w:val="none"/>
                      <w:lang w:val="en-US" w:eastAsia="zh-CN" w:bidi="ar"/>
                    </w:rPr>
                    <w:t>电导率/溶解氧测量仪</w:t>
                  </w:r>
                </w:p>
              </w:tc>
              <w:tc>
                <w:tcPr>
                  <w:tcW w:w="212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《水质pH值的测定电极法》</w:t>
                  </w:r>
                  <w:r>
                    <w:rPr>
                      <w:rFonts w:hint="default" w:ascii="Times New Roman" w:hAnsi="Times New Roman" w:eastAsia="宋体" w:cs="Times New Roman"/>
                      <w:i w:val="0"/>
                      <w:iCs w:val="0"/>
                      <w:color w:val="000000"/>
                      <w:kern w:val="0"/>
                      <w:sz w:val="21"/>
                      <w:szCs w:val="21"/>
                      <w:u w:val="none"/>
                      <w:lang w:val="en-US" w:eastAsia="zh-CN" w:bidi="ar"/>
                    </w:rPr>
                    <w:t>HJ1147-2020</w:t>
                  </w:r>
                </w:p>
              </w:tc>
              <w:tc>
                <w:tcPr>
                  <w:tcW w:w="672" w:type="pct"/>
                  <w:tcBorders>
                    <w:top w:val="single" w:color="888E93" w:sz="8" w:space="0"/>
                    <w:left w:val="single" w:color="888E93" w:sz="8" w:space="0"/>
                    <w:bottom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700" w:type="pct"/>
                  <w:tcBorders>
                    <w:top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化学需氧量</w:t>
                  </w:r>
                </w:p>
              </w:tc>
              <w:tc>
                <w:tcPr>
                  <w:tcW w:w="1499"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c>
                <w:tcPr>
                  <w:tcW w:w="212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《水质化学需氧量的测定重铬酸盐法》</w:t>
                  </w:r>
                  <w:r>
                    <w:rPr>
                      <w:rFonts w:hint="default" w:ascii="Times New Roman" w:hAnsi="Times New Roman" w:eastAsia="宋体" w:cs="Times New Roman"/>
                      <w:i w:val="0"/>
                      <w:iCs w:val="0"/>
                      <w:color w:val="000000"/>
                      <w:kern w:val="0"/>
                      <w:sz w:val="21"/>
                      <w:szCs w:val="21"/>
                      <w:u w:val="none"/>
                      <w:lang w:val="en-US" w:eastAsia="zh-CN" w:bidi="ar"/>
                    </w:rPr>
                    <w:t>HJ828-2017</w:t>
                  </w:r>
                </w:p>
              </w:tc>
              <w:tc>
                <w:tcPr>
                  <w:tcW w:w="672" w:type="pct"/>
                  <w:tcBorders>
                    <w:top w:val="single" w:color="888E93" w:sz="8" w:space="0"/>
                    <w:left w:val="single" w:color="888E93" w:sz="8" w:space="0"/>
                    <w:bottom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4mg/L</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624" w:hRule="atLeast"/>
              </w:trPr>
              <w:tc>
                <w:tcPr>
                  <w:tcW w:w="700" w:type="pct"/>
                  <w:vMerge w:val="restart"/>
                  <w:tcBorders>
                    <w:top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五日生化需氧</w:t>
                  </w:r>
                  <w:r>
                    <w:rPr>
                      <w:rFonts w:hint="default" w:ascii="Times New Roman" w:hAnsi="Times New Roman" w:eastAsia="宋体" w:cs="Times New Roman"/>
                      <w:i w:val="0"/>
                      <w:iCs w:val="0"/>
                      <w:color w:val="000000"/>
                      <w:kern w:val="0"/>
                      <w:sz w:val="21"/>
                      <w:szCs w:val="21"/>
                      <w:u w:val="none"/>
                      <w:lang w:val="en-US" w:eastAsia="zh-CN" w:bidi="ar"/>
                    </w:rPr>
                    <w:t>量</w:t>
                  </w:r>
                </w:p>
              </w:tc>
              <w:tc>
                <w:tcPr>
                  <w:tcW w:w="1499"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XY-YQ-034/SPX-150B/</w:t>
                  </w:r>
                </w:p>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生化培养箱</w:t>
                  </w:r>
                </w:p>
              </w:tc>
              <w:tc>
                <w:tcPr>
                  <w:tcW w:w="2127" w:type="pct"/>
                  <w:vMerge w:val="restart"/>
                  <w:tcBorders>
                    <w:top w:val="single" w:color="888E93" w:sz="8" w:space="0"/>
                    <w:left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《水质五日生化需氧量(BOD5)的测定稀释与接</w:t>
                  </w:r>
                  <w:r>
                    <w:rPr>
                      <w:rFonts w:hint="default" w:ascii="Times New Roman" w:hAnsi="Times New Roman" w:eastAsia="宋体" w:cs="Times New Roman"/>
                      <w:i w:val="0"/>
                      <w:iCs w:val="0"/>
                      <w:color w:val="000000"/>
                      <w:kern w:val="0"/>
                      <w:sz w:val="21"/>
                      <w:szCs w:val="21"/>
                      <w:u w:val="none"/>
                      <w:lang w:val="en-US" w:eastAsia="zh-CN" w:bidi="ar"/>
                    </w:rPr>
                    <w:t>种法》HJ505-2009</w:t>
                  </w:r>
                </w:p>
              </w:tc>
              <w:tc>
                <w:tcPr>
                  <w:tcW w:w="672" w:type="pct"/>
                  <w:vMerge w:val="restart"/>
                  <w:tcBorders>
                    <w:top w:val="single" w:color="888E93" w:sz="8" w:space="0"/>
                    <w:left w:val="single" w:color="888E93" w:sz="8" w:space="0"/>
                    <w:bottom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0.5mg/L</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2" w:hRule="atLeast"/>
              </w:trPr>
              <w:tc>
                <w:tcPr>
                  <w:tcW w:w="700" w:type="pct"/>
                  <w:tcBorders>
                    <w:top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氨氮</w:t>
                  </w:r>
                </w:p>
              </w:tc>
              <w:tc>
                <w:tcPr>
                  <w:tcW w:w="1499"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XY-YQ-044/T6新世纪/</w:t>
                  </w:r>
                </w:p>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紫外可见分光光度计</w:t>
                  </w:r>
                </w:p>
              </w:tc>
              <w:tc>
                <w:tcPr>
                  <w:tcW w:w="2127" w:type="pct"/>
                  <w:tcBorders>
                    <w:top w:val="single" w:color="888E93" w:sz="8" w:space="0"/>
                    <w:left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《水质氨氮的测定纳氏试剂分光光度法》HJ</w:t>
                  </w:r>
                  <w:r>
                    <w:rPr>
                      <w:rFonts w:hint="default" w:ascii="Times New Roman" w:hAnsi="Times New Roman" w:eastAsia="宋体" w:cs="Times New Roman"/>
                      <w:i w:val="0"/>
                      <w:iCs w:val="0"/>
                      <w:color w:val="000000"/>
                      <w:kern w:val="0"/>
                      <w:sz w:val="21"/>
                      <w:szCs w:val="21"/>
                      <w:u w:val="none"/>
                      <w:lang w:val="en-US" w:eastAsia="zh-CN" w:bidi="ar"/>
                    </w:rPr>
                    <w:t>535-2009</w:t>
                  </w:r>
                </w:p>
              </w:tc>
              <w:tc>
                <w:tcPr>
                  <w:tcW w:w="672" w:type="pct"/>
                  <w:tcBorders>
                    <w:top w:val="single" w:color="888E93" w:sz="8" w:space="0"/>
                    <w:left w:val="single" w:color="888E93" w:sz="8" w:space="0"/>
                    <w:bottom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0.025mg/L</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700" w:type="pct"/>
                  <w:tcBorders>
                    <w:top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悬浮物</w:t>
                  </w:r>
                </w:p>
              </w:tc>
              <w:tc>
                <w:tcPr>
                  <w:tcW w:w="1499"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XY-YQ-037/101-2AB/</w:t>
                  </w:r>
                </w:p>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电热鼓风干燥箱XY-YQ-060/AUW120D/十万分之一天平</w:t>
                  </w:r>
                </w:p>
              </w:tc>
              <w:tc>
                <w:tcPr>
                  <w:tcW w:w="2127" w:type="pct"/>
                  <w:tcBorders>
                    <w:top w:val="single" w:color="888E93" w:sz="8" w:space="0"/>
                    <w:left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《水质悬浮物的测定重量法》</w:t>
                  </w:r>
                  <w:r>
                    <w:rPr>
                      <w:rFonts w:hint="default" w:ascii="Times New Roman" w:hAnsi="Times New Roman" w:eastAsia="宋体" w:cs="Times New Roman"/>
                      <w:i w:val="0"/>
                      <w:iCs w:val="0"/>
                      <w:color w:val="000000"/>
                      <w:kern w:val="0"/>
                      <w:sz w:val="21"/>
                      <w:szCs w:val="21"/>
                      <w:u w:val="none"/>
                      <w:lang w:val="en-US" w:eastAsia="zh-CN" w:bidi="ar"/>
                    </w:rPr>
                    <w:t>GB11901-1989</w:t>
                  </w:r>
                </w:p>
              </w:tc>
              <w:tc>
                <w:tcPr>
                  <w:tcW w:w="672" w:type="pct"/>
                  <w:tcBorders>
                    <w:top w:val="single" w:color="888E93" w:sz="8" w:space="0"/>
                    <w:left w:val="single" w:color="888E93" w:sz="8" w:space="0"/>
                    <w:bottom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4mg/L</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00" w:type="pct"/>
                  <w:tcBorders>
                    <w:top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动植</w:t>
                  </w:r>
                  <w:r>
                    <w:rPr>
                      <w:rFonts w:hint="eastAsia" w:ascii="Times New Roman" w:hAnsi="Times New Roman" w:eastAsia="宋体" w:cs="Times New Roman"/>
                      <w:i w:val="0"/>
                      <w:iCs w:val="0"/>
                      <w:color w:val="000000"/>
                      <w:kern w:val="0"/>
                      <w:sz w:val="21"/>
                      <w:szCs w:val="21"/>
                      <w:u w:val="none"/>
                      <w:lang w:val="en-US" w:eastAsia="zh-CN" w:bidi="ar"/>
                    </w:rPr>
                    <w:t>物</w:t>
                  </w:r>
                  <w:r>
                    <w:rPr>
                      <w:rFonts w:hint="default" w:ascii="Times New Roman" w:hAnsi="Times New Roman" w:eastAsia="宋体" w:cs="Times New Roman"/>
                      <w:i w:val="0"/>
                      <w:iCs w:val="0"/>
                      <w:color w:val="000000"/>
                      <w:kern w:val="0"/>
                      <w:sz w:val="21"/>
                      <w:szCs w:val="21"/>
                      <w:u w:val="none"/>
                      <w:lang w:val="en-US" w:eastAsia="zh-CN" w:bidi="ar"/>
                    </w:rPr>
                    <w:t>油</w:t>
                  </w:r>
                </w:p>
              </w:tc>
              <w:tc>
                <w:tcPr>
                  <w:tcW w:w="1499" w:type="pct"/>
                  <w:vMerge w:val="restart"/>
                  <w:tcBorders>
                    <w:top w:val="single" w:color="888E93" w:sz="8" w:space="0"/>
                    <w:left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XY-YQ-006/LT-21A/</w:t>
                  </w:r>
                </w:p>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红外分光测油仪</w:t>
                  </w:r>
                </w:p>
              </w:tc>
              <w:tc>
                <w:tcPr>
                  <w:tcW w:w="2127" w:type="pct"/>
                  <w:vMerge w:val="restart"/>
                  <w:tcBorders>
                    <w:top w:val="single" w:color="888E93" w:sz="8" w:space="0"/>
                    <w:left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《水质石油类和动植物油类的测定红外分光</w:t>
                  </w:r>
                  <w:r>
                    <w:rPr>
                      <w:rFonts w:hint="default" w:ascii="Times New Roman" w:hAnsi="Times New Roman" w:eastAsia="宋体" w:cs="Times New Roman"/>
                      <w:i w:val="0"/>
                      <w:iCs w:val="0"/>
                      <w:color w:val="000000"/>
                      <w:kern w:val="0"/>
                      <w:sz w:val="21"/>
                      <w:szCs w:val="21"/>
                      <w:u w:val="none"/>
                      <w:lang w:val="en-US" w:eastAsia="zh-CN" w:bidi="ar"/>
                    </w:rPr>
                    <w:t>光度法》HJ637-2018</w:t>
                  </w:r>
                </w:p>
              </w:tc>
              <w:tc>
                <w:tcPr>
                  <w:tcW w:w="672" w:type="pct"/>
                  <w:vMerge w:val="restart"/>
                  <w:tcBorders>
                    <w:top w:val="single" w:color="888E93" w:sz="8" w:space="0"/>
                    <w:left w:val="single" w:color="888E93" w:sz="8" w:space="0"/>
                    <w:bottom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0.06mg/L</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00" w:type="pct"/>
                  <w:tcBorders>
                    <w:top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石油类</w:t>
                  </w:r>
                </w:p>
              </w:tc>
              <w:tc>
                <w:tcPr>
                  <w:tcW w:w="1499" w:type="pct"/>
                  <w:vMerge w:val="continue"/>
                  <w:tcBorders>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p>
              </w:tc>
              <w:tc>
                <w:tcPr>
                  <w:tcW w:w="2127" w:type="pct"/>
                  <w:vMerge w:val="continue"/>
                  <w:tcBorders>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p>
              </w:tc>
              <w:tc>
                <w:tcPr>
                  <w:tcW w:w="672" w:type="pct"/>
                  <w:vMerge w:val="continue"/>
                  <w:tcBorders>
                    <w:top w:val="single" w:color="888E93" w:sz="8" w:space="0"/>
                    <w:left w:val="single" w:color="888E93" w:sz="8" w:space="0"/>
                    <w:bottom w:val="single" w:color="888E93" w:sz="8" w:space="0"/>
                  </w:tcBorders>
                  <w:shd w:val="clear" w:color="auto" w:fill="FFFFFF"/>
                  <w:vAlign w:val="center"/>
                </w:tcPr>
                <w:p>
                  <w:pPr>
                    <w:jc w:val="center"/>
                    <w:rPr>
                      <w:rFonts w:hint="default" w:ascii="Times New Roman" w:hAnsi="Times New Roman" w:eastAsia="宋体" w:cs="Times New Roman"/>
                      <w:i w:val="0"/>
                      <w:iCs w:val="0"/>
                      <w:color w:val="000000"/>
                      <w:sz w:val="21"/>
                      <w:szCs w:val="21"/>
                      <w:u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700" w:type="pct"/>
                  <w:tcBorders>
                    <w:top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总磷</w:t>
                  </w:r>
                </w:p>
              </w:tc>
              <w:tc>
                <w:tcPr>
                  <w:tcW w:w="1499"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XY-YQ-044/T6新世纪/</w:t>
                  </w:r>
                  <w:r>
                    <w:rPr>
                      <w:rFonts w:hint="default" w:ascii="Times New Roman" w:hAnsi="Times New Roman" w:eastAsia="宋体" w:cs="Times New Roman"/>
                      <w:i w:val="0"/>
                      <w:iCs w:val="0"/>
                      <w:color w:val="000000"/>
                      <w:kern w:val="0"/>
                      <w:sz w:val="21"/>
                      <w:szCs w:val="21"/>
                      <w:u w:val="none"/>
                      <w:lang w:val="en-US" w:eastAsia="zh-CN" w:bidi="ar"/>
                    </w:rPr>
                    <w:t>紫外可见分光光度计</w:t>
                  </w:r>
                </w:p>
              </w:tc>
              <w:tc>
                <w:tcPr>
                  <w:tcW w:w="2127" w:type="pct"/>
                  <w:tcBorders>
                    <w:top w:val="single" w:color="888E93" w:sz="8" w:space="0"/>
                    <w:left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《水质总磷的测定钼酸铵分光光度法》</w:t>
                  </w:r>
                  <w:r>
                    <w:rPr>
                      <w:rFonts w:hint="default" w:ascii="Times New Roman" w:hAnsi="Times New Roman" w:eastAsia="宋体" w:cs="Times New Roman"/>
                      <w:i w:val="0"/>
                      <w:iCs w:val="0"/>
                      <w:color w:val="000000"/>
                      <w:kern w:val="0"/>
                      <w:sz w:val="21"/>
                      <w:szCs w:val="21"/>
                      <w:u w:val="none"/>
                      <w:lang w:val="en-US" w:eastAsia="zh-CN" w:bidi="ar"/>
                    </w:rPr>
                    <w:t>GB11893-1989</w:t>
                  </w:r>
                </w:p>
              </w:tc>
              <w:tc>
                <w:tcPr>
                  <w:tcW w:w="672" w:type="pct"/>
                  <w:tcBorders>
                    <w:top w:val="single" w:color="888E93" w:sz="8" w:space="0"/>
                    <w:left w:val="single" w:color="888E93" w:sz="8" w:space="0"/>
                    <w:bottom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0.01mg/L</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700" w:type="pct"/>
                  <w:tcBorders>
                    <w:top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阴离子表面活</w:t>
                  </w:r>
                  <w:r>
                    <w:rPr>
                      <w:rFonts w:hint="default" w:ascii="Times New Roman" w:hAnsi="Times New Roman" w:eastAsia="宋体" w:cs="Times New Roman"/>
                      <w:i w:val="0"/>
                      <w:iCs w:val="0"/>
                      <w:color w:val="000000"/>
                      <w:kern w:val="0"/>
                      <w:sz w:val="21"/>
                      <w:szCs w:val="21"/>
                      <w:u w:val="none"/>
                      <w:lang w:val="en-US" w:eastAsia="zh-CN" w:bidi="ar"/>
                    </w:rPr>
                    <w:t>性剂</w:t>
                  </w:r>
                </w:p>
              </w:tc>
              <w:tc>
                <w:tcPr>
                  <w:tcW w:w="1499" w:type="pct"/>
                  <w:tcBorders>
                    <w:top w:val="single" w:color="888E93" w:sz="8" w:space="0"/>
                    <w:left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XY-YQ-044/T6新世纪/</w:t>
                  </w:r>
                </w:p>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紫外可见分光光度计</w:t>
                  </w:r>
                </w:p>
              </w:tc>
              <w:tc>
                <w:tcPr>
                  <w:tcW w:w="212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《水质阴离子表面活性剂的测定亚甲蓝分</w:t>
                  </w:r>
                  <w:r>
                    <w:rPr>
                      <w:rFonts w:hint="default" w:ascii="Times New Roman" w:hAnsi="Times New Roman" w:eastAsia="宋体" w:cs="Times New Roman"/>
                      <w:i w:val="0"/>
                      <w:iCs w:val="0"/>
                      <w:color w:val="000000"/>
                      <w:kern w:val="0"/>
                      <w:sz w:val="21"/>
                      <w:szCs w:val="21"/>
                      <w:u w:val="none"/>
                      <w:lang w:val="en-US" w:eastAsia="zh-CN" w:bidi="ar"/>
                    </w:rPr>
                    <w:t>光光度法》GB7494-1987</w:t>
                  </w:r>
                </w:p>
              </w:tc>
              <w:tc>
                <w:tcPr>
                  <w:tcW w:w="672" w:type="pct"/>
                  <w:tcBorders>
                    <w:top w:val="single" w:color="888E93" w:sz="8" w:space="0"/>
                    <w:left w:val="single" w:color="888E93" w:sz="8" w:space="0"/>
                    <w:bottom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0.05mg/L</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1600" w:hRule="atLeast"/>
              </w:trPr>
              <w:tc>
                <w:tcPr>
                  <w:tcW w:w="700" w:type="pct"/>
                  <w:tcBorders>
                    <w:top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总悬浮颗粒物</w:t>
                  </w:r>
                </w:p>
              </w:tc>
              <w:tc>
                <w:tcPr>
                  <w:tcW w:w="1499" w:type="pct"/>
                  <w:tcBorders>
                    <w:top w:val="single" w:color="888E93" w:sz="8" w:space="0"/>
                    <w:left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XY-YQ-132/LB-350N/</w:t>
                  </w:r>
                </w:p>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恒温恒湿称重系统</w:t>
                  </w:r>
                </w:p>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XY-YQ-060/AUW120D/</w:t>
                  </w:r>
                </w:p>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十万分之一天平</w:t>
                  </w:r>
                </w:p>
              </w:tc>
              <w:tc>
                <w:tcPr>
                  <w:tcW w:w="2127" w:type="pct"/>
                  <w:tcBorders>
                    <w:top w:val="single" w:color="888E93" w:sz="8" w:space="0"/>
                    <w:left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《环境空气总悬浮颗粒物的测定重量法》HJ</w:t>
                  </w:r>
                  <w:r>
                    <w:rPr>
                      <w:rFonts w:hint="default" w:ascii="Times New Roman" w:hAnsi="Times New Roman" w:eastAsia="宋体" w:cs="Times New Roman"/>
                      <w:i w:val="0"/>
                      <w:iCs w:val="0"/>
                      <w:color w:val="000000"/>
                      <w:kern w:val="0"/>
                      <w:sz w:val="21"/>
                      <w:szCs w:val="21"/>
                      <w:u w:val="none"/>
                      <w:lang w:val="en-US" w:eastAsia="zh-CN" w:bidi="ar"/>
                    </w:rPr>
                    <w:t>1263-2022</w:t>
                  </w:r>
                </w:p>
              </w:tc>
              <w:tc>
                <w:tcPr>
                  <w:tcW w:w="672" w:type="pct"/>
                  <w:tcBorders>
                    <w:top w:val="single" w:color="888E93" w:sz="8" w:space="0"/>
                    <w:left w:val="single" w:color="888E93" w:sz="8" w:space="0"/>
                    <w:bottom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168μg/m</w:t>
                  </w:r>
                  <w:r>
                    <w:rPr>
                      <w:rFonts w:hint="default" w:ascii="Times New Roman" w:hAnsi="Times New Roman" w:eastAsia="宋体" w:cs="Times New Roman"/>
                      <w:i w:val="0"/>
                      <w:iCs w:val="0"/>
                      <w:color w:val="000000"/>
                      <w:kern w:val="0"/>
                      <w:sz w:val="21"/>
                      <w:szCs w:val="21"/>
                      <w:u w:val="none"/>
                      <w:vertAlign w:val="superscript"/>
                      <w:lang w:val="en-US" w:eastAsia="zh-CN" w:bidi="ar"/>
                    </w:rPr>
                    <w:t>3</w:t>
                  </w:r>
                </w:p>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（采样1小时）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332" w:hRule="atLeast"/>
              </w:trPr>
              <w:tc>
                <w:tcPr>
                  <w:tcW w:w="700" w:type="pct"/>
                  <w:tcBorders>
                    <w:top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厂界噪声</w:t>
                  </w:r>
                </w:p>
              </w:tc>
              <w:tc>
                <w:tcPr>
                  <w:tcW w:w="1499" w:type="pct"/>
                  <w:tcBorders>
                    <w:top w:val="single" w:color="888E93" w:sz="8" w:space="0"/>
                    <w:left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XY-YQ-168/HS6228A型/</w:t>
                  </w:r>
                </w:p>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多功能声级计</w:t>
                  </w:r>
                </w:p>
              </w:tc>
              <w:tc>
                <w:tcPr>
                  <w:tcW w:w="2127" w:type="pct"/>
                  <w:tcBorders>
                    <w:top w:val="single" w:color="888E93" w:sz="8" w:space="0"/>
                    <w:left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《工业企业厂界环境噪声排放标准》</w:t>
                  </w:r>
                </w:p>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GB12348-2008</w:t>
                  </w:r>
                </w:p>
              </w:tc>
              <w:tc>
                <w:tcPr>
                  <w:tcW w:w="672" w:type="pct"/>
                  <w:tcBorders>
                    <w:top w:val="single" w:color="888E93" w:sz="8" w:space="0"/>
                    <w:lef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w:t>
                  </w:r>
                </w:p>
              </w:tc>
            </w:tr>
          </w:tbl>
          <w:p>
            <w:pPr>
              <w:pStyle w:val="32"/>
              <w:ind w:firstLine="0" w:firstLineChars="0"/>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5.</w:t>
            </w:r>
            <w:r>
              <w:rPr>
                <w:rFonts w:hint="eastAsia" w:ascii="Times New Roman" w:hAnsi="Times New Roman" w:cs="Times New Roman"/>
                <w:b/>
                <w:szCs w:val="24"/>
                <w:lang w:val="en-US" w:eastAsia="zh-CN"/>
              </w:rPr>
              <w:t>2</w:t>
            </w:r>
            <w:r>
              <w:rPr>
                <w:rFonts w:hint="default" w:ascii="Times New Roman" w:hAnsi="Times New Roman" w:cs="Times New Roman"/>
                <w:b/>
                <w:szCs w:val="24"/>
                <w:lang w:val="en-US" w:eastAsia="zh-CN"/>
              </w:rPr>
              <w:t>人员</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outlineLvl w:val="1"/>
              <w:rPr>
                <w:rFonts w:hint="default" w:asciiTheme="minorEastAsia" w:hAnsiTheme="minorEastAsia" w:eastAsiaTheme="minorEastAsia" w:cstheme="minorEastAsia"/>
                <w:b w:val="0"/>
                <w:bCs/>
                <w:color w:val="auto"/>
                <w:kern w:val="2"/>
                <w:sz w:val="24"/>
                <w:szCs w:val="24"/>
                <w:lang w:val="en-US" w:eastAsia="zh-CN" w:bidi="ar-SA"/>
              </w:rPr>
            </w:pPr>
            <w:r>
              <w:rPr>
                <w:rFonts w:hint="default" w:asciiTheme="minorEastAsia" w:hAnsiTheme="minorEastAsia" w:eastAsiaTheme="minorEastAsia" w:cstheme="minorEastAsia"/>
                <w:b w:val="0"/>
                <w:bCs/>
                <w:color w:val="auto"/>
                <w:kern w:val="2"/>
                <w:sz w:val="24"/>
                <w:szCs w:val="24"/>
                <w:lang w:val="en-US" w:eastAsia="zh-CN" w:bidi="ar-SA"/>
              </w:rPr>
              <w:t>参与本次验收的现场监测人员及实验室分析人员均经过</w:t>
            </w:r>
            <w:r>
              <w:rPr>
                <w:rFonts w:hint="eastAsia" w:asciiTheme="minorEastAsia" w:hAnsiTheme="minorEastAsia" w:eastAsiaTheme="minorEastAsia" w:cstheme="minorEastAsia"/>
                <w:b w:val="0"/>
                <w:bCs/>
                <w:color w:val="auto"/>
                <w:kern w:val="2"/>
                <w:sz w:val="24"/>
                <w:szCs w:val="24"/>
                <w:lang w:val="en-US" w:eastAsia="zh-CN" w:bidi="ar-SA"/>
              </w:rPr>
              <w:t>江西省祥逸检测技术有限公司</w:t>
            </w:r>
            <w:r>
              <w:rPr>
                <w:rFonts w:hint="default" w:asciiTheme="minorEastAsia" w:hAnsiTheme="minorEastAsia" w:eastAsiaTheme="minorEastAsia" w:cstheme="minorEastAsia"/>
                <w:b w:val="0"/>
                <w:bCs/>
                <w:color w:val="auto"/>
                <w:kern w:val="2"/>
                <w:sz w:val="24"/>
                <w:szCs w:val="24"/>
                <w:lang w:val="en-US" w:eastAsia="zh-CN" w:bidi="ar-SA"/>
              </w:rPr>
              <w:t>组织的上岗培训，并颁发了上岗证。</w:t>
            </w:r>
          </w:p>
          <w:p>
            <w:pPr>
              <w:pStyle w:val="32"/>
              <w:ind w:firstLine="0" w:firstLineChars="0"/>
              <w:jc w:val="both"/>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5.</w:t>
            </w:r>
            <w:r>
              <w:rPr>
                <w:rFonts w:hint="eastAsia" w:ascii="Times New Roman" w:hAnsi="Times New Roman" w:cs="Times New Roman"/>
                <w:b/>
                <w:szCs w:val="24"/>
                <w:lang w:val="en-US" w:eastAsia="zh-CN"/>
              </w:rPr>
              <w:t>3</w:t>
            </w:r>
            <w:r>
              <w:rPr>
                <w:rFonts w:hint="default" w:ascii="Times New Roman" w:hAnsi="Times New Roman" w:cs="Times New Roman"/>
                <w:b/>
                <w:szCs w:val="24"/>
                <w:lang w:val="en-US" w:eastAsia="zh-CN"/>
              </w:rPr>
              <w:t xml:space="preserve"> 质量控制方法</w:t>
            </w:r>
          </w:p>
          <w:p>
            <w:pPr>
              <w:pStyle w:val="32"/>
              <w:ind w:firstLine="0" w:firstLineChars="0"/>
              <w:jc w:val="both"/>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5.</w:t>
            </w:r>
            <w:r>
              <w:rPr>
                <w:rFonts w:hint="eastAsia" w:ascii="Times New Roman" w:hAnsi="Times New Roman" w:cs="Times New Roman"/>
                <w:szCs w:val="24"/>
                <w:lang w:val="en-US" w:eastAsia="zh-CN"/>
              </w:rPr>
              <w:t>3</w:t>
            </w:r>
            <w:r>
              <w:rPr>
                <w:rFonts w:hint="default" w:ascii="Times New Roman" w:hAnsi="Times New Roman" w:cs="Times New Roman"/>
                <w:szCs w:val="24"/>
                <w:lang w:val="en-US" w:eastAsia="zh-CN"/>
              </w:rPr>
              <w:t>.1现场采样质量控制措施</w:t>
            </w:r>
          </w:p>
          <w:p>
            <w:pPr>
              <w:pStyle w:val="32"/>
              <w:jc w:val="both"/>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1、采样人员均持证上岗；采样期间均选择在无雨、无雪、无四级以上大风天气时开展监测工作</w:t>
            </w:r>
            <w:r>
              <w:rPr>
                <w:rFonts w:hint="default" w:ascii="Times New Roman" w:hAnsi="Times New Roman" w:cs="Times New Roman"/>
                <w:color w:val="auto"/>
                <w:szCs w:val="24"/>
                <w:lang w:val="en-US" w:eastAsia="zh-CN"/>
              </w:rPr>
              <w:t>，噪声</w:t>
            </w:r>
            <w:r>
              <w:rPr>
                <w:rFonts w:hint="default" w:ascii="Times New Roman" w:hAnsi="Times New Roman" w:cs="Times New Roman"/>
                <w:szCs w:val="24"/>
                <w:lang w:val="en-US" w:eastAsia="zh-CN"/>
              </w:rPr>
              <w:t>检测时声级计加风罩以避免风噪声干扰。</w:t>
            </w:r>
          </w:p>
          <w:p>
            <w:pPr>
              <w:pStyle w:val="32"/>
              <w:ind w:firstLine="444"/>
              <w:rPr>
                <w:rFonts w:hint="default" w:ascii="Times New Roman" w:hAnsi="Times New Roman" w:cs="Times New Roman"/>
                <w:szCs w:val="24"/>
                <w:lang w:val="en-US" w:eastAsia="zh-CN"/>
              </w:rPr>
            </w:pPr>
            <w:r>
              <w:rPr>
                <w:rFonts w:hint="default" w:ascii="Times New Roman" w:hAnsi="Times New Roman" w:cs="Times New Roman"/>
                <w:spacing w:val="-9"/>
                <w:szCs w:val="24"/>
                <w:lang w:val="en-US" w:eastAsia="zh-CN"/>
              </w:rPr>
              <w:t>2、采样和检测过程中，严格</w:t>
            </w:r>
            <w:r>
              <w:rPr>
                <w:rFonts w:hint="default" w:ascii="Times New Roman" w:hAnsi="Times New Roman" w:cs="Times New Roman"/>
                <w:szCs w:val="24"/>
                <w:lang w:val="en-US" w:eastAsia="zh-CN"/>
              </w:rPr>
              <w:t>按照国家环保局布的《环境监测技术规范》和《环境空气监测质量保证手册》的要求与规定进行全过程质量控制，确保监测数据的有效性；</w:t>
            </w:r>
          </w:p>
          <w:p>
            <w:pPr>
              <w:pStyle w:val="32"/>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3、采样设备及流量校准设备均在检定或校准有效期内。每月清洗1次采样管路，每月定期对仪器进行流量检查校准，确保误差在规定范围内。长时间进行连续采样时，每周对采样系统进行1次流量检查校准，及时更换仪器防尘滤膜和干燥剂，干燥器内硅胶有1/2变色时进行更换。</w:t>
            </w:r>
          </w:p>
          <w:p>
            <w:pPr>
              <w:pStyle w:val="32"/>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4、声级计经计量部门检定合格，且在检定有效期内。采样前用声级计校准器对声级计进行校准，测量前后一起的灵敏度在±0.5dB(A)范围内。</w:t>
            </w:r>
          </w:p>
          <w:p>
            <w:pPr>
              <w:pStyle w:val="32"/>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5、采样前要按相关技术标准的要求选择采样容器和洗涤采样容器，玻璃瓶和塑料瓶用水和洗涤剂清洗，以除去灰尘和油垢，再用自来水清洗，然后用10%硝酸溶液浸泡24 h后取出沥干，用自来水漂洗干净，使用前用去离子水冲洗三遍，地下水和废水样品采集前，用需采集的水体润洗容器三遍（油类除外）；本项目中涉及</w:t>
            </w:r>
            <w:r>
              <w:rPr>
                <w:rFonts w:hint="eastAsia" w:ascii="Times New Roman" w:hAnsi="Times New Roman" w:cs="Times New Roman"/>
                <w:szCs w:val="24"/>
                <w:lang w:val="en-US" w:eastAsia="zh-CN"/>
              </w:rPr>
              <w:t>：生活污</w:t>
            </w:r>
            <w:r>
              <w:rPr>
                <w:rFonts w:hint="default" w:ascii="Times New Roman" w:hAnsi="Times New Roman" w:cs="Times New Roman"/>
                <w:szCs w:val="24"/>
                <w:lang w:val="en-US" w:eastAsia="zh-CN"/>
              </w:rPr>
              <w:t>水采样、</w:t>
            </w:r>
            <w:r>
              <w:rPr>
                <w:rFonts w:hint="eastAsia" w:ascii="Times New Roman" w:hAnsi="Times New Roman" w:cs="Times New Roman"/>
                <w:szCs w:val="24"/>
                <w:lang w:val="en-US" w:eastAsia="zh-CN"/>
              </w:rPr>
              <w:t>有组织废气采样、</w:t>
            </w:r>
            <w:r>
              <w:rPr>
                <w:rFonts w:hint="default" w:ascii="Times New Roman" w:hAnsi="Times New Roman" w:cs="Times New Roman"/>
                <w:szCs w:val="24"/>
                <w:lang w:val="en-US" w:eastAsia="zh-CN"/>
              </w:rPr>
              <w:t>无组织废气采样、厂界噪声检测。</w:t>
            </w:r>
          </w:p>
          <w:p>
            <w:pPr>
              <w:pStyle w:val="32"/>
              <w:ind w:firstLine="0" w:firstLineChars="0"/>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5.</w:t>
            </w:r>
            <w:r>
              <w:rPr>
                <w:rFonts w:hint="eastAsia" w:ascii="Times New Roman" w:hAnsi="Times New Roman" w:cs="Times New Roman"/>
                <w:szCs w:val="24"/>
                <w:lang w:val="en-US" w:eastAsia="zh-CN"/>
              </w:rPr>
              <w:t>3</w:t>
            </w:r>
            <w:r>
              <w:rPr>
                <w:rFonts w:hint="default" w:ascii="Times New Roman" w:hAnsi="Times New Roman" w:cs="Times New Roman"/>
                <w:szCs w:val="24"/>
                <w:lang w:val="en-US" w:eastAsia="zh-CN"/>
              </w:rPr>
              <w:t>.2废水监测分析过程中的质量保证和质量控制</w:t>
            </w:r>
          </w:p>
          <w:p>
            <w:pPr>
              <w:pStyle w:val="32"/>
              <w:numPr>
                <w:ilvl w:val="0"/>
                <w:numId w:val="1"/>
              </w:numPr>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监测人员以严肃认真的态度，对各项记录负责，及时记录，不以回忆的方式填写</w:t>
            </w:r>
            <w:r>
              <w:rPr>
                <w:rFonts w:hint="eastAsia" w:ascii="Times New Roman" w:hAnsi="Times New Roman" w:cs="Times New Roman"/>
                <w:szCs w:val="24"/>
                <w:lang w:val="en-US" w:eastAsia="zh-CN"/>
              </w:rPr>
              <w:t>；</w:t>
            </w:r>
            <w:r>
              <w:rPr>
                <w:rFonts w:hint="default" w:ascii="Times New Roman" w:hAnsi="Times New Roman" w:cs="Times New Roman"/>
                <w:szCs w:val="24"/>
                <w:lang w:val="en-US" w:eastAsia="zh-CN"/>
              </w:rPr>
              <w:t>原始记录上有采样人和校核人签名；各监测点位均拍照，以便对采样进行溯源；</w:t>
            </w:r>
          </w:p>
          <w:p>
            <w:pPr>
              <w:pStyle w:val="32"/>
              <w:numPr>
                <w:ilvl w:val="0"/>
                <w:numId w:val="1"/>
              </w:numPr>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每个批次的样品选择部分项目加采现场空白样品，与样品一起送实验室分析；现场空白与采样样品等同，不以特殊符号进行标注；</w:t>
            </w:r>
          </w:p>
          <w:p>
            <w:pPr>
              <w:pStyle w:val="32"/>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3</w:t>
            </w:r>
            <w:r>
              <w:rPr>
                <w:rFonts w:hint="default" w:ascii="Times New Roman" w:hAnsi="Times New Roman" w:cs="Times New Roman"/>
                <w:szCs w:val="24"/>
                <w:lang w:val="en-US" w:eastAsia="zh-CN"/>
              </w:rPr>
              <w:t>、每个批次检测项目都至少做一组现场平行。</w:t>
            </w:r>
          </w:p>
          <w:p>
            <w:pPr>
              <w:pStyle w:val="32"/>
              <w:ind w:firstLine="0" w:firstLineChars="0"/>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5.</w:t>
            </w:r>
            <w:r>
              <w:rPr>
                <w:rFonts w:hint="eastAsia" w:ascii="Times New Roman" w:hAnsi="Times New Roman" w:cs="Times New Roman"/>
                <w:szCs w:val="24"/>
                <w:lang w:val="en-US" w:eastAsia="zh-CN"/>
              </w:rPr>
              <w:t>3</w:t>
            </w:r>
            <w:r>
              <w:rPr>
                <w:rFonts w:hint="default" w:ascii="Times New Roman" w:hAnsi="Times New Roman" w:cs="Times New Roman"/>
                <w:szCs w:val="24"/>
                <w:lang w:val="en-US" w:eastAsia="zh-CN"/>
              </w:rPr>
              <w:t>.3废气监测分析过程中的质量保证和质量控制</w:t>
            </w:r>
          </w:p>
          <w:p>
            <w:pPr>
              <w:pStyle w:val="32"/>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（1）监测仪器的校核</w:t>
            </w:r>
          </w:p>
          <w:p>
            <w:pPr>
              <w:pStyle w:val="32"/>
              <w:rPr>
                <w:rFonts w:hint="eastAsia" w:ascii="Times New Roman" w:hAnsi="Times New Roman" w:cs="Times New Roman"/>
                <w:lang w:eastAsia="zh-CN"/>
              </w:rPr>
            </w:pPr>
            <w:r>
              <w:rPr>
                <w:rFonts w:hint="default" w:ascii="Times New Roman" w:hAnsi="Times New Roman" w:cs="Times New Roman"/>
              </w:rPr>
              <w:t>烟尘采样器在进入现场前对采样器流量计等进行校核。烟气监测（分析）仪器在监测前按监测因子分别用标准气体和流量计对其进行校核（标定）</w:t>
            </w:r>
            <w:r>
              <w:rPr>
                <w:rFonts w:hint="eastAsia" w:ascii="Times New Roman" w:hAnsi="Times New Roman" w:cs="Times New Roman"/>
                <w:lang w:eastAsia="zh-CN"/>
              </w:rPr>
              <w:t>。</w:t>
            </w:r>
          </w:p>
          <w:p>
            <w:pPr>
              <w:pStyle w:val="32"/>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（2）被测排放物的浓度在仪器量程的有效范围。</w:t>
            </w:r>
          </w:p>
          <w:p>
            <w:pPr>
              <w:pStyle w:val="32"/>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（3）废气采样时保证采样系统的密封性，测试前气密性检查、校零校标；废气采样采集平行样。</w:t>
            </w:r>
          </w:p>
          <w:p>
            <w:pPr>
              <w:pStyle w:val="32"/>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（4）监测分析方法首先使用国标方法，选择的方法检出限均满足要求。</w:t>
            </w:r>
          </w:p>
          <w:p>
            <w:pPr>
              <w:pStyle w:val="32"/>
              <w:ind w:firstLine="0" w:firstLineChars="0"/>
              <w:rPr>
                <w:rFonts w:hint="default" w:ascii="Times New Roman" w:hAnsi="Times New Roman" w:cs="Times New Roman"/>
                <w:szCs w:val="24"/>
                <w:highlight w:val="none"/>
                <w:lang w:val="en-US" w:eastAsia="zh-CN"/>
              </w:rPr>
            </w:pPr>
            <w:r>
              <w:rPr>
                <w:rFonts w:hint="default" w:ascii="Times New Roman" w:hAnsi="Times New Roman" w:cs="Times New Roman"/>
                <w:szCs w:val="24"/>
                <w:highlight w:val="none"/>
                <w:lang w:val="en-US" w:eastAsia="zh-CN"/>
              </w:rPr>
              <w:t>5.</w:t>
            </w:r>
            <w:r>
              <w:rPr>
                <w:rFonts w:hint="eastAsia" w:ascii="Times New Roman" w:hAnsi="Times New Roman" w:cs="Times New Roman"/>
                <w:szCs w:val="24"/>
                <w:highlight w:val="none"/>
                <w:lang w:val="en-US" w:eastAsia="zh-CN"/>
              </w:rPr>
              <w:t>3</w:t>
            </w:r>
            <w:r>
              <w:rPr>
                <w:rFonts w:hint="default" w:ascii="Times New Roman" w:hAnsi="Times New Roman" w:cs="Times New Roman"/>
                <w:szCs w:val="24"/>
                <w:highlight w:val="none"/>
                <w:lang w:val="en-US" w:eastAsia="zh-CN"/>
              </w:rPr>
              <w:t>.4噪声监测分析过程中的质量保证和质量控制。</w:t>
            </w:r>
          </w:p>
          <w:p>
            <w:pPr>
              <w:pStyle w:val="32"/>
              <w:ind w:firstLine="0" w:firstLineChars="0"/>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噪声采样记录上反映监测时的风速，监测时加带风罩，监测前后用标准声源对仪器进行校准，校准结果不超过0.5dB数据方认为有效，声级计在监测前后用标准发声源进行校准。</w:t>
            </w:r>
          </w:p>
          <w:p>
            <w:pPr>
              <w:pStyle w:val="32"/>
              <w:ind w:firstLine="0" w:firstLineChars="0"/>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5.</w:t>
            </w:r>
            <w:r>
              <w:rPr>
                <w:rFonts w:hint="eastAsia" w:ascii="Times New Roman" w:hAnsi="Times New Roman" w:cs="Times New Roman"/>
                <w:szCs w:val="24"/>
                <w:lang w:val="en-US" w:eastAsia="zh-CN"/>
              </w:rPr>
              <w:t>3</w:t>
            </w:r>
            <w:r>
              <w:rPr>
                <w:rFonts w:hint="default" w:ascii="Times New Roman" w:hAnsi="Times New Roman" w:cs="Times New Roman"/>
                <w:szCs w:val="24"/>
                <w:lang w:val="en-US" w:eastAsia="zh-CN"/>
              </w:rPr>
              <w:t>.5样品检测质量控制措施</w:t>
            </w:r>
          </w:p>
          <w:p>
            <w:pPr>
              <w:pStyle w:val="32"/>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（1）试剂材料：实验室内试剂材料均使用分析方法规定等级的化学试剂，必要的试剂材料均在使用前进行了质量检查；</w:t>
            </w:r>
          </w:p>
          <w:p>
            <w:pPr>
              <w:pStyle w:val="32"/>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（2）实验室用水：一般分析实验用水电导率均小于 3.0 μs/cm；</w:t>
            </w:r>
            <w:r>
              <w:rPr>
                <w:rFonts w:hint="eastAsia" w:ascii="Times New Roman" w:hAnsi="Times New Roman" w:cs="Times New Roman"/>
                <w:szCs w:val="24"/>
                <w:lang w:val="en-US" w:eastAsia="zh-CN"/>
              </w:rPr>
              <w:t>江西省祥逸检测技术有限公司</w:t>
            </w:r>
            <w:r>
              <w:rPr>
                <w:rFonts w:hint="default" w:ascii="Times New Roman" w:hAnsi="Times New Roman" w:cs="Times New Roman"/>
                <w:szCs w:val="24"/>
                <w:lang w:val="en-US" w:eastAsia="zh-CN"/>
              </w:rPr>
              <w:t>实验室已定期监控实验室用水质量；</w:t>
            </w:r>
          </w:p>
          <w:p>
            <w:pPr>
              <w:pStyle w:val="32"/>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（3）检测方法的选择：选用的检测方法均符合相关标准规范规定的检测方法，且均在公司资质范围内的检测方法；</w:t>
            </w:r>
          </w:p>
          <w:p>
            <w:pPr>
              <w:pStyle w:val="32"/>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（4）实验室环境：实验室内应保持实验室整洁，相互干扰的项目不可在同一实验区域内进行；</w:t>
            </w:r>
          </w:p>
          <w:p>
            <w:pPr>
              <w:pStyle w:val="32"/>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5）人员（包括检测人员、签发检验检测报告以及提出意见和解释的人员）均经过岗前培训，承担监测工作，报告监测数据者，已由实验室内经培训、考核确认后，持证上岗；承担特殊项目、特殊资格的人员已取得相关部门颁发的上岗证。</w:t>
            </w:r>
          </w:p>
        </w:tc>
      </w:tr>
    </w:tbl>
    <w:p>
      <w:pPr>
        <w:rPr>
          <w:rFonts w:hint="default" w:ascii="Times New Roman" w:hAnsi="Times New Roman" w:cs="Times New Roman"/>
          <w:b/>
          <w:bCs/>
          <w:sz w:val="30"/>
          <w:szCs w:val="30"/>
        </w:rPr>
      </w:pPr>
    </w:p>
    <w:p>
      <w:pPr>
        <w:outlineLvl w:val="0"/>
        <w:rPr>
          <w:rFonts w:hint="default" w:ascii="Times New Roman" w:hAnsi="Times New Roman" w:cs="Times New Roman"/>
          <w:b/>
          <w:bCs/>
          <w:sz w:val="30"/>
          <w:szCs w:val="30"/>
        </w:rPr>
      </w:pPr>
      <w:r>
        <w:rPr>
          <w:rFonts w:hint="default" w:ascii="Times New Roman" w:hAnsi="Times New Roman" w:cs="Times New Roman"/>
          <w:b/>
          <w:bCs/>
          <w:sz w:val="30"/>
          <w:szCs w:val="30"/>
        </w:rPr>
        <w:t>表六、验收监测内容</w:t>
      </w:r>
    </w:p>
    <w:tbl>
      <w:tblPr>
        <w:tblStyle w:val="21"/>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12474" w:hRule="atLeast"/>
          <w:jc w:val="center"/>
        </w:trPr>
        <w:tc>
          <w:tcPr>
            <w:tcW w:w="9456" w:type="dxa"/>
            <w:noWrap w:val="0"/>
            <w:vAlign w:val="top"/>
          </w:tcPr>
          <w:p>
            <w:pPr>
              <w:pStyle w:val="32"/>
              <w:ind w:firstLine="0" w:firstLineChars="0"/>
              <w:jc w:val="both"/>
              <w:rPr>
                <w:rFonts w:hint="default" w:ascii="Times New Roman" w:hAnsi="Times New Roman" w:cs="Times New Roman"/>
                <w:b/>
                <w:szCs w:val="24"/>
                <w:lang w:val="en-US" w:eastAsia="zh-CN"/>
              </w:rPr>
            </w:pPr>
            <w:r>
              <w:rPr>
                <w:rFonts w:hint="default" w:ascii="Times New Roman" w:hAnsi="Times New Roman" w:cs="Times New Roman"/>
                <w:b/>
                <w:color w:val="auto"/>
                <w:szCs w:val="24"/>
                <w:highlight w:val="none"/>
                <w:lang w:val="en-US" w:eastAsia="zh-CN"/>
              </w:rPr>
              <w:t>6.</w:t>
            </w:r>
            <w:r>
              <w:rPr>
                <w:rFonts w:hint="eastAsia" w:ascii="Times New Roman" w:hAnsi="Times New Roman" w:cs="Times New Roman"/>
                <w:b/>
                <w:color w:val="auto"/>
                <w:szCs w:val="24"/>
                <w:highlight w:val="none"/>
                <w:lang w:val="en-US" w:eastAsia="zh-CN"/>
              </w:rPr>
              <w:t>1无组织</w:t>
            </w:r>
            <w:r>
              <w:rPr>
                <w:rFonts w:hint="default" w:ascii="Times New Roman" w:hAnsi="Times New Roman" w:cs="Times New Roman"/>
                <w:b/>
                <w:szCs w:val="24"/>
                <w:lang w:val="en-US" w:eastAsia="zh-CN"/>
              </w:rPr>
              <w:t>监测</w:t>
            </w:r>
          </w:p>
          <w:p>
            <w:pPr>
              <w:pStyle w:val="32"/>
              <w:rPr>
                <w:rFonts w:hint="default" w:ascii="Times New Roman" w:hAnsi="Times New Roman" w:cs="Times New Roman"/>
                <w:szCs w:val="24"/>
                <w:lang w:val="en-US" w:eastAsia="zh-CN"/>
              </w:rPr>
            </w:pPr>
            <w:r>
              <w:rPr>
                <w:rFonts w:hint="default" w:ascii="Times New Roman" w:hAnsi="Times New Roman" w:cs="Times New Roman"/>
                <w:bCs/>
                <w:szCs w:val="24"/>
                <w:lang w:val="en-US" w:eastAsia="zh-CN"/>
              </w:rPr>
              <w:t>（1）</w:t>
            </w:r>
            <w:r>
              <w:rPr>
                <w:rFonts w:hint="default" w:ascii="Times New Roman" w:hAnsi="Times New Roman" w:cs="Times New Roman"/>
                <w:szCs w:val="24"/>
                <w:lang w:val="en-US" w:eastAsia="zh-CN"/>
              </w:rPr>
              <w:t xml:space="preserve">监测点位 </w:t>
            </w:r>
          </w:p>
          <w:p>
            <w:pPr>
              <w:pStyle w:val="32"/>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 xml:space="preserve">（2）监测项目及频次 </w:t>
            </w:r>
          </w:p>
          <w:p>
            <w:pPr>
              <w:pStyle w:val="32"/>
              <w:rPr>
                <w:rFonts w:hint="default" w:ascii="Times New Roman" w:hAnsi="Times New Roman" w:cs="Times New Roman"/>
                <w:b/>
                <w:bCs/>
                <w:szCs w:val="21"/>
                <w:lang w:val="en-US" w:eastAsia="zh-CN"/>
              </w:rPr>
            </w:pPr>
            <w:r>
              <w:rPr>
                <w:rFonts w:hint="default" w:ascii="Times New Roman" w:hAnsi="Times New Roman" w:cs="Times New Roman"/>
                <w:szCs w:val="24"/>
                <w:lang w:val="en-US" w:eastAsia="zh-CN"/>
              </w:rPr>
              <w:t>监测项目及频次见表6-</w:t>
            </w:r>
            <w:r>
              <w:rPr>
                <w:rFonts w:hint="eastAsia" w:ascii="Times New Roman" w:hAnsi="Times New Roman" w:cs="Times New Roman"/>
                <w:szCs w:val="24"/>
                <w:lang w:val="en-US" w:eastAsia="zh-CN"/>
              </w:rPr>
              <w:t>1</w:t>
            </w:r>
            <w:r>
              <w:rPr>
                <w:rFonts w:hint="default" w:ascii="Times New Roman" w:hAnsi="Times New Roman" w:cs="Times New Roman"/>
                <w:szCs w:val="24"/>
                <w:lang w:val="en-US" w:eastAsia="zh-CN"/>
              </w:rPr>
              <w:t>。</w:t>
            </w:r>
          </w:p>
          <w:p>
            <w:pPr>
              <w:ind w:right="420"/>
              <w:jc w:val="center"/>
              <w:rPr>
                <w:rFonts w:hint="default" w:ascii="Times New Roman" w:hAnsi="Times New Roman" w:cs="Times New Roman"/>
                <w:b/>
                <w:bCs/>
                <w:szCs w:val="21"/>
              </w:rPr>
            </w:pPr>
            <w:r>
              <w:rPr>
                <w:rFonts w:hint="default" w:ascii="Times New Roman" w:hAnsi="Times New Roman" w:cs="Times New Roman"/>
                <w:b/>
                <w:bCs/>
                <w:szCs w:val="21"/>
              </w:rPr>
              <w:t>表6-</w:t>
            </w:r>
            <w:r>
              <w:rPr>
                <w:rFonts w:hint="eastAsia" w:ascii="Times New Roman" w:hAnsi="Times New Roman" w:cs="Times New Roman"/>
                <w:b/>
                <w:bCs/>
                <w:szCs w:val="21"/>
                <w:lang w:val="en-US" w:eastAsia="zh-CN"/>
              </w:rPr>
              <w:t>1</w:t>
            </w:r>
            <w:r>
              <w:rPr>
                <w:rFonts w:hint="default" w:ascii="Times New Roman" w:hAnsi="Times New Roman" w:cs="Times New Roman"/>
                <w:b/>
                <w:bCs/>
                <w:szCs w:val="21"/>
              </w:rPr>
              <w:t xml:space="preserve"> 无组织废气监测项目及监测频次一览表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0"/>
              <w:gridCol w:w="2339"/>
              <w:gridCol w:w="1623"/>
              <w:gridCol w:w="2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1982" w:type="dxa"/>
                  <w:noWrap w:val="0"/>
                  <w:vAlign w:val="center"/>
                </w:tcPr>
                <w:p>
                  <w:pPr>
                    <w:jc w:val="center"/>
                    <w:rPr>
                      <w:rFonts w:hint="default" w:ascii="Times New Roman" w:hAnsi="Times New Roman" w:cs="Times New Roman"/>
                      <w:b/>
                      <w:sz w:val="21"/>
                      <w:szCs w:val="21"/>
                    </w:rPr>
                  </w:pPr>
                  <w:r>
                    <w:rPr>
                      <w:rFonts w:hint="default" w:ascii="Times New Roman" w:hAnsi="Times New Roman" w:cs="Times New Roman"/>
                      <w:b/>
                      <w:sz w:val="21"/>
                      <w:szCs w:val="21"/>
                    </w:rPr>
                    <w:t>监测点位</w:t>
                  </w:r>
                </w:p>
              </w:tc>
              <w:tc>
                <w:tcPr>
                  <w:tcW w:w="2342" w:type="dxa"/>
                  <w:noWrap w:val="0"/>
                  <w:vAlign w:val="center"/>
                </w:tcPr>
                <w:p>
                  <w:pPr>
                    <w:jc w:val="center"/>
                    <w:rPr>
                      <w:rFonts w:hint="default" w:ascii="Times New Roman" w:hAnsi="Times New Roman" w:cs="Times New Roman"/>
                      <w:b/>
                      <w:sz w:val="21"/>
                      <w:szCs w:val="21"/>
                    </w:rPr>
                  </w:pPr>
                  <w:r>
                    <w:rPr>
                      <w:rFonts w:hint="default" w:ascii="Times New Roman" w:hAnsi="Times New Roman" w:cs="Times New Roman"/>
                      <w:b/>
                      <w:sz w:val="21"/>
                      <w:szCs w:val="21"/>
                    </w:rPr>
                    <w:t>点位编号</w:t>
                  </w:r>
                </w:p>
              </w:tc>
              <w:tc>
                <w:tcPr>
                  <w:tcW w:w="1625" w:type="dxa"/>
                  <w:noWrap w:val="0"/>
                  <w:vAlign w:val="center"/>
                </w:tcPr>
                <w:p>
                  <w:pPr>
                    <w:jc w:val="center"/>
                    <w:rPr>
                      <w:rFonts w:hint="default" w:ascii="Times New Roman" w:hAnsi="Times New Roman" w:cs="Times New Roman"/>
                      <w:b/>
                      <w:sz w:val="21"/>
                      <w:szCs w:val="21"/>
                    </w:rPr>
                  </w:pPr>
                  <w:r>
                    <w:rPr>
                      <w:rFonts w:hint="default" w:ascii="Times New Roman" w:hAnsi="Times New Roman" w:cs="Times New Roman"/>
                      <w:b/>
                      <w:sz w:val="21"/>
                      <w:szCs w:val="21"/>
                    </w:rPr>
                    <w:t>监测项目</w:t>
                  </w:r>
                </w:p>
              </w:tc>
              <w:tc>
                <w:tcPr>
                  <w:tcW w:w="2357" w:type="dxa"/>
                  <w:noWrap w:val="0"/>
                  <w:vAlign w:val="center"/>
                </w:tcPr>
                <w:p>
                  <w:pPr>
                    <w:jc w:val="center"/>
                    <w:rPr>
                      <w:rFonts w:hint="default" w:ascii="Times New Roman" w:hAnsi="Times New Roman" w:cs="Times New Roman"/>
                      <w:b/>
                      <w:sz w:val="21"/>
                      <w:szCs w:val="21"/>
                    </w:rPr>
                  </w:pPr>
                  <w:r>
                    <w:rPr>
                      <w:rFonts w:hint="default" w:ascii="Times New Roman" w:hAnsi="Times New Roman" w:cs="Times New Roman"/>
                      <w:b/>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1982" w:type="dxa"/>
                  <w:noWrap w:val="0"/>
                  <w:vAlign w:val="center"/>
                </w:tcPr>
                <w:p>
                  <w:pPr>
                    <w:keepNext w:val="0"/>
                    <w:keepLines w:val="0"/>
                    <w:widowControl/>
                    <w:suppressLineNumbers w:val="0"/>
                    <w:jc w:val="center"/>
                    <w:textAlignment w:val="center"/>
                    <w:rPr>
                      <w:rFonts w:hint="default" w:ascii="Times New Roman" w:hAnsi="Times New Roman" w:cs="Times New Roman"/>
                      <w:sz w:val="21"/>
                      <w:szCs w:val="21"/>
                    </w:rPr>
                  </w:pPr>
                  <w:r>
                    <w:rPr>
                      <w:rFonts w:hint="default" w:ascii="Times New Roman" w:hAnsi="Times New Roman" w:eastAsia="宋体" w:cs="Times New Roman"/>
                      <w:i w:val="0"/>
                      <w:iCs w:val="0"/>
                      <w:color w:val="000000"/>
                      <w:kern w:val="0"/>
                      <w:sz w:val="21"/>
                      <w:szCs w:val="21"/>
                      <w:u w:val="none"/>
                      <w:lang w:val="en-US" w:eastAsia="zh-CN" w:bidi="ar"/>
                    </w:rPr>
                    <w:t>1#上风向参照点</w:t>
                  </w:r>
                </w:p>
              </w:tc>
              <w:tc>
                <w:tcPr>
                  <w:tcW w:w="2342" w:type="dxa"/>
                  <w:noWrap w:val="0"/>
                  <w:vAlign w:val="center"/>
                </w:tcPr>
                <w:p>
                  <w:pPr>
                    <w:jc w:val="center"/>
                    <w:rPr>
                      <w:rFonts w:hint="default" w:ascii="Times New Roman" w:hAnsi="Times New Roman" w:cs="Times New Roman"/>
                      <w:sz w:val="21"/>
                      <w:szCs w:val="21"/>
                    </w:rPr>
                  </w:pPr>
                  <w:r>
                    <w:rPr>
                      <w:rFonts w:hint="eastAsia" w:ascii="Times New Roman" w:hAnsi="Times New Roman" w:eastAsia="宋体" w:cs="Times New Roman"/>
                      <w:i w:val="0"/>
                      <w:iCs w:val="0"/>
                      <w:color w:val="000000"/>
                      <w:kern w:val="0"/>
                      <w:sz w:val="21"/>
                      <w:szCs w:val="21"/>
                      <w:u w:val="none"/>
                      <w:lang w:val="en-US" w:eastAsia="zh-CN" w:bidi="ar"/>
                    </w:rPr>
                    <w:t>〇</w:t>
                  </w:r>
                  <w:r>
                    <w:rPr>
                      <w:rFonts w:hint="default" w:ascii="Times New Roman" w:hAnsi="Times New Roman" w:eastAsia="宋体" w:cs="Times New Roman"/>
                      <w:i w:val="0"/>
                      <w:iCs w:val="0"/>
                      <w:color w:val="000000"/>
                      <w:kern w:val="0"/>
                      <w:sz w:val="21"/>
                      <w:szCs w:val="21"/>
                      <w:u w:val="none"/>
                      <w:lang w:val="en-US" w:eastAsia="zh-CN" w:bidi="ar"/>
                    </w:rPr>
                    <w:t>1#</w:t>
                  </w:r>
                </w:p>
              </w:tc>
              <w:tc>
                <w:tcPr>
                  <w:tcW w:w="1625" w:type="dxa"/>
                  <w:vMerge w:val="restart"/>
                  <w:noWrap w:val="0"/>
                  <w:vAlign w:val="center"/>
                </w:tcPr>
                <w:p>
                  <w:pPr>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总悬浮颗粒物</w:t>
                  </w:r>
                </w:p>
              </w:tc>
              <w:tc>
                <w:tcPr>
                  <w:tcW w:w="2357" w:type="dxa"/>
                  <w:vMerge w:val="restart"/>
                  <w:noWrap w:val="0"/>
                  <w:vAlign w:val="center"/>
                </w:tcPr>
                <w:p>
                  <w:pPr>
                    <w:tabs>
                      <w:tab w:val="left" w:pos="645"/>
                      <w:tab w:val="left" w:pos="2700"/>
                    </w:tabs>
                    <w:ind w:right="-105" w:rightChars="-50"/>
                    <w:jc w:val="center"/>
                    <w:rPr>
                      <w:rFonts w:hint="default" w:ascii="Times New Roman" w:hAnsi="Times New Roman" w:cs="Times New Roman"/>
                      <w:sz w:val="21"/>
                      <w:szCs w:val="21"/>
                    </w:rPr>
                  </w:pPr>
                  <w:r>
                    <w:rPr>
                      <w:rFonts w:hint="eastAsia" w:ascii="Times New Roman" w:hAnsi="Times New Roman" w:cs="Times New Roman"/>
                      <w:sz w:val="21"/>
                      <w:szCs w:val="21"/>
                      <w:lang w:val="en-US" w:eastAsia="zh-CN"/>
                    </w:rPr>
                    <w:t>4</w:t>
                  </w:r>
                  <w:r>
                    <w:rPr>
                      <w:rFonts w:hint="default" w:ascii="Times New Roman" w:hAnsi="Times New Roman" w:cs="Times New Roman"/>
                      <w:sz w:val="21"/>
                      <w:szCs w:val="21"/>
                    </w:rPr>
                    <w:t>个监测点，监测2天，每天测</w:t>
                  </w:r>
                  <w:r>
                    <w:rPr>
                      <w:rFonts w:hint="eastAsia" w:ascii="Times New Roman" w:hAnsi="Times New Roman" w:cs="Times New Roman"/>
                      <w:sz w:val="21"/>
                      <w:szCs w:val="21"/>
                      <w:lang w:val="en-US" w:eastAsia="zh-CN"/>
                    </w:rPr>
                    <w:t>3</w:t>
                  </w:r>
                  <w:r>
                    <w:rPr>
                      <w:rFonts w:hint="default" w:ascii="Times New Roman" w:hAnsi="Times New Roman" w:cs="Times New Roman"/>
                      <w:sz w:val="21"/>
                      <w:szCs w:val="21"/>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1982" w:type="dxa"/>
                  <w:noWrap w:val="0"/>
                  <w:vAlign w:val="center"/>
                </w:tcPr>
                <w:p>
                  <w:pPr>
                    <w:keepNext w:val="0"/>
                    <w:keepLines w:val="0"/>
                    <w:widowControl/>
                    <w:suppressLineNumbers w:val="0"/>
                    <w:jc w:val="center"/>
                    <w:textAlignment w:val="center"/>
                    <w:rPr>
                      <w:rFonts w:hint="default" w:ascii="Times New Roman" w:hAnsi="Times New Roman" w:cs="Times New Roman"/>
                      <w:sz w:val="21"/>
                      <w:szCs w:val="21"/>
                    </w:rPr>
                  </w:pPr>
                  <w:r>
                    <w:rPr>
                      <w:rFonts w:hint="default" w:ascii="Times New Roman" w:hAnsi="Times New Roman" w:eastAsia="宋体" w:cs="Times New Roman"/>
                      <w:i w:val="0"/>
                      <w:iCs w:val="0"/>
                      <w:color w:val="000000"/>
                      <w:kern w:val="0"/>
                      <w:sz w:val="21"/>
                      <w:szCs w:val="21"/>
                      <w:u w:val="none"/>
                      <w:lang w:val="en-US" w:eastAsia="zh-CN" w:bidi="ar"/>
                    </w:rPr>
                    <w:t>2#下风向监控点</w:t>
                  </w:r>
                </w:p>
              </w:tc>
              <w:tc>
                <w:tcPr>
                  <w:tcW w:w="2342" w:type="dxa"/>
                  <w:noWrap w:val="0"/>
                  <w:vAlign w:val="center"/>
                </w:tcPr>
                <w:p>
                  <w:pPr>
                    <w:jc w:val="center"/>
                    <w:rPr>
                      <w:rFonts w:hint="default" w:ascii="Times New Roman" w:hAnsi="Times New Roman" w:eastAsia="宋体" w:cs="Times New Roman"/>
                      <w:sz w:val="21"/>
                      <w:szCs w:val="21"/>
                    </w:rPr>
                  </w:pPr>
                  <w:r>
                    <w:rPr>
                      <w:rFonts w:hint="eastAsia" w:ascii="Times New Roman" w:hAnsi="Times New Roman" w:eastAsia="宋体" w:cs="Times New Roman"/>
                      <w:i w:val="0"/>
                      <w:iCs w:val="0"/>
                      <w:color w:val="000000"/>
                      <w:kern w:val="0"/>
                      <w:sz w:val="21"/>
                      <w:szCs w:val="21"/>
                      <w:u w:val="none"/>
                      <w:lang w:val="en-US" w:eastAsia="zh-CN" w:bidi="ar"/>
                    </w:rPr>
                    <w:t>〇</w:t>
                  </w:r>
                  <w:r>
                    <w:rPr>
                      <w:rFonts w:hint="eastAsia" w:ascii="Times New Roman" w:hAnsi="Times New Roman" w:eastAsia="宋体" w:cs="Times New Roman"/>
                      <w:i w:val="0"/>
                      <w:iCs w:val="0"/>
                      <w:color w:val="000000"/>
                      <w:kern w:val="0"/>
                      <w:sz w:val="21"/>
                      <w:szCs w:val="21"/>
                      <w:u w:val="none"/>
                      <w:lang w:val="en-US" w:eastAsia="zh-CN" w:bidi="ar"/>
                    </w:rPr>
                    <w:t>2</w:t>
                  </w:r>
                  <w:r>
                    <w:rPr>
                      <w:rFonts w:hint="default" w:ascii="Times New Roman" w:hAnsi="Times New Roman" w:eastAsia="宋体" w:cs="Times New Roman"/>
                      <w:i w:val="0"/>
                      <w:iCs w:val="0"/>
                      <w:color w:val="000000"/>
                      <w:kern w:val="0"/>
                      <w:sz w:val="21"/>
                      <w:szCs w:val="21"/>
                      <w:u w:val="none"/>
                      <w:lang w:val="en-US" w:eastAsia="zh-CN" w:bidi="ar"/>
                    </w:rPr>
                    <w:t>#</w:t>
                  </w:r>
                </w:p>
              </w:tc>
              <w:tc>
                <w:tcPr>
                  <w:tcW w:w="1625" w:type="dxa"/>
                  <w:vMerge w:val="continue"/>
                  <w:tcBorders/>
                  <w:noWrap w:val="0"/>
                  <w:vAlign w:val="center"/>
                </w:tcPr>
                <w:p>
                  <w:pPr>
                    <w:jc w:val="center"/>
                    <w:rPr>
                      <w:rFonts w:hint="default" w:ascii="Times New Roman" w:hAnsi="Times New Roman" w:cs="Times New Roman"/>
                      <w:sz w:val="21"/>
                      <w:szCs w:val="21"/>
                      <w:lang w:val="en-US" w:eastAsia="zh-CN"/>
                    </w:rPr>
                  </w:pPr>
                </w:p>
              </w:tc>
              <w:tc>
                <w:tcPr>
                  <w:tcW w:w="2357" w:type="dxa"/>
                  <w:vMerge w:val="continue"/>
                  <w:tcBorders/>
                  <w:noWrap w:val="0"/>
                  <w:vAlign w:val="center"/>
                </w:tcPr>
                <w:p>
                  <w:pPr>
                    <w:tabs>
                      <w:tab w:val="left" w:pos="645"/>
                      <w:tab w:val="left" w:pos="2700"/>
                    </w:tabs>
                    <w:ind w:right="-105" w:rightChars="-50"/>
                    <w:jc w:val="center"/>
                    <w:rPr>
                      <w:rFonts w:hint="default" w:ascii="Times New Roman" w:hAnsi="Times New Roman"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982" w:type="dxa"/>
                  <w:noWrap w:val="0"/>
                  <w:vAlign w:val="center"/>
                </w:tcPr>
                <w:p>
                  <w:pPr>
                    <w:keepNext w:val="0"/>
                    <w:keepLines w:val="0"/>
                    <w:widowControl/>
                    <w:suppressLineNumbers w:val="0"/>
                    <w:jc w:val="center"/>
                    <w:textAlignment w:val="center"/>
                    <w:rPr>
                      <w:rFonts w:hint="default" w:ascii="Times New Roman" w:hAnsi="Times New Roman" w:cs="Times New Roman"/>
                      <w:sz w:val="21"/>
                      <w:szCs w:val="21"/>
                    </w:rPr>
                  </w:pPr>
                  <w:r>
                    <w:rPr>
                      <w:rFonts w:hint="default" w:ascii="Times New Roman" w:hAnsi="Times New Roman" w:eastAsia="宋体" w:cs="Times New Roman"/>
                      <w:i w:val="0"/>
                      <w:iCs w:val="0"/>
                      <w:color w:val="000000"/>
                      <w:kern w:val="0"/>
                      <w:sz w:val="21"/>
                      <w:szCs w:val="21"/>
                      <w:u w:val="none"/>
                      <w:lang w:val="en-US" w:eastAsia="zh-CN" w:bidi="ar"/>
                    </w:rPr>
                    <w:t>3#下风向监控点</w:t>
                  </w:r>
                </w:p>
              </w:tc>
              <w:tc>
                <w:tcPr>
                  <w:tcW w:w="2342" w:type="dxa"/>
                  <w:noWrap w:val="0"/>
                  <w:vAlign w:val="center"/>
                </w:tcPr>
                <w:p>
                  <w:pPr>
                    <w:jc w:val="center"/>
                    <w:rPr>
                      <w:rFonts w:hint="default" w:ascii="Times New Roman" w:hAnsi="Times New Roman" w:eastAsia="宋体" w:cs="Times New Roman"/>
                      <w:sz w:val="21"/>
                      <w:szCs w:val="21"/>
                    </w:rPr>
                  </w:pPr>
                  <w:r>
                    <w:rPr>
                      <w:rFonts w:hint="eastAsia" w:ascii="Times New Roman" w:hAnsi="Times New Roman" w:eastAsia="宋体" w:cs="Times New Roman"/>
                      <w:i w:val="0"/>
                      <w:iCs w:val="0"/>
                      <w:color w:val="000000"/>
                      <w:kern w:val="0"/>
                      <w:sz w:val="21"/>
                      <w:szCs w:val="21"/>
                      <w:u w:val="none"/>
                      <w:lang w:val="en-US" w:eastAsia="zh-CN" w:bidi="ar"/>
                    </w:rPr>
                    <w:t>〇</w:t>
                  </w:r>
                  <w:r>
                    <w:rPr>
                      <w:rFonts w:hint="eastAsia" w:ascii="Times New Roman" w:hAnsi="Times New Roman" w:eastAsia="宋体" w:cs="Times New Roman"/>
                      <w:i w:val="0"/>
                      <w:iCs w:val="0"/>
                      <w:color w:val="000000"/>
                      <w:kern w:val="0"/>
                      <w:sz w:val="21"/>
                      <w:szCs w:val="21"/>
                      <w:u w:val="none"/>
                      <w:lang w:val="en-US" w:eastAsia="zh-CN" w:bidi="ar"/>
                    </w:rPr>
                    <w:t>3</w:t>
                  </w:r>
                  <w:r>
                    <w:rPr>
                      <w:rFonts w:hint="default" w:ascii="Times New Roman" w:hAnsi="Times New Roman" w:eastAsia="宋体" w:cs="Times New Roman"/>
                      <w:i w:val="0"/>
                      <w:iCs w:val="0"/>
                      <w:color w:val="000000"/>
                      <w:kern w:val="0"/>
                      <w:sz w:val="21"/>
                      <w:szCs w:val="21"/>
                      <w:u w:val="none"/>
                      <w:lang w:val="en-US" w:eastAsia="zh-CN" w:bidi="ar"/>
                    </w:rPr>
                    <w:t>#</w:t>
                  </w:r>
                </w:p>
              </w:tc>
              <w:tc>
                <w:tcPr>
                  <w:tcW w:w="1625" w:type="dxa"/>
                  <w:vMerge w:val="continue"/>
                  <w:tcBorders/>
                  <w:noWrap w:val="0"/>
                  <w:vAlign w:val="center"/>
                </w:tcPr>
                <w:p>
                  <w:pPr>
                    <w:jc w:val="center"/>
                    <w:rPr>
                      <w:rFonts w:hint="default" w:ascii="Times New Roman" w:hAnsi="Times New Roman" w:cs="Times New Roman"/>
                      <w:sz w:val="21"/>
                      <w:szCs w:val="21"/>
                      <w:lang w:val="en-US" w:eastAsia="zh-CN"/>
                    </w:rPr>
                  </w:pPr>
                </w:p>
              </w:tc>
              <w:tc>
                <w:tcPr>
                  <w:tcW w:w="2357" w:type="dxa"/>
                  <w:vMerge w:val="continue"/>
                  <w:tcBorders/>
                  <w:noWrap w:val="0"/>
                  <w:vAlign w:val="center"/>
                </w:tcPr>
                <w:p>
                  <w:pPr>
                    <w:tabs>
                      <w:tab w:val="left" w:pos="645"/>
                      <w:tab w:val="left" w:pos="2700"/>
                    </w:tabs>
                    <w:ind w:right="-105" w:rightChars="-50"/>
                    <w:jc w:val="center"/>
                    <w:rPr>
                      <w:rFonts w:hint="default" w:ascii="Times New Roman" w:hAnsi="Times New Roman"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982" w:type="dxa"/>
                  <w:noWrap w:val="0"/>
                  <w:vAlign w:val="center"/>
                </w:tcPr>
                <w:p>
                  <w:pPr>
                    <w:keepNext w:val="0"/>
                    <w:keepLines w:val="0"/>
                    <w:widowControl/>
                    <w:suppressLineNumbers w:val="0"/>
                    <w:jc w:val="center"/>
                    <w:textAlignment w:val="center"/>
                    <w:rPr>
                      <w:rFonts w:hint="default" w:ascii="Times New Roman" w:hAnsi="Times New Roman" w:cs="Times New Roman"/>
                      <w:sz w:val="21"/>
                      <w:szCs w:val="21"/>
                    </w:rPr>
                  </w:pPr>
                  <w:r>
                    <w:rPr>
                      <w:rFonts w:hint="default" w:ascii="Times New Roman" w:hAnsi="Times New Roman" w:eastAsia="宋体" w:cs="Times New Roman"/>
                      <w:i w:val="0"/>
                      <w:iCs w:val="0"/>
                      <w:color w:val="000000"/>
                      <w:kern w:val="0"/>
                      <w:sz w:val="21"/>
                      <w:szCs w:val="21"/>
                      <w:u w:val="none"/>
                      <w:lang w:val="en-US" w:eastAsia="zh-CN" w:bidi="ar"/>
                    </w:rPr>
                    <w:t>4#下风向监控点</w:t>
                  </w:r>
                </w:p>
              </w:tc>
              <w:tc>
                <w:tcPr>
                  <w:tcW w:w="2342" w:type="dxa"/>
                  <w:noWrap w:val="0"/>
                  <w:vAlign w:val="center"/>
                </w:tcPr>
                <w:p>
                  <w:pPr>
                    <w:jc w:val="center"/>
                    <w:rPr>
                      <w:rFonts w:hint="default" w:ascii="Times New Roman" w:hAnsi="Times New Roman" w:eastAsia="宋体" w:cs="Times New Roman"/>
                      <w:sz w:val="21"/>
                      <w:szCs w:val="21"/>
                    </w:rPr>
                  </w:pPr>
                  <w:r>
                    <w:rPr>
                      <w:rFonts w:hint="eastAsia" w:ascii="Times New Roman" w:hAnsi="Times New Roman" w:eastAsia="宋体" w:cs="Times New Roman"/>
                      <w:i w:val="0"/>
                      <w:iCs w:val="0"/>
                      <w:color w:val="000000"/>
                      <w:kern w:val="0"/>
                      <w:sz w:val="21"/>
                      <w:szCs w:val="21"/>
                      <w:u w:val="none"/>
                      <w:lang w:val="en-US" w:eastAsia="zh-CN" w:bidi="ar"/>
                    </w:rPr>
                    <w:t>〇</w:t>
                  </w:r>
                  <w:r>
                    <w:rPr>
                      <w:rFonts w:hint="eastAsia" w:ascii="Times New Roman" w:hAnsi="Times New Roman" w:eastAsia="宋体" w:cs="Times New Roman"/>
                      <w:i w:val="0"/>
                      <w:iCs w:val="0"/>
                      <w:color w:val="000000"/>
                      <w:kern w:val="0"/>
                      <w:sz w:val="21"/>
                      <w:szCs w:val="21"/>
                      <w:u w:val="none"/>
                      <w:lang w:val="en-US" w:eastAsia="zh-CN" w:bidi="ar"/>
                    </w:rPr>
                    <w:t>4</w:t>
                  </w:r>
                  <w:r>
                    <w:rPr>
                      <w:rFonts w:hint="default" w:ascii="Times New Roman" w:hAnsi="Times New Roman" w:eastAsia="宋体" w:cs="Times New Roman"/>
                      <w:i w:val="0"/>
                      <w:iCs w:val="0"/>
                      <w:color w:val="000000"/>
                      <w:kern w:val="0"/>
                      <w:sz w:val="21"/>
                      <w:szCs w:val="21"/>
                      <w:u w:val="none"/>
                      <w:lang w:val="en-US" w:eastAsia="zh-CN" w:bidi="ar"/>
                    </w:rPr>
                    <w:t>#</w:t>
                  </w:r>
                </w:p>
              </w:tc>
              <w:tc>
                <w:tcPr>
                  <w:tcW w:w="1625" w:type="dxa"/>
                  <w:vMerge w:val="continue"/>
                  <w:tcBorders/>
                  <w:noWrap w:val="0"/>
                  <w:vAlign w:val="center"/>
                </w:tcPr>
                <w:p>
                  <w:pPr>
                    <w:jc w:val="center"/>
                    <w:rPr>
                      <w:rFonts w:hint="default" w:ascii="Times New Roman" w:hAnsi="Times New Roman" w:cs="Times New Roman"/>
                      <w:sz w:val="21"/>
                      <w:szCs w:val="21"/>
                      <w:lang w:val="en-US" w:eastAsia="zh-CN"/>
                    </w:rPr>
                  </w:pPr>
                </w:p>
              </w:tc>
              <w:tc>
                <w:tcPr>
                  <w:tcW w:w="2357" w:type="dxa"/>
                  <w:vMerge w:val="continue"/>
                  <w:tcBorders/>
                  <w:noWrap w:val="0"/>
                  <w:vAlign w:val="center"/>
                </w:tcPr>
                <w:p>
                  <w:pPr>
                    <w:tabs>
                      <w:tab w:val="left" w:pos="645"/>
                      <w:tab w:val="left" w:pos="2700"/>
                    </w:tabs>
                    <w:ind w:right="-105" w:rightChars="-50"/>
                    <w:jc w:val="center"/>
                    <w:rPr>
                      <w:rFonts w:hint="default" w:ascii="Times New Roman" w:hAnsi="Times New Roman" w:cs="Times New Roman"/>
                      <w:sz w:val="21"/>
                      <w:szCs w:val="21"/>
                      <w:lang w:val="en-US" w:eastAsia="zh-CN"/>
                    </w:rPr>
                  </w:pPr>
                </w:p>
              </w:tc>
            </w:tr>
          </w:tbl>
          <w:p>
            <w:pPr>
              <w:pStyle w:val="32"/>
              <w:ind w:firstLine="0" w:firstLineChars="0"/>
              <w:jc w:val="both"/>
              <w:rPr>
                <w:rFonts w:hint="default" w:ascii="Times New Roman" w:hAnsi="Times New Roman" w:cs="Times New Roman"/>
                <w:b/>
                <w:szCs w:val="24"/>
                <w:lang w:val="en-US" w:eastAsia="zh-CN"/>
              </w:rPr>
            </w:pPr>
            <w:r>
              <w:rPr>
                <w:rFonts w:hint="default" w:ascii="Times New Roman" w:hAnsi="Times New Roman" w:cs="Times New Roman"/>
                <w:b/>
                <w:color w:val="auto"/>
                <w:szCs w:val="24"/>
                <w:highlight w:val="none"/>
                <w:lang w:val="en-US" w:eastAsia="zh-CN"/>
              </w:rPr>
              <w:t>6.</w:t>
            </w:r>
            <w:r>
              <w:rPr>
                <w:rFonts w:hint="eastAsia" w:ascii="Times New Roman" w:hAnsi="Times New Roman" w:cs="Times New Roman"/>
                <w:b/>
                <w:color w:val="auto"/>
                <w:szCs w:val="24"/>
                <w:highlight w:val="none"/>
                <w:lang w:val="en-US" w:eastAsia="zh-CN"/>
              </w:rPr>
              <w:t>3废水</w:t>
            </w:r>
            <w:r>
              <w:rPr>
                <w:rFonts w:hint="default" w:ascii="Times New Roman" w:hAnsi="Times New Roman" w:cs="Times New Roman"/>
                <w:b/>
                <w:szCs w:val="24"/>
                <w:lang w:val="en-US" w:eastAsia="zh-CN"/>
              </w:rPr>
              <w:t>监测</w:t>
            </w:r>
          </w:p>
          <w:p>
            <w:pPr>
              <w:pStyle w:val="32"/>
              <w:keepNext w:val="0"/>
              <w:keepLines w:val="0"/>
              <w:pageBreakBefore w:val="0"/>
              <w:widowControl w:val="0"/>
              <w:numPr>
                <w:ilvl w:val="0"/>
                <w:numId w:val="0"/>
              </w:numPr>
              <w:kinsoku/>
              <w:wordWrap/>
              <w:overflowPunct/>
              <w:topLinePunct w:val="0"/>
              <w:autoSpaceDE w:val="0"/>
              <w:autoSpaceDN w:val="0"/>
              <w:bidi w:val="0"/>
              <w:adjustRightInd/>
              <w:snapToGrid/>
              <w:ind w:firstLine="480" w:firstLineChars="200"/>
              <w:textAlignment w:val="auto"/>
              <w:rPr>
                <w:rFonts w:hint="default" w:ascii="Times New Roman" w:hAnsi="Times New Roman" w:cs="Times New Roman"/>
                <w:szCs w:val="24"/>
                <w:lang w:val="en-US" w:eastAsia="zh-CN"/>
              </w:rPr>
            </w:pPr>
            <w:r>
              <w:rPr>
                <w:rFonts w:hint="default" w:ascii="Times New Roman" w:hAnsi="Times New Roman" w:cs="Times New Roman" w:eastAsiaTheme="minorEastAsia"/>
                <w:kern w:val="0"/>
                <w:sz w:val="24"/>
                <w:szCs w:val="24"/>
                <w:lang w:val="en-US" w:eastAsia="zh-CN" w:bidi="ar-SA"/>
              </w:rPr>
              <w:t>（1）</w:t>
            </w:r>
            <w:r>
              <w:rPr>
                <w:rFonts w:hint="default" w:ascii="Times New Roman" w:hAnsi="Times New Roman" w:cs="Times New Roman"/>
                <w:szCs w:val="24"/>
                <w:lang w:val="en-US" w:eastAsia="zh-CN"/>
              </w:rPr>
              <w:t>监测点位</w:t>
            </w:r>
          </w:p>
          <w:p>
            <w:pPr>
              <w:pStyle w:val="32"/>
              <w:keepNext w:val="0"/>
              <w:keepLines w:val="0"/>
              <w:pageBreakBefore w:val="0"/>
              <w:widowControl w:val="0"/>
              <w:numPr>
                <w:ilvl w:val="0"/>
                <w:numId w:val="0"/>
              </w:numPr>
              <w:kinsoku/>
              <w:wordWrap/>
              <w:overflowPunct/>
              <w:topLinePunct w:val="0"/>
              <w:autoSpaceDE w:val="0"/>
              <w:autoSpaceDN w:val="0"/>
              <w:bidi w:val="0"/>
              <w:adjustRightInd/>
              <w:snapToGrid/>
              <w:ind w:leftChars="200" w:firstLine="480" w:firstLineChars="200"/>
              <w:textAlignment w:val="auto"/>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生活污水排放口</w:t>
            </w:r>
          </w:p>
          <w:p>
            <w:pPr>
              <w:pStyle w:val="32"/>
              <w:keepNext w:val="0"/>
              <w:keepLines w:val="0"/>
              <w:pageBreakBefore w:val="0"/>
              <w:widowControl w:val="0"/>
              <w:numPr>
                <w:ilvl w:val="0"/>
                <w:numId w:val="0"/>
              </w:numPr>
              <w:kinsoku/>
              <w:wordWrap/>
              <w:overflowPunct/>
              <w:topLinePunct w:val="0"/>
              <w:autoSpaceDE w:val="0"/>
              <w:autoSpaceDN w:val="0"/>
              <w:bidi w:val="0"/>
              <w:adjustRightInd/>
              <w:snapToGrid/>
              <w:ind w:firstLine="480" w:firstLineChars="200"/>
              <w:textAlignment w:val="auto"/>
              <w:rPr>
                <w:rFonts w:hint="default" w:ascii="Times New Roman" w:hAnsi="Times New Roman" w:cs="Times New Roman"/>
                <w:szCs w:val="24"/>
                <w:lang w:val="en-US" w:eastAsia="zh-CN"/>
              </w:rPr>
            </w:pPr>
            <w:r>
              <w:rPr>
                <w:rFonts w:hint="default" w:ascii="Times New Roman" w:hAnsi="Times New Roman" w:cs="Times New Roman" w:eastAsiaTheme="minorEastAsia"/>
                <w:kern w:val="0"/>
                <w:sz w:val="24"/>
                <w:szCs w:val="24"/>
                <w:lang w:val="en-US" w:eastAsia="zh-CN" w:bidi="ar-SA"/>
              </w:rPr>
              <w:t>（2）</w:t>
            </w:r>
            <w:r>
              <w:rPr>
                <w:rFonts w:hint="default" w:ascii="Times New Roman" w:hAnsi="Times New Roman" w:cs="Times New Roman"/>
                <w:szCs w:val="24"/>
                <w:lang w:val="en-US" w:eastAsia="zh-CN"/>
              </w:rPr>
              <w:t xml:space="preserve">监测项目及频次 </w:t>
            </w:r>
          </w:p>
          <w:p>
            <w:pPr>
              <w:ind w:right="420"/>
              <w:jc w:val="center"/>
              <w:rPr>
                <w:rFonts w:hint="default" w:ascii="Times New Roman" w:hAnsi="Times New Roman" w:cs="Times New Roman"/>
                <w:szCs w:val="24"/>
                <w:lang w:val="en-US" w:eastAsia="zh-CN"/>
              </w:rPr>
            </w:pPr>
            <w:r>
              <w:rPr>
                <w:rFonts w:hint="default" w:ascii="Times New Roman" w:hAnsi="Times New Roman" w:cs="Times New Roman"/>
                <w:b/>
                <w:bCs/>
                <w:szCs w:val="21"/>
              </w:rPr>
              <w:t>表6-</w:t>
            </w:r>
            <w:r>
              <w:rPr>
                <w:rFonts w:hint="eastAsia" w:ascii="Times New Roman" w:hAnsi="Times New Roman" w:cs="Times New Roman"/>
                <w:b/>
                <w:bCs/>
                <w:szCs w:val="21"/>
                <w:lang w:val="en-US" w:eastAsia="zh-CN"/>
              </w:rPr>
              <w:t>3</w:t>
            </w:r>
            <w:r>
              <w:rPr>
                <w:rFonts w:hint="default" w:ascii="Times New Roman" w:hAnsi="Times New Roman" w:cs="Times New Roman"/>
                <w:b/>
                <w:bCs/>
                <w:szCs w:val="21"/>
              </w:rPr>
              <w:t xml:space="preserve"> 无组织废气监测项目及监测频次一览表</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2073"/>
              <w:gridCol w:w="2073"/>
              <w:gridCol w:w="2075"/>
              <w:gridCol w:w="2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3" w:type="dxa"/>
                  <w:vAlign w:val="center"/>
                </w:tcPr>
                <w:p>
                  <w:pPr>
                    <w:jc w:val="center"/>
                    <w:rPr>
                      <w:rFonts w:hint="default" w:ascii="Times New Roman" w:hAnsi="Times New Roman" w:cs="Times New Roman"/>
                      <w:b/>
                      <w:color w:val="auto"/>
                      <w:szCs w:val="24"/>
                      <w:highlight w:val="none"/>
                      <w:vertAlign w:val="baseline"/>
                      <w:lang w:val="en-US" w:eastAsia="zh-CN"/>
                    </w:rPr>
                  </w:pPr>
                  <w:r>
                    <w:rPr>
                      <w:rFonts w:hint="default" w:ascii="Times New Roman" w:hAnsi="Times New Roman" w:cs="Times New Roman"/>
                      <w:b/>
                      <w:sz w:val="21"/>
                      <w:szCs w:val="21"/>
                    </w:rPr>
                    <w:t>监测点位</w:t>
                  </w:r>
                </w:p>
              </w:tc>
              <w:tc>
                <w:tcPr>
                  <w:tcW w:w="2073" w:type="dxa"/>
                  <w:vAlign w:val="center"/>
                </w:tcPr>
                <w:p>
                  <w:pPr>
                    <w:jc w:val="center"/>
                    <w:rPr>
                      <w:rFonts w:hint="default" w:ascii="Times New Roman" w:hAnsi="Times New Roman" w:cs="Times New Roman"/>
                      <w:b/>
                      <w:color w:val="auto"/>
                      <w:szCs w:val="24"/>
                      <w:highlight w:val="none"/>
                      <w:vertAlign w:val="baseline"/>
                      <w:lang w:val="en-US" w:eastAsia="zh-CN"/>
                    </w:rPr>
                  </w:pPr>
                  <w:r>
                    <w:rPr>
                      <w:rFonts w:hint="default" w:ascii="Times New Roman" w:hAnsi="Times New Roman" w:cs="Times New Roman"/>
                      <w:b/>
                      <w:sz w:val="21"/>
                      <w:szCs w:val="21"/>
                    </w:rPr>
                    <w:t>点位编号</w:t>
                  </w:r>
                </w:p>
              </w:tc>
              <w:tc>
                <w:tcPr>
                  <w:tcW w:w="2075" w:type="dxa"/>
                  <w:vAlign w:val="center"/>
                </w:tcPr>
                <w:p>
                  <w:pPr>
                    <w:jc w:val="center"/>
                    <w:rPr>
                      <w:rFonts w:hint="default" w:ascii="Times New Roman" w:hAnsi="Times New Roman" w:cs="Times New Roman"/>
                      <w:b/>
                      <w:color w:val="auto"/>
                      <w:szCs w:val="24"/>
                      <w:highlight w:val="none"/>
                      <w:vertAlign w:val="baseline"/>
                      <w:lang w:val="en-US" w:eastAsia="zh-CN"/>
                    </w:rPr>
                  </w:pPr>
                  <w:r>
                    <w:rPr>
                      <w:rFonts w:hint="default" w:ascii="Times New Roman" w:hAnsi="Times New Roman" w:cs="Times New Roman"/>
                      <w:b/>
                      <w:sz w:val="21"/>
                      <w:szCs w:val="21"/>
                    </w:rPr>
                    <w:t>监测项目</w:t>
                  </w:r>
                </w:p>
              </w:tc>
              <w:tc>
                <w:tcPr>
                  <w:tcW w:w="2075" w:type="dxa"/>
                  <w:vAlign w:val="center"/>
                </w:tcPr>
                <w:p>
                  <w:pPr>
                    <w:jc w:val="center"/>
                    <w:rPr>
                      <w:rFonts w:hint="default" w:ascii="Times New Roman" w:hAnsi="Times New Roman" w:cs="Times New Roman"/>
                      <w:b/>
                      <w:color w:val="auto"/>
                      <w:szCs w:val="24"/>
                      <w:highlight w:val="none"/>
                      <w:vertAlign w:val="baseline"/>
                      <w:lang w:val="en-US" w:eastAsia="zh-CN"/>
                    </w:rPr>
                  </w:pPr>
                  <w:r>
                    <w:rPr>
                      <w:rFonts w:hint="default" w:ascii="Times New Roman" w:hAnsi="Times New Roman" w:cs="Times New Roman"/>
                      <w:b/>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073" w:type="dxa"/>
                  <w:vMerge w:val="restart"/>
                  <w:vAlign w:val="center"/>
                </w:tcPr>
                <w:p>
                  <w:pPr>
                    <w:keepNext w:val="0"/>
                    <w:keepLines w:val="0"/>
                    <w:widowControl/>
                    <w:suppressLineNumbers w:val="0"/>
                    <w:jc w:val="center"/>
                    <w:rPr>
                      <w:rFonts w:hint="default" w:ascii="Times New Roman" w:hAnsi="Times New Roman" w:cs="Times New Roman"/>
                      <w:b/>
                      <w:color w:val="auto"/>
                      <w:szCs w:val="24"/>
                      <w:highlight w:val="none"/>
                      <w:vertAlign w:val="baseline"/>
                      <w:lang w:val="en-US" w:eastAsia="zh-CN"/>
                    </w:rPr>
                  </w:pPr>
                  <w:r>
                    <w:rPr>
                      <w:rFonts w:hint="eastAsia" w:ascii="宋体" w:hAnsi="宋体" w:eastAsia="宋体" w:cs="宋体"/>
                      <w:color w:val="000000"/>
                      <w:kern w:val="0"/>
                      <w:sz w:val="20"/>
                      <w:szCs w:val="20"/>
                      <w:lang w:val="en-US" w:eastAsia="zh-CN" w:bidi="ar"/>
                    </w:rPr>
                    <w:t>生活污水排放口</w:t>
                  </w:r>
                </w:p>
              </w:tc>
              <w:tc>
                <w:tcPr>
                  <w:tcW w:w="2073" w:type="dxa"/>
                  <w:vMerge w:val="restart"/>
                  <w:vAlign w:val="center"/>
                </w:tcPr>
                <w:p>
                  <w:pPr>
                    <w:pStyle w:val="32"/>
                    <w:ind w:left="0" w:leftChars="0" w:firstLine="0" w:firstLineChars="0"/>
                    <w:jc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★01</w:t>
                  </w:r>
                </w:p>
              </w:tc>
              <w:tc>
                <w:tcPr>
                  <w:tcW w:w="2075" w:type="dxa"/>
                  <w:vAlign w:val="center"/>
                </w:tcPr>
                <w:p>
                  <w:pPr>
                    <w:keepNext w:val="0"/>
                    <w:keepLines w:val="0"/>
                    <w:widowControl/>
                    <w:suppressLineNumbers w:val="0"/>
                    <w:jc w:val="center"/>
                    <w:textAlignment w:val="center"/>
                    <w:rPr>
                      <w:rFonts w:hint="default" w:ascii="Times New Roman" w:hAnsi="Times New Roman" w:cs="Times New Roman"/>
                      <w:b/>
                      <w:color w:val="auto"/>
                      <w:szCs w:val="24"/>
                      <w:highlight w:val="none"/>
                      <w:vertAlign w:val="baseline"/>
                      <w:lang w:val="en-US" w:eastAsia="zh-CN"/>
                    </w:rPr>
                  </w:pPr>
                  <w:r>
                    <w:rPr>
                      <w:rFonts w:hint="default" w:ascii="Times New Roman" w:hAnsi="Times New Roman" w:eastAsia="宋体" w:cs="Times New Roman"/>
                      <w:b w:val="0"/>
                      <w:bCs w:val="0"/>
                      <w:i w:val="0"/>
                      <w:iCs w:val="0"/>
                      <w:color w:val="000000"/>
                      <w:kern w:val="0"/>
                      <w:sz w:val="21"/>
                      <w:szCs w:val="21"/>
                      <w:u w:val="none"/>
                      <w:lang w:val="en-US" w:eastAsia="zh-CN" w:bidi="ar"/>
                    </w:rPr>
                    <w:t>pH值</w:t>
                  </w:r>
                </w:p>
              </w:tc>
              <w:tc>
                <w:tcPr>
                  <w:tcW w:w="2075" w:type="dxa"/>
                  <w:vMerge w:val="restart"/>
                  <w:vAlign w:val="center"/>
                </w:tcPr>
                <w:p>
                  <w:pPr>
                    <w:pStyle w:val="32"/>
                    <w:jc w:val="center"/>
                    <w:rPr>
                      <w:rFonts w:hint="default" w:ascii="Times New Roman" w:hAnsi="Times New Roman" w:cs="Times New Roman"/>
                      <w:b/>
                      <w:color w:val="auto"/>
                      <w:szCs w:val="24"/>
                      <w:highlight w:val="none"/>
                      <w:vertAlign w:val="baseline"/>
                      <w:lang w:val="en-US" w:eastAsia="zh-CN"/>
                    </w:rPr>
                  </w:pPr>
                  <w:r>
                    <w:rPr>
                      <w:rFonts w:hint="eastAsia" w:ascii="Times New Roman" w:hAnsi="Times New Roman" w:cs="Times New Roman"/>
                      <w:sz w:val="21"/>
                      <w:szCs w:val="21"/>
                      <w:lang w:val="en-US" w:eastAsia="zh-CN"/>
                    </w:rPr>
                    <w:t>1</w:t>
                  </w:r>
                  <w:r>
                    <w:rPr>
                      <w:rFonts w:hint="default" w:ascii="Times New Roman" w:hAnsi="Times New Roman" w:cs="Times New Roman"/>
                      <w:sz w:val="21"/>
                      <w:szCs w:val="21"/>
                    </w:rPr>
                    <w:t>个监测点，监测2天，每天测</w:t>
                  </w:r>
                  <w:r>
                    <w:rPr>
                      <w:rFonts w:hint="eastAsia" w:ascii="Times New Roman" w:hAnsi="Times New Roman" w:cs="Times New Roman"/>
                      <w:sz w:val="21"/>
                      <w:szCs w:val="21"/>
                      <w:lang w:val="en-US" w:eastAsia="zh-CN"/>
                    </w:rPr>
                    <w:t>4</w:t>
                  </w:r>
                  <w:r>
                    <w:rPr>
                      <w:rFonts w:hint="default" w:ascii="Times New Roman" w:hAnsi="Times New Roman" w:cs="Times New Roman"/>
                      <w:sz w:val="21"/>
                      <w:szCs w:val="21"/>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073"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c>
                <w:tcPr>
                  <w:tcW w:w="2073"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c>
                <w:tcPr>
                  <w:tcW w:w="2075" w:type="dxa"/>
                  <w:vAlign w:val="center"/>
                </w:tcPr>
                <w:p>
                  <w:pPr>
                    <w:keepNext w:val="0"/>
                    <w:keepLines w:val="0"/>
                    <w:widowControl/>
                    <w:suppressLineNumbers w:val="0"/>
                    <w:jc w:val="center"/>
                    <w:textAlignment w:val="center"/>
                    <w:rPr>
                      <w:rFonts w:hint="default" w:ascii="Times New Roman" w:hAnsi="Times New Roman" w:cs="Times New Roman"/>
                      <w:b/>
                      <w:color w:val="auto"/>
                      <w:szCs w:val="24"/>
                      <w:highlight w:val="none"/>
                      <w:vertAlign w:val="baseline"/>
                      <w:lang w:val="en-US" w:eastAsia="zh-CN"/>
                    </w:rPr>
                  </w:pPr>
                  <w:r>
                    <w:rPr>
                      <w:rFonts w:hint="default" w:ascii="Times New Roman" w:hAnsi="Times New Roman" w:eastAsia="宋体" w:cs="Times New Roman"/>
                      <w:b w:val="0"/>
                      <w:bCs w:val="0"/>
                      <w:i w:val="0"/>
                      <w:iCs w:val="0"/>
                      <w:color w:val="000000"/>
                      <w:kern w:val="0"/>
                      <w:sz w:val="21"/>
                      <w:szCs w:val="21"/>
                      <w:u w:val="none"/>
                      <w:lang w:val="en-US" w:eastAsia="zh-CN" w:bidi="ar"/>
                    </w:rPr>
                    <w:t>化学需氧量</w:t>
                  </w:r>
                </w:p>
              </w:tc>
              <w:tc>
                <w:tcPr>
                  <w:tcW w:w="2075"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073"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c>
                <w:tcPr>
                  <w:tcW w:w="2073"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c>
                <w:tcPr>
                  <w:tcW w:w="2075" w:type="dxa"/>
                  <w:vAlign w:val="center"/>
                </w:tcPr>
                <w:p>
                  <w:pPr>
                    <w:keepNext w:val="0"/>
                    <w:keepLines w:val="0"/>
                    <w:widowControl/>
                    <w:suppressLineNumbers w:val="0"/>
                    <w:jc w:val="center"/>
                    <w:textAlignment w:val="center"/>
                    <w:rPr>
                      <w:rFonts w:hint="default" w:ascii="Times New Roman" w:hAnsi="Times New Roman" w:cs="Times New Roman"/>
                      <w:b/>
                      <w:color w:val="auto"/>
                      <w:szCs w:val="24"/>
                      <w:highlight w:val="none"/>
                      <w:vertAlign w:val="baseline"/>
                      <w:lang w:val="en-US" w:eastAsia="zh-CN"/>
                    </w:rPr>
                  </w:pPr>
                  <w:r>
                    <w:rPr>
                      <w:rFonts w:hint="default" w:ascii="Times New Roman" w:hAnsi="Times New Roman" w:eastAsia="宋体" w:cs="Times New Roman"/>
                      <w:b w:val="0"/>
                      <w:bCs w:val="0"/>
                      <w:i w:val="0"/>
                      <w:iCs w:val="0"/>
                      <w:color w:val="000000"/>
                      <w:kern w:val="0"/>
                      <w:sz w:val="21"/>
                      <w:szCs w:val="21"/>
                      <w:u w:val="none"/>
                      <w:lang w:val="en-US" w:eastAsia="zh-CN" w:bidi="ar"/>
                    </w:rPr>
                    <w:t>氨氮</w:t>
                  </w:r>
                </w:p>
              </w:tc>
              <w:tc>
                <w:tcPr>
                  <w:tcW w:w="2075"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073"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c>
                <w:tcPr>
                  <w:tcW w:w="2073"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c>
                <w:tcPr>
                  <w:tcW w:w="2075" w:type="dxa"/>
                  <w:vAlign w:val="center"/>
                </w:tcPr>
                <w:p>
                  <w:pPr>
                    <w:keepNext w:val="0"/>
                    <w:keepLines w:val="0"/>
                    <w:widowControl/>
                    <w:suppressLineNumbers w:val="0"/>
                    <w:jc w:val="center"/>
                    <w:textAlignment w:val="center"/>
                    <w:rPr>
                      <w:rFonts w:hint="default" w:ascii="Times New Roman" w:hAnsi="Times New Roman" w:cs="Times New Roman"/>
                      <w:b/>
                      <w:color w:val="auto"/>
                      <w:szCs w:val="24"/>
                      <w:highlight w:val="none"/>
                      <w:vertAlign w:val="baseline"/>
                      <w:lang w:val="en-US" w:eastAsia="zh-CN"/>
                    </w:rPr>
                  </w:pPr>
                  <w:r>
                    <w:rPr>
                      <w:rFonts w:hint="default" w:ascii="Times New Roman" w:hAnsi="Times New Roman" w:eastAsia="宋体" w:cs="Times New Roman"/>
                      <w:b w:val="0"/>
                      <w:bCs w:val="0"/>
                      <w:i w:val="0"/>
                      <w:iCs w:val="0"/>
                      <w:color w:val="000000"/>
                      <w:kern w:val="0"/>
                      <w:sz w:val="21"/>
                      <w:szCs w:val="21"/>
                      <w:u w:val="none"/>
                      <w:lang w:val="en-US" w:eastAsia="zh-CN" w:bidi="ar"/>
                    </w:rPr>
                    <w:t>悬浮物</w:t>
                  </w:r>
                </w:p>
              </w:tc>
              <w:tc>
                <w:tcPr>
                  <w:tcW w:w="2075"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073"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c>
                <w:tcPr>
                  <w:tcW w:w="2073"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c>
                <w:tcPr>
                  <w:tcW w:w="2075" w:type="dxa"/>
                  <w:vAlign w:val="center"/>
                </w:tcPr>
                <w:p>
                  <w:pPr>
                    <w:keepNext w:val="0"/>
                    <w:keepLines w:val="0"/>
                    <w:widowControl/>
                    <w:suppressLineNumbers w:val="0"/>
                    <w:jc w:val="center"/>
                    <w:textAlignment w:val="center"/>
                    <w:rPr>
                      <w:rFonts w:hint="default" w:ascii="Times New Roman" w:hAnsi="Times New Roman" w:cs="Times New Roman"/>
                      <w:b/>
                      <w:color w:val="auto"/>
                      <w:szCs w:val="24"/>
                      <w:highlight w:val="none"/>
                      <w:vertAlign w:val="baseline"/>
                      <w:lang w:val="en-US" w:eastAsia="zh-CN"/>
                    </w:rPr>
                  </w:pPr>
                  <w:r>
                    <w:rPr>
                      <w:rFonts w:hint="default" w:ascii="Times New Roman" w:hAnsi="Times New Roman" w:eastAsia="宋体" w:cs="Times New Roman"/>
                      <w:b w:val="0"/>
                      <w:bCs w:val="0"/>
                      <w:i w:val="0"/>
                      <w:iCs w:val="0"/>
                      <w:color w:val="000000"/>
                      <w:kern w:val="0"/>
                      <w:sz w:val="21"/>
                      <w:szCs w:val="21"/>
                      <w:u w:val="none"/>
                      <w:lang w:val="en-US" w:eastAsia="zh-CN" w:bidi="ar"/>
                    </w:rPr>
                    <w:t>石油类</w:t>
                  </w:r>
                </w:p>
              </w:tc>
              <w:tc>
                <w:tcPr>
                  <w:tcW w:w="2075"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073"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c>
                <w:tcPr>
                  <w:tcW w:w="2073"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c>
                <w:tcPr>
                  <w:tcW w:w="2075" w:type="dxa"/>
                  <w:vAlign w:val="center"/>
                </w:tcPr>
                <w:p>
                  <w:pPr>
                    <w:keepNext w:val="0"/>
                    <w:keepLines w:val="0"/>
                    <w:widowControl/>
                    <w:suppressLineNumbers w:val="0"/>
                    <w:jc w:val="center"/>
                    <w:textAlignment w:val="center"/>
                    <w:rPr>
                      <w:rFonts w:hint="default" w:ascii="Times New Roman" w:hAnsi="Times New Roman" w:cs="Times New Roman"/>
                      <w:b/>
                      <w:color w:val="auto"/>
                      <w:szCs w:val="24"/>
                      <w:highlight w:val="none"/>
                      <w:vertAlign w:val="baseline"/>
                      <w:lang w:val="en-US" w:eastAsia="zh-CN"/>
                    </w:rPr>
                  </w:pPr>
                  <w:r>
                    <w:rPr>
                      <w:rFonts w:hint="default" w:ascii="Times New Roman" w:hAnsi="Times New Roman" w:eastAsia="宋体" w:cs="Times New Roman"/>
                      <w:b w:val="0"/>
                      <w:bCs w:val="0"/>
                      <w:i w:val="0"/>
                      <w:iCs w:val="0"/>
                      <w:color w:val="000000"/>
                      <w:kern w:val="0"/>
                      <w:sz w:val="21"/>
                      <w:szCs w:val="21"/>
                      <w:u w:val="none"/>
                      <w:lang w:val="en-US" w:eastAsia="zh-CN" w:bidi="ar"/>
                    </w:rPr>
                    <w:t>总磷</w:t>
                  </w:r>
                </w:p>
              </w:tc>
              <w:tc>
                <w:tcPr>
                  <w:tcW w:w="2075"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073"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c>
                <w:tcPr>
                  <w:tcW w:w="2073"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c>
                <w:tcPr>
                  <w:tcW w:w="2075" w:type="dxa"/>
                  <w:vAlign w:val="center"/>
                </w:tcPr>
                <w:p>
                  <w:pPr>
                    <w:keepNext w:val="0"/>
                    <w:keepLines w:val="0"/>
                    <w:widowControl/>
                    <w:suppressLineNumbers w:val="0"/>
                    <w:jc w:val="center"/>
                    <w:textAlignment w:val="center"/>
                    <w:rPr>
                      <w:rFonts w:hint="default" w:ascii="Times New Roman" w:hAnsi="Times New Roman" w:cs="Times New Roman"/>
                      <w:b/>
                      <w:color w:val="auto"/>
                      <w:szCs w:val="24"/>
                      <w:highlight w:val="none"/>
                      <w:vertAlign w:val="baseline"/>
                      <w:lang w:val="en-US" w:eastAsia="zh-CN"/>
                    </w:rPr>
                  </w:pPr>
                  <w:r>
                    <w:rPr>
                      <w:rFonts w:hint="default" w:ascii="Times New Roman" w:hAnsi="Times New Roman" w:eastAsia="宋体" w:cs="Times New Roman"/>
                      <w:b w:val="0"/>
                      <w:bCs w:val="0"/>
                      <w:i w:val="0"/>
                      <w:iCs w:val="0"/>
                      <w:color w:val="000000"/>
                      <w:kern w:val="0"/>
                      <w:sz w:val="21"/>
                      <w:szCs w:val="21"/>
                      <w:u w:val="none"/>
                      <w:lang w:val="en-US" w:eastAsia="zh-CN" w:bidi="ar"/>
                    </w:rPr>
                    <w:t>阴离子表面活性剂</w:t>
                  </w:r>
                </w:p>
              </w:tc>
              <w:tc>
                <w:tcPr>
                  <w:tcW w:w="2075"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073"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c>
                <w:tcPr>
                  <w:tcW w:w="2073"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c>
                <w:tcPr>
                  <w:tcW w:w="2075" w:type="dxa"/>
                  <w:vAlign w:val="center"/>
                </w:tcPr>
                <w:p>
                  <w:pPr>
                    <w:keepNext w:val="0"/>
                    <w:keepLines w:val="0"/>
                    <w:widowControl/>
                    <w:suppressLineNumbers w:val="0"/>
                    <w:jc w:val="center"/>
                    <w:textAlignment w:val="center"/>
                    <w:rPr>
                      <w:rFonts w:hint="default" w:ascii="Times New Roman" w:hAnsi="Times New Roman" w:cs="Times New Roman"/>
                      <w:b/>
                      <w:color w:val="auto"/>
                      <w:szCs w:val="24"/>
                      <w:highlight w:val="none"/>
                      <w:vertAlign w:val="baseline"/>
                      <w:lang w:val="en-US" w:eastAsia="zh-CN"/>
                    </w:rPr>
                  </w:pPr>
                  <w:r>
                    <w:rPr>
                      <w:rFonts w:hint="default" w:ascii="Times New Roman" w:hAnsi="Times New Roman" w:eastAsia="宋体" w:cs="Times New Roman"/>
                      <w:b w:val="0"/>
                      <w:bCs w:val="0"/>
                      <w:i w:val="0"/>
                      <w:iCs w:val="0"/>
                      <w:color w:val="000000"/>
                      <w:kern w:val="0"/>
                      <w:sz w:val="21"/>
                      <w:szCs w:val="21"/>
                      <w:u w:val="none"/>
                      <w:lang w:val="en-US" w:eastAsia="zh-CN" w:bidi="ar"/>
                    </w:rPr>
                    <w:t>动植物油</w:t>
                  </w:r>
                </w:p>
              </w:tc>
              <w:tc>
                <w:tcPr>
                  <w:tcW w:w="2075"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073"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c>
                <w:tcPr>
                  <w:tcW w:w="2073"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c>
                <w:tcPr>
                  <w:tcW w:w="2075" w:type="dxa"/>
                  <w:vAlign w:val="center"/>
                </w:tcPr>
                <w:p>
                  <w:pPr>
                    <w:keepNext w:val="0"/>
                    <w:keepLines w:val="0"/>
                    <w:widowControl/>
                    <w:suppressLineNumbers w:val="0"/>
                    <w:jc w:val="center"/>
                    <w:textAlignment w:val="center"/>
                    <w:rPr>
                      <w:rFonts w:hint="default" w:ascii="Times New Roman" w:hAnsi="Times New Roman" w:cs="Times New Roman"/>
                      <w:b/>
                      <w:color w:val="auto"/>
                      <w:szCs w:val="24"/>
                      <w:highlight w:val="none"/>
                      <w:vertAlign w:val="baseline"/>
                      <w:lang w:val="en-US" w:eastAsia="zh-CN"/>
                    </w:rPr>
                  </w:pPr>
                  <w:r>
                    <w:rPr>
                      <w:rFonts w:hint="default" w:ascii="Times New Roman" w:hAnsi="Times New Roman" w:eastAsia="宋体" w:cs="Times New Roman"/>
                      <w:b w:val="0"/>
                      <w:bCs w:val="0"/>
                      <w:i w:val="0"/>
                      <w:iCs w:val="0"/>
                      <w:color w:val="000000"/>
                      <w:kern w:val="0"/>
                      <w:sz w:val="21"/>
                      <w:szCs w:val="21"/>
                      <w:u w:val="none"/>
                      <w:lang w:val="en-US" w:eastAsia="zh-CN" w:bidi="ar"/>
                    </w:rPr>
                    <w:t>五日生化需氧量</w:t>
                  </w:r>
                </w:p>
              </w:tc>
              <w:tc>
                <w:tcPr>
                  <w:tcW w:w="2075" w:type="dxa"/>
                  <w:vMerge w:val="continue"/>
                  <w:tcBorders/>
                </w:tcPr>
                <w:p>
                  <w:pPr>
                    <w:pStyle w:val="32"/>
                    <w:jc w:val="both"/>
                    <w:rPr>
                      <w:rFonts w:hint="default" w:ascii="Times New Roman" w:hAnsi="Times New Roman" w:cs="Times New Roman"/>
                      <w:b/>
                      <w:color w:val="auto"/>
                      <w:szCs w:val="24"/>
                      <w:highlight w:val="none"/>
                      <w:vertAlign w:val="baseline"/>
                      <w:lang w:val="en-US" w:eastAsia="zh-CN"/>
                    </w:rPr>
                  </w:pPr>
                </w:p>
              </w:tc>
            </w:tr>
          </w:tbl>
          <w:p>
            <w:pPr>
              <w:pStyle w:val="32"/>
              <w:ind w:firstLine="0" w:firstLineChars="0"/>
              <w:jc w:val="both"/>
              <w:rPr>
                <w:rFonts w:hint="default" w:ascii="Times New Roman" w:hAnsi="Times New Roman" w:cs="Times New Roman"/>
                <w:b/>
                <w:color w:val="auto"/>
                <w:szCs w:val="24"/>
                <w:highlight w:val="none"/>
                <w:lang w:val="en-US" w:eastAsia="zh-CN"/>
              </w:rPr>
            </w:pPr>
          </w:p>
          <w:p>
            <w:pPr>
              <w:pStyle w:val="32"/>
              <w:ind w:firstLine="0" w:firstLineChars="0"/>
              <w:jc w:val="both"/>
              <w:rPr>
                <w:rFonts w:hint="default" w:ascii="Times New Roman" w:hAnsi="Times New Roman" w:cs="Times New Roman"/>
                <w:b/>
                <w:szCs w:val="24"/>
                <w:lang w:val="en-US" w:eastAsia="zh-CN"/>
              </w:rPr>
            </w:pPr>
            <w:r>
              <w:rPr>
                <w:rFonts w:hint="default" w:ascii="Times New Roman" w:hAnsi="Times New Roman" w:cs="Times New Roman"/>
                <w:b/>
                <w:color w:val="auto"/>
                <w:szCs w:val="24"/>
                <w:highlight w:val="none"/>
                <w:lang w:val="en-US" w:eastAsia="zh-CN"/>
              </w:rPr>
              <w:t>6.</w:t>
            </w:r>
            <w:r>
              <w:rPr>
                <w:rFonts w:hint="eastAsia" w:ascii="Times New Roman" w:hAnsi="Times New Roman" w:cs="Times New Roman"/>
                <w:b/>
                <w:color w:val="auto"/>
                <w:szCs w:val="24"/>
                <w:highlight w:val="none"/>
                <w:lang w:val="en-US" w:eastAsia="zh-CN"/>
              </w:rPr>
              <w:t>3无组织</w:t>
            </w:r>
            <w:r>
              <w:rPr>
                <w:rFonts w:hint="default" w:ascii="Times New Roman" w:hAnsi="Times New Roman" w:cs="Times New Roman"/>
                <w:b/>
                <w:szCs w:val="24"/>
                <w:lang w:val="en-US" w:eastAsia="zh-CN"/>
              </w:rPr>
              <w:t>监测</w:t>
            </w:r>
          </w:p>
          <w:p>
            <w:pPr>
              <w:pStyle w:val="32"/>
              <w:keepNext w:val="0"/>
              <w:keepLines w:val="0"/>
              <w:pageBreakBefore w:val="0"/>
              <w:widowControl w:val="0"/>
              <w:numPr>
                <w:ilvl w:val="0"/>
                <w:numId w:val="0"/>
              </w:numPr>
              <w:kinsoku/>
              <w:wordWrap/>
              <w:overflowPunct/>
              <w:topLinePunct w:val="0"/>
              <w:autoSpaceDE w:val="0"/>
              <w:autoSpaceDN w:val="0"/>
              <w:bidi w:val="0"/>
              <w:adjustRightInd/>
              <w:snapToGrid/>
              <w:ind w:firstLine="480" w:firstLineChars="200"/>
              <w:textAlignment w:val="auto"/>
              <w:rPr>
                <w:rFonts w:hint="default" w:ascii="Times New Roman" w:hAnsi="Times New Roman" w:cs="Times New Roman"/>
                <w:szCs w:val="24"/>
                <w:lang w:val="en-US" w:eastAsia="zh-CN"/>
              </w:rPr>
            </w:pPr>
            <w:r>
              <w:rPr>
                <w:rFonts w:hint="default" w:ascii="Times New Roman" w:hAnsi="Times New Roman" w:cs="Times New Roman" w:eastAsiaTheme="minorEastAsia"/>
                <w:kern w:val="0"/>
                <w:sz w:val="24"/>
                <w:szCs w:val="24"/>
                <w:lang w:val="en-US" w:eastAsia="zh-CN" w:bidi="ar-SA"/>
              </w:rPr>
              <w:t>（1）</w:t>
            </w:r>
            <w:r>
              <w:rPr>
                <w:rFonts w:hint="default" w:ascii="Times New Roman" w:hAnsi="Times New Roman" w:cs="Times New Roman"/>
                <w:szCs w:val="24"/>
                <w:lang w:val="en-US" w:eastAsia="zh-CN"/>
              </w:rPr>
              <w:t>监测点位</w:t>
            </w:r>
          </w:p>
          <w:p>
            <w:pPr>
              <w:pStyle w:val="32"/>
              <w:keepNext w:val="0"/>
              <w:keepLines w:val="0"/>
              <w:pageBreakBefore w:val="0"/>
              <w:widowControl w:val="0"/>
              <w:numPr>
                <w:ilvl w:val="0"/>
                <w:numId w:val="0"/>
              </w:numPr>
              <w:kinsoku/>
              <w:wordWrap/>
              <w:overflowPunct/>
              <w:topLinePunct w:val="0"/>
              <w:autoSpaceDE w:val="0"/>
              <w:autoSpaceDN w:val="0"/>
              <w:bidi w:val="0"/>
              <w:adjustRightInd/>
              <w:snapToGrid/>
              <w:ind w:leftChars="200" w:firstLine="480" w:firstLineChars="200"/>
              <w:textAlignment w:val="auto"/>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厂区四周</w:t>
            </w:r>
          </w:p>
          <w:p>
            <w:pPr>
              <w:pStyle w:val="32"/>
              <w:keepNext w:val="0"/>
              <w:keepLines w:val="0"/>
              <w:pageBreakBefore w:val="0"/>
              <w:widowControl w:val="0"/>
              <w:numPr>
                <w:ilvl w:val="0"/>
                <w:numId w:val="0"/>
              </w:numPr>
              <w:kinsoku/>
              <w:wordWrap/>
              <w:overflowPunct/>
              <w:topLinePunct w:val="0"/>
              <w:autoSpaceDE w:val="0"/>
              <w:autoSpaceDN w:val="0"/>
              <w:bidi w:val="0"/>
              <w:adjustRightInd/>
              <w:snapToGrid/>
              <w:ind w:firstLine="480" w:firstLineChars="200"/>
              <w:textAlignment w:val="auto"/>
              <w:rPr>
                <w:rFonts w:hint="default" w:ascii="Times New Roman" w:hAnsi="Times New Roman" w:cs="Times New Roman"/>
                <w:szCs w:val="24"/>
                <w:lang w:val="en-US" w:eastAsia="zh-CN"/>
              </w:rPr>
            </w:pPr>
            <w:r>
              <w:rPr>
                <w:rFonts w:hint="default" w:ascii="Times New Roman" w:hAnsi="Times New Roman" w:cs="Times New Roman" w:eastAsiaTheme="minorEastAsia"/>
                <w:kern w:val="0"/>
                <w:sz w:val="24"/>
                <w:szCs w:val="24"/>
                <w:lang w:val="en-US" w:eastAsia="zh-CN" w:bidi="ar-SA"/>
              </w:rPr>
              <w:t>（2）</w:t>
            </w:r>
            <w:r>
              <w:rPr>
                <w:rFonts w:hint="default" w:ascii="Times New Roman" w:hAnsi="Times New Roman" w:cs="Times New Roman"/>
                <w:szCs w:val="24"/>
                <w:lang w:val="en-US" w:eastAsia="zh-CN"/>
              </w:rPr>
              <w:t xml:space="preserve">监测项目及频次 </w:t>
            </w:r>
          </w:p>
          <w:p>
            <w:pPr>
              <w:ind w:right="420"/>
              <w:jc w:val="center"/>
              <w:rPr>
                <w:rFonts w:hint="default" w:ascii="Times New Roman" w:hAnsi="Times New Roman" w:cs="Times New Roman"/>
                <w:szCs w:val="24"/>
                <w:lang w:val="en-US" w:eastAsia="zh-CN"/>
              </w:rPr>
            </w:pPr>
            <w:r>
              <w:rPr>
                <w:rFonts w:hint="default" w:ascii="Times New Roman" w:hAnsi="Times New Roman" w:cs="Times New Roman"/>
                <w:b/>
                <w:bCs/>
                <w:szCs w:val="21"/>
              </w:rPr>
              <w:t>表6-</w:t>
            </w:r>
            <w:r>
              <w:rPr>
                <w:rFonts w:hint="eastAsia" w:ascii="Times New Roman" w:hAnsi="Times New Roman" w:cs="Times New Roman"/>
                <w:b/>
                <w:bCs/>
                <w:szCs w:val="21"/>
                <w:lang w:val="en-US" w:eastAsia="zh-CN"/>
              </w:rPr>
              <w:t>3</w:t>
            </w:r>
            <w:r>
              <w:rPr>
                <w:rFonts w:hint="default" w:ascii="Times New Roman" w:hAnsi="Times New Roman" w:cs="Times New Roman"/>
                <w:b/>
                <w:bCs/>
                <w:szCs w:val="21"/>
              </w:rPr>
              <w:t xml:space="preserve"> 无组织废气监测项目及监测频次一览表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0"/>
              <w:gridCol w:w="247"/>
              <w:gridCol w:w="2092"/>
              <w:gridCol w:w="1623"/>
              <w:gridCol w:w="2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1980" w:type="dxa"/>
                  <w:noWrap w:val="0"/>
                  <w:vAlign w:val="center"/>
                </w:tcPr>
                <w:p>
                  <w:pPr>
                    <w:jc w:val="center"/>
                    <w:rPr>
                      <w:rFonts w:hint="default" w:ascii="Times New Roman" w:hAnsi="Times New Roman" w:cs="Times New Roman"/>
                      <w:b/>
                      <w:sz w:val="21"/>
                      <w:szCs w:val="21"/>
                    </w:rPr>
                  </w:pPr>
                  <w:r>
                    <w:rPr>
                      <w:rFonts w:hint="default" w:ascii="Times New Roman" w:hAnsi="Times New Roman" w:cs="Times New Roman"/>
                      <w:b/>
                      <w:sz w:val="21"/>
                      <w:szCs w:val="21"/>
                    </w:rPr>
                    <w:t>监测点位</w:t>
                  </w:r>
                </w:p>
              </w:tc>
              <w:tc>
                <w:tcPr>
                  <w:tcW w:w="2339" w:type="dxa"/>
                  <w:gridSpan w:val="2"/>
                  <w:noWrap w:val="0"/>
                  <w:vAlign w:val="center"/>
                </w:tcPr>
                <w:p>
                  <w:pPr>
                    <w:jc w:val="center"/>
                    <w:rPr>
                      <w:rFonts w:hint="default" w:ascii="Times New Roman" w:hAnsi="Times New Roman" w:cs="Times New Roman"/>
                      <w:b/>
                      <w:sz w:val="21"/>
                      <w:szCs w:val="21"/>
                    </w:rPr>
                  </w:pPr>
                  <w:r>
                    <w:rPr>
                      <w:rFonts w:hint="default" w:ascii="Times New Roman" w:hAnsi="Times New Roman" w:cs="Times New Roman"/>
                      <w:b/>
                      <w:sz w:val="21"/>
                      <w:szCs w:val="21"/>
                    </w:rPr>
                    <w:t>点位编号</w:t>
                  </w:r>
                </w:p>
              </w:tc>
              <w:tc>
                <w:tcPr>
                  <w:tcW w:w="1623" w:type="dxa"/>
                  <w:noWrap w:val="0"/>
                  <w:vAlign w:val="center"/>
                </w:tcPr>
                <w:p>
                  <w:pPr>
                    <w:jc w:val="center"/>
                    <w:rPr>
                      <w:rFonts w:hint="default" w:ascii="Times New Roman" w:hAnsi="Times New Roman" w:cs="Times New Roman"/>
                      <w:b/>
                      <w:sz w:val="21"/>
                      <w:szCs w:val="21"/>
                    </w:rPr>
                  </w:pPr>
                  <w:r>
                    <w:rPr>
                      <w:rFonts w:hint="default" w:ascii="Times New Roman" w:hAnsi="Times New Roman" w:cs="Times New Roman"/>
                      <w:b/>
                      <w:sz w:val="21"/>
                      <w:szCs w:val="21"/>
                    </w:rPr>
                    <w:t>监测项目</w:t>
                  </w:r>
                </w:p>
              </w:tc>
              <w:tc>
                <w:tcPr>
                  <w:tcW w:w="2354" w:type="dxa"/>
                  <w:noWrap w:val="0"/>
                  <w:vAlign w:val="center"/>
                </w:tcPr>
                <w:p>
                  <w:pPr>
                    <w:jc w:val="center"/>
                    <w:rPr>
                      <w:rFonts w:hint="default" w:ascii="Times New Roman" w:hAnsi="Times New Roman" w:cs="Times New Roman"/>
                      <w:b/>
                      <w:sz w:val="21"/>
                      <w:szCs w:val="21"/>
                    </w:rPr>
                  </w:pPr>
                  <w:r>
                    <w:rPr>
                      <w:rFonts w:hint="default" w:ascii="Times New Roman" w:hAnsi="Times New Roman" w:cs="Times New Roman"/>
                      <w:b/>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2227" w:type="dxa"/>
                  <w:gridSpan w:val="2"/>
                  <w:noWrap w:val="0"/>
                  <w:vAlign w:val="center"/>
                </w:tcPr>
                <w:p>
                  <w:pPr>
                    <w:keepNext w:val="0"/>
                    <w:keepLines w:val="0"/>
                    <w:widowControl/>
                    <w:suppressLineNumbers w:val="0"/>
                    <w:jc w:val="center"/>
                    <w:textAlignment w:val="center"/>
                    <w:rPr>
                      <w:rFonts w:hint="default" w:ascii="Times New Roman" w:hAnsi="Times New Roman" w:cs="Times New Roman"/>
                      <w:sz w:val="21"/>
                      <w:szCs w:val="21"/>
                    </w:rPr>
                  </w:pPr>
                  <w:r>
                    <w:rPr>
                      <w:rFonts w:hint="default" w:ascii="Times New Roman" w:hAnsi="Times New Roman" w:eastAsia="宋体" w:cs="Times New Roman"/>
                      <w:i w:val="0"/>
                      <w:iCs w:val="0"/>
                      <w:color w:val="000000"/>
                      <w:kern w:val="0"/>
                      <w:sz w:val="21"/>
                      <w:szCs w:val="21"/>
                      <w:u w:val="none"/>
                      <w:lang w:val="en-US" w:eastAsia="zh-CN" w:bidi="ar"/>
                    </w:rPr>
                    <w:t>厂界外东北侧1米处</w:t>
                  </w:r>
                </w:p>
              </w:tc>
              <w:tc>
                <w:tcPr>
                  <w:tcW w:w="2092" w:type="dxa"/>
                  <w:noWrap w:val="0"/>
                  <w:vAlign w:val="center"/>
                </w:tcPr>
                <w:p>
                  <w:pPr>
                    <w:jc w:val="center"/>
                    <w:rPr>
                      <w:rFonts w:hint="default" w:ascii="Times New Roman" w:hAnsi="Times New Roman" w:cs="Times New Roman"/>
                      <w:sz w:val="21"/>
                      <w:szCs w:val="21"/>
                    </w:rPr>
                  </w:pPr>
                  <w:r>
                    <w:rPr>
                      <w:rFonts w:hint="default" w:ascii="Times New Roman" w:hAnsi="Times New Roman" w:eastAsia="宋体" w:cs="Times New Roman"/>
                      <w:i w:val="0"/>
                      <w:iCs w:val="0"/>
                      <w:color w:val="000000"/>
                      <w:kern w:val="0"/>
                      <w:sz w:val="21"/>
                      <w:szCs w:val="21"/>
                      <w:u w:val="none"/>
                      <w:lang w:val="en-US" w:eastAsia="zh-CN" w:bidi="ar"/>
                    </w:rPr>
                    <w:t>▲</w:t>
                  </w:r>
                  <w:r>
                    <w:rPr>
                      <w:rFonts w:hint="default" w:ascii="Times New Roman" w:hAnsi="Times New Roman" w:eastAsia="宋体" w:cs="Times New Roman"/>
                      <w:i w:val="0"/>
                      <w:iCs w:val="0"/>
                      <w:color w:val="000000"/>
                      <w:kern w:val="0"/>
                      <w:sz w:val="21"/>
                      <w:szCs w:val="21"/>
                      <w:u w:val="none"/>
                      <w:lang w:val="en-US" w:eastAsia="zh-CN" w:bidi="ar"/>
                    </w:rPr>
                    <w:t>1#</w:t>
                  </w:r>
                </w:p>
              </w:tc>
              <w:tc>
                <w:tcPr>
                  <w:tcW w:w="1623" w:type="dxa"/>
                  <w:vMerge w:val="restart"/>
                  <w:noWrap w:val="0"/>
                  <w:vAlign w:val="center"/>
                </w:tcPr>
                <w:p>
                  <w:pPr>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噪声</w:t>
                  </w:r>
                </w:p>
              </w:tc>
              <w:tc>
                <w:tcPr>
                  <w:tcW w:w="2354" w:type="dxa"/>
                  <w:vMerge w:val="restart"/>
                  <w:noWrap w:val="0"/>
                  <w:vAlign w:val="center"/>
                </w:tcPr>
                <w:p>
                  <w:pPr>
                    <w:tabs>
                      <w:tab w:val="left" w:pos="645"/>
                      <w:tab w:val="left" w:pos="2700"/>
                    </w:tabs>
                    <w:ind w:right="-105" w:rightChars="-50"/>
                    <w:jc w:val="center"/>
                    <w:rPr>
                      <w:rFonts w:hint="default"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4</w:t>
                  </w:r>
                  <w:r>
                    <w:rPr>
                      <w:rFonts w:hint="default" w:ascii="Times New Roman" w:hAnsi="Times New Roman" w:cs="Times New Roman"/>
                      <w:sz w:val="21"/>
                      <w:szCs w:val="21"/>
                    </w:rPr>
                    <w:t>个监测点，监测2天，</w:t>
                  </w:r>
                  <w:r>
                    <w:rPr>
                      <w:rFonts w:hint="eastAsia" w:ascii="Times New Roman" w:hAnsi="Times New Roman" w:cs="Times New Roman"/>
                      <w:sz w:val="21"/>
                      <w:szCs w:val="21"/>
                      <w:lang w:val="en-US" w:eastAsia="zh-CN"/>
                    </w:rPr>
                    <w:t>昼夜各一次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2227" w:type="dxa"/>
                  <w:gridSpan w:val="2"/>
                  <w:noWrap w:val="0"/>
                  <w:vAlign w:val="center"/>
                </w:tcPr>
                <w:p>
                  <w:pPr>
                    <w:keepNext w:val="0"/>
                    <w:keepLines w:val="0"/>
                    <w:widowControl/>
                    <w:suppressLineNumbers w:val="0"/>
                    <w:jc w:val="center"/>
                    <w:textAlignment w:val="center"/>
                    <w:rPr>
                      <w:rFonts w:hint="default" w:ascii="Times New Roman" w:hAnsi="Times New Roman" w:cs="Times New Roman"/>
                      <w:sz w:val="21"/>
                      <w:szCs w:val="21"/>
                    </w:rPr>
                  </w:pPr>
                  <w:r>
                    <w:rPr>
                      <w:rFonts w:hint="default" w:ascii="Times New Roman" w:hAnsi="Times New Roman" w:eastAsia="宋体" w:cs="Times New Roman"/>
                      <w:i w:val="0"/>
                      <w:iCs w:val="0"/>
                      <w:color w:val="000000"/>
                      <w:kern w:val="0"/>
                      <w:sz w:val="21"/>
                      <w:szCs w:val="21"/>
                      <w:u w:val="none"/>
                      <w:lang w:val="en-US" w:eastAsia="zh-CN" w:bidi="ar"/>
                    </w:rPr>
                    <w:t>厂界外东南侧1米处</w:t>
                  </w:r>
                </w:p>
              </w:tc>
              <w:tc>
                <w:tcPr>
                  <w:tcW w:w="2092" w:type="dxa"/>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Times New Roman" w:hAnsi="Times New Roman" w:eastAsia="宋体" w:cs="Times New Roman"/>
                      <w:i w:val="0"/>
                      <w:iCs w:val="0"/>
                      <w:color w:val="000000"/>
                      <w:kern w:val="0"/>
                      <w:sz w:val="21"/>
                      <w:szCs w:val="21"/>
                      <w:u w:val="none"/>
                      <w:lang w:val="en-US" w:eastAsia="zh-CN" w:bidi="ar"/>
                    </w:rPr>
                    <w:t>2</w:t>
                  </w:r>
                  <w:r>
                    <w:rPr>
                      <w:rFonts w:hint="default" w:ascii="Times New Roman" w:hAnsi="Times New Roman" w:eastAsia="宋体" w:cs="Times New Roman"/>
                      <w:i w:val="0"/>
                      <w:iCs w:val="0"/>
                      <w:color w:val="000000"/>
                      <w:kern w:val="0"/>
                      <w:sz w:val="21"/>
                      <w:szCs w:val="21"/>
                      <w:u w:val="none"/>
                      <w:lang w:val="en-US" w:eastAsia="zh-CN" w:bidi="ar"/>
                    </w:rPr>
                    <w:t>#</w:t>
                  </w:r>
                </w:p>
              </w:tc>
              <w:tc>
                <w:tcPr>
                  <w:tcW w:w="1623" w:type="dxa"/>
                  <w:vMerge w:val="continue"/>
                  <w:noWrap w:val="0"/>
                  <w:vAlign w:val="center"/>
                </w:tcPr>
                <w:p>
                  <w:pPr>
                    <w:jc w:val="center"/>
                    <w:rPr>
                      <w:rFonts w:hint="default" w:ascii="Times New Roman" w:hAnsi="Times New Roman" w:cs="Times New Roman"/>
                      <w:sz w:val="21"/>
                      <w:szCs w:val="21"/>
                      <w:lang w:val="en-US" w:eastAsia="zh-CN"/>
                    </w:rPr>
                  </w:pPr>
                </w:p>
              </w:tc>
              <w:tc>
                <w:tcPr>
                  <w:tcW w:w="2354" w:type="dxa"/>
                  <w:vMerge w:val="continue"/>
                  <w:noWrap w:val="0"/>
                  <w:vAlign w:val="center"/>
                </w:tcPr>
                <w:p>
                  <w:pPr>
                    <w:tabs>
                      <w:tab w:val="left" w:pos="645"/>
                      <w:tab w:val="left" w:pos="2700"/>
                    </w:tabs>
                    <w:ind w:right="-105" w:rightChars="-50"/>
                    <w:jc w:val="center"/>
                    <w:rPr>
                      <w:rFonts w:hint="default" w:ascii="Times New Roman" w:hAnsi="Times New Roman"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2227" w:type="dxa"/>
                  <w:gridSpan w:val="2"/>
                  <w:noWrap w:val="0"/>
                  <w:vAlign w:val="center"/>
                </w:tcPr>
                <w:p>
                  <w:pPr>
                    <w:keepNext w:val="0"/>
                    <w:keepLines w:val="0"/>
                    <w:widowControl/>
                    <w:suppressLineNumbers w:val="0"/>
                    <w:jc w:val="center"/>
                    <w:textAlignment w:val="center"/>
                    <w:rPr>
                      <w:rFonts w:hint="default" w:ascii="Times New Roman" w:hAnsi="Times New Roman" w:cs="Times New Roman"/>
                      <w:sz w:val="21"/>
                      <w:szCs w:val="21"/>
                    </w:rPr>
                  </w:pPr>
                  <w:r>
                    <w:rPr>
                      <w:rFonts w:hint="default" w:ascii="Times New Roman" w:hAnsi="Times New Roman" w:eastAsia="宋体" w:cs="Times New Roman"/>
                      <w:i w:val="0"/>
                      <w:iCs w:val="0"/>
                      <w:color w:val="000000"/>
                      <w:kern w:val="0"/>
                      <w:sz w:val="21"/>
                      <w:szCs w:val="21"/>
                      <w:u w:val="none"/>
                      <w:lang w:val="en-US" w:eastAsia="zh-CN" w:bidi="ar"/>
                    </w:rPr>
                    <w:t>厂界外西南侧1米处</w:t>
                  </w:r>
                </w:p>
              </w:tc>
              <w:tc>
                <w:tcPr>
                  <w:tcW w:w="2092" w:type="dxa"/>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Times New Roman" w:hAnsi="Times New Roman" w:eastAsia="宋体" w:cs="Times New Roman"/>
                      <w:i w:val="0"/>
                      <w:iCs w:val="0"/>
                      <w:color w:val="000000"/>
                      <w:kern w:val="0"/>
                      <w:sz w:val="21"/>
                      <w:szCs w:val="21"/>
                      <w:u w:val="none"/>
                      <w:lang w:val="en-US" w:eastAsia="zh-CN" w:bidi="ar"/>
                    </w:rPr>
                    <w:t>3</w:t>
                  </w:r>
                  <w:r>
                    <w:rPr>
                      <w:rFonts w:hint="default" w:ascii="Times New Roman" w:hAnsi="Times New Roman" w:eastAsia="宋体" w:cs="Times New Roman"/>
                      <w:i w:val="0"/>
                      <w:iCs w:val="0"/>
                      <w:color w:val="000000"/>
                      <w:kern w:val="0"/>
                      <w:sz w:val="21"/>
                      <w:szCs w:val="21"/>
                      <w:u w:val="none"/>
                      <w:lang w:val="en-US" w:eastAsia="zh-CN" w:bidi="ar"/>
                    </w:rPr>
                    <w:t>#</w:t>
                  </w:r>
                </w:p>
              </w:tc>
              <w:tc>
                <w:tcPr>
                  <w:tcW w:w="1623" w:type="dxa"/>
                  <w:vMerge w:val="continue"/>
                  <w:noWrap w:val="0"/>
                  <w:vAlign w:val="center"/>
                </w:tcPr>
                <w:p>
                  <w:pPr>
                    <w:jc w:val="center"/>
                    <w:rPr>
                      <w:rFonts w:hint="default" w:ascii="Times New Roman" w:hAnsi="Times New Roman" w:cs="Times New Roman"/>
                      <w:sz w:val="21"/>
                      <w:szCs w:val="21"/>
                      <w:lang w:val="en-US" w:eastAsia="zh-CN"/>
                    </w:rPr>
                  </w:pPr>
                </w:p>
              </w:tc>
              <w:tc>
                <w:tcPr>
                  <w:tcW w:w="2354" w:type="dxa"/>
                  <w:vMerge w:val="continue"/>
                  <w:noWrap w:val="0"/>
                  <w:vAlign w:val="center"/>
                </w:tcPr>
                <w:p>
                  <w:pPr>
                    <w:tabs>
                      <w:tab w:val="left" w:pos="645"/>
                      <w:tab w:val="left" w:pos="2700"/>
                    </w:tabs>
                    <w:ind w:right="-105" w:rightChars="-50"/>
                    <w:jc w:val="center"/>
                    <w:rPr>
                      <w:rFonts w:hint="default" w:ascii="Times New Roman" w:hAnsi="Times New Roman" w:cs="Times New Roman"/>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2227" w:type="dxa"/>
                  <w:gridSpan w:val="2"/>
                  <w:noWrap w:val="0"/>
                  <w:vAlign w:val="center"/>
                </w:tcPr>
                <w:p>
                  <w:pPr>
                    <w:keepNext w:val="0"/>
                    <w:keepLines w:val="0"/>
                    <w:widowControl/>
                    <w:suppressLineNumbers w:val="0"/>
                    <w:jc w:val="center"/>
                    <w:textAlignment w:val="center"/>
                    <w:rPr>
                      <w:rFonts w:hint="default" w:ascii="Times New Roman" w:hAnsi="Times New Roman" w:cs="Times New Roman"/>
                      <w:sz w:val="21"/>
                      <w:szCs w:val="21"/>
                    </w:rPr>
                  </w:pPr>
                  <w:r>
                    <w:rPr>
                      <w:rFonts w:hint="default" w:ascii="Times New Roman" w:hAnsi="Times New Roman" w:eastAsia="宋体" w:cs="Times New Roman"/>
                      <w:i w:val="0"/>
                      <w:iCs w:val="0"/>
                      <w:color w:val="000000"/>
                      <w:kern w:val="0"/>
                      <w:sz w:val="21"/>
                      <w:szCs w:val="21"/>
                      <w:u w:val="none"/>
                      <w:lang w:val="en-US" w:eastAsia="zh-CN" w:bidi="ar"/>
                    </w:rPr>
                    <w:t>厂界外西北侧1米处</w:t>
                  </w:r>
                </w:p>
              </w:tc>
              <w:tc>
                <w:tcPr>
                  <w:tcW w:w="2092" w:type="dxa"/>
                  <w:noWrap w:val="0"/>
                  <w:vAlign w:val="center"/>
                </w:tcPr>
                <w:p>
                  <w:pPr>
                    <w:jc w:val="center"/>
                    <w:rPr>
                      <w:rFonts w:hint="default" w:ascii="Times New Roman" w:hAnsi="Times New Roman" w:eastAsia="宋体" w:cs="Times New Roman"/>
                      <w:sz w:val="21"/>
                      <w:szCs w:val="21"/>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Times New Roman" w:hAnsi="Times New Roman" w:eastAsia="宋体" w:cs="Times New Roman"/>
                      <w:i w:val="0"/>
                      <w:iCs w:val="0"/>
                      <w:color w:val="000000"/>
                      <w:kern w:val="0"/>
                      <w:sz w:val="21"/>
                      <w:szCs w:val="21"/>
                      <w:u w:val="none"/>
                      <w:lang w:val="en-US" w:eastAsia="zh-CN" w:bidi="ar"/>
                    </w:rPr>
                    <w:t>4</w:t>
                  </w:r>
                  <w:r>
                    <w:rPr>
                      <w:rFonts w:hint="default" w:ascii="Times New Roman" w:hAnsi="Times New Roman" w:eastAsia="宋体" w:cs="Times New Roman"/>
                      <w:i w:val="0"/>
                      <w:iCs w:val="0"/>
                      <w:color w:val="000000"/>
                      <w:kern w:val="0"/>
                      <w:sz w:val="21"/>
                      <w:szCs w:val="21"/>
                      <w:u w:val="none"/>
                      <w:lang w:val="en-US" w:eastAsia="zh-CN" w:bidi="ar"/>
                    </w:rPr>
                    <w:t>#</w:t>
                  </w:r>
                </w:p>
              </w:tc>
              <w:tc>
                <w:tcPr>
                  <w:tcW w:w="1623" w:type="dxa"/>
                  <w:vMerge w:val="continue"/>
                  <w:noWrap w:val="0"/>
                  <w:vAlign w:val="center"/>
                </w:tcPr>
                <w:p>
                  <w:pPr>
                    <w:jc w:val="center"/>
                    <w:rPr>
                      <w:rFonts w:hint="default" w:ascii="Times New Roman" w:hAnsi="Times New Roman" w:cs="Times New Roman"/>
                      <w:sz w:val="21"/>
                      <w:szCs w:val="21"/>
                      <w:lang w:val="en-US" w:eastAsia="zh-CN"/>
                    </w:rPr>
                  </w:pPr>
                </w:p>
              </w:tc>
              <w:tc>
                <w:tcPr>
                  <w:tcW w:w="2354" w:type="dxa"/>
                  <w:vMerge w:val="continue"/>
                  <w:noWrap w:val="0"/>
                  <w:vAlign w:val="center"/>
                </w:tcPr>
                <w:p>
                  <w:pPr>
                    <w:tabs>
                      <w:tab w:val="left" w:pos="645"/>
                      <w:tab w:val="left" w:pos="2700"/>
                    </w:tabs>
                    <w:ind w:right="-105" w:rightChars="-50"/>
                    <w:jc w:val="center"/>
                    <w:rPr>
                      <w:rFonts w:hint="default" w:ascii="Times New Roman" w:hAnsi="Times New Roman" w:cs="Times New Roman"/>
                      <w:sz w:val="21"/>
                      <w:szCs w:val="21"/>
                      <w:lang w:val="en-US" w:eastAsia="zh-CN"/>
                    </w:rPr>
                  </w:pPr>
                </w:p>
              </w:tc>
            </w:tr>
          </w:tbl>
          <w:p>
            <w:pPr>
              <w:pStyle w:val="32"/>
              <w:spacing w:line="240" w:lineRule="auto"/>
              <w:ind w:firstLine="0" w:firstLineChars="0"/>
              <w:jc w:val="center"/>
              <w:rPr>
                <w:rFonts w:hint="default" w:ascii="Times New Roman" w:hAnsi="Times New Roman" w:cs="Times New Roman"/>
                <w:b/>
                <w:color w:val="auto"/>
                <w:szCs w:val="24"/>
                <w:highlight w:val="none"/>
                <w:lang w:val="en-US" w:eastAsia="zh-CN"/>
              </w:rPr>
            </w:pPr>
            <w:r>
              <w:rPr>
                <w:rFonts w:hint="default" w:ascii="Times New Roman" w:hAnsi="Times New Roman" w:cs="Times New Roman"/>
                <w:b/>
                <w:color w:val="auto"/>
                <w:szCs w:val="24"/>
                <w:highlight w:val="none"/>
                <w:lang w:val="en-US" w:eastAsia="zh-CN"/>
              </w:rPr>
              <w:t>图6</w:t>
            </w:r>
            <w:r>
              <w:rPr>
                <w:rFonts w:hint="eastAsia" w:ascii="Times New Roman" w:hAnsi="Times New Roman" w:cs="Times New Roman"/>
                <w:b/>
                <w:color w:val="auto"/>
                <w:szCs w:val="24"/>
                <w:highlight w:val="none"/>
                <w:lang w:val="en-US" w:eastAsia="zh-CN"/>
              </w:rPr>
              <w:t>-1</w:t>
            </w:r>
            <w:r>
              <w:rPr>
                <w:rFonts w:hint="default" w:ascii="Times New Roman" w:hAnsi="Times New Roman" w:cs="Times New Roman"/>
                <w:b/>
                <w:color w:val="auto"/>
                <w:szCs w:val="24"/>
                <w:highlight w:val="none"/>
                <w:lang w:val="en-US" w:eastAsia="zh-CN"/>
              </w:rPr>
              <w:t xml:space="preserve"> 项目</w:t>
            </w:r>
            <w:r>
              <w:rPr>
                <w:rFonts w:hint="eastAsia" w:ascii="Times New Roman" w:hAnsi="Times New Roman" w:cs="Times New Roman"/>
                <w:b/>
                <w:color w:val="auto"/>
                <w:szCs w:val="24"/>
                <w:highlight w:val="none"/>
                <w:lang w:val="en-US" w:eastAsia="zh-CN"/>
              </w:rPr>
              <w:t>点位布置图</w:t>
            </w:r>
          </w:p>
          <w:p>
            <w:pPr>
              <w:pStyle w:val="32"/>
              <w:spacing w:line="240" w:lineRule="auto"/>
              <w:ind w:firstLine="0" w:firstLineChars="0"/>
              <w:jc w:val="center"/>
              <w:rPr>
                <w:rFonts w:hint="default" w:ascii="Times New Roman" w:hAnsi="Times New Roman" w:cs="Times New Roman"/>
                <w:b/>
                <w:szCs w:val="24"/>
                <w:lang w:val="en-US" w:eastAsia="zh-CN"/>
              </w:rPr>
            </w:pPr>
            <w:r>
              <w:drawing>
                <wp:inline distT="0" distB="0" distL="114300" distR="114300">
                  <wp:extent cx="4412615" cy="2305050"/>
                  <wp:effectExtent l="0" t="0" r="6985" b="635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7"/>
                          <a:stretch>
                            <a:fillRect/>
                          </a:stretch>
                        </pic:blipFill>
                        <pic:spPr>
                          <a:xfrm>
                            <a:off x="0" y="0"/>
                            <a:ext cx="4412615" cy="2305050"/>
                          </a:xfrm>
                          <a:prstGeom prst="rect">
                            <a:avLst/>
                          </a:prstGeom>
                          <a:noFill/>
                          <a:ln>
                            <a:noFill/>
                          </a:ln>
                        </pic:spPr>
                      </pic:pic>
                    </a:graphicData>
                  </a:graphic>
                </wp:inline>
              </w:drawing>
            </w:r>
          </w:p>
          <w:p>
            <w:pPr>
              <w:pStyle w:val="32"/>
              <w:spacing w:line="240" w:lineRule="auto"/>
              <w:ind w:firstLine="0" w:firstLineChars="0"/>
              <w:jc w:val="center"/>
              <w:rPr>
                <w:rFonts w:hint="default" w:ascii="Times New Roman" w:hAnsi="Times New Roman" w:cs="Times New Roman"/>
                <w:b/>
                <w:szCs w:val="24"/>
                <w:lang w:val="en-US" w:eastAsia="zh-CN"/>
              </w:rPr>
            </w:pPr>
            <w:r>
              <w:drawing>
                <wp:inline distT="0" distB="0" distL="114300" distR="114300">
                  <wp:extent cx="4502150" cy="2476500"/>
                  <wp:effectExtent l="0" t="0" r="6350" b="0"/>
                  <wp:docPr id="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pic:cNvPicPr>
                            <a:picLocks noChangeAspect="1"/>
                          </pic:cNvPicPr>
                        </pic:nvPicPr>
                        <pic:blipFill>
                          <a:blip r:embed="rId8"/>
                          <a:stretch>
                            <a:fillRect/>
                          </a:stretch>
                        </pic:blipFill>
                        <pic:spPr>
                          <a:xfrm>
                            <a:off x="0" y="0"/>
                            <a:ext cx="4502150" cy="2476500"/>
                          </a:xfrm>
                          <a:prstGeom prst="rect">
                            <a:avLst/>
                          </a:prstGeom>
                          <a:noFill/>
                          <a:ln>
                            <a:noFill/>
                          </a:ln>
                        </pic:spPr>
                      </pic:pic>
                    </a:graphicData>
                  </a:graphic>
                </wp:inline>
              </w:drawing>
            </w:r>
          </w:p>
          <w:p>
            <w:pPr>
              <w:pStyle w:val="32"/>
              <w:spacing w:line="240" w:lineRule="auto"/>
              <w:ind w:firstLine="0" w:firstLineChars="0"/>
              <w:jc w:val="center"/>
              <w:rPr>
                <w:rFonts w:hint="default" w:ascii="Times New Roman" w:hAnsi="Times New Roman" w:cs="Times New Roman"/>
                <w:b/>
                <w:szCs w:val="24"/>
                <w:lang w:val="en-US" w:eastAsia="zh-CN"/>
              </w:rPr>
            </w:pPr>
          </w:p>
          <w:p>
            <w:pPr>
              <w:pStyle w:val="32"/>
              <w:spacing w:line="240" w:lineRule="auto"/>
              <w:ind w:firstLine="0" w:firstLineChars="0"/>
              <w:jc w:val="both"/>
              <w:rPr>
                <w:rFonts w:hint="default" w:ascii="Times New Roman" w:hAnsi="Times New Roman" w:cs="Times New Roman"/>
                <w:b/>
                <w:szCs w:val="24"/>
                <w:lang w:val="en-US" w:eastAsia="zh-CN"/>
              </w:rPr>
            </w:pPr>
          </w:p>
        </w:tc>
      </w:tr>
    </w:tbl>
    <w:p>
      <w:pPr>
        <w:pStyle w:val="5"/>
        <w:spacing w:before="0" w:beforeAutospacing="0" w:after="0" w:afterAutospacing="0"/>
        <w:rPr>
          <w:rFonts w:hint="default" w:ascii="Times New Roman" w:hAnsi="Times New Roman" w:cs="Times New Roman"/>
          <w:sz w:val="30"/>
          <w:szCs w:val="30"/>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5"/>
        <w:spacing w:before="0" w:beforeAutospacing="0" w:after="0" w:afterAutospacing="0"/>
        <w:rPr>
          <w:rFonts w:hint="default" w:ascii="Times New Roman" w:hAnsi="Times New Roman" w:cs="Times New Roman"/>
          <w:sz w:val="30"/>
          <w:szCs w:val="30"/>
        </w:rPr>
      </w:pPr>
      <w:r>
        <w:rPr>
          <w:rFonts w:hint="default" w:ascii="Times New Roman" w:hAnsi="Times New Roman" w:cs="Times New Roman"/>
          <w:sz w:val="30"/>
          <w:szCs w:val="30"/>
        </w:rPr>
        <w:t>表七、验收监测期间生产工况记录及验收监测结果</w:t>
      </w:r>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7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79" w:type="dxa"/>
            <w:noWrap w:val="0"/>
            <w:vAlign w:val="top"/>
          </w:tcPr>
          <w:p>
            <w:pPr>
              <w:pStyle w:val="32"/>
              <w:ind w:firstLine="0" w:firstLineChars="0"/>
              <w:jc w:val="both"/>
              <w:rPr>
                <w:rFonts w:hint="default" w:ascii="Times New Roman" w:hAnsi="Times New Roman" w:cs="Times New Roman"/>
                <w:b/>
                <w:sz w:val="28"/>
                <w:szCs w:val="28"/>
                <w:lang w:val="en-US" w:eastAsia="zh-CN"/>
              </w:rPr>
            </w:pPr>
            <w:r>
              <w:rPr>
                <w:rFonts w:hint="default" w:ascii="Times New Roman" w:hAnsi="Times New Roman" w:cs="Times New Roman"/>
                <w:b/>
                <w:szCs w:val="24"/>
                <w:lang w:val="en-US" w:eastAsia="zh-CN"/>
              </w:rPr>
              <w:t>7.1验收监测期间生产工况记录</w:t>
            </w:r>
            <w:r>
              <w:rPr>
                <w:rFonts w:hint="default" w:ascii="Times New Roman" w:hAnsi="Times New Roman" w:cs="Times New Roman"/>
                <w:b/>
                <w:sz w:val="28"/>
                <w:szCs w:val="28"/>
                <w:lang w:val="en-US" w:eastAsia="zh-CN"/>
              </w:rPr>
              <w:t xml:space="preserve"> </w:t>
            </w:r>
          </w:p>
          <w:p>
            <w:pPr>
              <w:pStyle w:val="32"/>
              <w:keepNext w:val="0"/>
              <w:keepLines w:val="0"/>
              <w:pageBreakBefore w:val="0"/>
              <w:widowControl w:val="0"/>
              <w:kinsoku/>
              <w:wordWrap/>
              <w:overflowPunct/>
              <w:topLinePunct w:val="0"/>
              <w:autoSpaceDE w:val="0"/>
              <w:autoSpaceDN w:val="0"/>
              <w:bidi w:val="0"/>
              <w:adjustRightInd/>
              <w:snapToGrid/>
              <w:ind w:firstLine="480" w:firstLineChars="200"/>
              <w:jc w:val="both"/>
              <w:textAlignment w:val="auto"/>
              <w:rPr>
                <w:rFonts w:hint="eastAsia" w:ascii="Times New Roman" w:hAnsi="Times New Roman" w:cs="Times New Roman"/>
                <w:szCs w:val="24"/>
                <w:lang w:val="en-US" w:eastAsia="zh-CN"/>
              </w:rPr>
            </w:pPr>
            <w:bookmarkStart w:id="4" w:name="_Hlk11442172"/>
            <w:r>
              <w:rPr>
                <w:rFonts w:hint="eastAsia" w:ascii="Times New Roman" w:hAnsi="Times New Roman" w:cs="Times New Roman"/>
                <w:szCs w:val="24"/>
                <w:lang w:val="en-US" w:eastAsia="zh-CN"/>
              </w:rPr>
              <w:t>江西伟航新材料有限公司水泥构件及电力设施器材制造项目</w:t>
            </w:r>
            <w:r>
              <w:rPr>
                <w:rFonts w:hint="default" w:ascii="Times New Roman" w:hAnsi="Times New Roman" w:cs="Times New Roman"/>
                <w:szCs w:val="24"/>
                <w:lang w:val="en-US" w:eastAsia="zh-CN"/>
              </w:rPr>
              <w:t>，验收监测期间生产正常。</w:t>
            </w:r>
            <w:bookmarkEnd w:id="4"/>
            <w:r>
              <w:rPr>
                <w:rFonts w:hint="eastAsia" w:ascii="Times New Roman" w:hAnsi="Times New Roman" w:cs="Times New Roman"/>
                <w:szCs w:val="24"/>
                <w:lang w:val="en-US" w:eastAsia="zh-CN"/>
              </w:rPr>
              <w:t>环保</w:t>
            </w:r>
            <w:r>
              <w:rPr>
                <w:rFonts w:hint="default" w:ascii="Times New Roman" w:hAnsi="Times New Roman" w:cs="Times New Roman"/>
                <w:szCs w:val="24"/>
                <w:lang w:val="en-US" w:eastAsia="zh-CN"/>
              </w:rPr>
              <w:t>设施正常运行</w:t>
            </w:r>
            <w:r>
              <w:rPr>
                <w:rFonts w:hint="eastAsia" w:ascii="Times New Roman" w:hAnsi="Times New Roman" w:cs="Times New Roman"/>
                <w:szCs w:val="24"/>
                <w:lang w:val="en-US" w:eastAsia="zh-CN"/>
              </w:rPr>
              <w:t>，项目生产负荷80%以上。</w:t>
            </w:r>
          </w:p>
          <w:p>
            <w:pPr>
              <w:pStyle w:val="32"/>
              <w:ind w:firstLine="0" w:firstLineChars="0"/>
              <w:jc w:val="both"/>
              <w:rPr>
                <w:rFonts w:hint="default" w:ascii="Times New Roman" w:hAnsi="Times New Roman" w:cs="Times New Roman"/>
                <w:b/>
                <w:szCs w:val="24"/>
                <w:highlight w:val="none"/>
                <w:lang w:val="en-US" w:eastAsia="zh-CN"/>
              </w:rPr>
            </w:pPr>
            <w:r>
              <w:rPr>
                <w:rFonts w:hint="default" w:ascii="Times New Roman" w:hAnsi="Times New Roman" w:cs="Times New Roman"/>
                <w:b/>
                <w:szCs w:val="24"/>
                <w:highlight w:val="none"/>
                <w:lang w:val="en-US" w:eastAsia="zh-CN"/>
              </w:rPr>
              <w:t>7.2验收监测结果</w:t>
            </w:r>
          </w:p>
          <w:p>
            <w:pPr>
              <w:pStyle w:val="32"/>
              <w:ind w:firstLine="0" w:firstLineChars="0"/>
              <w:jc w:val="both"/>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7.2.</w:t>
            </w:r>
            <w:r>
              <w:rPr>
                <w:rFonts w:hint="eastAsia" w:ascii="Times New Roman" w:hAnsi="Times New Roman" w:cs="Times New Roman"/>
                <w:b/>
                <w:szCs w:val="24"/>
                <w:lang w:val="en-US" w:eastAsia="zh-CN"/>
              </w:rPr>
              <w:t>1</w:t>
            </w:r>
            <w:r>
              <w:rPr>
                <w:rFonts w:hint="default" w:ascii="Times New Roman" w:hAnsi="Times New Roman" w:cs="Times New Roman"/>
                <w:b/>
                <w:szCs w:val="24"/>
                <w:lang w:val="en-US" w:eastAsia="zh-CN"/>
              </w:rPr>
              <w:t xml:space="preserve"> </w:t>
            </w:r>
            <w:r>
              <w:rPr>
                <w:rFonts w:hint="eastAsia" w:ascii="Times New Roman" w:hAnsi="Times New Roman" w:cs="Times New Roman"/>
                <w:b/>
                <w:szCs w:val="24"/>
                <w:lang w:val="en-US" w:eastAsia="zh-CN"/>
              </w:rPr>
              <w:t>无</w:t>
            </w:r>
            <w:r>
              <w:rPr>
                <w:rFonts w:hint="default" w:ascii="Times New Roman" w:hAnsi="Times New Roman" w:cs="Times New Roman"/>
                <w:b/>
                <w:szCs w:val="24"/>
                <w:lang w:val="en-US" w:eastAsia="zh-CN"/>
              </w:rPr>
              <w:t>组织废气监测结果</w:t>
            </w:r>
          </w:p>
          <w:p>
            <w:pPr>
              <w:ind w:right="420" w:firstLine="482"/>
              <w:jc w:val="both"/>
              <w:rPr>
                <w:rFonts w:hint="default" w:ascii="Times New Roman" w:hAnsi="Times New Roman" w:cs="Times New Roman"/>
                <w:szCs w:val="24"/>
                <w:lang w:val="en-US" w:eastAsia="zh-CN"/>
              </w:rPr>
            </w:pPr>
            <w:r>
              <w:rPr>
                <w:rFonts w:hint="eastAsia" w:ascii="Times New Roman" w:hAnsi="Times New Roman" w:cs="Times New Roman"/>
                <w:sz w:val="24"/>
                <w:szCs w:val="24"/>
                <w:lang w:val="en-US" w:eastAsia="zh-CN"/>
              </w:rPr>
              <w:t>无</w:t>
            </w:r>
            <w:r>
              <w:rPr>
                <w:rFonts w:hint="default" w:ascii="Times New Roman" w:hAnsi="Times New Roman" w:cs="Times New Roman"/>
                <w:sz w:val="24"/>
                <w:szCs w:val="24"/>
                <w:lang w:val="en-US" w:eastAsia="zh-CN"/>
              </w:rPr>
              <w:t>组织废气监测结果见表7-</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val="en-US" w:eastAsia="zh-CN"/>
              </w:rPr>
              <w:t>。</w:t>
            </w:r>
          </w:p>
          <w:p>
            <w:pPr>
              <w:ind w:right="420" w:firstLine="482"/>
              <w:jc w:val="center"/>
              <w:rPr>
                <w:rFonts w:hint="default" w:ascii="Times New Roman" w:hAnsi="Times New Roman" w:cs="Times New Roman"/>
                <w:szCs w:val="24"/>
                <w:lang w:val="en-US" w:eastAsia="zh-CN"/>
              </w:rPr>
            </w:pPr>
            <w:r>
              <w:rPr>
                <w:rFonts w:hint="default" w:ascii="Times New Roman" w:hAnsi="Times New Roman" w:cs="Times New Roman"/>
                <w:b/>
                <w:bCs/>
                <w:szCs w:val="21"/>
              </w:rPr>
              <w:t>表7-</w:t>
            </w:r>
            <w:r>
              <w:rPr>
                <w:rFonts w:hint="eastAsia" w:ascii="Times New Roman" w:hAnsi="Times New Roman" w:cs="Times New Roman"/>
                <w:b/>
                <w:bCs/>
                <w:szCs w:val="21"/>
                <w:lang w:val="en-US" w:eastAsia="zh-CN"/>
              </w:rPr>
              <w:t>1</w:t>
            </w:r>
            <w:r>
              <w:rPr>
                <w:rFonts w:hint="default" w:ascii="Times New Roman" w:hAnsi="Times New Roman" w:cs="Times New Roman"/>
                <w:b/>
                <w:bCs/>
                <w:szCs w:val="21"/>
              </w:rPr>
              <w:t>无组织废气检测结果表</w:t>
            </w:r>
          </w:p>
          <w:tbl>
            <w:tblPr>
              <w:tblStyle w:val="21"/>
              <w:tblW w:w="82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13"/>
              <w:gridCol w:w="1238"/>
              <w:gridCol w:w="222"/>
              <w:gridCol w:w="1264"/>
              <w:gridCol w:w="387"/>
              <w:gridCol w:w="588"/>
              <w:gridCol w:w="1013"/>
              <w:gridCol w:w="397"/>
              <w:gridCol w:w="666"/>
              <w:gridCol w:w="464"/>
              <w:gridCol w:w="81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5000" w:type="pct"/>
                  <w:gridSpan w:val="11"/>
                  <w:tcBorders>
                    <w:top w:val="single" w:color="474747" w:sz="8" w:space="0"/>
                    <w:left w:val="single" w:color="474747"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采样环境条件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33" w:type="pct"/>
                  <w:vMerge w:val="restar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2024.04.20</w:t>
                  </w:r>
                </w:p>
              </w:tc>
              <w:tc>
                <w:tcPr>
                  <w:tcW w:w="883"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天气</w:t>
                  </w:r>
                </w:p>
              </w:tc>
              <w:tc>
                <w:tcPr>
                  <w:tcW w:w="99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晴</w:t>
                  </w:r>
                </w:p>
              </w:tc>
              <w:tc>
                <w:tcPr>
                  <w:tcW w:w="1209" w:type="pct"/>
                  <w:gridSpan w:val="3"/>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环境温度℃</w:t>
                  </w:r>
                </w:p>
              </w:tc>
              <w:tc>
                <w:tcPr>
                  <w:tcW w:w="1174" w:type="pct"/>
                  <w:gridSpan w:val="3"/>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23.3～27.1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33" w:type="pct"/>
                  <w:vMerge w:val="continue"/>
                  <w:tcBorders>
                    <w:top w:val="single" w:color="888E93" w:sz="8" w:space="0"/>
                    <w:left w:val="single" w:color="474747"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i w:val="0"/>
                      <w:iCs w:val="0"/>
                      <w:color w:val="000000"/>
                      <w:sz w:val="21"/>
                      <w:szCs w:val="21"/>
                      <w:u w:val="none"/>
                    </w:rPr>
                  </w:pPr>
                </w:p>
              </w:tc>
              <w:tc>
                <w:tcPr>
                  <w:tcW w:w="883"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大气压kPa</w:t>
                  </w:r>
                </w:p>
              </w:tc>
              <w:tc>
                <w:tcPr>
                  <w:tcW w:w="99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100.19～100.41</w:t>
                  </w:r>
                </w:p>
              </w:tc>
              <w:tc>
                <w:tcPr>
                  <w:tcW w:w="1209" w:type="pct"/>
                  <w:gridSpan w:val="3"/>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湿度%</w:t>
                  </w:r>
                </w:p>
              </w:tc>
              <w:tc>
                <w:tcPr>
                  <w:tcW w:w="1174" w:type="pct"/>
                  <w:gridSpan w:val="3"/>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57～59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33" w:type="pct"/>
                  <w:vMerge w:val="continue"/>
                  <w:tcBorders>
                    <w:top w:val="single" w:color="888E93" w:sz="8" w:space="0"/>
                    <w:left w:val="single" w:color="474747"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i w:val="0"/>
                      <w:iCs w:val="0"/>
                      <w:color w:val="000000"/>
                      <w:sz w:val="21"/>
                      <w:szCs w:val="21"/>
                      <w:u w:val="none"/>
                    </w:rPr>
                  </w:pPr>
                </w:p>
              </w:tc>
              <w:tc>
                <w:tcPr>
                  <w:tcW w:w="883"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风向</w:t>
                  </w:r>
                </w:p>
              </w:tc>
              <w:tc>
                <w:tcPr>
                  <w:tcW w:w="99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东南风</w:t>
                  </w:r>
                </w:p>
              </w:tc>
              <w:tc>
                <w:tcPr>
                  <w:tcW w:w="1209" w:type="pct"/>
                  <w:gridSpan w:val="3"/>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风速m/s</w:t>
                  </w:r>
                </w:p>
              </w:tc>
              <w:tc>
                <w:tcPr>
                  <w:tcW w:w="1174" w:type="pct"/>
                  <w:gridSpan w:val="3"/>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33" w:type="pct"/>
                  <w:vMerge w:val="restar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2024.04.21</w:t>
                  </w:r>
                </w:p>
              </w:tc>
              <w:tc>
                <w:tcPr>
                  <w:tcW w:w="883"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天气</w:t>
                  </w:r>
                </w:p>
              </w:tc>
              <w:tc>
                <w:tcPr>
                  <w:tcW w:w="99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阴</w:t>
                  </w:r>
                </w:p>
              </w:tc>
              <w:tc>
                <w:tcPr>
                  <w:tcW w:w="1209" w:type="pct"/>
                  <w:gridSpan w:val="3"/>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环境温度℃</w:t>
                  </w:r>
                </w:p>
              </w:tc>
              <w:tc>
                <w:tcPr>
                  <w:tcW w:w="1174" w:type="pct"/>
                  <w:gridSpan w:val="3"/>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24.1～27.9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33" w:type="pct"/>
                  <w:vMerge w:val="continue"/>
                  <w:tcBorders>
                    <w:top w:val="single" w:color="888E93" w:sz="8" w:space="0"/>
                    <w:left w:val="single" w:color="474747"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i w:val="0"/>
                      <w:iCs w:val="0"/>
                      <w:color w:val="000000"/>
                      <w:sz w:val="21"/>
                      <w:szCs w:val="21"/>
                      <w:u w:val="none"/>
                    </w:rPr>
                  </w:pPr>
                </w:p>
              </w:tc>
              <w:tc>
                <w:tcPr>
                  <w:tcW w:w="883"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大气压kPa</w:t>
                  </w:r>
                </w:p>
              </w:tc>
              <w:tc>
                <w:tcPr>
                  <w:tcW w:w="99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100.03～100.26</w:t>
                  </w:r>
                </w:p>
              </w:tc>
              <w:tc>
                <w:tcPr>
                  <w:tcW w:w="1209" w:type="pct"/>
                  <w:gridSpan w:val="3"/>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湿度%</w:t>
                  </w:r>
                </w:p>
              </w:tc>
              <w:tc>
                <w:tcPr>
                  <w:tcW w:w="1174" w:type="pct"/>
                  <w:gridSpan w:val="3"/>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56～59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33" w:type="pct"/>
                  <w:vMerge w:val="continue"/>
                  <w:tcBorders>
                    <w:top w:val="single" w:color="888E93" w:sz="8" w:space="0"/>
                    <w:left w:val="single" w:color="474747"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i w:val="0"/>
                      <w:iCs w:val="0"/>
                      <w:color w:val="000000"/>
                      <w:sz w:val="21"/>
                      <w:szCs w:val="21"/>
                      <w:u w:val="none"/>
                    </w:rPr>
                  </w:pPr>
                </w:p>
              </w:tc>
              <w:tc>
                <w:tcPr>
                  <w:tcW w:w="883"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风向</w:t>
                  </w:r>
                </w:p>
              </w:tc>
              <w:tc>
                <w:tcPr>
                  <w:tcW w:w="99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东南风</w:t>
                  </w:r>
                </w:p>
              </w:tc>
              <w:tc>
                <w:tcPr>
                  <w:tcW w:w="1209" w:type="pct"/>
                  <w:gridSpan w:val="3"/>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风速m/s</w:t>
                  </w:r>
                </w:p>
              </w:tc>
              <w:tc>
                <w:tcPr>
                  <w:tcW w:w="1174" w:type="pct"/>
                  <w:gridSpan w:val="3"/>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1.3～2.2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33" w:type="pct"/>
                  <w:vMerge w:val="restar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采样点位</w:t>
                  </w:r>
                </w:p>
              </w:tc>
              <w:tc>
                <w:tcPr>
                  <w:tcW w:w="749" w:type="pct"/>
                  <w:vMerge w:val="restar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采样时间</w:t>
                  </w:r>
                </w:p>
              </w:tc>
              <w:tc>
                <w:tcPr>
                  <w:tcW w:w="899" w:type="pct"/>
                  <w:gridSpan w:val="2"/>
                  <w:vMerge w:val="restar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检测项目</w:t>
                  </w:r>
                </w:p>
              </w:tc>
              <w:tc>
                <w:tcPr>
                  <w:tcW w:w="1846" w:type="pct"/>
                  <w:gridSpan w:val="5"/>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检测结果</w:t>
                  </w:r>
                </w:p>
              </w:tc>
              <w:tc>
                <w:tcPr>
                  <w:tcW w:w="280" w:type="pct"/>
                  <w:tcBorders>
                    <w:top w:val="single" w:color="888E93" w:sz="8" w:space="0"/>
                    <w:left w:val="single" w:color="888E93" w:sz="8" w:space="0"/>
                    <w:bottom w:val="nil"/>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标准</w:t>
                  </w:r>
                </w:p>
              </w:tc>
              <w:tc>
                <w:tcPr>
                  <w:tcW w:w="490" w:type="pct"/>
                  <w:vMerge w:val="restar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33" w:type="pct"/>
                  <w:vMerge w:val="continue"/>
                  <w:tcBorders>
                    <w:top w:val="single" w:color="888E93" w:sz="8" w:space="0"/>
                    <w:left w:val="single" w:color="474747"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bCs/>
                      <w:i w:val="0"/>
                      <w:iCs w:val="0"/>
                      <w:color w:val="000000"/>
                      <w:sz w:val="21"/>
                      <w:szCs w:val="21"/>
                      <w:u w:val="none"/>
                    </w:rPr>
                  </w:pPr>
                </w:p>
              </w:tc>
              <w:tc>
                <w:tcPr>
                  <w:tcW w:w="749"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bCs/>
                      <w:i w:val="0"/>
                      <w:iCs w:val="0"/>
                      <w:color w:val="000000"/>
                      <w:sz w:val="21"/>
                      <w:szCs w:val="21"/>
                      <w:u w:val="none"/>
                    </w:rPr>
                  </w:pPr>
                </w:p>
              </w:tc>
              <w:tc>
                <w:tcPr>
                  <w:tcW w:w="899" w:type="pct"/>
                  <w:gridSpan w:val="2"/>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bCs/>
                      <w:i w:val="0"/>
                      <w:iCs w:val="0"/>
                      <w:color w:val="000000"/>
                      <w:sz w:val="21"/>
                      <w:szCs w:val="21"/>
                      <w:u w:val="none"/>
                    </w:rPr>
                  </w:pPr>
                </w:p>
              </w:tc>
              <w:tc>
                <w:tcPr>
                  <w:tcW w:w="58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第一次</w:t>
                  </w:r>
                </w:p>
              </w:tc>
              <w:tc>
                <w:tcPr>
                  <w:tcW w:w="612"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第二次</w:t>
                  </w:r>
                </w:p>
              </w:tc>
              <w:tc>
                <w:tcPr>
                  <w:tcW w:w="643"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第三次</w:t>
                  </w:r>
                </w:p>
              </w:tc>
              <w:tc>
                <w:tcPr>
                  <w:tcW w:w="280" w:type="pct"/>
                  <w:tcBorders>
                    <w:top w:val="nil"/>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限值</w:t>
                  </w:r>
                </w:p>
              </w:tc>
              <w:tc>
                <w:tcPr>
                  <w:tcW w:w="490" w:type="pct"/>
                  <w:vMerge w:val="continue"/>
                  <w:tcBorders>
                    <w:top w:val="single" w:color="888E93" w:sz="8" w:space="0"/>
                    <w:left w:val="single" w:color="888E93" w:sz="8" w:space="0"/>
                    <w:bottom w:val="single" w:color="888E93" w:sz="8" w:space="0"/>
                    <w:right w:val="single" w:color="474747" w:sz="8" w:space="0"/>
                  </w:tcBorders>
                  <w:shd w:val="clear" w:color="auto" w:fill="FFFFFF"/>
                  <w:vAlign w:val="center"/>
                </w:tcPr>
                <w:p>
                  <w:pPr>
                    <w:jc w:val="center"/>
                    <w:rPr>
                      <w:rFonts w:hint="default" w:ascii="Times New Roman" w:hAnsi="Times New Roman" w:eastAsia="宋体" w:cs="Times New Roman"/>
                      <w:b/>
                      <w:bCs/>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33" w:type="pc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1#上风向参照点</w:t>
                  </w:r>
                </w:p>
              </w:tc>
              <w:tc>
                <w:tcPr>
                  <w:tcW w:w="749" w:type="pct"/>
                  <w:vMerge w:val="restar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2024.04.20</w:t>
                  </w:r>
                </w:p>
              </w:tc>
              <w:tc>
                <w:tcPr>
                  <w:tcW w:w="89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总悬浮颗粒物</w:t>
                  </w:r>
                </w:p>
              </w:tc>
              <w:tc>
                <w:tcPr>
                  <w:tcW w:w="58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0.189</w:t>
                  </w:r>
                </w:p>
              </w:tc>
              <w:tc>
                <w:tcPr>
                  <w:tcW w:w="612"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0.185</w:t>
                  </w:r>
                </w:p>
              </w:tc>
              <w:tc>
                <w:tcPr>
                  <w:tcW w:w="643"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0.176</w:t>
                  </w:r>
                </w:p>
              </w:tc>
              <w:tc>
                <w:tcPr>
                  <w:tcW w:w="28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w:t>
                  </w:r>
                </w:p>
              </w:tc>
              <w:tc>
                <w:tcPr>
                  <w:tcW w:w="490"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mg/m3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33" w:type="pc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2#下风向监控点</w:t>
                  </w:r>
                </w:p>
              </w:tc>
              <w:tc>
                <w:tcPr>
                  <w:tcW w:w="749"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i w:val="0"/>
                      <w:iCs w:val="0"/>
                      <w:color w:val="000000"/>
                      <w:sz w:val="21"/>
                      <w:szCs w:val="21"/>
                      <w:u w:val="none"/>
                    </w:rPr>
                  </w:pPr>
                </w:p>
              </w:tc>
              <w:tc>
                <w:tcPr>
                  <w:tcW w:w="89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总悬浮颗粒物</w:t>
                  </w:r>
                </w:p>
              </w:tc>
              <w:tc>
                <w:tcPr>
                  <w:tcW w:w="58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0.355</w:t>
                  </w:r>
                </w:p>
              </w:tc>
              <w:tc>
                <w:tcPr>
                  <w:tcW w:w="612"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0.321</w:t>
                  </w:r>
                </w:p>
              </w:tc>
              <w:tc>
                <w:tcPr>
                  <w:tcW w:w="643"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0.314</w:t>
                  </w:r>
                </w:p>
              </w:tc>
              <w:tc>
                <w:tcPr>
                  <w:tcW w:w="28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w:t>
                  </w:r>
                </w:p>
              </w:tc>
              <w:tc>
                <w:tcPr>
                  <w:tcW w:w="490"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mg/m3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33" w:type="pc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3#下风向监控点</w:t>
                  </w:r>
                </w:p>
              </w:tc>
              <w:tc>
                <w:tcPr>
                  <w:tcW w:w="749"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i w:val="0"/>
                      <w:iCs w:val="0"/>
                      <w:color w:val="000000"/>
                      <w:sz w:val="21"/>
                      <w:szCs w:val="21"/>
                      <w:u w:val="none"/>
                    </w:rPr>
                  </w:pPr>
                </w:p>
              </w:tc>
              <w:tc>
                <w:tcPr>
                  <w:tcW w:w="89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总悬浮颗粒物</w:t>
                  </w:r>
                </w:p>
              </w:tc>
              <w:tc>
                <w:tcPr>
                  <w:tcW w:w="58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0.332</w:t>
                  </w:r>
                </w:p>
              </w:tc>
              <w:tc>
                <w:tcPr>
                  <w:tcW w:w="612"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0.328</w:t>
                  </w:r>
                </w:p>
              </w:tc>
              <w:tc>
                <w:tcPr>
                  <w:tcW w:w="643"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0.323</w:t>
                  </w:r>
                </w:p>
              </w:tc>
              <w:tc>
                <w:tcPr>
                  <w:tcW w:w="28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w:t>
                  </w:r>
                </w:p>
              </w:tc>
              <w:tc>
                <w:tcPr>
                  <w:tcW w:w="490"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mg/m3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33" w:type="pc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4#下风向监控点</w:t>
                  </w:r>
                </w:p>
              </w:tc>
              <w:tc>
                <w:tcPr>
                  <w:tcW w:w="749"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i w:val="0"/>
                      <w:iCs w:val="0"/>
                      <w:color w:val="000000"/>
                      <w:sz w:val="21"/>
                      <w:szCs w:val="21"/>
                      <w:u w:val="none"/>
                    </w:rPr>
                  </w:pPr>
                </w:p>
              </w:tc>
              <w:tc>
                <w:tcPr>
                  <w:tcW w:w="89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总悬浮颗粒物</w:t>
                  </w:r>
                </w:p>
              </w:tc>
              <w:tc>
                <w:tcPr>
                  <w:tcW w:w="58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0.296</w:t>
                  </w:r>
                </w:p>
              </w:tc>
              <w:tc>
                <w:tcPr>
                  <w:tcW w:w="612"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0.304</w:t>
                  </w:r>
                </w:p>
              </w:tc>
              <w:tc>
                <w:tcPr>
                  <w:tcW w:w="643"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0.344</w:t>
                  </w:r>
                </w:p>
              </w:tc>
              <w:tc>
                <w:tcPr>
                  <w:tcW w:w="28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w:t>
                  </w:r>
                </w:p>
              </w:tc>
              <w:tc>
                <w:tcPr>
                  <w:tcW w:w="490"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mg/m3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733" w:type="pc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1#上风向参照点</w:t>
                  </w:r>
                </w:p>
              </w:tc>
              <w:tc>
                <w:tcPr>
                  <w:tcW w:w="749" w:type="pct"/>
                  <w:vMerge w:val="restar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2024.04.21</w:t>
                  </w:r>
                </w:p>
              </w:tc>
              <w:tc>
                <w:tcPr>
                  <w:tcW w:w="89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总悬浮颗粒物</w:t>
                  </w:r>
                </w:p>
              </w:tc>
              <w:tc>
                <w:tcPr>
                  <w:tcW w:w="58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0.184</w:t>
                  </w:r>
                </w:p>
              </w:tc>
              <w:tc>
                <w:tcPr>
                  <w:tcW w:w="612"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0.177</w:t>
                  </w:r>
                </w:p>
              </w:tc>
              <w:tc>
                <w:tcPr>
                  <w:tcW w:w="643"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0.187</w:t>
                  </w:r>
                </w:p>
              </w:tc>
              <w:tc>
                <w:tcPr>
                  <w:tcW w:w="28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w:t>
                  </w:r>
                </w:p>
              </w:tc>
              <w:tc>
                <w:tcPr>
                  <w:tcW w:w="490"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mg/m3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733" w:type="pc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2#下风向监控点</w:t>
                  </w:r>
                </w:p>
              </w:tc>
              <w:tc>
                <w:tcPr>
                  <w:tcW w:w="749"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i w:val="0"/>
                      <w:iCs w:val="0"/>
                      <w:color w:val="000000"/>
                      <w:sz w:val="21"/>
                      <w:szCs w:val="21"/>
                      <w:u w:val="none"/>
                    </w:rPr>
                  </w:pPr>
                </w:p>
              </w:tc>
              <w:tc>
                <w:tcPr>
                  <w:tcW w:w="89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总悬浮颗粒物</w:t>
                  </w:r>
                </w:p>
              </w:tc>
              <w:tc>
                <w:tcPr>
                  <w:tcW w:w="58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0.332</w:t>
                  </w:r>
                </w:p>
              </w:tc>
              <w:tc>
                <w:tcPr>
                  <w:tcW w:w="612"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0.35</w:t>
                  </w:r>
                </w:p>
              </w:tc>
              <w:tc>
                <w:tcPr>
                  <w:tcW w:w="643"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0.309</w:t>
                  </w:r>
                </w:p>
              </w:tc>
              <w:tc>
                <w:tcPr>
                  <w:tcW w:w="28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w:t>
                  </w:r>
                </w:p>
              </w:tc>
              <w:tc>
                <w:tcPr>
                  <w:tcW w:w="490"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mg/m3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33" w:type="pc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3#下风向监控点</w:t>
                  </w:r>
                </w:p>
              </w:tc>
              <w:tc>
                <w:tcPr>
                  <w:tcW w:w="749"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i w:val="0"/>
                      <w:iCs w:val="0"/>
                      <w:color w:val="000000"/>
                      <w:sz w:val="21"/>
                      <w:szCs w:val="21"/>
                      <w:u w:val="none"/>
                    </w:rPr>
                  </w:pPr>
                </w:p>
              </w:tc>
              <w:tc>
                <w:tcPr>
                  <w:tcW w:w="89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总悬浮颗粒物</w:t>
                  </w:r>
                </w:p>
              </w:tc>
              <w:tc>
                <w:tcPr>
                  <w:tcW w:w="58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0.339</w:t>
                  </w:r>
                </w:p>
              </w:tc>
              <w:tc>
                <w:tcPr>
                  <w:tcW w:w="612"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0.347</w:t>
                  </w:r>
                </w:p>
              </w:tc>
              <w:tc>
                <w:tcPr>
                  <w:tcW w:w="643"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0.325</w:t>
                  </w:r>
                </w:p>
              </w:tc>
              <w:tc>
                <w:tcPr>
                  <w:tcW w:w="28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w:t>
                  </w:r>
                </w:p>
              </w:tc>
              <w:tc>
                <w:tcPr>
                  <w:tcW w:w="490"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mg/m3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33" w:type="pc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4#下风向监控点</w:t>
                  </w:r>
                </w:p>
              </w:tc>
              <w:tc>
                <w:tcPr>
                  <w:tcW w:w="749"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i w:val="0"/>
                      <w:iCs w:val="0"/>
                      <w:color w:val="000000"/>
                      <w:sz w:val="21"/>
                      <w:szCs w:val="21"/>
                      <w:u w:val="none"/>
                    </w:rPr>
                  </w:pPr>
                </w:p>
              </w:tc>
              <w:tc>
                <w:tcPr>
                  <w:tcW w:w="89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总悬浮颗粒物</w:t>
                  </w:r>
                </w:p>
              </w:tc>
              <w:tc>
                <w:tcPr>
                  <w:tcW w:w="589"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0.307</w:t>
                  </w:r>
                </w:p>
              </w:tc>
              <w:tc>
                <w:tcPr>
                  <w:tcW w:w="612"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0.315</w:t>
                  </w:r>
                </w:p>
              </w:tc>
              <w:tc>
                <w:tcPr>
                  <w:tcW w:w="643"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0.321</w:t>
                  </w:r>
                </w:p>
              </w:tc>
              <w:tc>
                <w:tcPr>
                  <w:tcW w:w="28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0.5</w:t>
                  </w:r>
                </w:p>
              </w:tc>
              <w:tc>
                <w:tcPr>
                  <w:tcW w:w="490"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mg/m3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rPr>
              <w:tc>
                <w:tcPr>
                  <w:tcW w:w="5000" w:type="pct"/>
                  <w:gridSpan w:val="11"/>
                  <w:tcBorders>
                    <w:top w:val="single" w:color="888E93" w:sz="8" w:space="0"/>
                    <w:left w:val="single" w:color="474747" w:sz="8" w:space="0"/>
                    <w:bottom w:val="single" w:color="888E93" w:sz="8" w:space="0"/>
                    <w:right w:val="single" w:color="474747" w:sz="8" w:space="0"/>
                  </w:tcBorders>
                  <w:shd w:val="clear" w:color="auto" w:fill="FFFFFF"/>
                  <w:vAlign w:val="center"/>
                </w:tcPr>
                <w:p>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注：标准限值指执行《水泥工业大气污染物排放标准》（GB4915-2013）表3大气污染物无组织排放限值。</w:t>
                  </w:r>
                  <w:r>
                    <w:rPr>
                      <w:rFonts w:hint="default" w:ascii="Times New Roman" w:hAnsi="Times New Roman" w:eastAsia="宋体" w:cs="Times New Roman"/>
                      <w:i w:val="0"/>
                      <w:iCs w:val="0"/>
                      <w:color w:val="000000"/>
                      <w:kern w:val="0"/>
                      <w:sz w:val="21"/>
                      <w:szCs w:val="21"/>
                      <w:u w:val="none"/>
                      <w:lang w:val="en-US" w:eastAsia="zh-CN" w:bidi="ar"/>
                    </w:rPr>
                    <w:t>（该执行标准由客户提供）</w:t>
                  </w:r>
                </w:p>
              </w:tc>
            </w:tr>
          </w:tbl>
          <w:p>
            <w:pPr>
              <w:ind w:right="420" w:firstLine="482"/>
              <w:jc w:val="center"/>
              <w:rPr>
                <w:rFonts w:hint="default" w:ascii="Times New Roman" w:hAnsi="Times New Roman" w:cs="Times New Roman"/>
                <w:b/>
                <w:bCs/>
                <w:szCs w:val="21"/>
              </w:rPr>
            </w:pPr>
          </w:p>
          <w:p>
            <w:pPr>
              <w:pStyle w:val="32"/>
              <w:jc w:val="both"/>
              <w:rPr>
                <w:rFonts w:hint="eastAsia"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rPr>
              <w:t>由表7-</w:t>
            </w:r>
            <w:r>
              <w:rPr>
                <w:rFonts w:hint="eastAsia" w:ascii="Times New Roman" w:hAnsi="Times New Roman" w:cs="Times New Roman"/>
                <w:color w:val="auto"/>
                <w:sz w:val="24"/>
                <w:szCs w:val="24"/>
                <w:lang w:val="en-US" w:eastAsia="zh-CN"/>
              </w:rPr>
              <w:t>1无</w:t>
            </w:r>
            <w:r>
              <w:rPr>
                <w:rFonts w:hint="default" w:ascii="Times New Roman" w:hAnsi="Times New Roman" w:cs="Times New Roman"/>
                <w:color w:val="auto"/>
                <w:sz w:val="24"/>
                <w:szCs w:val="24"/>
                <w:lang w:val="en-US" w:eastAsia="zh-CN"/>
              </w:rPr>
              <w:t>组织废气检测结果可知，项目无组织废气各监测点</w:t>
            </w:r>
            <w:r>
              <w:rPr>
                <w:rFonts w:hint="eastAsia" w:ascii="Times New Roman" w:hAnsi="Times New Roman" w:cs="Times New Roman"/>
                <w:color w:val="auto"/>
                <w:sz w:val="24"/>
                <w:szCs w:val="24"/>
                <w:lang w:val="en-US" w:eastAsia="zh-CN"/>
              </w:rPr>
              <w:t>颗粒物</w:t>
            </w:r>
            <w:r>
              <w:rPr>
                <w:rFonts w:hint="default" w:ascii="Times New Roman" w:hAnsi="Times New Roman" w:cs="Times New Roman"/>
                <w:color w:val="auto"/>
                <w:sz w:val="24"/>
                <w:szCs w:val="24"/>
                <w:lang w:val="en-US" w:eastAsia="zh-CN"/>
              </w:rPr>
              <w:t>最大排放浓度满足</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lang w:val="en-US" w:eastAsia="zh-CN"/>
              </w:rPr>
              <w:t>《水泥工业大气污染物排放标准》（GB4915-2013）表3大气污染物无组织排放限值。</w:t>
            </w:r>
          </w:p>
          <w:p>
            <w:pPr>
              <w:pStyle w:val="32"/>
              <w:ind w:firstLine="0" w:firstLineChars="0"/>
              <w:jc w:val="both"/>
              <w:rPr>
                <w:rFonts w:hint="default" w:ascii="Times New Roman" w:hAnsi="Times New Roman" w:cs="Times New Roman"/>
                <w:szCs w:val="24"/>
                <w:lang w:val="en-US" w:eastAsia="zh-CN"/>
              </w:rPr>
            </w:pPr>
            <w:r>
              <w:rPr>
                <w:rFonts w:hint="default" w:ascii="Times New Roman" w:hAnsi="Times New Roman" w:cs="Times New Roman"/>
                <w:b/>
                <w:szCs w:val="24"/>
                <w:lang w:val="en-US" w:eastAsia="zh-CN"/>
              </w:rPr>
              <w:t>7.2.</w:t>
            </w:r>
            <w:r>
              <w:rPr>
                <w:rFonts w:hint="eastAsia" w:ascii="Times New Roman" w:hAnsi="Times New Roman" w:cs="Times New Roman"/>
                <w:b/>
                <w:szCs w:val="24"/>
                <w:lang w:val="en-US" w:eastAsia="zh-CN"/>
              </w:rPr>
              <w:t>2</w:t>
            </w:r>
            <w:r>
              <w:rPr>
                <w:rFonts w:hint="default" w:ascii="Times New Roman" w:hAnsi="Times New Roman" w:cs="Times New Roman"/>
                <w:b/>
                <w:szCs w:val="24"/>
                <w:lang w:val="en-US" w:eastAsia="zh-CN"/>
              </w:rPr>
              <w:t xml:space="preserve"> 废</w:t>
            </w:r>
            <w:r>
              <w:rPr>
                <w:rFonts w:hint="eastAsia" w:ascii="Times New Roman" w:hAnsi="Times New Roman" w:cs="Times New Roman"/>
                <w:b/>
                <w:szCs w:val="24"/>
                <w:lang w:val="en-US" w:eastAsia="zh-CN"/>
              </w:rPr>
              <w:t>水</w:t>
            </w:r>
            <w:r>
              <w:rPr>
                <w:rFonts w:hint="default" w:ascii="Times New Roman" w:hAnsi="Times New Roman" w:cs="Times New Roman"/>
                <w:b/>
                <w:szCs w:val="24"/>
                <w:lang w:val="en-US" w:eastAsia="zh-CN"/>
              </w:rPr>
              <w:t>监测结果</w:t>
            </w:r>
          </w:p>
          <w:p>
            <w:pPr>
              <w:ind w:right="420" w:firstLine="482"/>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废水</w:t>
            </w:r>
            <w:r>
              <w:rPr>
                <w:rFonts w:hint="default" w:ascii="Times New Roman" w:hAnsi="Times New Roman" w:cs="Times New Roman"/>
                <w:sz w:val="24"/>
                <w:szCs w:val="24"/>
                <w:lang w:val="en-US" w:eastAsia="zh-CN"/>
              </w:rPr>
              <w:t>监测结果见表7-</w:t>
            </w:r>
            <w:r>
              <w:rPr>
                <w:rFonts w:hint="eastAsia" w:ascii="Times New Roman" w:hAnsi="Times New Roman" w:cs="Times New Roman"/>
                <w:sz w:val="24"/>
                <w:szCs w:val="24"/>
                <w:lang w:val="en-US" w:eastAsia="zh-CN"/>
              </w:rPr>
              <w:t>2</w:t>
            </w:r>
            <w:r>
              <w:rPr>
                <w:rFonts w:hint="default" w:ascii="Times New Roman" w:hAnsi="Times New Roman" w:cs="Times New Roman"/>
                <w:sz w:val="24"/>
                <w:szCs w:val="24"/>
                <w:lang w:val="en-US" w:eastAsia="zh-CN"/>
              </w:rPr>
              <w:t>。</w:t>
            </w:r>
          </w:p>
          <w:p>
            <w:pPr>
              <w:pStyle w:val="32"/>
              <w:ind w:firstLine="0" w:firstLineChars="0"/>
              <w:jc w:val="center"/>
              <w:rPr>
                <w:rFonts w:hint="default" w:ascii="Times New Roman" w:hAnsi="Times New Roman" w:cs="Times New Roman"/>
                <w:szCs w:val="24"/>
                <w:lang w:val="en-US" w:eastAsia="zh-CN"/>
              </w:rPr>
            </w:pPr>
            <w:r>
              <w:rPr>
                <w:rFonts w:hint="default" w:ascii="Times New Roman" w:hAnsi="Times New Roman" w:cs="Times New Roman"/>
                <w:b/>
                <w:bCs/>
                <w:sz w:val="21"/>
                <w:szCs w:val="21"/>
              </w:rPr>
              <w:t>表7-</w:t>
            </w:r>
            <w:r>
              <w:rPr>
                <w:rFonts w:hint="eastAsia" w:ascii="Times New Roman" w:hAnsi="Times New Roman" w:cs="Times New Roman"/>
                <w:b/>
                <w:bCs/>
                <w:sz w:val="21"/>
                <w:szCs w:val="21"/>
                <w:lang w:val="en-US" w:eastAsia="zh-CN"/>
              </w:rPr>
              <w:t>2废水</w:t>
            </w:r>
            <w:r>
              <w:rPr>
                <w:rFonts w:hint="default" w:ascii="Times New Roman" w:hAnsi="Times New Roman" w:cs="Times New Roman"/>
                <w:b/>
                <w:bCs/>
                <w:sz w:val="21"/>
                <w:szCs w:val="21"/>
              </w:rPr>
              <w:t>检测结果表</w:t>
            </w:r>
          </w:p>
          <w:tbl>
            <w:tblPr>
              <w:tblStyle w:val="2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4"/>
              <w:gridCol w:w="1165"/>
              <w:gridCol w:w="1400"/>
              <w:gridCol w:w="859"/>
              <w:gridCol w:w="823"/>
              <w:gridCol w:w="888"/>
              <w:gridCol w:w="887"/>
              <w:gridCol w:w="640"/>
              <w:gridCol w:w="87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438" w:type="pct"/>
                  <w:vMerge w:val="restart"/>
                  <w:tcBorders>
                    <w:top w:val="single" w:color="474747"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采样点位</w:t>
                  </w:r>
                </w:p>
              </w:tc>
              <w:tc>
                <w:tcPr>
                  <w:tcW w:w="705" w:type="pct"/>
                  <w:vMerge w:val="restart"/>
                  <w:tcBorders>
                    <w:top w:val="single" w:color="474747"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采样时间</w:t>
                  </w:r>
                </w:p>
              </w:tc>
              <w:tc>
                <w:tcPr>
                  <w:tcW w:w="847" w:type="pct"/>
                  <w:vMerge w:val="restart"/>
                  <w:tcBorders>
                    <w:top w:val="single" w:color="474747"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检测项目</w:t>
                  </w:r>
                </w:p>
              </w:tc>
              <w:tc>
                <w:tcPr>
                  <w:tcW w:w="2092" w:type="pct"/>
                  <w:gridSpan w:val="4"/>
                  <w:tcBorders>
                    <w:top w:val="single" w:color="474747"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检测结果</w:t>
                  </w:r>
                </w:p>
              </w:tc>
              <w:tc>
                <w:tcPr>
                  <w:tcW w:w="387" w:type="pct"/>
                  <w:vMerge w:val="restart"/>
                  <w:tcBorders>
                    <w:top w:val="single" w:color="474747" w:sz="8" w:space="0"/>
                    <w:left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kern w:val="0"/>
                      <w:sz w:val="21"/>
                      <w:szCs w:val="21"/>
                      <w:u w:val="none"/>
                      <w:lang w:val="en-US" w:eastAsia="zh-CN" w:bidi="ar"/>
                    </w:rPr>
                  </w:pPr>
                  <w:r>
                    <w:rPr>
                      <w:rFonts w:hint="default" w:ascii="Times New Roman" w:hAnsi="Times New Roman" w:eastAsia="宋体" w:cs="Times New Roman"/>
                      <w:b w:val="0"/>
                      <w:bCs w:val="0"/>
                      <w:i w:val="0"/>
                      <w:iCs w:val="0"/>
                      <w:color w:val="000000"/>
                      <w:kern w:val="0"/>
                      <w:sz w:val="21"/>
                      <w:szCs w:val="21"/>
                      <w:u w:val="none"/>
                      <w:lang w:val="en-US" w:eastAsia="zh-CN" w:bidi="ar"/>
                    </w:rPr>
                    <w:t>标准</w:t>
                  </w:r>
                </w:p>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限值</w:t>
                  </w:r>
                </w:p>
              </w:tc>
              <w:tc>
                <w:tcPr>
                  <w:tcW w:w="528" w:type="pct"/>
                  <w:vMerge w:val="restart"/>
                  <w:tcBorders>
                    <w:top w:val="single" w:color="474747"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438" w:type="pct"/>
                  <w:vMerge w:val="continue"/>
                  <w:tcBorders>
                    <w:top w:val="single" w:color="474747" w:sz="8" w:space="0"/>
                    <w:left w:val="single" w:color="474747"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474747"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vMerge w:val="continue"/>
                  <w:tcBorders>
                    <w:top w:val="single" w:color="474747"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第一次</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第二次</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第三次</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第四次</w:t>
                  </w:r>
                </w:p>
              </w:tc>
              <w:tc>
                <w:tcPr>
                  <w:tcW w:w="387" w:type="pct"/>
                  <w:vMerge w:val="continue"/>
                  <w:tcBorders>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p>
              </w:tc>
              <w:tc>
                <w:tcPr>
                  <w:tcW w:w="528" w:type="pct"/>
                  <w:vMerge w:val="continue"/>
                  <w:tcBorders>
                    <w:top w:val="single" w:color="474747" w:sz="8" w:space="0"/>
                    <w:left w:val="single" w:color="888E93" w:sz="8" w:space="0"/>
                    <w:bottom w:val="single" w:color="888E93" w:sz="8" w:space="0"/>
                    <w:right w:val="single" w:color="474747"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438" w:type="pct"/>
                  <w:vMerge w:val="restart"/>
                  <w:tcBorders>
                    <w:top w:val="single" w:color="888E93" w:sz="8" w:space="0"/>
                    <w:left w:val="single" w:color="474747"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生活污水</w:t>
                  </w:r>
                  <w:r>
                    <w:rPr>
                      <w:rFonts w:hint="default" w:ascii="Times New Roman" w:hAnsi="Times New Roman" w:eastAsia="宋体" w:cs="Times New Roman"/>
                      <w:b w:val="0"/>
                      <w:bCs w:val="0"/>
                      <w:i w:val="0"/>
                      <w:iCs w:val="0"/>
                      <w:color w:val="000000"/>
                      <w:kern w:val="0"/>
                      <w:sz w:val="21"/>
                      <w:szCs w:val="21"/>
                      <w:u w:val="none"/>
                      <w:lang w:val="en-US" w:eastAsia="zh-CN" w:bidi="ar"/>
                    </w:rPr>
                    <w:t>排放口</w:t>
                  </w:r>
                </w:p>
              </w:tc>
              <w:tc>
                <w:tcPr>
                  <w:tcW w:w="705" w:type="pct"/>
                  <w:vMerge w:val="restar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2024.04.20</w:t>
                  </w: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pH值</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7.8</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7.9</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7.8</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7.9</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6～9</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无量纲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438" w:type="pct"/>
                  <w:vMerge w:val="continue"/>
                  <w:tcBorders>
                    <w:left w:val="single" w:color="474747"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化学需氧量</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114</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103</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97</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113</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500</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mg/L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438" w:type="pct"/>
                  <w:vMerge w:val="continue"/>
                  <w:tcBorders>
                    <w:left w:val="single" w:color="474747" w:sz="8" w:space="0"/>
                    <w:right w:val="single" w:color="888E93" w:sz="8" w:space="0"/>
                  </w:tcBorders>
                  <w:shd w:val="clear" w:color="auto" w:fill="auto"/>
                  <w:noWrap/>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氨氮</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13.9</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11.2</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12.4</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10.7</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mg/L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438" w:type="pct"/>
                  <w:vMerge w:val="continue"/>
                  <w:tcBorders>
                    <w:left w:val="single" w:color="474747" w:sz="8" w:space="0"/>
                    <w:right w:val="single" w:color="888E93" w:sz="8" w:space="0"/>
                  </w:tcBorders>
                  <w:shd w:val="clear" w:color="auto" w:fill="auto"/>
                  <w:noWrap/>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悬浮物</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51</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62</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54</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58</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400</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mg/L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438" w:type="pct"/>
                  <w:vMerge w:val="continue"/>
                  <w:tcBorders>
                    <w:left w:val="single" w:color="474747" w:sz="8" w:space="0"/>
                    <w:right w:val="single" w:color="888E93" w:sz="8" w:space="0"/>
                  </w:tcBorders>
                  <w:shd w:val="clear" w:color="auto" w:fill="auto"/>
                  <w:noWrap/>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石油类</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0.61</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0.65</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0.69</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0.8</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20</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mg/L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438" w:type="pct"/>
                  <w:vMerge w:val="continue"/>
                  <w:tcBorders>
                    <w:left w:val="single" w:color="474747" w:sz="8" w:space="0"/>
                    <w:right w:val="single" w:color="888E93" w:sz="8" w:space="0"/>
                  </w:tcBorders>
                  <w:shd w:val="clear" w:color="auto" w:fill="auto"/>
                  <w:noWrap/>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总磷</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1.3</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1.12</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1.19</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1.39</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mg/L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438" w:type="pct"/>
                  <w:vMerge w:val="continue"/>
                  <w:tcBorders>
                    <w:left w:val="single" w:color="474747" w:sz="8" w:space="0"/>
                    <w:right w:val="single" w:color="888E93" w:sz="8" w:space="0"/>
                  </w:tcBorders>
                  <w:shd w:val="clear" w:color="auto" w:fill="auto"/>
                  <w:noWrap/>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阴离子表面活性剂</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0.44</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0.54</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0.69</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0.58</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20</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mg/L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438" w:type="pct"/>
                  <w:vMerge w:val="continue"/>
                  <w:tcBorders>
                    <w:left w:val="single" w:color="474747" w:sz="8" w:space="0"/>
                    <w:right w:val="single" w:color="888E93" w:sz="8" w:space="0"/>
                  </w:tcBorders>
                  <w:shd w:val="clear" w:color="auto" w:fill="auto"/>
                  <w:noWrap/>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动植物油</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1.34</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1.31</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1.21</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1.17</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100</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mg/L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438" w:type="pct"/>
                  <w:vMerge w:val="continue"/>
                  <w:tcBorders>
                    <w:left w:val="single" w:color="474747" w:sz="8" w:space="0"/>
                    <w:right w:val="single" w:color="888E93" w:sz="8" w:space="0"/>
                  </w:tcBorders>
                  <w:shd w:val="clear" w:color="auto" w:fill="auto"/>
                  <w:noWrap/>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五日生化需氧量</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55</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50.7</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48.1</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54</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300</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mg/L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438" w:type="pct"/>
                  <w:vMerge w:val="continue"/>
                  <w:tcBorders>
                    <w:left w:val="single" w:color="474747" w:sz="8" w:space="0"/>
                    <w:right w:val="single" w:color="888E93" w:sz="8" w:space="0"/>
                  </w:tcBorders>
                  <w:shd w:val="clear" w:color="auto" w:fill="auto"/>
                  <w:noWrap/>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restar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2024.04.21</w:t>
                  </w: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pH值</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7.9</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8</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7.8</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7.9</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6～9</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无量纲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438" w:type="pct"/>
                  <w:vMerge w:val="continue"/>
                  <w:tcBorders>
                    <w:left w:val="single" w:color="474747" w:sz="8" w:space="0"/>
                    <w:right w:val="single" w:color="888E93" w:sz="8" w:space="0"/>
                  </w:tcBorders>
                  <w:shd w:val="clear" w:color="auto" w:fill="auto"/>
                  <w:noWrap/>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化学需氧量</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102</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124</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131</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117</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500</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mg/L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438" w:type="pct"/>
                  <w:vMerge w:val="continue"/>
                  <w:tcBorders>
                    <w:left w:val="single" w:color="474747" w:sz="8" w:space="0"/>
                    <w:right w:val="single" w:color="888E93" w:sz="8" w:space="0"/>
                  </w:tcBorders>
                  <w:shd w:val="clear" w:color="auto" w:fill="auto"/>
                  <w:noWrap/>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氨氮</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12</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12.8</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14.3</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10.4</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mg/L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438" w:type="pct"/>
                  <w:vMerge w:val="continue"/>
                  <w:tcBorders>
                    <w:left w:val="single" w:color="474747" w:sz="8" w:space="0"/>
                    <w:right w:val="single" w:color="888E93" w:sz="8" w:space="0"/>
                  </w:tcBorders>
                  <w:shd w:val="clear" w:color="auto" w:fill="auto"/>
                  <w:noWrap/>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悬浮物</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56</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48</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52</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61</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400</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mg/L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438" w:type="pct"/>
                  <w:vMerge w:val="continue"/>
                  <w:tcBorders>
                    <w:left w:val="single" w:color="474747" w:sz="8" w:space="0"/>
                    <w:right w:val="single" w:color="888E93" w:sz="8" w:space="0"/>
                  </w:tcBorders>
                  <w:shd w:val="clear" w:color="auto" w:fill="auto"/>
                  <w:noWrap/>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石油类</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0.6</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0.67</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0.61</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0.76</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20</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mg/L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438" w:type="pct"/>
                  <w:vMerge w:val="continue"/>
                  <w:tcBorders>
                    <w:left w:val="single" w:color="474747" w:sz="8" w:space="0"/>
                    <w:right w:val="single" w:color="888E93" w:sz="8" w:space="0"/>
                  </w:tcBorders>
                  <w:shd w:val="clear" w:color="auto" w:fill="auto"/>
                  <w:noWrap/>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总磷</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1.1</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1.36</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1.26</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1.3</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mg/L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438" w:type="pct"/>
                  <w:vMerge w:val="continue"/>
                  <w:tcBorders>
                    <w:left w:val="single" w:color="474747" w:sz="8" w:space="0"/>
                    <w:right w:val="single" w:color="888E93" w:sz="8" w:space="0"/>
                  </w:tcBorders>
                  <w:shd w:val="clear" w:color="auto" w:fill="auto"/>
                  <w:noWrap/>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阴离子表面活性剂</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0.76</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0.7</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0.61</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0.84</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20</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mg/L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438" w:type="pct"/>
                  <w:vMerge w:val="continue"/>
                  <w:tcBorders>
                    <w:left w:val="single" w:color="474747" w:sz="8" w:space="0"/>
                    <w:right w:val="single" w:color="888E93" w:sz="8" w:space="0"/>
                  </w:tcBorders>
                  <w:shd w:val="clear" w:color="auto" w:fill="auto"/>
                  <w:noWrap/>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动植物油</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0.94</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0.83</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0.99</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0.9</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100</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mg/L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438" w:type="pct"/>
                  <w:vMerge w:val="continue"/>
                  <w:tcBorders>
                    <w:left w:val="single" w:color="474747" w:sz="8" w:space="0"/>
                    <w:bottom w:val="single" w:color="888E93" w:sz="8" w:space="0"/>
                    <w:right w:val="single" w:color="888E93" w:sz="8" w:space="0"/>
                  </w:tcBorders>
                  <w:shd w:val="clear" w:color="auto" w:fill="auto"/>
                  <w:noWrap/>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705" w:type="pct"/>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val="0"/>
                      <w:bCs w:val="0"/>
                      <w:i w:val="0"/>
                      <w:iCs w:val="0"/>
                      <w:color w:val="000000"/>
                      <w:sz w:val="21"/>
                      <w:szCs w:val="21"/>
                      <w:u w:val="none"/>
                    </w:rPr>
                  </w:pPr>
                </w:p>
              </w:tc>
              <w:tc>
                <w:tcPr>
                  <w:tcW w:w="84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五日生化需氧量</w:t>
                  </w:r>
                </w:p>
              </w:tc>
              <w:tc>
                <w:tcPr>
                  <w:tcW w:w="52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49.4</w:t>
                  </w:r>
                </w:p>
              </w:tc>
              <w:tc>
                <w:tcPr>
                  <w:tcW w:w="498"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55.5</w:t>
                  </w:r>
                </w:p>
              </w:tc>
              <w:tc>
                <w:tcPr>
                  <w:tcW w:w="53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57.1</w:t>
                  </w:r>
                </w:p>
              </w:tc>
              <w:tc>
                <w:tcPr>
                  <w:tcW w:w="536"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53.5</w:t>
                  </w:r>
                </w:p>
              </w:tc>
              <w:tc>
                <w:tcPr>
                  <w:tcW w:w="387"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300</w:t>
                  </w:r>
                </w:p>
              </w:tc>
              <w:tc>
                <w:tcPr>
                  <w:tcW w:w="528"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mg/L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5" w:hRule="atLeast"/>
              </w:trPr>
              <w:tc>
                <w:tcPr>
                  <w:tcW w:w="5000" w:type="pct"/>
                  <w:gridSpan w:val="9"/>
                  <w:tcBorders>
                    <w:top w:val="single" w:color="888E93" w:sz="8" w:space="0"/>
                    <w:left w:val="single" w:color="474747" w:sz="8" w:space="0"/>
                    <w:bottom w:val="single" w:color="888E93" w:sz="8" w:space="0"/>
                    <w:right w:val="single" w:color="474747" w:sz="8" w:space="0"/>
                  </w:tcBorders>
                  <w:shd w:val="clear" w:color="auto" w:fill="FFFFFF"/>
                  <w:vAlign w:val="center"/>
                </w:tcPr>
                <w:p>
                  <w:pPr>
                    <w:keepNext w:val="0"/>
                    <w:keepLines w:val="0"/>
                    <w:widowControl/>
                    <w:suppressLineNumbers w:val="0"/>
                    <w:jc w:val="left"/>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注：标准限值指执行《污水综合排放标准》（GB8978-1996）表4三级标准。（该执行标准由客户提供）</w:t>
                  </w:r>
                </w:p>
              </w:tc>
            </w:tr>
          </w:tbl>
          <w:p>
            <w:pPr>
              <w:pStyle w:val="32"/>
              <w:jc w:val="both"/>
              <w:rPr>
                <w:rFonts w:hint="default" w:ascii="Times New Roman" w:hAnsi="Times New Roman" w:eastAsia="宋体" w:cs="Times New Roman"/>
                <w:color w:val="auto"/>
                <w:sz w:val="24"/>
                <w:szCs w:val="24"/>
                <w:lang w:val="en-US" w:eastAsia="zh-CN" w:bidi="ar"/>
              </w:rPr>
            </w:pPr>
            <w:r>
              <w:rPr>
                <w:rFonts w:hint="default" w:ascii="Times New Roman" w:hAnsi="Times New Roman" w:cs="Times New Roman"/>
                <w:color w:val="auto"/>
                <w:sz w:val="24"/>
                <w:szCs w:val="24"/>
                <w:lang w:val="en-US" w:eastAsia="zh-CN"/>
              </w:rPr>
              <w:t>由表7-</w:t>
            </w:r>
            <w:r>
              <w:rPr>
                <w:rFonts w:hint="eastAsia" w:ascii="Times New Roman" w:hAnsi="Times New Roman" w:cs="Times New Roman"/>
                <w:color w:val="auto"/>
                <w:sz w:val="24"/>
                <w:szCs w:val="24"/>
                <w:lang w:val="en-US" w:eastAsia="zh-CN"/>
              </w:rPr>
              <w:t>2废水</w:t>
            </w:r>
            <w:r>
              <w:rPr>
                <w:rFonts w:hint="default" w:ascii="Times New Roman" w:hAnsi="Times New Roman" w:cs="Times New Roman"/>
                <w:color w:val="auto"/>
                <w:sz w:val="24"/>
                <w:szCs w:val="24"/>
                <w:lang w:val="en-US" w:eastAsia="zh-CN"/>
              </w:rPr>
              <w:t>检测结果可知，项目</w:t>
            </w:r>
            <w:r>
              <w:rPr>
                <w:rFonts w:hint="eastAsia" w:ascii="Times New Roman" w:hAnsi="Times New Roman" w:cs="Times New Roman"/>
                <w:color w:val="auto"/>
                <w:sz w:val="24"/>
                <w:szCs w:val="24"/>
                <w:lang w:val="en-US" w:eastAsia="zh-CN"/>
              </w:rPr>
              <w:t>废水</w:t>
            </w:r>
            <w:r>
              <w:rPr>
                <w:rFonts w:hint="default" w:ascii="Times New Roman" w:hAnsi="Times New Roman" w:cs="Times New Roman"/>
                <w:color w:val="auto"/>
                <w:sz w:val="24"/>
                <w:szCs w:val="24"/>
                <w:lang w:val="en-US" w:eastAsia="zh-CN"/>
              </w:rPr>
              <w:t>各监测点</w:t>
            </w:r>
            <w:r>
              <w:rPr>
                <w:rFonts w:hint="eastAsia" w:ascii="Times New Roman" w:hAnsi="Times New Roman" w:cs="Times New Roman"/>
                <w:color w:val="auto"/>
                <w:sz w:val="24"/>
                <w:szCs w:val="24"/>
                <w:lang w:val="en-US" w:eastAsia="zh-CN"/>
              </w:rPr>
              <w:t>满足标准限值指执行《污水综合排放标准》（GB8978-1996）表4三级标准。</w:t>
            </w:r>
          </w:p>
          <w:p>
            <w:pPr>
              <w:pStyle w:val="32"/>
              <w:ind w:firstLine="0" w:firstLineChars="0"/>
              <w:jc w:val="both"/>
              <w:rPr>
                <w:rFonts w:hint="default" w:ascii="Times New Roman" w:hAnsi="Times New Roman" w:cs="Times New Roman"/>
                <w:szCs w:val="24"/>
                <w:lang w:val="en-US" w:eastAsia="zh-CN"/>
              </w:rPr>
            </w:pPr>
            <w:r>
              <w:rPr>
                <w:rFonts w:hint="default" w:ascii="Times New Roman" w:hAnsi="Times New Roman" w:cs="Times New Roman"/>
                <w:b/>
                <w:szCs w:val="24"/>
                <w:lang w:val="en-US" w:eastAsia="zh-CN"/>
              </w:rPr>
              <w:t>7.2.</w:t>
            </w:r>
            <w:r>
              <w:rPr>
                <w:rFonts w:hint="eastAsia" w:ascii="Times New Roman" w:hAnsi="Times New Roman" w:cs="Times New Roman"/>
                <w:b/>
                <w:szCs w:val="24"/>
                <w:lang w:val="en-US" w:eastAsia="zh-CN"/>
              </w:rPr>
              <w:t>3</w:t>
            </w:r>
            <w:r>
              <w:rPr>
                <w:rFonts w:hint="default" w:ascii="Times New Roman" w:hAnsi="Times New Roman" w:cs="Times New Roman"/>
                <w:b/>
                <w:szCs w:val="24"/>
                <w:lang w:val="en-US" w:eastAsia="zh-CN"/>
              </w:rPr>
              <w:t xml:space="preserve"> </w:t>
            </w:r>
            <w:r>
              <w:rPr>
                <w:rFonts w:hint="eastAsia" w:ascii="Times New Roman" w:hAnsi="Times New Roman" w:cs="Times New Roman"/>
                <w:b/>
                <w:szCs w:val="24"/>
                <w:lang w:val="en-US" w:eastAsia="zh-CN"/>
              </w:rPr>
              <w:t>噪声</w:t>
            </w:r>
            <w:r>
              <w:rPr>
                <w:rFonts w:hint="default" w:ascii="Times New Roman" w:hAnsi="Times New Roman" w:cs="Times New Roman"/>
                <w:b/>
                <w:szCs w:val="24"/>
                <w:lang w:val="en-US" w:eastAsia="zh-CN"/>
              </w:rPr>
              <w:t>监测结果</w:t>
            </w:r>
          </w:p>
          <w:p>
            <w:pPr>
              <w:ind w:right="420" w:firstLine="482"/>
              <w:jc w:val="both"/>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噪声</w:t>
            </w:r>
            <w:r>
              <w:rPr>
                <w:rFonts w:hint="default" w:ascii="Times New Roman" w:hAnsi="Times New Roman" w:cs="Times New Roman"/>
                <w:sz w:val="24"/>
                <w:szCs w:val="24"/>
                <w:lang w:val="en-US" w:eastAsia="zh-CN"/>
              </w:rPr>
              <w:t>监测结果见表7-</w:t>
            </w:r>
            <w:r>
              <w:rPr>
                <w:rFonts w:hint="eastAsia" w:ascii="Times New Roman" w:hAnsi="Times New Roman" w:cs="Times New Roman"/>
                <w:sz w:val="24"/>
                <w:szCs w:val="24"/>
                <w:lang w:val="en-US" w:eastAsia="zh-CN"/>
              </w:rPr>
              <w:t>3</w:t>
            </w:r>
            <w:r>
              <w:rPr>
                <w:rFonts w:hint="default" w:ascii="Times New Roman" w:hAnsi="Times New Roman" w:cs="Times New Roman"/>
                <w:sz w:val="24"/>
                <w:szCs w:val="24"/>
                <w:lang w:val="en-US" w:eastAsia="zh-CN"/>
              </w:rPr>
              <w:t>。</w:t>
            </w:r>
          </w:p>
          <w:p>
            <w:pPr>
              <w:pStyle w:val="32"/>
              <w:ind w:firstLine="0" w:firstLineChars="0"/>
              <w:jc w:val="center"/>
              <w:rPr>
                <w:rFonts w:hint="default" w:ascii="Times New Roman" w:hAnsi="Times New Roman" w:cs="Times New Roman"/>
                <w:szCs w:val="24"/>
                <w:lang w:val="en-US" w:eastAsia="zh-CN"/>
              </w:rPr>
            </w:pPr>
            <w:r>
              <w:rPr>
                <w:rFonts w:hint="default" w:ascii="Times New Roman" w:hAnsi="Times New Roman" w:cs="Times New Roman"/>
                <w:b/>
                <w:bCs/>
                <w:sz w:val="21"/>
                <w:szCs w:val="21"/>
              </w:rPr>
              <w:t>表7-</w:t>
            </w:r>
            <w:r>
              <w:rPr>
                <w:rFonts w:hint="eastAsia" w:ascii="Times New Roman" w:hAnsi="Times New Roman" w:cs="Times New Roman"/>
                <w:b/>
                <w:bCs/>
                <w:sz w:val="21"/>
                <w:szCs w:val="21"/>
                <w:lang w:val="en-US" w:eastAsia="zh-CN"/>
              </w:rPr>
              <w:t>3噪声</w:t>
            </w:r>
            <w:r>
              <w:rPr>
                <w:rFonts w:hint="default" w:ascii="Times New Roman" w:hAnsi="Times New Roman" w:cs="Times New Roman"/>
                <w:b/>
                <w:bCs/>
                <w:sz w:val="21"/>
                <w:szCs w:val="21"/>
              </w:rPr>
              <w:t>检测结果表</w:t>
            </w:r>
          </w:p>
          <w:tbl>
            <w:tblPr>
              <w:tblStyle w:val="2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01"/>
              <w:gridCol w:w="744"/>
              <w:gridCol w:w="1433"/>
              <w:gridCol w:w="831"/>
              <w:gridCol w:w="803"/>
              <w:gridCol w:w="947"/>
              <w:gridCol w:w="861"/>
              <w:gridCol w:w="644"/>
              <w:gridCol w:w="6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5000" w:type="pct"/>
                  <w:gridSpan w:val="9"/>
                  <w:tcBorders>
                    <w:top w:val="single" w:color="474747" w:sz="8" w:space="0"/>
                    <w:left w:val="single" w:color="474747"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气象参数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87" w:type="pc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2024.04.20</w:t>
                  </w:r>
                </w:p>
              </w:tc>
              <w:tc>
                <w:tcPr>
                  <w:tcW w:w="45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天气</w:t>
                  </w:r>
                </w:p>
              </w:tc>
              <w:tc>
                <w:tcPr>
                  <w:tcW w:w="1371"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晴</w:t>
                  </w:r>
                </w:p>
              </w:tc>
              <w:tc>
                <w:tcPr>
                  <w:tcW w:w="485"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风向</w:t>
                  </w:r>
                </w:p>
              </w:tc>
              <w:tc>
                <w:tcPr>
                  <w:tcW w:w="573"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东南风</w:t>
                  </w:r>
                </w:p>
              </w:tc>
              <w:tc>
                <w:tcPr>
                  <w:tcW w:w="911"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风速m/s</w:t>
                  </w:r>
                </w:p>
              </w:tc>
              <w:tc>
                <w:tcPr>
                  <w:tcW w:w="421"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87" w:type="pc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2024.04.21</w:t>
                  </w:r>
                </w:p>
              </w:tc>
              <w:tc>
                <w:tcPr>
                  <w:tcW w:w="450"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天气</w:t>
                  </w:r>
                </w:p>
              </w:tc>
              <w:tc>
                <w:tcPr>
                  <w:tcW w:w="1371"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阴</w:t>
                  </w:r>
                </w:p>
              </w:tc>
              <w:tc>
                <w:tcPr>
                  <w:tcW w:w="485"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风向</w:t>
                  </w:r>
                </w:p>
              </w:tc>
              <w:tc>
                <w:tcPr>
                  <w:tcW w:w="573" w:type="pc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东南风</w:t>
                  </w:r>
                </w:p>
              </w:tc>
              <w:tc>
                <w:tcPr>
                  <w:tcW w:w="911"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风速m/s</w:t>
                  </w:r>
                </w:p>
              </w:tc>
              <w:tc>
                <w:tcPr>
                  <w:tcW w:w="421" w:type="pct"/>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87" w:type="pct"/>
                  <w:vMerge w:val="restar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测点编号</w:t>
                  </w:r>
                </w:p>
              </w:tc>
              <w:tc>
                <w:tcPr>
                  <w:tcW w:w="1318" w:type="pct"/>
                  <w:gridSpan w:val="2"/>
                  <w:vMerge w:val="restar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检测点位</w:t>
                  </w:r>
                </w:p>
              </w:tc>
              <w:tc>
                <w:tcPr>
                  <w:tcW w:w="988" w:type="pct"/>
                  <w:gridSpan w:val="2"/>
                  <w:vMerge w:val="restart"/>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主要声源</w:t>
                  </w:r>
                </w:p>
              </w:tc>
              <w:tc>
                <w:tcPr>
                  <w:tcW w:w="1905" w:type="pct"/>
                  <w:gridSpan w:val="4"/>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1"/>
                      <w:szCs w:val="21"/>
                      <w:u w:val="none"/>
                    </w:rPr>
                  </w:pPr>
                  <w:r>
                    <w:rPr>
                      <w:rFonts w:hint="default" w:ascii="Times New Roman" w:hAnsi="Times New Roman" w:eastAsia="宋体" w:cs="Times New Roman"/>
                      <w:b/>
                      <w:bCs/>
                      <w:i w:val="0"/>
                      <w:iCs w:val="0"/>
                      <w:color w:val="000000"/>
                      <w:kern w:val="0"/>
                      <w:sz w:val="21"/>
                      <w:szCs w:val="21"/>
                      <w:u w:val="none"/>
                      <w:lang w:val="en-US" w:eastAsia="zh-CN" w:bidi="ar"/>
                    </w:rPr>
                    <w:t>检测结果dB(A)</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87" w:type="pct"/>
                  <w:vMerge w:val="continue"/>
                  <w:tcBorders>
                    <w:top w:val="single" w:color="888E93" w:sz="8" w:space="0"/>
                    <w:left w:val="single" w:color="474747"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bCs/>
                      <w:i w:val="0"/>
                      <w:iCs w:val="0"/>
                      <w:color w:val="000000"/>
                      <w:sz w:val="21"/>
                      <w:szCs w:val="21"/>
                      <w:u w:val="none"/>
                    </w:rPr>
                  </w:pPr>
                </w:p>
              </w:tc>
              <w:tc>
                <w:tcPr>
                  <w:tcW w:w="1318" w:type="pct"/>
                  <w:gridSpan w:val="2"/>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bCs/>
                      <w:i w:val="0"/>
                      <w:iCs w:val="0"/>
                      <w:color w:val="000000"/>
                      <w:sz w:val="21"/>
                      <w:szCs w:val="21"/>
                      <w:u w:val="none"/>
                    </w:rPr>
                  </w:pPr>
                </w:p>
              </w:tc>
              <w:tc>
                <w:tcPr>
                  <w:tcW w:w="988" w:type="pct"/>
                  <w:gridSpan w:val="2"/>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bCs/>
                      <w:i w:val="0"/>
                      <w:iCs w:val="0"/>
                      <w:color w:val="000000"/>
                      <w:sz w:val="21"/>
                      <w:szCs w:val="21"/>
                      <w:u w:val="none"/>
                    </w:rPr>
                  </w:pPr>
                </w:p>
              </w:tc>
              <w:tc>
                <w:tcPr>
                  <w:tcW w:w="1094"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2024.04.20</w:t>
                  </w:r>
                </w:p>
              </w:tc>
              <w:tc>
                <w:tcPr>
                  <w:tcW w:w="811" w:type="pct"/>
                  <w:gridSpan w:val="2"/>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2024.04.21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87" w:type="pct"/>
                  <w:vMerge w:val="continue"/>
                  <w:tcBorders>
                    <w:top w:val="single" w:color="888E93" w:sz="8" w:space="0"/>
                    <w:left w:val="single" w:color="474747"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bCs/>
                      <w:i w:val="0"/>
                      <w:iCs w:val="0"/>
                      <w:color w:val="000000"/>
                      <w:sz w:val="21"/>
                      <w:szCs w:val="21"/>
                      <w:u w:val="none"/>
                    </w:rPr>
                  </w:pPr>
                </w:p>
              </w:tc>
              <w:tc>
                <w:tcPr>
                  <w:tcW w:w="1318" w:type="pct"/>
                  <w:gridSpan w:val="2"/>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bCs/>
                      <w:i w:val="0"/>
                      <w:iCs w:val="0"/>
                      <w:color w:val="000000"/>
                      <w:sz w:val="21"/>
                      <w:szCs w:val="21"/>
                      <w:u w:val="none"/>
                    </w:rPr>
                  </w:pPr>
                </w:p>
              </w:tc>
              <w:tc>
                <w:tcPr>
                  <w:tcW w:w="988" w:type="pct"/>
                  <w:gridSpan w:val="2"/>
                  <w:vMerge w:val="continue"/>
                  <w:tcBorders>
                    <w:top w:val="single" w:color="888E93" w:sz="8" w:space="0"/>
                    <w:left w:val="single" w:color="888E93" w:sz="8" w:space="0"/>
                    <w:bottom w:val="single" w:color="888E93" w:sz="8" w:space="0"/>
                    <w:right w:val="single" w:color="888E93" w:sz="8" w:space="0"/>
                  </w:tcBorders>
                  <w:shd w:val="clear" w:color="auto" w:fill="FFFFFF"/>
                  <w:vAlign w:val="center"/>
                </w:tcPr>
                <w:p>
                  <w:pPr>
                    <w:jc w:val="center"/>
                    <w:rPr>
                      <w:rFonts w:hint="default" w:ascii="Times New Roman" w:hAnsi="Times New Roman" w:eastAsia="宋体" w:cs="Times New Roman"/>
                      <w:b/>
                      <w:bCs/>
                      <w:i w:val="0"/>
                      <w:iCs w:val="0"/>
                      <w:color w:val="000000"/>
                      <w:sz w:val="21"/>
                      <w:szCs w:val="21"/>
                      <w:u w:val="none"/>
                    </w:rPr>
                  </w:pPr>
                </w:p>
              </w:tc>
              <w:tc>
                <w:tcPr>
                  <w:tcW w:w="1094"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昼间Leq</w:t>
                  </w:r>
                </w:p>
              </w:tc>
              <w:tc>
                <w:tcPr>
                  <w:tcW w:w="811" w:type="pct"/>
                  <w:gridSpan w:val="2"/>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昼间Leq</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87" w:type="pc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1318"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厂界外东北侧1米处</w:t>
                  </w:r>
                </w:p>
              </w:tc>
              <w:tc>
                <w:tcPr>
                  <w:tcW w:w="988"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生产噪声</w:t>
                  </w:r>
                </w:p>
              </w:tc>
              <w:tc>
                <w:tcPr>
                  <w:tcW w:w="1094"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57</w:t>
                  </w:r>
                </w:p>
              </w:tc>
              <w:tc>
                <w:tcPr>
                  <w:tcW w:w="811" w:type="pct"/>
                  <w:gridSpan w:val="2"/>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87" w:type="pc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2#</w:t>
                  </w:r>
                </w:p>
              </w:tc>
              <w:tc>
                <w:tcPr>
                  <w:tcW w:w="1318"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厂界外东南侧1米处</w:t>
                  </w:r>
                </w:p>
              </w:tc>
              <w:tc>
                <w:tcPr>
                  <w:tcW w:w="988"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生产噪声</w:t>
                  </w:r>
                </w:p>
              </w:tc>
              <w:tc>
                <w:tcPr>
                  <w:tcW w:w="1094"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55</w:t>
                  </w:r>
                </w:p>
              </w:tc>
              <w:tc>
                <w:tcPr>
                  <w:tcW w:w="811" w:type="pct"/>
                  <w:gridSpan w:val="2"/>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87" w:type="pc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3#</w:t>
                  </w:r>
                </w:p>
              </w:tc>
              <w:tc>
                <w:tcPr>
                  <w:tcW w:w="1318"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厂界外西南侧1米处</w:t>
                  </w:r>
                </w:p>
              </w:tc>
              <w:tc>
                <w:tcPr>
                  <w:tcW w:w="988"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生产噪声</w:t>
                  </w:r>
                </w:p>
              </w:tc>
              <w:tc>
                <w:tcPr>
                  <w:tcW w:w="1094"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55</w:t>
                  </w:r>
                </w:p>
              </w:tc>
              <w:tc>
                <w:tcPr>
                  <w:tcW w:w="811" w:type="pct"/>
                  <w:gridSpan w:val="2"/>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 w:hRule="atLeast"/>
              </w:trPr>
              <w:tc>
                <w:tcPr>
                  <w:tcW w:w="787" w:type="pct"/>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w:t>
                  </w:r>
                </w:p>
              </w:tc>
              <w:tc>
                <w:tcPr>
                  <w:tcW w:w="1318"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厂界外西北侧1米处</w:t>
                  </w:r>
                </w:p>
              </w:tc>
              <w:tc>
                <w:tcPr>
                  <w:tcW w:w="988"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生产噪声</w:t>
                  </w:r>
                </w:p>
              </w:tc>
              <w:tc>
                <w:tcPr>
                  <w:tcW w:w="1094"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56</w:t>
                  </w:r>
                </w:p>
              </w:tc>
              <w:tc>
                <w:tcPr>
                  <w:tcW w:w="811" w:type="pct"/>
                  <w:gridSpan w:val="2"/>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6" w:hRule="atLeast"/>
              </w:trPr>
              <w:tc>
                <w:tcPr>
                  <w:tcW w:w="3094" w:type="pct"/>
                  <w:gridSpan w:val="5"/>
                  <w:tcBorders>
                    <w:top w:val="single" w:color="888E93" w:sz="8" w:space="0"/>
                    <w:left w:val="single" w:color="474747"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《工业企业厂界环境噪声排放标准》（GB12348-2008）3类标准（该执行标准由客户提供）</w:t>
                  </w:r>
                </w:p>
              </w:tc>
              <w:tc>
                <w:tcPr>
                  <w:tcW w:w="1094" w:type="pct"/>
                  <w:gridSpan w:val="2"/>
                  <w:tcBorders>
                    <w:top w:val="single" w:color="888E93" w:sz="8" w:space="0"/>
                    <w:left w:val="single" w:color="888E93" w:sz="8" w:space="0"/>
                    <w:bottom w:val="single" w:color="888E93" w:sz="8" w:space="0"/>
                    <w:right w:val="single" w:color="888E93"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65</w:t>
                  </w:r>
                </w:p>
              </w:tc>
              <w:tc>
                <w:tcPr>
                  <w:tcW w:w="811" w:type="pct"/>
                  <w:gridSpan w:val="2"/>
                  <w:tcBorders>
                    <w:top w:val="single" w:color="888E93" w:sz="8" w:space="0"/>
                    <w:left w:val="single" w:color="888E93" w:sz="8" w:space="0"/>
                    <w:bottom w:val="single" w:color="888E93" w:sz="8" w:space="0"/>
                    <w:right w:val="single" w:color="474747" w:sz="8" w:space="0"/>
                  </w:tcBorders>
                  <w:shd w:val="clear" w:color="auto" w:fill="FFFFFF"/>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lang w:val="en-US" w:eastAsia="zh-CN" w:bidi="ar"/>
                    </w:rPr>
                    <w:t>65</w:t>
                  </w:r>
                </w:p>
              </w:tc>
            </w:tr>
          </w:tbl>
          <w:p>
            <w:pPr>
              <w:pStyle w:val="32"/>
              <w:ind w:firstLine="0" w:firstLineChars="0"/>
              <w:jc w:val="center"/>
              <w:rPr>
                <w:rFonts w:hint="default" w:ascii="Times New Roman" w:hAnsi="Times New Roman" w:cs="Times New Roman"/>
                <w:szCs w:val="24"/>
                <w:lang w:val="en-US" w:eastAsia="zh-CN"/>
              </w:rPr>
            </w:pPr>
            <w:r>
              <w:rPr>
                <w:rFonts w:hint="default" w:ascii="Times New Roman" w:hAnsi="Times New Roman" w:cs="Times New Roman"/>
                <w:color w:val="auto"/>
                <w:sz w:val="24"/>
                <w:szCs w:val="24"/>
                <w:lang w:val="en-US" w:eastAsia="zh-CN"/>
              </w:rPr>
              <w:t>由表7-</w:t>
            </w:r>
            <w:r>
              <w:rPr>
                <w:rFonts w:hint="eastAsia" w:ascii="Times New Roman" w:hAnsi="Times New Roman" w:cs="Times New Roman"/>
                <w:color w:val="auto"/>
                <w:sz w:val="24"/>
                <w:szCs w:val="24"/>
                <w:lang w:val="en-US" w:eastAsia="zh-CN"/>
              </w:rPr>
              <w:t>3噪声</w:t>
            </w:r>
            <w:r>
              <w:rPr>
                <w:rFonts w:hint="default" w:ascii="Times New Roman" w:hAnsi="Times New Roman" w:cs="Times New Roman"/>
                <w:color w:val="auto"/>
                <w:sz w:val="24"/>
                <w:szCs w:val="24"/>
                <w:lang w:val="en-US" w:eastAsia="zh-CN"/>
              </w:rPr>
              <w:t>检测结果可知，项目</w:t>
            </w:r>
            <w:r>
              <w:rPr>
                <w:rFonts w:hint="eastAsia" w:ascii="Times New Roman" w:hAnsi="Times New Roman" w:cs="Times New Roman"/>
                <w:color w:val="auto"/>
                <w:sz w:val="24"/>
                <w:szCs w:val="24"/>
                <w:lang w:val="en-US" w:eastAsia="zh-CN"/>
              </w:rPr>
              <w:t>噪声</w:t>
            </w:r>
            <w:r>
              <w:rPr>
                <w:rFonts w:hint="default" w:ascii="Times New Roman" w:hAnsi="Times New Roman" w:cs="Times New Roman"/>
                <w:color w:val="auto"/>
                <w:sz w:val="24"/>
                <w:szCs w:val="24"/>
                <w:lang w:val="en-US" w:eastAsia="zh-CN"/>
              </w:rPr>
              <w:t>各监测点</w:t>
            </w:r>
            <w:r>
              <w:rPr>
                <w:rFonts w:hint="eastAsia" w:ascii="Times New Roman" w:hAnsi="Times New Roman" w:cs="Times New Roman"/>
                <w:color w:val="auto"/>
                <w:sz w:val="24"/>
                <w:szCs w:val="24"/>
                <w:lang w:val="en-US" w:eastAsia="zh-CN"/>
              </w:rPr>
              <w:t>满足《工业企业厂界环境噪声排放标准》（GB12348-2008）3类标准</w:t>
            </w:r>
          </w:p>
        </w:tc>
      </w:tr>
    </w:tbl>
    <w:p>
      <w:pPr>
        <w:pStyle w:val="5"/>
        <w:spacing w:before="0" w:beforeAutospacing="0" w:after="0" w:afterAutospacing="0"/>
        <w:rPr>
          <w:rFonts w:hint="default" w:ascii="Times New Roman" w:hAnsi="Times New Roman" w:cs="Times New Roman"/>
          <w:sz w:val="30"/>
          <w:szCs w:val="30"/>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5"/>
        <w:spacing w:before="0" w:beforeAutospacing="0" w:after="0" w:afterAutospacing="0"/>
        <w:rPr>
          <w:rFonts w:hint="default" w:ascii="Times New Roman" w:hAnsi="Times New Roman" w:cs="Times New Roman"/>
          <w:sz w:val="30"/>
          <w:szCs w:val="30"/>
        </w:rPr>
      </w:pPr>
      <w:bookmarkStart w:id="5" w:name="_GoBack"/>
      <w:bookmarkEnd w:id="5"/>
      <w:r>
        <w:rPr>
          <w:rFonts w:hint="default" w:ascii="Times New Roman" w:hAnsi="Times New Roman" w:cs="Times New Roman"/>
          <w:sz w:val="30"/>
          <w:szCs w:val="30"/>
        </w:rPr>
        <w:t>表八、环境管理检查</w:t>
      </w:r>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12" w:space="0"/>
          <w:insideV w:val="none" w:color="auto" w:sz="0" w:space="0"/>
        </w:tblBorders>
        <w:tblLayout w:type="fixed"/>
        <w:tblCellMar>
          <w:top w:w="0" w:type="dxa"/>
          <w:left w:w="108" w:type="dxa"/>
          <w:bottom w:w="0" w:type="dxa"/>
          <w:right w:w="108" w:type="dxa"/>
        </w:tblCellMar>
      </w:tblPr>
      <w:tblGrid>
        <w:gridCol w:w="9639"/>
      </w:tblGrid>
      <w:tr>
        <w:tblPrEx>
          <w:tblBorders>
            <w:top w:val="single" w:color="auto" w:sz="12" w:space="0"/>
            <w:left w:val="single" w:color="auto" w:sz="12" w:space="0"/>
            <w:bottom w:val="single" w:color="auto" w:sz="12" w:space="0"/>
            <w:right w:val="single" w:color="auto" w:sz="12" w:space="0"/>
            <w:insideH w:val="single" w:color="auto" w:sz="12" w:space="0"/>
            <w:insideV w:val="none" w:color="auto" w:sz="0" w:space="0"/>
          </w:tblBorders>
          <w:tblCellMar>
            <w:top w:w="0" w:type="dxa"/>
            <w:left w:w="108" w:type="dxa"/>
            <w:bottom w:w="0" w:type="dxa"/>
            <w:right w:w="108" w:type="dxa"/>
          </w:tblCellMar>
        </w:tblPrEx>
        <w:trPr>
          <w:trHeight w:val="12474" w:hRule="atLeast"/>
          <w:jc w:val="center"/>
        </w:trPr>
        <w:tc>
          <w:tcPr>
            <w:tcW w:w="9639" w:type="dxa"/>
            <w:noWrap w:val="0"/>
            <w:vAlign w:val="top"/>
          </w:tcPr>
          <w:p>
            <w:pPr>
              <w:pStyle w:val="32"/>
              <w:ind w:firstLine="0" w:firstLineChars="0"/>
              <w:jc w:val="both"/>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8.1</w:t>
            </w:r>
            <w:r>
              <w:rPr>
                <w:rFonts w:hint="eastAsia" w:ascii="Times New Roman" w:hAnsi="Times New Roman" w:cs="Times New Roman"/>
                <w:b/>
                <w:szCs w:val="24"/>
                <w:lang w:val="en-US" w:eastAsia="zh-CN"/>
              </w:rPr>
              <w:t>“</w:t>
            </w:r>
            <w:r>
              <w:rPr>
                <w:rFonts w:hint="default" w:ascii="Times New Roman" w:hAnsi="Times New Roman" w:cs="Times New Roman"/>
                <w:b/>
                <w:szCs w:val="24"/>
                <w:lang w:val="en-US" w:eastAsia="zh-CN"/>
              </w:rPr>
              <w:t>三同时</w:t>
            </w:r>
            <w:r>
              <w:rPr>
                <w:rFonts w:hint="eastAsia" w:ascii="Times New Roman" w:hAnsi="Times New Roman" w:cs="Times New Roman"/>
                <w:b/>
                <w:szCs w:val="24"/>
                <w:lang w:val="en-US" w:eastAsia="zh-CN"/>
              </w:rPr>
              <w:t>”</w:t>
            </w:r>
            <w:r>
              <w:rPr>
                <w:rFonts w:hint="default" w:ascii="Times New Roman" w:hAnsi="Times New Roman" w:cs="Times New Roman"/>
                <w:b/>
                <w:szCs w:val="24"/>
                <w:lang w:val="en-US" w:eastAsia="zh-CN"/>
              </w:rPr>
              <w:t>执行情况</w:t>
            </w:r>
          </w:p>
          <w:p>
            <w:pPr>
              <w:pStyle w:val="32"/>
              <w:rPr>
                <w:rFonts w:hint="default" w:ascii="Times New Roman" w:hAnsi="Times New Roman" w:cs="Times New Roman"/>
                <w:kern w:val="2"/>
                <w:szCs w:val="24"/>
                <w:lang w:val="en-US" w:eastAsia="zh-CN"/>
              </w:rPr>
            </w:pPr>
            <w:r>
              <w:rPr>
                <w:rFonts w:hint="eastAsia" w:ascii="Times New Roman" w:hAnsi="Times New Roman" w:cs="Times New Roman"/>
                <w:szCs w:val="24"/>
                <w:lang w:val="en-US" w:eastAsia="zh-CN"/>
              </w:rPr>
              <w:t>江西伟航新材料有限公司水泥构件及电力设施器材制造项目</w:t>
            </w:r>
            <w:r>
              <w:rPr>
                <w:rFonts w:hint="default" w:ascii="Times New Roman" w:hAnsi="Times New Roman" w:cs="Times New Roman"/>
                <w:kern w:val="2"/>
                <w:szCs w:val="24"/>
                <w:lang w:val="en-US" w:eastAsia="zh-CN"/>
              </w:rPr>
              <w:t>在实施过程中执行了国家建设项目环境保护</w:t>
            </w:r>
            <w:r>
              <w:rPr>
                <w:rFonts w:hint="eastAsia" w:ascii="Times New Roman" w:hAnsi="Times New Roman" w:cs="Times New Roman"/>
                <w:kern w:val="2"/>
                <w:szCs w:val="24"/>
                <w:lang w:val="en-US" w:eastAsia="zh-CN"/>
              </w:rPr>
              <w:t>“</w:t>
            </w:r>
            <w:r>
              <w:rPr>
                <w:rFonts w:hint="default" w:ascii="Times New Roman" w:hAnsi="Times New Roman" w:cs="Times New Roman"/>
                <w:kern w:val="2"/>
                <w:szCs w:val="24"/>
                <w:lang w:val="en-US" w:eastAsia="zh-CN"/>
              </w:rPr>
              <w:t>三同时</w:t>
            </w:r>
            <w:r>
              <w:rPr>
                <w:rFonts w:hint="eastAsia" w:ascii="Times New Roman" w:hAnsi="Times New Roman" w:cs="Times New Roman"/>
                <w:kern w:val="2"/>
                <w:szCs w:val="24"/>
                <w:lang w:val="en-US" w:eastAsia="zh-CN"/>
              </w:rPr>
              <w:t>”</w:t>
            </w:r>
            <w:r>
              <w:rPr>
                <w:rFonts w:hint="default" w:ascii="Times New Roman" w:hAnsi="Times New Roman" w:cs="Times New Roman"/>
                <w:kern w:val="2"/>
                <w:szCs w:val="24"/>
                <w:lang w:val="en-US" w:eastAsia="zh-CN"/>
              </w:rPr>
              <w:t>制度，基本落实了环评报告表及其审批文件中提出的各项污染防治措施，工程环保设施的建设实现了与主体工程同时设计、同时施工、同时投入运行，目前各类环保设施运行状况正常。</w:t>
            </w:r>
          </w:p>
          <w:p>
            <w:pPr>
              <w:pStyle w:val="32"/>
              <w:ind w:firstLine="0" w:firstLineChars="0"/>
              <w:jc w:val="both"/>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8.2固体废弃物综合利用处理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b w:val="0"/>
                <w:bCs w:val="0"/>
                <w:sz w:val="24"/>
              </w:rPr>
            </w:pPr>
            <w:r>
              <w:rPr>
                <w:rFonts w:hint="default" w:ascii="Times New Roman" w:hAnsi="Times New Roman" w:cs="Times New Roman"/>
                <w:b w:val="0"/>
                <w:bCs w:val="0"/>
                <w:sz w:val="24"/>
                <w:lang w:val="en-US" w:eastAsia="zh-CN"/>
              </w:rPr>
              <w:t>边角料、除尘灰、沉渣、搅拌机废渣收集后回用于生产；生活垃圾集中收集后交由环卫部门统一处理；涂刷脱模剂产生的废脱模剂桶收集后由厂家回收；设备润滑油产生的废润滑油桶收集后定</w:t>
            </w:r>
            <w:r>
              <w:rPr>
                <w:rFonts w:hint="default" w:ascii="Times New Roman" w:hAnsi="Times New Roman" w:cs="Times New Roman"/>
                <w:b w:val="0"/>
                <w:bCs w:val="0"/>
                <w:sz w:val="24"/>
              </w:rPr>
              <w:t>期交有资质的单位处置</w:t>
            </w:r>
          </w:p>
          <w:p>
            <w:pPr>
              <w:rPr>
                <w:rFonts w:hint="default" w:ascii="Times New Roman" w:hAnsi="Times New Roman" w:cs="Times New Roman"/>
                <w:b/>
                <w:bCs/>
                <w:sz w:val="24"/>
              </w:rPr>
            </w:pPr>
            <w:r>
              <w:rPr>
                <w:rFonts w:hint="default" w:ascii="Times New Roman" w:hAnsi="Times New Roman" w:cs="Times New Roman"/>
                <w:b/>
                <w:bCs/>
                <w:sz w:val="24"/>
              </w:rPr>
              <w:t>8.3清污分流情况</w:t>
            </w:r>
          </w:p>
          <w:p>
            <w:pPr>
              <w:pStyle w:val="1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江西伟航新材料有限公司</w:t>
            </w:r>
            <w:r>
              <w:rPr>
                <w:rFonts w:hint="default" w:ascii="Times New Roman" w:hAnsi="Times New Roman" w:cs="Times New Roman"/>
                <w:szCs w:val="24"/>
                <w:lang w:val="en-US" w:eastAsia="zh-CN" w:bidi="ar"/>
              </w:rPr>
              <w:t>按</w:t>
            </w:r>
            <w:r>
              <w:rPr>
                <w:rFonts w:hint="eastAsia" w:ascii="Times New Roman" w:hAnsi="Times New Roman" w:cs="Times New Roman"/>
                <w:szCs w:val="24"/>
                <w:lang w:val="en-US" w:eastAsia="zh-CN"/>
              </w:rPr>
              <w:t>“清污分流、</w:t>
            </w:r>
            <w:r>
              <w:rPr>
                <w:rFonts w:hint="default" w:ascii="Times New Roman" w:hAnsi="Times New Roman" w:cs="Times New Roman"/>
                <w:szCs w:val="24"/>
                <w:lang w:val="en-US" w:eastAsia="zh-CN"/>
              </w:rPr>
              <w:t>雨污分流</w:t>
            </w:r>
            <w:r>
              <w:rPr>
                <w:rFonts w:hint="eastAsia" w:ascii="Times New Roman" w:hAnsi="Times New Roman" w:cs="Times New Roman"/>
                <w:szCs w:val="24"/>
                <w:lang w:val="en-US" w:eastAsia="zh-CN"/>
              </w:rPr>
              <w:t>”原则</w:t>
            </w:r>
            <w:r>
              <w:rPr>
                <w:rFonts w:hint="default" w:ascii="Times New Roman" w:hAnsi="Times New Roman" w:cs="Times New Roman"/>
                <w:szCs w:val="24"/>
                <w:lang w:val="en-US" w:eastAsia="zh-CN"/>
              </w:rPr>
              <w:t>建设</w:t>
            </w:r>
            <w:r>
              <w:rPr>
                <w:rFonts w:hint="eastAsia" w:ascii="Times New Roman" w:hAnsi="Times New Roman" w:cs="Times New Roman"/>
                <w:szCs w:val="24"/>
                <w:lang w:val="en-US" w:eastAsia="zh-CN"/>
              </w:rPr>
              <w:t>排水管网</w:t>
            </w:r>
            <w:r>
              <w:rPr>
                <w:rFonts w:hint="default" w:ascii="Times New Roman" w:hAnsi="Times New Roman" w:cs="Times New Roman"/>
                <w:szCs w:val="24"/>
                <w:lang w:val="en-US" w:eastAsia="zh-CN"/>
              </w:rPr>
              <w:t>，</w:t>
            </w:r>
            <w:r>
              <w:t>项目应按“清污分流、雨污分流”原则建设排水管网，废水主要为生活污水和生产废水。生活污水经隔油池+化粪池处理后满足机电产业基地污水处理厂接管标准要求后排入园区污水处理厂处理；生产废水经沉淀池沉淀处理后部分用于产区道路洒水抑尘，部分回抽用于生产，不外排。</w:t>
            </w:r>
          </w:p>
          <w:p>
            <w:pPr>
              <w:pStyle w:val="32"/>
              <w:ind w:firstLine="0" w:firstLineChars="0"/>
              <w:jc w:val="both"/>
              <w:rPr>
                <w:rFonts w:hint="default" w:ascii="Times New Roman" w:hAnsi="Times New Roman" w:cs="Times New Roman"/>
                <w:b/>
                <w:bCs/>
                <w:szCs w:val="24"/>
                <w:lang w:val="en-US" w:eastAsia="zh-CN" w:bidi="ar"/>
              </w:rPr>
            </w:pPr>
            <w:r>
              <w:rPr>
                <w:rFonts w:hint="default" w:ascii="Times New Roman" w:hAnsi="Times New Roman" w:cs="Times New Roman"/>
                <w:b/>
                <w:bCs/>
                <w:szCs w:val="24"/>
                <w:lang w:val="en-US" w:eastAsia="zh-CN" w:bidi="ar"/>
              </w:rPr>
              <w:t>8.4环境保护管理规章制度的建立及执行情况</w:t>
            </w:r>
          </w:p>
          <w:p>
            <w:pPr>
              <w:pStyle w:val="32"/>
              <w:jc w:val="both"/>
              <w:rPr>
                <w:rFonts w:hint="default" w:ascii="Times New Roman" w:hAnsi="Times New Roman" w:cs="Times New Roman"/>
                <w:szCs w:val="24"/>
                <w:lang w:val="en-US" w:eastAsia="zh-CN" w:bidi="ar"/>
              </w:rPr>
            </w:pPr>
            <w:r>
              <w:rPr>
                <w:rFonts w:hint="eastAsia" w:ascii="Times New Roman" w:hAnsi="Times New Roman" w:cs="Times New Roman"/>
                <w:szCs w:val="24"/>
                <w:lang w:val="en-US" w:eastAsia="zh-CN"/>
              </w:rPr>
              <w:t>江西伟航新材料有限公司</w:t>
            </w:r>
            <w:r>
              <w:rPr>
                <w:rFonts w:hint="default" w:ascii="Times New Roman" w:hAnsi="Times New Roman" w:cs="Times New Roman"/>
                <w:szCs w:val="24"/>
                <w:lang w:val="en-US" w:eastAsia="zh-CN" w:bidi="ar"/>
              </w:rPr>
              <w:t>根据实际情况编制了相关环境保护的规章管理制度，见附件</w:t>
            </w:r>
            <w:r>
              <w:rPr>
                <w:rFonts w:hint="eastAsia" w:ascii="Times New Roman" w:hAnsi="Times New Roman" w:cs="Times New Roman"/>
                <w:szCs w:val="24"/>
                <w:lang w:val="en-US" w:eastAsia="zh-CN" w:bidi="ar"/>
              </w:rPr>
              <w:t>3</w:t>
            </w:r>
            <w:r>
              <w:rPr>
                <w:rFonts w:hint="default" w:ascii="Times New Roman" w:hAnsi="Times New Roman" w:cs="Times New Roman"/>
                <w:szCs w:val="24"/>
                <w:lang w:val="en-US" w:eastAsia="zh-CN" w:bidi="ar"/>
              </w:rPr>
              <w:t>。</w:t>
            </w:r>
          </w:p>
          <w:p>
            <w:pPr>
              <w:pStyle w:val="32"/>
              <w:ind w:firstLine="0" w:firstLineChars="0"/>
              <w:jc w:val="both"/>
              <w:rPr>
                <w:rFonts w:hint="eastAsia" w:ascii="Times New Roman" w:hAnsi="Times New Roman" w:cs="Times New Roman"/>
                <w:b/>
                <w:bCs/>
                <w:szCs w:val="24"/>
                <w:lang w:val="en-US" w:eastAsia="zh-CN" w:bidi="ar"/>
              </w:rPr>
            </w:pPr>
            <w:r>
              <w:rPr>
                <w:rFonts w:hint="eastAsia" w:ascii="Times New Roman" w:hAnsi="Times New Roman" w:cs="Times New Roman"/>
                <w:b/>
                <w:bCs/>
                <w:szCs w:val="24"/>
                <w:lang w:val="en-US" w:eastAsia="zh-CN" w:bidi="ar"/>
              </w:rPr>
              <w:t>8.5卫生防护距离落实情况</w:t>
            </w:r>
          </w:p>
          <w:p>
            <w:pPr>
              <w:pStyle w:val="32"/>
              <w:jc w:val="both"/>
              <w:rPr>
                <w:rFonts w:hint="default" w:ascii="Times New Roman" w:hAnsi="Times New Roman" w:eastAsia="宋体" w:cs="Times New Roman"/>
                <w:szCs w:val="24"/>
                <w:lang w:val="en-US" w:eastAsia="zh-CN"/>
              </w:rPr>
            </w:pPr>
            <w:r>
              <w:rPr>
                <w:rFonts w:hint="eastAsia" w:ascii="Times New Roman" w:hAnsi="Times New Roman" w:eastAsia="宋体" w:cs="Times New Roman"/>
                <w:szCs w:val="24"/>
                <w:lang w:val="en-US" w:eastAsia="zh-CN"/>
              </w:rPr>
              <w:t>根据现场勘察，本项目</w:t>
            </w:r>
            <w:r>
              <w:rPr>
                <w:rFonts w:hint="default" w:ascii="Times New Roman" w:hAnsi="Times New Roman" w:eastAsia="宋体" w:cs="Times New Roman"/>
                <w:szCs w:val="24"/>
                <w:lang w:val="en-US" w:eastAsia="zh-CN"/>
              </w:rPr>
              <w:t>厂界</w:t>
            </w:r>
            <w:r>
              <w:rPr>
                <w:rFonts w:hint="eastAsia" w:ascii="Times New Roman" w:hAnsi="Times New Roman" w:eastAsia="宋体" w:cs="Times New Roman"/>
                <w:szCs w:val="24"/>
                <w:lang w:val="en-US" w:eastAsia="zh-CN"/>
              </w:rPr>
              <w:t>50m范围内无</w:t>
            </w:r>
            <w:r>
              <w:rPr>
                <w:rFonts w:hint="default" w:ascii="Times New Roman" w:hAnsi="Times New Roman" w:eastAsia="宋体" w:cs="Times New Roman"/>
                <w:szCs w:val="24"/>
                <w:lang w:val="en-US" w:eastAsia="zh-CN"/>
              </w:rPr>
              <w:t>新建居民住宅、学校、医院或其他环境敏感性建筑物以及和本项目不相容的项目</w:t>
            </w:r>
            <w:r>
              <w:rPr>
                <w:rFonts w:hint="eastAsia" w:ascii="Times New Roman" w:hAnsi="Times New Roman" w:eastAsia="宋体" w:cs="Times New Roman"/>
                <w:szCs w:val="24"/>
                <w:lang w:val="en-US" w:eastAsia="zh-CN"/>
              </w:rPr>
              <w:t>，符合5</w:t>
            </w:r>
            <w:r>
              <w:rPr>
                <w:rFonts w:hint="default" w:ascii="Times New Roman" w:hAnsi="Times New Roman" w:eastAsia="宋体" w:cs="Times New Roman"/>
                <w:szCs w:val="24"/>
                <w:lang w:val="en-US" w:eastAsia="zh-CN"/>
              </w:rPr>
              <w:t>0m卫生防护距离</w:t>
            </w:r>
            <w:r>
              <w:rPr>
                <w:rFonts w:hint="eastAsia" w:ascii="Times New Roman" w:hAnsi="Times New Roman" w:eastAsia="宋体" w:cs="Times New Roman"/>
                <w:szCs w:val="24"/>
                <w:lang w:val="en-US" w:eastAsia="zh-CN"/>
              </w:rPr>
              <w:t>要求</w:t>
            </w:r>
            <w:r>
              <w:rPr>
                <w:rFonts w:hint="default" w:ascii="Times New Roman" w:hAnsi="Times New Roman" w:eastAsia="宋体" w:cs="Times New Roman"/>
                <w:szCs w:val="24"/>
                <w:lang w:val="en-US" w:eastAsia="zh-CN"/>
              </w:rPr>
              <w:t>。</w:t>
            </w:r>
          </w:p>
          <w:p>
            <w:pPr>
              <w:pStyle w:val="32"/>
              <w:ind w:firstLine="0" w:firstLineChars="0"/>
              <w:jc w:val="both"/>
              <w:rPr>
                <w:rFonts w:hint="default" w:ascii="Times New Roman" w:hAnsi="Times New Roman" w:cs="Times New Roman"/>
                <w:b/>
                <w:bCs/>
                <w:szCs w:val="24"/>
                <w:lang w:val="en-US" w:eastAsia="zh-CN" w:bidi="ar"/>
              </w:rPr>
            </w:pPr>
            <w:r>
              <w:rPr>
                <w:rFonts w:hint="default" w:ascii="Times New Roman" w:hAnsi="Times New Roman" w:cs="Times New Roman"/>
                <w:b/>
                <w:bCs/>
                <w:szCs w:val="24"/>
                <w:lang w:val="en-US" w:eastAsia="zh-CN" w:bidi="ar"/>
              </w:rPr>
              <w:t>8.</w:t>
            </w:r>
            <w:r>
              <w:rPr>
                <w:rFonts w:hint="eastAsia" w:ascii="Times New Roman" w:hAnsi="Times New Roman" w:cs="Times New Roman"/>
                <w:b/>
                <w:bCs/>
                <w:szCs w:val="24"/>
                <w:lang w:val="en-US" w:eastAsia="zh-CN" w:bidi="ar"/>
              </w:rPr>
              <w:t>6</w:t>
            </w:r>
            <w:r>
              <w:rPr>
                <w:rFonts w:hint="default" w:ascii="Times New Roman" w:hAnsi="Times New Roman" w:cs="Times New Roman"/>
                <w:b/>
                <w:bCs/>
                <w:szCs w:val="24"/>
                <w:lang w:val="en-US" w:eastAsia="zh-CN" w:bidi="ar"/>
              </w:rPr>
              <w:t>环境影响评价报告表建议及批复执行情况</w:t>
            </w:r>
          </w:p>
          <w:p>
            <w:pPr>
              <w:pStyle w:val="32"/>
              <w:jc w:val="both"/>
              <w:rPr>
                <w:rFonts w:hint="default"/>
              </w:rPr>
            </w:pPr>
            <w:r>
              <w:rPr>
                <w:rFonts w:hint="default" w:ascii="Times New Roman" w:hAnsi="Times New Roman" w:cs="Times New Roman"/>
                <w:szCs w:val="24"/>
                <w:lang w:val="en-US" w:eastAsia="zh-CN" w:bidi="ar"/>
              </w:rPr>
              <w:t>建设项目已按照项目环境影响评价报告表和环评审批意见落实了相关环保措施，具体情况见表8-1。</w:t>
            </w:r>
          </w:p>
          <w:p>
            <w:pPr>
              <w:ind w:right="420" w:firstLine="482"/>
              <w:jc w:val="center"/>
              <w:rPr>
                <w:rFonts w:hint="default" w:ascii="Times New Roman" w:hAnsi="Times New Roman" w:cs="Times New Roman"/>
                <w:b/>
                <w:bCs/>
                <w:color w:val="auto"/>
                <w:szCs w:val="21"/>
              </w:rPr>
            </w:pPr>
            <w:r>
              <w:rPr>
                <w:rFonts w:hint="default" w:ascii="Times New Roman" w:hAnsi="Times New Roman" w:cs="Times New Roman"/>
                <w:b/>
                <w:bCs/>
                <w:color w:val="auto"/>
                <w:szCs w:val="21"/>
              </w:rPr>
              <w:t>表8-1 环境影响评价报告表、环评审批意见及实际建设落实情况一览表</w:t>
            </w:r>
          </w:p>
          <w:tbl>
            <w:tblPr>
              <w:tblStyle w:val="21"/>
              <w:tblW w:w="9482" w:type="dxa"/>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663"/>
              <w:gridCol w:w="1066"/>
              <w:gridCol w:w="2565"/>
              <w:gridCol w:w="2592"/>
              <w:gridCol w:w="2596"/>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3" w:type="dxa"/>
                  <w:noWrap w:val="0"/>
                  <w:vAlign w:val="center"/>
                </w:tcPr>
                <w:p>
                  <w:pPr>
                    <w:tabs>
                      <w:tab w:val="center" w:pos="-180"/>
                    </w:tabs>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类别</w:t>
                  </w:r>
                </w:p>
              </w:tc>
              <w:tc>
                <w:tcPr>
                  <w:tcW w:w="1066" w:type="dxa"/>
                  <w:noWrap w:val="0"/>
                  <w:vAlign w:val="center"/>
                </w:tcPr>
                <w:p>
                  <w:pPr>
                    <w:tabs>
                      <w:tab w:val="center" w:pos="-180"/>
                    </w:tabs>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污染物</w:t>
                  </w:r>
                </w:p>
              </w:tc>
              <w:tc>
                <w:tcPr>
                  <w:tcW w:w="2565" w:type="dxa"/>
                  <w:noWrap w:val="0"/>
                  <w:vAlign w:val="center"/>
                </w:tcPr>
                <w:p>
                  <w:pPr>
                    <w:tabs>
                      <w:tab w:val="center" w:pos="-180"/>
                    </w:tabs>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环评要求防治措施</w:t>
                  </w:r>
                </w:p>
              </w:tc>
              <w:tc>
                <w:tcPr>
                  <w:tcW w:w="2592" w:type="dxa"/>
                  <w:noWrap w:val="0"/>
                  <w:vAlign w:val="center"/>
                </w:tcPr>
                <w:p>
                  <w:pPr>
                    <w:tabs>
                      <w:tab w:val="center" w:pos="-180"/>
                    </w:tabs>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批复要求</w:t>
                  </w:r>
                </w:p>
              </w:tc>
              <w:tc>
                <w:tcPr>
                  <w:tcW w:w="2596" w:type="dxa"/>
                  <w:noWrap w:val="0"/>
                  <w:vAlign w:val="center"/>
                </w:tcPr>
                <w:p>
                  <w:pPr>
                    <w:tabs>
                      <w:tab w:val="center" w:pos="-180"/>
                    </w:tabs>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实际情况</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3" w:type="dxa"/>
                  <w:noWrap w:val="0"/>
                  <w:vAlign w:val="center"/>
                </w:tcPr>
                <w:p>
                  <w:pPr>
                    <w:tabs>
                      <w:tab w:val="center" w:pos="-180"/>
                    </w:tabs>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生活污水</w:t>
                  </w:r>
                </w:p>
              </w:tc>
              <w:tc>
                <w:tcPr>
                  <w:tcW w:w="1066" w:type="dxa"/>
                  <w:noWrap w:val="0"/>
                  <w:vAlign w:val="center"/>
                </w:tcPr>
                <w:p>
                  <w:pPr>
                    <w:tabs>
                      <w:tab w:val="center" w:pos="-180"/>
                    </w:tabs>
                    <w:jc w:val="center"/>
                    <w:rPr>
                      <w:rFonts w:hint="default" w:ascii="Times New Roman" w:hAnsi="Times New Roman" w:eastAsia="宋体" w:cs="Times New Roman"/>
                      <w:sz w:val="21"/>
                      <w:szCs w:val="21"/>
                    </w:rPr>
                  </w:pPr>
                  <w:r>
                    <w:rPr>
                      <w:rFonts w:hint="default" w:ascii="Times New Roman" w:hAnsi="Times New Roman" w:eastAsia="宋体" w:cs="Times New Roman"/>
                      <w:kern w:val="0"/>
                      <w:sz w:val="21"/>
                      <w:szCs w:val="21"/>
                      <w:lang w:val="en-US" w:eastAsia="zh-CN"/>
                    </w:rPr>
                    <w:t>pH、CODcr、SS、动植物油、LAS、TP、氨氮</w:t>
                  </w:r>
                </w:p>
              </w:tc>
              <w:tc>
                <w:tcPr>
                  <w:tcW w:w="2565" w:type="dxa"/>
                  <w:noWrap w:val="0"/>
                  <w:vAlign w:val="center"/>
                </w:tcPr>
                <w:p>
                  <w:pPr>
                    <w:pStyle w:val="18"/>
                    <w:keepNext w:val="0"/>
                    <w:keepLines w:val="0"/>
                    <w:widowControl/>
                    <w:suppressLineNumbers w:val="0"/>
                    <w:spacing w:before="0" w:beforeAutospacing="0" w:after="0" w:afterAutospacing="0" w:line="340" w:lineRule="exact"/>
                    <w:ind w:left="0" w:leftChars="0" w:right="0" w:rightChars="0" w:firstLine="0" w:firstLineChars="0"/>
                    <w:jc w:val="center"/>
                    <w:rPr>
                      <w:rFonts w:hint="default" w:ascii="Times New Roman" w:hAnsi="Times New Roman" w:eastAsia="宋体" w:cs="Times New Roman"/>
                      <w:color w:val="000000"/>
                      <w:kern w:val="21"/>
                      <w:sz w:val="21"/>
                      <w:szCs w:val="21"/>
                      <w:highlight w:val="none"/>
                      <w:lang w:val="en-US" w:eastAsia="zh-CN"/>
                    </w:rPr>
                  </w:pPr>
                  <w:r>
                    <w:rPr>
                      <w:rFonts w:hint="default" w:ascii="Times New Roman" w:hAnsi="Times New Roman" w:eastAsia="宋体" w:cs="Times New Roman"/>
                      <w:sz w:val="21"/>
                      <w:szCs w:val="21"/>
                    </w:rPr>
                    <w:t>生活废水经化粪池处理后经园区市政污水管网进入袁州区彬江机电产业园污水处理厂处理达到《城镇污水处理厂污水排放标准》(GB18918-2002)一级A标准后，尾水排入袁河。</w:t>
                  </w:r>
                </w:p>
              </w:tc>
              <w:tc>
                <w:tcPr>
                  <w:tcW w:w="2592" w:type="dxa"/>
                  <w:noWrap w:val="0"/>
                  <w:vAlign w:val="center"/>
                </w:tcPr>
                <w:p>
                  <w:pPr>
                    <w:pStyle w:val="18"/>
                    <w:keepNext w:val="0"/>
                    <w:keepLines w:val="0"/>
                    <w:widowControl/>
                    <w:suppressLineNumbers w:val="0"/>
                    <w:spacing w:before="0" w:beforeAutospacing="0" w:after="0" w:afterAutospacing="0" w:line="340" w:lineRule="exact"/>
                    <w:ind w:left="0" w:leftChars="0" w:right="0" w:rightChars="0" w:firstLine="0" w:firstLineChars="0"/>
                    <w:jc w:val="center"/>
                    <w:rPr>
                      <w:rFonts w:hint="default" w:ascii="Times New Roman" w:hAnsi="Times New Roman" w:eastAsia="宋体" w:cs="Times New Roman"/>
                      <w:color w:val="000000"/>
                      <w:kern w:val="21"/>
                      <w:sz w:val="21"/>
                      <w:szCs w:val="21"/>
                      <w:highlight w:val="none"/>
                      <w:lang w:val="en-US" w:eastAsia="zh-CN"/>
                    </w:rPr>
                  </w:pPr>
                  <w:r>
                    <w:rPr>
                      <w:rFonts w:hint="default" w:ascii="Times New Roman" w:hAnsi="Times New Roman" w:eastAsia="宋体" w:cs="Times New Roman"/>
                      <w:sz w:val="21"/>
                      <w:szCs w:val="21"/>
                    </w:rPr>
                    <w:t>生活废水经化粪池处理后经园区市政污水管网进入袁州区彬江机电产业园污水处理厂处理达到《城镇污水处理厂污水排放标准》(GB18918-2002)一级A标准后，尾水排入袁河。</w:t>
                  </w:r>
                </w:p>
              </w:tc>
              <w:tc>
                <w:tcPr>
                  <w:tcW w:w="2596" w:type="dxa"/>
                  <w:noWrap w:val="0"/>
                  <w:vAlign w:val="center"/>
                </w:tcPr>
                <w:p>
                  <w:pPr>
                    <w:pStyle w:val="18"/>
                    <w:keepNext w:val="0"/>
                    <w:keepLines w:val="0"/>
                    <w:widowControl/>
                    <w:suppressLineNumbers w:val="0"/>
                    <w:spacing w:before="0" w:beforeAutospacing="0" w:after="0" w:afterAutospacing="0" w:line="340" w:lineRule="exact"/>
                    <w:ind w:left="0" w:leftChars="0" w:right="0" w:rightChars="0" w:firstLine="0" w:firstLineChars="0"/>
                    <w:jc w:val="center"/>
                    <w:rPr>
                      <w:rFonts w:hint="default" w:ascii="Times New Roman" w:hAnsi="Times New Roman" w:eastAsia="宋体" w:cs="Times New Roman"/>
                      <w:color w:val="000000"/>
                      <w:kern w:val="21"/>
                      <w:sz w:val="21"/>
                      <w:szCs w:val="21"/>
                      <w:highlight w:val="none"/>
                      <w:lang w:val="en-US" w:eastAsia="zh-CN"/>
                    </w:rPr>
                  </w:pPr>
                  <w:r>
                    <w:rPr>
                      <w:rFonts w:hint="default" w:ascii="Times New Roman" w:hAnsi="Times New Roman" w:eastAsia="宋体" w:cs="Times New Roman"/>
                      <w:sz w:val="21"/>
                      <w:szCs w:val="21"/>
                    </w:rPr>
                    <w:t>生活废水经化粪池处理后经园区市政污水管网进入袁州区彬江机电产业园污水处理厂处理达到《城镇污水处理厂污水排放标准》(GB18918-2002)一级A标准后，尾水排入袁河。</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373" w:hRule="atLeast"/>
                <w:jc w:val="center"/>
              </w:trPr>
              <w:tc>
                <w:tcPr>
                  <w:tcW w:w="663" w:type="dxa"/>
                  <w:noWrap w:val="0"/>
                  <w:vAlign w:val="center"/>
                </w:tcPr>
                <w:p>
                  <w:pPr>
                    <w:tabs>
                      <w:tab w:val="center" w:pos="-18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清洗废水</w:t>
                  </w:r>
                </w:p>
              </w:tc>
              <w:tc>
                <w:tcPr>
                  <w:tcW w:w="1066" w:type="dxa"/>
                  <w:noWrap w:val="0"/>
                  <w:vAlign w:val="center"/>
                </w:tcPr>
                <w:p>
                  <w:pPr>
                    <w:tabs>
                      <w:tab w:val="center" w:pos="-180"/>
                    </w:tabs>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2"/>
                      <w:sz w:val="21"/>
                      <w:szCs w:val="21"/>
                      <w:lang w:val="en-US" w:eastAsia="zh-CN" w:bidi="ar-SA"/>
                    </w:rPr>
                    <w:t>pH、CODcr、SS、石油类、LAS、TP、氨氮</w:t>
                  </w:r>
                </w:p>
              </w:tc>
              <w:tc>
                <w:tcPr>
                  <w:tcW w:w="2565" w:type="dxa"/>
                  <w:noWrap w:val="0"/>
                  <w:vAlign w:val="center"/>
                </w:tcPr>
                <w:p>
                  <w:pPr>
                    <w:pStyle w:val="18"/>
                    <w:keepNext w:val="0"/>
                    <w:keepLines w:val="0"/>
                    <w:widowControl/>
                    <w:suppressLineNumbers w:val="0"/>
                    <w:spacing w:before="0" w:beforeAutospacing="0" w:after="0" w:afterAutospacing="0" w:line="340" w:lineRule="exact"/>
                    <w:ind w:left="0" w:leftChars="0" w:right="0" w:rightChars="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项目废水主要为生产过程中产生的洗车用水和生活废水。</w:t>
                  </w:r>
                </w:p>
              </w:tc>
              <w:tc>
                <w:tcPr>
                  <w:tcW w:w="2592" w:type="dxa"/>
                  <w:noWrap w:val="0"/>
                  <w:vAlign w:val="center"/>
                </w:tcPr>
                <w:p>
                  <w:pPr>
                    <w:pStyle w:val="18"/>
                    <w:keepNext w:val="0"/>
                    <w:keepLines w:val="0"/>
                    <w:widowControl/>
                    <w:suppressLineNumbers w:val="0"/>
                    <w:spacing w:before="0" w:beforeAutospacing="0" w:after="0" w:afterAutospacing="0" w:line="340" w:lineRule="exact"/>
                    <w:ind w:left="0" w:leftChars="0" w:right="0" w:rightChars="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项目废水主要为生产过程中产生的洗车用水和生活废水。</w:t>
                  </w:r>
                </w:p>
              </w:tc>
              <w:tc>
                <w:tcPr>
                  <w:tcW w:w="2596" w:type="dxa"/>
                  <w:noWrap w:val="0"/>
                  <w:vAlign w:val="center"/>
                </w:tcPr>
                <w:p>
                  <w:pPr>
                    <w:pStyle w:val="18"/>
                    <w:keepNext w:val="0"/>
                    <w:keepLines w:val="0"/>
                    <w:widowControl/>
                    <w:suppressLineNumbers w:val="0"/>
                    <w:spacing w:before="0" w:beforeAutospacing="0" w:after="0" w:afterAutospacing="0" w:line="340" w:lineRule="exact"/>
                    <w:ind w:left="0" w:leftChars="0" w:right="0" w:rightChars="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项目废水主要为生产过程中产生的洗车用水和生活废水。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650" w:hRule="atLeast"/>
                <w:jc w:val="center"/>
              </w:trPr>
              <w:tc>
                <w:tcPr>
                  <w:tcW w:w="663" w:type="dxa"/>
                  <w:noWrap w:val="0"/>
                  <w:vAlign w:val="center"/>
                </w:tcPr>
                <w:p>
                  <w:pPr>
                    <w:tabs>
                      <w:tab w:val="center" w:pos="-180"/>
                    </w:tabs>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废气</w:t>
                  </w:r>
                </w:p>
              </w:tc>
              <w:tc>
                <w:tcPr>
                  <w:tcW w:w="1066" w:type="dxa"/>
                  <w:noWrap w:val="0"/>
                  <w:vAlign w:val="center"/>
                </w:tcPr>
                <w:p>
                  <w:pPr>
                    <w:spacing w:line="340" w:lineRule="exact"/>
                    <w:jc w:val="center"/>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color w:val="000000"/>
                      <w:kern w:val="21"/>
                      <w:sz w:val="21"/>
                      <w:szCs w:val="21"/>
                      <w:highlight w:val="none"/>
                      <w:lang w:val="en-US" w:eastAsia="zh-CN"/>
                    </w:rPr>
                    <w:t>颗粒物</w:t>
                  </w:r>
                </w:p>
              </w:tc>
              <w:tc>
                <w:tcPr>
                  <w:tcW w:w="2565" w:type="dxa"/>
                  <w:noWrap w:val="0"/>
                  <w:vAlign w:val="center"/>
                </w:tcPr>
                <w:p>
                  <w:pPr>
                    <w:pStyle w:val="18"/>
                    <w:keepNext w:val="0"/>
                    <w:keepLines w:val="0"/>
                    <w:widowControl/>
                    <w:suppressLineNumbers w:val="0"/>
                    <w:spacing w:before="0" w:beforeAutospacing="0" w:after="0" w:afterAutospacing="0"/>
                    <w:ind w:left="0" w:right="0" w:firstLine="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本项目废气主要焊接烟尘、原料装卸粉尘、运输扬尘、搅拌粉尘、水泥罐废气。项目焊接烟尘经移动式焊接烟尘净化器处理后，无组织排放，项目原料装卸粉尘经洒水抑尘处理后，无组织排放，项目运输扬尘经洒水降尘处理后，无组织排放，项目搅拌粉尘经喷淋洒水装置抑尘处理后，无组织排放；水泥罐废气经脉冲除尘处理后，通过1根15m排气筒(DA001)高空排放；项目有组织污染物颗粒物排放执行《水泥工业大气污染物排放标准》(GB4915-2013)标准限值，无组织污染物颗粒物排放执行《水泥工业大气污染物排放标准》(GB4915-2013)标准限值。</w:t>
                  </w:r>
                </w:p>
              </w:tc>
              <w:tc>
                <w:tcPr>
                  <w:tcW w:w="2592" w:type="dxa"/>
                  <w:noWrap w:val="0"/>
                  <w:vAlign w:val="center"/>
                </w:tcPr>
                <w:p>
                  <w:pPr>
                    <w:pStyle w:val="18"/>
                    <w:keepNext w:val="0"/>
                    <w:keepLines w:val="0"/>
                    <w:widowControl/>
                    <w:suppressLineNumbers w:val="0"/>
                    <w:spacing w:before="0" w:beforeAutospacing="0" w:after="0" w:afterAutospacing="0"/>
                    <w:ind w:left="0" w:right="0" w:firstLine="0"/>
                    <w:rPr>
                      <w:rFonts w:hint="default" w:ascii="Times New Roman" w:hAnsi="Times New Roman" w:eastAsia="宋体" w:cs="Times New Roman"/>
                      <w:kern w:val="0"/>
                      <w:sz w:val="21"/>
                      <w:szCs w:val="21"/>
                      <w:lang w:val="en-US" w:eastAsia="zh-CN" w:bidi="ar"/>
                    </w:rPr>
                  </w:pPr>
                  <w:r>
                    <w:rPr>
                      <w:rFonts w:hint="default" w:ascii="Times New Roman" w:hAnsi="Times New Roman" w:eastAsia="宋体" w:cs="Times New Roman"/>
                      <w:sz w:val="21"/>
                      <w:szCs w:val="21"/>
                    </w:rPr>
                    <w:t>本项目废气主要焊接烟尘、原料装卸粉尘、运输扬尘、搅拌粉尘、水泥罐废气。项目焊接烟尘经移动式焊接烟尘净化器处理后，无组织排放，项目原料装卸粉尘经洒水抑尘处理后，无组织排放，项目运输扬尘经洒水降尘处理后，无组织排放，项目搅拌粉尘经喷淋洒水装置抑尘处理后，无组织排放；水泥罐废气经脉冲除尘处理后，通过1根15m排气筒(DA001)高空排放；项目有组织污染物颗粒物排放执行《水泥工业大气污染物排放标准》(GB4915-2013)标准限值，无组织污染物颗粒物排放执行《水泥工业大气污染物排放标准》(GB4915-2013)标准限值。</w:t>
                  </w:r>
                </w:p>
              </w:tc>
              <w:tc>
                <w:tcPr>
                  <w:tcW w:w="2596" w:type="dxa"/>
                  <w:noWrap w:val="0"/>
                  <w:vAlign w:val="center"/>
                </w:tcPr>
                <w:p>
                  <w:pPr>
                    <w:pStyle w:val="18"/>
                    <w:keepNext w:val="0"/>
                    <w:keepLines w:val="0"/>
                    <w:widowControl/>
                    <w:suppressLineNumbers w:val="0"/>
                    <w:spacing w:before="0" w:beforeAutospacing="0" w:after="0" w:afterAutospacing="0"/>
                    <w:ind w:left="0" w:right="0" w:firstLine="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本项目废气主要焊接烟尘、原料装卸粉尘、运输扬尘、搅拌粉尘、水泥罐废气。项目焊接烟尘经移动式焊接烟尘净化器处理后，无组织排放，项目原料装卸粉尘经洒水抑尘处理后，无组织排放，项目运输扬尘经洒水降尘处理后，无组织排放，项目搅拌粉尘经喷淋洒水装置抑尘处理后，无组织排放；水泥罐废气经脉冲除尘处理后，通过1根15m排气筒(DA001)高空排放；项目有组织污染物颗粒物排放执行《水泥工业大气污染物排放标准》 (GB4915-2013)标准限值，无组织污染物颗粒物排放执行《水泥工业大气污染物排放标准》(GB4915-2013)标准限值。</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63" w:type="dxa"/>
                  <w:noWrap w:val="0"/>
                  <w:vAlign w:val="center"/>
                </w:tcPr>
                <w:p>
                  <w:pPr>
                    <w:tabs>
                      <w:tab w:val="center" w:pos="-180"/>
                    </w:tabs>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厂界噪声</w:t>
                  </w:r>
                </w:p>
              </w:tc>
              <w:tc>
                <w:tcPr>
                  <w:tcW w:w="1066" w:type="dxa"/>
                  <w:noWrap w:val="0"/>
                  <w:vAlign w:val="center"/>
                </w:tcPr>
                <w:p>
                  <w:pPr>
                    <w:tabs>
                      <w:tab w:val="center" w:pos="-180"/>
                    </w:tabs>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等效连续A声级</w:t>
                  </w:r>
                </w:p>
              </w:tc>
              <w:tc>
                <w:tcPr>
                  <w:tcW w:w="2565" w:type="dxa"/>
                  <w:noWrap w:val="0"/>
                  <w:vAlign w:val="center"/>
                </w:tcPr>
                <w:p>
                  <w:pPr>
                    <w:spacing w:line="34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sz w:val="21"/>
                      <w:szCs w:val="21"/>
                      <w:lang w:val="en-US" w:eastAsia="zh-CN"/>
                    </w:rPr>
                    <w:t>厂房隔声、减震、消声处理。</w:t>
                  </w:r>
                </w:p>
              </w:tc>
              <w:tc>
                <w:tcPr>
                  <w:tcW w:w="2592" w:type="dxa"/>
                  <w:noWrap w:val="0"/>
                  <w:vAlign w:val="center"/>
                </w:tcPr>
                <w:p>
                  <w:pPr>
                    <w:spacing w:line="34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sz w:val="21"/>
                      <w:szCs w:val="21"/>
                      <w:lang w:val="en-US" w:eastAsia="zh-CN"/>
                    </w:rPr>
                    <w:t>通过减振、隔声、降噪等措施。</w:t>
                  </w:r>
                </w:p>
              </w:tc>
              <w:tc>
                <w:tcPr>
                  <w:tcW w:w="2596" w:type="dxa"/>
                  <w:noWrap w:val="0"/>
                  <w:vAlign w:val="center"/>
                </w:tcPr>
                <w:p>
                  <w:pPr>
                    <w:spacing w:line="340" w:lineRule="exact"/>
                    <w:jc w:val="center"/>
                    <w:rPr>
                      <w:rFonts w:hint="default" w:ascii="Times New Roman" w:hAnsi="Times New Roman" w:eastAsia="宋体" w:cs="Times New Roman"/>
                      <w:kern w:val="0"/>
                      <w:sz w:val="21"/>
                      <w:szCs w:val="21"/>
                    </w:rPr>
                  </w:pPr>
                  <w:r>
                    <w:rPr>
                      <w:rFonts w:hint="default" w:ascii="Times New Roman" w:hAnsi="Times New Roman" w:eastAsia="宋体" w:cs="Times New Roman"/>
                      <w:color w:val="auto"/>
                      <w:sz w:val="21"/>
                      <w:szCs w:val="21"/>
                      <w:lang w:val="en-US" w:eastAsia="zh-CN"/>
                    </w:rPr>
                    <w:t>厂房隔声、减震、消声处理。</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531" w:hRule="atLeast"/>
                <w:jc w:val="center"/>
              </w:trPr>
              <w:tc>
                <w:tcPr>
                  <w:tcW w:w="663" w:type="dxa"/>
                  <w:vMerge w:val="restart"/>
                  <w:noWrap w:val="0"/>
                  <w:vAlign w:val="center"/>
                </w:tcPr>
                <w:p>
                  <w:pPr>
                    <w:tabs>
                      <w:tab w:val="center" w:pos="-18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固废</w:t>
                  </w:r>
                </w:p>
              </w:tc>
              <w:tc>
                <w:tcPr>
                  <w:tcW w:w="1066" w:type="dxa"/>
                  <w:noWrap w:val="0"/>
                  <w:vAlign w:val="center"/>
                </w:tcPr>
                <w:p>
                  <w:pPr>
                    <w:spacing w:line="34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废弃润滑油</w:t>
                  </w:r>
                </w:p>
              </w:tc>
              <w:tc>
                <w:tcPr>
                  <w:tcW w:w="2565" w:type="dxa"/>
                  <w:noWrap w:val="0"/>
                  <w:vAlign w:val="center"/>
                </w:tcPr>
                <w:p>
                  <w:pPr>
                    <w:pStyle w:val="18"/>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sz w:val="21"/>
                      <w:szCs w:val="21"/>
                    </w:rPr>
                    <w:t>危险废物暂存场按《危险废物贮存污染控制标准》(GB18597-2023)相关要求设置。</w:t>
                  </w:r>
                </w:p>
              </w:tc>
              <w:tc>
                <w:tcPr>
                  <w:tcW w:w="2592" w:type="dxa"/>
                  <w:noWrap w:val="0"/>
                  <w:vAlign w:val="center"/>
                </w:tcPr>
                <w:p>
                  <w:pPr>
                    <w:pStyle w:val="18"/>
                    <w:keepNext w:val="0"/>
                    <w:keepLines w:val="0"/>
                    <w:widowControl/>
                    <w:suppressLineNumbers w:val="0"/>
                    <w:spacing w:before="0" w:beforeAutospacing="0" w:after="0" w:afterAutospacing="0" w:line="340" w:lineRule="exact"/>
                    <w:ind w:left="0" w:leftChars="0" w:right="0" w:rightChars="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z w:val="21"/>
                      <w:szCs w:val="21"/>
                    </w:rPr>
                    <w:t>危险废物暂存场按《危险废物贮存污染控制标准》(GB18597-2023)相关要求设置。</w:t>
                  </w:r>
                </w:p>
              </w:tc>
              <w:tc>
                <w:tcPr>
                  <w:tcW w:w="2596" w:type="dxa"/>
                  <w:noWrap w:val="0"/>
                  <w:vAlign w:val="center"/>
                </w:tcPr>
                <w:p>
                  <w:pPr>
                    <w:pStyle w:val="18"/>
                    <w:keepNext w:val="0"/>
                    <w:keepLines w:val="0"/>
                    <w:widowControl/>
                    <w:suppressLineNumbers w:val="0"/>
                    <w:spacing w:before="0" w:beforeAutospacing="0" w:after="0" w:afterAutospacing="0" w:line="340" w:lineRule="exact"/>
                    <w:ind w:left="0" w:leftChars="0" w:right="0" w:rightChars="0"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sz w:val="21"/>
                      <w:szCs w:val="21"/>
                    </w:rPr>
                    <w:t>危险废物暂存场按《危险废物贮存污染控制标准》(GB18597-2023)相关要求设置。</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531" w:hRule="atLeast"/>
                <w:jc w:val="center"/>
              </w:trPr>
              <w:tc>
                <w:tcPr>
                  <w:tcW w:w="663" w:type="dxa"/>
                  <w:vMerge w:val="continue"/>
                  <w:noWrap w:val="0"/>
                  <w:vAlign w:val="center"/>
                </w:tcPr>
                <w:p>
                  <w:pPr>
                    <w:spacing w:line="340" w:lineRule="exact"/>
                    <w:jc w:val="center"/>
                    <w:rPr>
                      <w:rFonts w:hint="default" w:ascii="Times New Roman" w:hAnsi="Times New Roman" w:eastAsia="宋体" w:cs="Times New Roman"/>
                      <w:sz w:val="21"/>
                      <w:szCs w:val="21"/>
                    </w:rPr>
                  </w:pPr>
                </w:p>
              </w:tc>
              <w:tc>
                <w:tcPr>
                  <w:tcW w:w="1066" w:type="dxa"/>
                  <w:noWrap w:val="0"/>
                  <w:vAlign w:val="center"/>
                </w:tcPr>
                <w:p>
                  <w:pPr>
                    <w:spacing w:line="340" w:lineRule="exact"/>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一般固废 </w:t>
                  </w:r>
                </w:p>
              </w:tc>
              <w:tc>
                <w:tcPr>
                  <w:tcW w:w="2565" w:type="dxa"/>
                  <w:noWrap w:val="0"/>
                  <w:vAlign w:val="center"/>
                </w:tcPr>
                <w:p>
                  <w:pPr>
                    <w:pStyle w:val="18"/>
                    <w:keepNext w:val="0"/>
                    <w:keepLines w:val="0"/>
                    <w:widowControl/>
                    <w:suppressLineNumbers w:val="0"/>
                    <w:spacing w:before="0" w:beforeAutospacing="0" w:after="0" w:afterAutospacing="0" w:line="340" w:lineRule="exact"/>
                    <w:ind w:left="0" w:leftChars="0" w:right="0" w:rightChars="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项目</w:t>
                  </w:r>
                  <w:r>
                    <w:rPr>
                      <w:rFonts w:hint="default" w:ascii="Times New Roman" w:hAnsi="Times New Roman" w:eastAsia="宋体" w:cs="Times New Roman"/>
                      <w:sz w:val="21"/>
                      <w:szCs w:val="21"/>
                    </w:rPr>
                    <w:t>一般工业固体废物暂存场按《一般工业固体废物贮存和填埋污染物控制标准》(GB18599-2020)要求设置。</w:t>
                  </w:r>
                </w:p>
              </w:tc>
              <w:tc>
                <w:tcPr>
                  <w:tcW w:w="2592" w:type="dxa"/>
                  <w:noWrap w:val="0"/>
                  <w:vAlign w:val="center"/>
                </w:tcPr>
                <w:p>
                  <w:pPr>
                    <w:pStyle w:val="18"/>
                    <w:keepNext w:val="0"/>
                    <w:keepLines w:val="0"/>
                    <w:widowControl/>
                    <w:suppressLineNumbers w:val="0"/>
                    <w:spacing w:before="0" w:beforeAutospacing="0" w:after="0" w:afterAutospacing="0" w:line="340" w:lineRule="exact"/>
                    <w:ind w:left="0" w:leftChars="0" w:right="0" w:rightChars="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项目</w:t>
                  </w:r>
                  <w:r>
                    <w:rPr>
                      <w:rFonts w:hint="default" w:ascii="Times New Roman" w:hAnsi="Times New Roman" w:eastAsia="宋体" w:cs="Times New Roman"/>
                      <w:sz w:val="21"/>
                      <w:szCs w:val="21"/>
                    </w:rPr>
                    <w:t>一般工业固体废物暂存场按《一般工业固体废物贮存和填埋污染物控制标准》(GB18599-2020)要求设置。</w:t>
                  </w:r>
                </w:p>
              </w:tc>
              <w:tc>
                <w:tcPr>
                  <w:tcW w:w="2596" w:type="dxa"/>
                  <w:noWrap w:val="0"/>
                  <w:vAlign w:val="center"/>
                </w:tcPr>
                <w:p>
                  <w:pPr>
                    <w:pStyle w:val="18"/>
                    <w:keepNext w:val="0"/>
                    <w:keepLines w:val="0"/>
                    <w:widowControl/>
                    <w:suppressLineNumbers w:val="0"/>
                    <w:spacing w:before="0" w:beforeAutospacing="0" w:after="0" w:afterAutospacing="0" w:line="340" w:lineRule="exact"/>
                    <w:ind w:left="0" w:leftChars="0" w:right="0" w:rightChars="0"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项目</w:t>
                  </w:r>
                  <w:r>
                    <w:rPr>
                      <w:rFonts w:hint="default" w:ascii="Times New Roman" w:hAnsi="Times New Roman" w:eastAsia="宋体" w:cs="Times New Roman"/>
                      <w:sz w:val="21"/>
                      <w:szCs w:val="21"/>
                    </w:rPr>
                    <w:t>一般工业固体废物暂存场按《一般工业固体废物贮存和填埋污染物控制标准》(GB18599-2020)要求设置。</w:t>
                  </w:r>
                </w:p>
              </w:tc>
            </w:tr>
          </w:tbl>
          <w:p>
            <w:pPr>
              <w:pStyle w:val="9"/>
              <w:ind w:firstLine="0"/>
              <w:rPr>
                <w:rFonts w:hint="eastAsia" w:ascii="Times New Roman" w:hAnsi="Times New Roman" w:eastAsia="创艺简楷体" w:cs="Times New Roman"/>
                <w:lang w:eastAsia="zh-CN" w:bidi="ar"/>
              </w:rPr>
            </w:pPr>
          </w:p>
        </w:tc>
      </w:tr>
    </w:tbl>
    <w:p>
      <w:pPr>
        <w:pStyle w:val="2"/>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5"/>
        <w:spacing w:before="0" w:beforeAutospacing="0" w:after="0" w:afterAutospacing="0"/>
        <w:rPr>
          <w:rFonts w:hint="default" w:ascii="Times New Roman" w:hAnsi="Times New Roman" w:cs="Times New Roman"/>
          <w:color w:val="auto"/>
          <w:sz w:val="30"/>
          <w:szCs w:val="30"/>
        </w:rPr>
      </w:pPr>
      <w:r>
        <w:rPr>
          <w:rFonts w:hint="default" w:ascii="Times New Roman" w:hAnsi="Times New Roman" w:cs="Times New Roman"/>
          <w:color w:val="auto"/>
          <w:sz w:val="30"/>
          <w:szCs w:val="30"/>
        </w:rPr>
        <w:t>表九、验收监测结论</w:t>
      </w:r>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12" w:space="0"/>
          <w:insideV w:val="none" w:color="auto" w:sz="0" w:space="0"/>
        </w:tblBorders>
        <w:tblLayout w:type="fixed"/>
        <w:tblCellMar>
          <w:top w:w="0" w:type="dxa"/>
          <w:left w:w="108" w:type="dxa"/>
          <w:bottom w:w="0" w:type="dxa"/>
          <w:right w:w="108" w:type="dxa"/>
        </w:tblCellMar>
      </w:tblPr>
      <w:tblGrid>
        <w:gridCol w:w="9639"/>
      </w:tblGrid>
      <w:tr>
        <w:tblPrEx>
          <w:tblBorders>
            <w:top w:val="single" w:color="auto" w:sz="12" w:space="0"/>
            <w:left w:val="single" w:color="auto" w:sz="12" w:space="0"/>
            <w:bottom w:val="single" w:color="auto" w:sz="12" w:space="0"/>
            <w:right w:val="single" w:color="auto" w:sz="12" w:space="0"/>
            <w:insideH w:val="single" w:color="auto" w:sz="12" w:space="0"/>
            <w:insideV w:val="none" w:color="auto" w:sz="0" w:space="0"/>
          </w:tblBorders>
          <w:tblCellMar>
            <w:top w:w="0" w:type="dxa"/>
            <w:left w:w="108" w:type="dxa"/>
            <w:bottom w:w="0" w:type="dxa"/>
            <w:right w:w="108" w:type="dxa"/>
          </w:tblCellMar>
        </w:tblPrEx>
        <w:trPr>
          <w:trHeight w:val="12291" w:hRule="atLeast"/>
          <w:jc w:val="center"/>
        </w:trPr>
        <w:tc>
          <w:tcPr>
            <w:tcW w:w="9639" w:type="dxa"/>
            <w:noWrap w:val="0"/>
            <w:vAlign w:val="top"/>
          </w:tcPr>
          <w:p>
            <w:pPr>
              <w:pStyle w:val="32"/>
              <w:ind w:firstLine="0" w:firstLineChars="0"/>
              <w:jc w:val="both"/>
              <w:rPr>
                <w:rFonts w:hint="default" w:ascii="Times New Roman" w:hAnsi="Times New Roman" w:cs="Times New Roman"/>
                <w:b/>
                <w:szCs w:val="24"/>
                <w:highlight w:val="none"/>
                <w:lang w:val="en-US" w:eastAsia="zh-CN"/>
              </w:rPr>
            </w:pPr>
            <w:r>
              <w:rPr>
                <w:rFonts w:hint="default" w:ascii="Times New Roman" w:hAnsi="Times New Roman" w:cs="Times New Roman"/>
                <w:b/>
                <w:szCs w:val="24"/>
                <w:highlight w:val="none"/>
                <w:lang w:val="en-US" w:eastAsia="zh-CN"/>
              </w:rPr>
              <w:t>9.1污染物排放监测结果</w:t>
            </w:r>
          </w:p>
          <w:p>
            <w:pPr>
              <w:pStyle w:val="32"/>
              <w:keepNext w:val="0"/>
              <w:keepLines w:val="0"/>
              <w:pageBreakBefore w:val="0"/>
              <w:kinsoku/>
              <w:wordWrap/>
              <w:overflowPunct/>
              <w:topLinePunct w:val="0"/>
              <w:bidi w:val="0"/>
              <w:adjustRightInd w:val="0"/>
              <w:snapToGrid/>
              <w:spacing w:line="360" w:lineRule="auto"/>
              <w:ind w:firstLine="480" w:firstLineChars="200"/>
              <w:jc w:val="both"/>
              <w:textAlignment w:val="auto"/>
              <w:rPr>
                <w:rFonts w:hint="default" w:ascii="Times New Roman" w:hAnsi="Times New Roman" w:cs="Times New Roman"/>
                <w:kern w:val="2"/>
                <w:szCs w:val="24"/>
                <w:lang w:val="en-US" w:eastAsia="zh-CN"/>
              </w:rPr>
            </w:pPr>
            <w:r>
              <w:rPr>
                <w:rFonts w:hint="default" w:ascii="Times New Roman" w:hAnsi="Times New Roman" w:cs="Times New Roman"/>
                <w:kern w:val="2"/>
                <w:szCs w:val="24"/>
                <w:lang w:val="en-US" w:eastAsia="zh-CN"/>
              </w:rPr>
              <w:t>监测期间项目营运情况及环保设施运行基本正常，符合竣工验收要求。</w:t>
            </w:r>
          </w:p>
          <w:p>
            <w:pPr>
              <w:pStyle w:val="32"/>
              <w:keepNext w:val="0"/>
              <w:keepLines w:val="0"/>
              <w:pageBreakBefore w:val="0"/>
              <w:kinsoku/>
              <w:wordWrap/>
              <w:overflowPunct/>
              <w:topLinePunct w:val="0"/>
              <w:bidi w:val="0"/>
              <w:adjustRightInd w:val="0"/>
              <w:snapToGrid/>
              <w:spacing w:line="360" w:lineRule="auto"/>
              <w:ind w:firstLine="480" w:firstLineChars="200"/>
              <w:jc w:val="both"/>
              <w:textAlignment w:val="auto"/>
              <w:rPr>
                <w:rFonts w:hint="default" w:ascii="Times New Roman" w:hAnsi="Times New Roman" w:cs="Times New Roman"/>
                <w:kern w:val="2"/>
                <w:szCs w:val="24"/>
                <w:lang w:val="en-US" w:eastAsia="zh-CN"/>
              </w:rPr>
            </w:pPr>
            <w:r>
              <w:rPr>
                <w:rFonts w:hint="default" w:ascii="Times New Roman" w:hAnsi="Times New Roman" w:cs="Times New Roman"/>
                <w:kern w:val="2"/>
                <w:szCs w:val="24"/>
                <w:lang w:val="en-US" w:eastAsia="zh-CN"/>
              </w:rPr>
              <w:t>根据验收监测报告，本项目验收监测期间：</w:t>
            </w:r>
          </w:p>
          <w:p>
            <w:pPr>
              <w:pStyle w:val="32"/>
              <w:keepNext w:val="0"/>
              <w:keepLines w:val="0"/>
              <w:pageBreakBefore w:val="0"/>
              <w:numPr>
                <w:ilvl w:val="0"/>
                <w:numId w:val="0"/>
              </w:numPr>
              <w:kinsoku/>
              <w:wordWrap/>
              <w:overflowPunct/>
              <w:topLinePunct w:val="0"/>
              <w:bidi w:val="0"/>
              <w:adjustRightInd w:val="0"/>
              <w:snapToGrid/>
              <w:spacing w:line="360" w:lineRule="auto"/>
              <w:ind w:firstLine="480" w:firstLineChars="200"/>
              <w:jc w:val="both"/>
              <w:textAlignment w:val="auto"/>
              <w:rPr>
                <w:rFonts w:hint="default"/>
                <w:color w:val="auto"/>
                <w:lang w:val="en-US" w:eastAsia="zh-CN"/>
              </w:rPr>
            </w:pPr>
            <w:r>
              <w:rPr>
                <w:rFonts w:hint="eastAsia" w:ascii="Times New Roman" w:hAnsi="Times New Roman" w:cs="Times New Roman" w:eastAsiaTheme="minorEastAsia"/>
                <w:b w:val="0"/>
                <w:bCs w:val="0"/>
                <w:kern w:val="0"/>
                <w:sz w:val="24"/>
                <w:szCs w:val="24"/>
                <w:lang w:val="en-US" w:eastAsia="zh-CN" w:bidi="ar-SA"/>
              </w:rPr>
              <w:t>（</w:t>
            </w:r>
            <w:r>
              <w:rPr>
                <w:rFonts w:hint="eastAsia" w:ascii="Times New Roman" w:hAnsi="Times New Roman" w:cs="Times New Roman"/>
                <w:b w:val="0"/>
                <w:bCs w:val="0"/>
                <w:kern w:val="0"/>
                <w:sz w:val="24"/>
                <w:szCs w:val="24"/>
                <w:lang w:val="en-US" w:eastAsia="zh-CN" w:bidi="ar-SA"/>
              </w:rPr>
              <w:t>1</w:t>
            </w:r>
            <w:r>
              <w:rPr>
                <w:rFonts w:hint="eastAsia" w:ascii="Times New Roman" w:hAnsi="Times New Roman" w:cs="Times New Roman" w:eastAsiaTheme="minorEastAsia"/>
                <w:b w:val="0"/>
                <w:bCs w:val="0"/>
                <w:kern w:val="0"/>
                <w:sz w:val="24"/>
                <w:szCs w:val="24"/>
                <w:lang w:val="en-US" w:eastAsia="zh-CN" w:bidi="ar-SA"/>
              </w:rPr>
              <w:t>）</w:t>
            </w:r>
            <w:r>
              <w:rPr>
                <w:rFonts w:hint="eastAsia" w:ascii="Times New Roman" w:hAnsi="Times New Roman" w:cs="Times New Roman"/>
                <w:b/>
                <w:bCs/>
                <w:highlight w:val="none"/>
                <w:lang w:val="en-US" w:eastAsia="zh-CN"/>
              </w:rPr>
              <w:t>废水监测结果表明</w:t>
            </w:r>
            <w:r>
              <w:rPr>
                <w:rFonts w:hint="eastAsia" w:ascii="Times New Roman" w:hAnsi="Times New Roman" w:cs="Times New Roman"/>
                <w:b/>
                <w:bCs/>
                <w:lang w:val="en-US" w:eastAsia="zh-CN"/>
              </w:rPr>
              <w:t>：</w:t>
            </w:r>
            <w:r>
              <w:rPr>
                <w:rFonts w:hint="default"/>
                <w:color w:val="auto"/>
                <w:lang w:val="en-US" w:eastAsia="zh-CN"/>
              </w:rPr>
              <w:t>项目</w:t>
            </w:r>
            <w:r>
              <w:rPr>
                <w:rFonts w:hint="eastAsia"/>
                <w:color w:val="auto"/>
                <w:lang w:val="en-US" w:eastAsia="zh-CN"/>
              </w:rPr>
              <w:t>生活污水</w:t>
            </w:r>
            <w:r>
              <w:rPr>
                <w:rFonts w:hint="default"/>
                <w:color w:val="auto"/>
                <w:lang w:val="en-US" w:eastAsia="zh-CN"/>
              </w:rPr>
              <w:t>排放口pH、CODcr、SS、动植物油、LAS、TP、氨氮均满足城镇污水处理厂污水排放标准》(GB18918-2002)一级A标准</w:t>
            </w:r>
          </w:p>
          <w:p>
            <w:pPr>
              <w:pStyle w:val="32"/>
              <w:keepNext w:val="0"/>
              <w:keepLines w:val="0"/>
              <w:pageBreakBefore w:val="0"/>
              <w:numPr>
                <w:ilvl w:val="0"/>
                <w:numId w:val="0"/>
              </w:numPr>
              <w:kinsoku/>
              <w:wordWrap/>
              <w:overflowPunct/>
              <w:topLinePunct w:val="0"/>
              <w:bidi w:val="0"/>
              <w:adjustRightInd w:val="0"/>
              <w:snapToGrid/>
              <w:spacing w:line="360" w:lineRule="auto"/>
              <w:ind w:left="0" w:leftChars="0" w:firstLine="480" w:firstLineChars="200"/>
              <w:jc w:val="both"/>
              <w:textAlignment w:val="auto"/>
              <w:rPr>
                <w:rFonts w:hint="default" w:ascii="Times New Roman" w:hAnsi="Times New Roman" w:cs="Times New Roman"/>
                <w:b w:val="0"/>
                <w:bCs w:val="0"/>
                <w:lang w:val="en-US" w:eastAsia="zh-CN"/>
              </w:rPr>
            </w:pPr>
            <w:r>
              <w:rPr>
                <w:rFonts w:hint="eastAsia" w:ascii="Times New Roman" w:hAnsi="Times New Roman" w:cs="Times New Roman" w:eastAsiaTheme="minorEastAsia"/>
                <w:b w:val="0"/>
                <w:bCs w:val="0"/>
                <w:kern w:val="0"/>
                <w:sz w:val="24"/>
                <w:szCs w:val="24"/>
                <w:lang w:val="en-US" w:eastAsia="zh-CN" w:bidi="ar-SA"/>
              </w:rPr>
              <w:t>（</w:t>
            </w:r>
            <w:r>
              <w:rPr>
                <w:rFonts w:hint="eastAsia" w:ascii="Times New Roman" w:hAnsi="Times New Roman" w:cs="Times New Roman"/>
                <w:b w:val="0"/>
                <w:bCs w:val="0"/>
                <w:kern w:val="0"/>
                <w:sz w:val="24"/>
                <w:szCs w:val="24"/>
                <w:lang w:val="en-US" w:eastAsia="zh-CN" w:bidi="ar-SA"/>
              </w:rPr>
              <w:t>2</w:t>
            </w:r>
            <w:r>
              <w:rPr>
                <w:rFonts w:hint="eastAsia" w:ascii="Times New Roman" w:hAnsi="Times New Roman" w:cs="Times New Roman" w:eastAsiaTheme="minorEastAsia"/>
                <w:b w:val="0"/>
                <w:bCs w:val="0"/>
                <w:kern w:val="0"/>
                <w:sz w:val="24"/>
                <w:szCs w:val="24"/>
                <w:lang w:val="en-US" w:eastAsia="zh-CN" w:bidi="ar-SA"/>
              </w:rPr>
              <w:t>）</w:t>
            </w:r>
            <w:r>
              <w:rPr>
                <w:rFonts w:hint="eastAsia" w:ascii="Times New Roman" w:hAnsi="Times New Roman" w:cs="Times New Roman"/>
                <w:b/>
                <w:bCs/>
                <w:highlight w:val="none"/>
                <w:lang w:val="en-US" w:eastAsia="zh-CN"/>
              </w:rPr>
              <w:t>废气</w:t>
            </w:r>
            <w:r>
              <w:rPr>
                <w:rFonts w:hint="default" w:ascii="Times New Roman" w:hAnsi="Times New Roman" w:cs="Times New Roman"/>
                <w:b/>
                <w:bCs/>
                <w:highlight w:val="none"/>
                <w:lang w:val="en-US" w:eastAsia="zh-CN"/>
              </w:rPr>
              <w:t>监测结果表明</w:t>
            </w:r>
            <w:r>
              <w:rPr>
                <w:rFonts w:hint="default" w:ascii="Times New Roman" w:hAnsi="Times New Roman" w:cs="Times New Roman"/>
                <w:b w:val="0"/>
                <w:bCs w:val="0"/>
                <w:lang w:val="en-US" w:eastAsia="zh-CN"/>
              </w:rPr>
              <w:t>：项目有组织污染物颗粒物排放执行《水泥工业大气污染物排放标准》 (GB4915-2013)标准限值，无组织污染物颗粒物排放执行《水泥工业大气污染物排放标准》(GB4915-2013)标准限值。</w:t>
            </w:r>
          </w:p>
          <w:p>
            <w:pPr>
              <w:pStyle w:val="32"/>
              <w:keepNext w:val="0"/>
              <w:keepLines w:val="0"/>
              <w:pageBreakBefore w:val="0"/>
              <w:numPr>
                <w:ilvl w:val="0"/>
                <w:numId w:val="0"/>
              </w:numPr>
              <w:kinsoku/>
              <w:wordWrap/>
              <w:overflowPunct/>
              <w:topLinePunct w:val="0"/>
              <w:bidi w:val="0"/>
              <w:adjustRightInd w:val="0"/>
              <w:snapToGrid/>
              <w:spacing w:line="360" w:lineRule="auto"/>
              <w:ind w:left="0" w:leftChars="0" w:firstLine="480" w:firstLineChars="200"/>
              <w:jc w:val="both"/>
              <w:textAlignment w:val="auto"/>
              <w:rPr>
                <w:rFonts w:hint="eastAsia" w:ascii="Times New Roman" w:hAnsi="Times New Roman" w:cs="Times New Roman"/>
                <w:b w:val="0"/>
                <w:bCs w:val="0"/>
                <w:szCs w:val="24"/>
                <w:lang w:val="en-US" w:eastAsia="zh-CN"/>
              </w:rPr>
            </w:pPr>
            <w:r>
              <w:rPr>
                <w:rFonts w:hint="eastAsia" w:ascii="Times New Roman" w:hAnsi="Times New Roman" w:cs="Times New Roman" w:eastAsiaTheme="minorEastAsia"/>
                <w:b w:val="0"/>
                <w:bCs w:val="0"/>
                <w:kern w:val="0"/>
                <w:sz w:val="24"/>
                <w:szCs w:val="24"/>
                <w:lang w:val="en-US" w:eastAsia="zh-CN" w:bidi="ar-SA"/>
              </w:rPr>
              <w:t>（</w:t>
            </w:r>
            <w:r>
              <w:rPr>
                <w:rFonts w:hint="eastAsia" w:ascii="Times New Roman" w:hAnsi="Times New Roman" w:cs="Times New Roman"/>
                <w:b w:val="0"/>
                <w:bCs w:val="0"/>
                <w:kern w:val="0"/>
                <w:sz w:val="24"/>
                <w:szCs w:val="24"/>
                <w:lang w:val="en-US" w:eastAsia="zh-CN" w:bidi="ar-SA"/>
              </w:rPr>
              <w:t>3</w:t>
            </w:r>
            <w:r>
              <w:rPr>
                <w:rFonts w:hint="eastAsia" w:ascii="Times New Roman" w:hAnsi="Times New Roman" w:cs="Times New Roman" w:eastAsiaTheme="minorEastAsia"/>
                <w:b w:val="0"/>
                <w:bCs w:val="0"/>
                <w:kern w:val="0"/>
                <w:sz w:val="24"/>
                <w:szCs w:val="24"/>
                <w:lang w:val="en-US" w:eastAsia="zh-CN" w:bidi="ar-SA"/>
              </w:rPr>
              <w:t>）</w:t>
            </w:r>
            <w:r>
              <w:rPr>
                <w:rFonts w:hint="default" w:ascii="Times New Roman" w:hAnsi="Times New Roman" w:cs="Times New Roman"/>
                <w:b/>
                <w:bCs/>
                <w:highlight w:val="none"/>
                <w:lang w:val="en-US" w:eastAsia="zh-CN"/>
              </w:rPr>
              <w:t>厂界噪声监测结果表明</w:t>
            </w:r>
            <w:r>
              <w:rPr>
                <w:rFonts w:hint="eastAsia" w:ascii="Times New Roman" w:hAnsi="Times New Roman" w:cs="Times New Roman"/>
                <w:b/>
                <w:bCs/>
                <w:szCs w:val="24"/>
                <w:lang w:val="en-US" w:eastAsia="zh-CN"/>
              </w:rPr>
              <w:t>：</w:t>
            </w:r>
            <w:r>
              <w:rPr>
                <w:rFonts w:hint="eastAsia" w:ascii="Times New Roman" w:hAnsi="Times New Roman" w:cs="Times New Roman"/>
                <w:b w:val="0"/>
                <w:bCs w:val="0"/>
                <w:szCs w:val="24"/>
                <w:lang w:val="en-US" w:eastAsia="zh-CN"/>
              </w:rPr>
              <w:t>噪声执行《工业企业厂界环境噪声排放标准》(GB12348-2008)3类区域标准中的要求。</w:t>
            </w:r>
          </w:p>
          <w:p>
            <w:pPr>
              <w:pStyle w:val="32"/>
              <w:keepNext w:val="0"/>
              <w:keepLines w:val="0"/>
              <w:pageBreakBefore w:val="0"/>
              <w:numPr>
                <w:ilvl w:val="0"/>
                <w:numId w:val="0"/>
              </w:numPr>
              <w:kinsoku/>
              <w:wordWrap/>
              <w:overflowPunct/>
              <w:topLinePunct w:val="0"/>
              <w:bidi w:val="0"/>
              <w:adjustRightInd w:val="0"/>
              <w:snapToGrid/>
              <w:spacing w:line="360" w:lineRule="auto"/>
              <w:ind w:left="0" w:leftChars="0" w:firstLine="480" w:firstLineChars="200"/>
              <w:jc w:val="both"/>
              <w:textAlignment w:val="auto"/>
              <w:rPr>
                <w:rFonts w:hint="eastAsia" w:asciiTheme="majorEastAsia" w:hAnsiTheme="majorEastAsia" w:eastAsiaTheme="majorEastAsia" w:cstheme="majorEastAsia"/>
                <w:b w:val="0"/>
                <w:bCs w:val="0"/>
                <w:sz w:val="24"/>
              </w:rPr>
            </w:pPr>
            <w:r>
              <w:rPr>
                <w:rFonts w:hint="eastAsia" w:asciiTheme="majorEastAsia" w:hAnsiTheme="majorEastAsia" w:eastAsiaTheme="majorEastAsia" w:cstheme="majorEastAsia"/>
                <w:b w:val="0"/>
                <w:bCs w:val="0"/>
                <w:kern w:val="0"/>
                <w:sz w:val="24"/>
                <w:szCs w:val="20"/>
                <w:lang w:val="en-US" w:eastAsia="zh-CN" w:bidi="ar-SA"/>
              </w:rPr>
              <w:t>（4）</w:t>
            </w:r>
            <w:r>
              <w:rPr>
                <w:rFonts w:hint="default" w:ascii="Times New Roman" w:hAnsi="Times New Roman" w:cs="Times New Roman"/>
                <w:b/>
                <w:bCs/>
                <w:sz w:val="24"/>
              </w:rPr>
              <w:t>固体废弃物：</w:t>
            </w:r>
            <w:r>
              <w:rPr>
                <w:rFonts w:hint="default" w:ascii="Times New Roman" w:hAnsi="Times New Roman" w:eastAsia="宋体" w:cs="Times New Roman"/>
                <w:snapToGrid/>
                <w:color w:val="000000"/>
                <w:spacing w:val="0"/>
                <w:kern w:val="21"/>
                <w:sz w:val="21"/>
                <w:szCs w:val="21"/>
                <w:lang w:val="en-US" w:eastAsia="zh-CN" w:bidi="ar-SA"/>
              </w:rPr>
              <w:t>废润滑油桶</w:t>
            </w:r>
            <w:r>
              <w:rPr>
                <w:rFonts w:hint="eastAsia" w:asciiTheme="majorEastAsia" w:hAnsiTheme="majorEastAsia" w:eastAsiaTheme="majorEastAsia" w:cstheme="majorEastAsia"/>
                <w:b w:val="0"/>
                <w:bCs w:val="0"/>
                <w:sz w:val="24"/>
              </w:rPr>
              <w:t>收集于项目危废暂存间，后期委托有资质的单位进行处置，并建立危险废物转移联单制度，科学管理。一般固废</w:t>
            </w:r>
            <w:r>
              <w:rPr>
                <w:rFonts w:hint="eastAsia" w:asciiTheme="majorEastAsia" w:hAnsiTheme="majorEastAsia" w:eastAsiaTheme="majorEastAsia" w:cstheme="majorEastAsia"/>
                <w:b w:val="0"/>
                <w:bCs w:val="0"/>
                <w:sz w:val="24"/>
                <w:lang w:val="en-US" w:eastAsia="zh-CN"/>
              </w:rPr>
              <w:t>废边角料、废脱模剂桶</w:t>
            </w:r>
            <w:r>
              <w:rPr>
                <w:rFonts w:hint="eastAsia" w:asciiTheme="majorEastAsia" w:hAnsiTheme="majorEastAsia" w:eastAsiaTheme="majorEastAsia" w:cstheme="majorEastAsia"/>
                <w:b w:val="0"/>
                <w:bCs w:val="0"/>
                <w:sz w:val="24"/>
              </w:rPr>
              <w:t>分类收集后外售处置，生活垃圾环卫部门处理</w:t>
            </w:r>
          </w:p>
          <w:p>
            <w:pPr>
              <w:pStyle w:val="32"/>
              <w:keepNext w:val="0"/>
              <w:keepLines w:val="0"/>
              <w:pageBreakBefore w:val="0"/>
              <w:numPr>
                <w:ilvl w:val="0"/>
                <w:numId w:val="0"/>
              </w:numPr>
              <w:kinsoku/>
              <w:wordWrap/>
              <w:overflowPunct/>
              <w:topLinePunct w:val="0"/>
              <w:bidi w:val="0"/>
              <w:adjustRightInd w:val="0"/>
              <w:snapToGrid/>
              <w:spacing w:line="360" w:lineRule="auto"/>
              <w:ind w:left="0" w:leftChars="0" w:firstLine="482" w:firstLineChars="200"/>
              <w:jc w:val="both"/>
              <w:textAlignment w:val="auto"/>
              <w:rPr>
                <w:rFonts w:hint="default" w:ascii="Times New Roman" w:hAnsi="Times New Roman" w:cs="Times New Roman"/>
                <w:b/>
                <w:szCs w:val="24"/>
                <w:lang w:val="en-US" w:eastAsia="zh-CN"/>
              </w:rPr>
            </w:pPr>
            <w:r>
              <w:rPr>
                <w:rFonts w:hint="default" w:ascii="Times New Roman" w:hAnsi="Times New Roman" w:cs="Times New Roman"/>
                <w:b/>
                <w:szCs w:val="24"/>
                <w:lang w:val="en-US" w:eastAsia="zh-CN"/>
              </w:rPr>
              <w:t>9.2总结论</w:t>
            </w:r>
          </w:p>
          <w:p>
            <w:pPr>
              <w:pStyle w:val="32"/>
              <w:keepNext w:val="0"/>
              <w:keepLines w:val="0"/>
              <w:pageBreakBefore w:val="0"/>
              <w:widowControl w:val="0"/>
              <w:kinsoku/>
              <w:wordWrap/>
              <w:overflowPunct/>
              <w:topLinePunct w:val="0"/>
              <w:autoSpaceDE w:val="0"/>
              <w:autoSpaceDN w:val="0"/>
              <w:bidi w:val="0"/>
              <w:adjustRightInd/>
              <w:snapToGrid/>
              <w:ind w:left="0" w:leftChars="0" w:firstLine="480" w:firstLineChars="200"/>
              <w:jc w:val="both"/>
              <w:textAlignment w:val="auto"/>
              <w:rPr>
                <w:rFonts w:hint="default" w:ascii="Times New Roman" w:hAnsi="Times New Roman" w:cs="Times New Roman"/>
                <w:sz w:val="24"/>
              </w:rPr>
            </w:pPr>
            <w:r>
              <w:rPr>
                <w:rFonts w:hint="default" w:ascii="Times New Roman" w:hAnsi="Times New Roman" w:cs="Times New Roman"/>
                <w:sz w:val="24"/>
              </w:rPr>
              <w:t>综上所述，</w:t>
            </w:r>
            <w:r>
              <w:rPr>
                <w:rFonts w:hint="eastAsia" w:ascii="Times New Roman" w:hAnsi="Times New Roman" w:cs="Times New Roman"/>
                <w:szCs w:val="24"/>
                <w:lang w:val="en-US" w:eastAsia="zh-CN"/>
              </w:rPr>
              <w:t>江西伟航新材料有限公司水泥构件及电力设施器材制造项目</w:t>
            </w:r>
            <w:r>
              <w:rPr>
                <w:rFonts w:hint="default" w:ascii="Times New Roman" w:hAnsi="Times New Roman" w:cs="Times New Roman"/>
                <w:sz w:val="24"/>
              </w:rPr>
              <w:t>竣工环境保护验收严格</w:t>
            </w:r>
            <w:r>
              <w:rPr>
                <w:rFonts w:hint="default" w:ascii="Times New Roman" w:hAnsi="Times New Roman" w:cs="Times New Roman"/>
                <w:sz w:val="24"/>
                <w:lang w:val="en-US" w:eastAsia="zh-CN"/>
              </w:rPr>
              <w:t>落实相关环境保护措施，验收监测结果表明</w:t>
            </w:r>
            <w:r>
              <w:rPr>
                <w:rFonts w:hint="eastAsia" w:ascii="Times New Roman" w:hAnsi="Times New Roman" w:cs="Times New Roman"/>
                <w:sz w:val="24"/>
                <w:lang w:val="en-US" w:eastAsia="zh-CN"/>
              </w:rPr>
              <w:t>生活污水</w:t>
            </w:r>
            <w:r>
              <w:rPr>
                <w:rFonts w:hint="default"/>
                <w:lang w:val="en-US" w:eastAsia="zh-CN"/>
              </w:rPr>
              <w:t>满足《城镇污水处理厂污染物排放标准》(GB18918-2002)中一级A标准</w:t>
            </w:r>
            <w:r>
              <w:rPr>
                <w:rFonts w:hint="eastAsia"/>
                <w:color w:val="auto"/>
                <w:lang w:val="en-US" w:eastAsia="zh-CN"/>
              </w:rPr>
              <w:t>。有组织污染物颗粒物排放执行《水泥工业大气污染物排放标准》 (GB4915-2013)标准限值，无组织污染物颗粒物排放执行《水泥工业大气污染物排放标准》(GB4915-2013)标准限值。</w:t>
            </w:r>
            <w:r>
              <w:rPr>
                <w:rFonts w:hint="default" w:ascii="Times New Roman" w:hAnsi="Times New Roman" w:cs="Times New Roman"/>
                <w:sz w:val="24"/>
                <w:lang w:eastAsia="zh-CN"/>
              </w:rPr>
              <w:t>噪声监测结果满足《工业企业厂界环境噪声排放标</w:t>
            </w:r>
            <w:r>
              <w:rPr>
                <w:rFonts w:hint="default" w:ascii="Times New Roman" w:hAnsi="Times New Roman" w:cs="Times New Roman"/>
                <w:sz w:val="24"/>
              </w:rPr>
              <w:t>准》（GB</w:t>
            </w:r>
            <w:r>
              <w:rPr>
                <w:rFonts w:hint="default" w:ascii="Times New Roman" w:hAnsi="Times New Roman" w:cs="Times New Roman"/>
                <w:bCs/>
                <w:sz w:val="24"/>
              </w:rPr>
              <w:t>12348-2008）的</w:t>
            </w:r>
            <w:r>
              <w:rPr>
                <w:rFonts w:hint="eastAsia" w:ascii="Times New Roman" w:hAnsi="Times New Roman" w:cs="Times New Roman"/>
                <w:bCs/>
                <w:sz w:val="24"/>
                <w:lang w:val="en-US" w:eastAsia="zh-CN"/>
              </w:rPr>
              <w:t>3</w:t>
            </w:r>
            <w:r>
              <w:rPr>
                <w:rFonts w:hint="default" w:ascii="Times New Roman" w:hAnsi="Times New Roman" w:cs="Times New Roman"/>
                <w:bCs/>
                <w:sz w:val="24"/>
              </w:rPr>
              <w:t>类标准限值要求</w:t>
            </w:r>
            <w:r>
              <w:rPr>
                <w:rFonts w:hint="default" w:ascii="Times New Roman" w:hAnsi="Times New Roman" w:cs="Times New Roman"/>
                <w:sz w:val="24"/>
              </w:rPr>
              <w:t>。固体废物及生活垃圾处置满足</w:t>
            </w:r>
            <w:r>
              <w:rPr>
                <w:rFonts w:hint="eastAsia"/>
                <w:color w:val="auto"/>
                <w:lang w:eastAsia="zh-CN"/>
              </w:rPr>
              <w:t>《一般工业固体废物贮存和填埋污染控制标准》（GB 18599-2020）</w:t>
            </w:r>
            <w:r>
              <w:rPr>
                <w:rFonts w:hint="default"/>
                <w:color w:val="auto"/>
                <w:lang w:val="en-US" w:eastAsia="zh-CN"/>
              </w:rPr>
              <w:t>标准</w:t>
            </w:r>
            <w:r>
              <w:rPr>
                <w:rFonts w:hint="default" w:ascii="Times New Roman" w:hAnsi="Times New Roman" w:cs="Times New Roman"/>
                <w:sz w:val="24"/>
              </w:rPr>
              <w:t>）中的标准</w:t>
            </w:r>
            <w:r>
              <w:rPr>
                <w:rFonts w:hint="default" w:ascii="Times New Roman" w:hAnsi="Times New Roman" w:cs="Times New Roman"/>
                <w:sz w:val="24"/>
                <w:lang w:val="en-US" w:eastAsia="zh-CN"/>
              </w:rPr>
              <w:t>中的标准要求</w:t>
            </w:r>
            <w:r>
              <w:rPr>
                <w:rFonts w:hint="eastAsia" w:ascii="Times New Roman" w:hAnsi="Times New Roman" w:cs="Times New Roman"/>
                <w:sz w:val="24"/>
                <w:lang w:val="en-US" w:eastAsia="zh-CN"/>
              </w:rPr>
              <w:t>。</w:t>
            </w:r>
            <w:r>
              <w:t>危险废物满足《危险废物贮存污染控制标准》(GB18597-20</w:t>
            </w:r>
            <w:r>
              <w:rPr>
                <w:rFonts w:hint="eastAsia"/>
                <w:lang w:val="en-US" w:eastAsia="zh-CN"/>
              </w:rPr>
              <w:t>23</w:t>
            </w:r>
            <w:r>
              <w:t>)要求。</w:t>
            </w:r>
          </w:p>
        </w:tc>
      </w:tr>
    </w:tbl>
    <w:p>
      <w:p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spacing w:after="0" w:line="300" w:lineRule="exact"/>
        <w:jc w:val="center"/>
        <w:rPr>
          <w:rFonts w:hint="default" w:ascii="Times New Roman" w:hAnsi="Times New Roman" w:eastAsia="黑体" w:cs="Times New Roman"/>
          <w:b/>
          <w:color w:val="000000"/>
          <w:sz w:val="21"/>
          <w:szCs w:val="21"/>
        </w:rPr>
      </w:pPr>
      <w:r>
        <w:rPr>
          <w:rFonts w:hint="default" w:ascii="Times New Roman" w:hAnsi="Times New Roman" w:eastAsia="黑体" w:cs="Times New Roman"/>
          <w:b/>
          <w:color w:val="000000"/>
          <w:sz w:val="21"/>
          <w:szCs w:val="21"/>
        </w:rPr>
        <w:t>建设项目竣工环境保护“三同时”验收登记表</w:t>
      </w:r>
    </w:p>
    <w:p>
      <w:pPr>
        <w:spacing w:after="0" w:line="300" w:lineRule="exact"/>
        <w:jc w:val="center"/>
        <w:rPr>
          <w:rFonts w:hint="default" w:ascii="Times New Roman" w:hAnsi="Times New Roman" w:eastAsia="黑体" w:cs="Times New Roman"/>
          <w:b/>
          <w:color w:val="000000"/>
          <w:sz w:val="21"/>
          <w:szCs w:val="21"/>
        </w:rPr>
      </w:pPr>
    </w:p>
    <w:p>
      <w:pPr>
        <w:spacing w:after="0"/>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填表单位（盖章）</w:t>
      </w:r>
      <w:r>
        <w:rPr>
          <w:rFonts w:hint="default" w:ascii="Times New Roman" w:hAnsi="Times New Roman" w:eastAsia="宋体" w:cs="Times New Roman"/>
          <w:b/>
          <w:color w:val="000000"/>
          <w:kern w:val="2"/>
          <w:sz w:val="21"/>
          <w:szCs w:val="21"/>
        </w:rPr>
        <w:t>：</w:t>
      </w:r>
      <w:r>
        <w:rPr>
          <w:rFonts w:hint="default" w:ascii="Times New Roman" w:hAnsi="Times New Roman" w:eastAsia="宋体" w:cs="Times New Roman"/>
          <w:b/>
          <w:color w:val="000000"/>
          <w:sz w:val="21"/>
          <w:szCs w:val="21"/>
        </w:rPr>
        <w:t xml:space="preserve">                  填表人（签字）：                            项目经办人（签字）：</w:t>
      </w:r>
    </w:p>
    <w:tbl>
      <w:tblPr>
        <w:tblStyle w:val="21"/>
        <w:tblW w:w="1587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168"/>
        <w:gridCol w:w="1235"/>
        <w:gridCol w:w="436"/>
        <w:gridCol w:w="713"/>
        <w:gridCol w:w="1261"/>
        <w:gridCol w:w="850"/>
        <w:gridCol w:w="426"/>
        <w:gridCol w:w="992"/>
        <w:gridCol w:w="180"/>
        <w:gridCol w:w="387"/>
        <w:gridCol w:w="629"/>
        <w:gridCol w:w="1214"/>
        <w:gridCol w:w="6"/>
        <w:gridCol w:w="1189"/>
        <w:gridCol w:w="647"/>
        <w:gridCol w:w="567"/>
        <w:gridCol w:w="284"/>
        <w:gridCol w:w="578"/>
        <w:gridCol w:w="544"/>
        <w:gridCol w:w="295"/>
        <w:gridCol w:w="949"/>
        <w:gridCol w:w="44"/>
        <w:gridCol w:w="1058"/>
        <w:gridCol w:w="79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85" w:hRule="atLeast"/>
          <w:jc w:val="center"/>
        </w:trPr>
        <w:tc>
          <w:tcPr>
            <w:tcW w:w="430" w:type="dxa"/>
            <w:vMerge w:val="restart"/>
            <w:tcMar>
              <w:left w:w="57" w:type="dxa"/>
              <w:right w:w="57" w:type="dxa"/>
            </w:tcMar>
            <w:textDirection w:val="tbRlV"/>
            <w:vAlign w:val="center"/>
          </w:tcPr>
          <w:p>
            <w:pPr>
              <w:spacing w:after="0"/>
              <w:ind w:left="113" w:right="113"/>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建设项目</w:t>
            </w:r>
          </w:p>
        </w:tc>
        <w:tc>
          <w:tcPr>
            <w:tcW w:w="1839" w:type="dxa"/>
            <w:gridSpan w:val="3"/>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项目名称</w:t>
            </w:r>
          </w:p>
        </w:tc>
        <w:tc>
          <w:tcPr>
            <w:tcW w:w="4809" w:type="dxa"/>
            <w:gridSpan w:val="7"/>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江西伟航新材料有限公司水泥构件及电力设施器材制造项目</w:t>
            </w:r>
          </w:p>
        </w:tc>
        <w:tc>
          <w:tcPr>
            <w:tcW w:w="1843" w:type="dxa"/>
            <w:gridSpan w:val="2"/>
            <w:tcMar>
              <w:left w:w="57" w:type="dxa"/>
              <w:right w:w="57" w:type="dxa"/>
            </w:tcMar>
            <w:vAlign w:val="center"/>
          </w:tcPr>
          <w:p>
            <w:pPr>
              <w:spacing w:after="0"/>
              <w:jc w:val="center"/>
              <w:rPr>
                <w:rFonts w:hint="default" w:ascii="Times New Roman" w:hAnsi="Times New Roman" w:cs="Times New Roman"/>
                <w:b/>
                <w:color w:val="000000"/>
                <w:sz w:val="15"/>
                <w:szCs w:val="15"/>
              </w:rPr>
            </w:pPr>
            <w:r>
              <w:rPr>
                <w:rFonts w:hint="default" w:ascii="Times New Roman" w:hAnsi="Times New Roman" w:cs="Times New Roman"/>
                <w:b/>
                <w:color w:val="000000"/>
                <w:sz w:val="15"/>
                <w:szCs w:val="15"/>
              </w:rPr>
              <w:t>项目代码</w:t>
            </w:r>
          </w:p>
        </w:tc>
        <w:tc>
          <w:tcPr>
            <w:tcW w:w="2409" w:type="dxa"/>
            <w:gridSpan w:val="4"/>
            <w:tcMar>
              <w:left w:w="57" w:type="dxa"/>
              <w:right w:w="57" w:type="dxa"/>
            </w:tcMar>
            <w:vAlign w:val="center"/>
          </w:tcPr>
          <w:p>
            <w:pPr>
              <w:spacing w:after="0"/>
              <w:jc w:val="center"/>
              <w:rPr>
                <w:rFonts w:hint="default" w:ascii="Times New Roman" w:hAnsi="Times New Roman" w:eastAsia="微软雅黑" w:cs="Times New Roman"/>
                <w:color w:val="000000"/>
                <w:kern w:val="2"/>
                <w:sz w:val="15"/>
                <w:szCs w:val="15"/>
                <w:lang w:val="en-US" w:eastAsia="zh-CN"/>
              </w:rPr>
            </w:pPr>
            <w:r>
              <w:rPr>
                <w:rFonts w:hint="default" w:ascii="Times New Roman" w:hAnsi="Times New Roman" w:cs="Times New Roman"/>
                <w:color w:val="000000"/>
                <w:kern w:val="2"/>
                <w:sz w:val="15"/>
                <w:szCs w:val="15"/>
                <w:lang w:val="en-US" w:eastAsia="zh-CN"/>
              </w:rPr>
              <w:t>/</w:t>
            </w:r>
          </w:p>
        </w:tc>
        <w:tc>
          <w:tcPr>
            <w:tcW w:w="862"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建设地点</w:t>
            </w:r>
          </w:p>
        </w:tc>
        <w:tc>
          <w:tcPr>
            <w:tcW w:w="3684" w:type="dxa"/>
            <w:gridSpan w:val="6"/>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江西省江西省宜春市袁州区彬江镇工业大道31号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839"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sz w:val="15"/>
              </w:rPr>
              <w:t>行业类别（分类管理名录）</w:t>
            </w:r>
          </w:p>
        </w:tc>
        <w:tc>
          <w:tcPr>
            <w:tcW w:w="4809" w:type="dxa"/>
            <w:gridSpan w:val="7"/>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default" w:ascii="Times New Roman" w:hAnsi="Times New Roman" w:cs="Times New Roman"/>
                <w:color w:val="000000"/>
                <w:kern w:val="2"/>
                <w:sz w:val="15"/>
                <w:szCs w:val="15"/>
                <w:lang w:val="en-US" w:eastAsia="zh-CN"/>
              </w:rPr>
              <w:t>C3021 水泥制品制造</w:t>
            </w:r>
          </w:p>
        </w:tc>
        <w:tc>
          <w:tcPr>
            <w:tcW w:w="1843"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建设性质</w:t>
            </w:r>
          </w:p>
        </w:tc>
        <w:tc>
          <w:tcPr>
            <w:tcW w:w="4110" w:type="dxa"/>
            <w:gridSpan w:val="8"/>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sym w:font="Wingdings 2" w:char="0052"/>
            </w:r>
            <w:r>
              <w:rPr>
                <w:rFonts w:hint="eastAsia" w:ascii="Times New Roman" w:hAnsi="Times New Roman" w:cs="Times New Roman"/>
                <w:color w:val="000000"/>
                <w:kern w:val="2"/>
                <w:sz w:val="15"/>
                <w:szCs w:val="15"/>
                <w:lang w:val="en-US" w:eastAsia="zh-CN"/>
              </w:rPr>
              <w:t xml:space="preserve"> </w:t>
            </w:r>
            <w:r>
              <w:rPr>
                <w:rFonts w:hint="default" w:ascii="Times New Roman" w:hAnsi="Times New Roman" w:cs="Times New Roman"/>
                <w:color w:val="000000"/>
                <w:kern w:val="2"/>
                <w:sz w:val="15"/>
                <w:szCs w:val="15"/>
                <w:lang w:val="en-US" w:eastAsia="zh-CN"/>
              </w:rPr>
              <w:t xml:space="preserve">新建  </w:t>
            </w:r>
            <w:r>
              <w:rPr>
                <w:rFonts w:hint="eastAsia" w:ascii="Times New Roman" w:hAnsi="Times New Roman" w:cs="Times New Roman"/>
                <w:color w:val="000000"/>
                <w:kern w:val="2"/>
                <w:sz w:val="15"/>
                <w:szCs w:val="15"/>
                <w:lang w:val="en-US" w:eastAsia="zh-CN"/>
              </w:rPr>
              <w:t>□</w:t>
            </w:r>
            <w:r>
              <w:rPr>
                <w:rFonts w:hint="default" w:ascii="Times New Roman" w:hAnsi="Times New Roman" w:cs="Times New Roman"/>
                <w:color w:val="000000"/>
                <w:kern w:val="2"/>
                <w:sz w:val="15"/>
                <w:szCs w:val="15"/>
                <w:lang w:val="en-US" w:eastAsia="zh-CN"/>
              </w:rPr>
              <w:t xml:space="preserve"> 改扩建  □</w:t>
            </w:r>
            <w:r>
              <w:rPr>
                <w:rFonts w:hint="eastAsia" w:ascii="Times New Roman" w:hAnsi="Times New Roman" w:cs="Times New Roman"/>
                <w:color w:val="000000"/>
                <w:kern w:val="2"/>
                <w:sz w:val="15"/>
                <w:szCs w:val="15"/>
                <w:lang w:val="en-US" w:eastAsia="zh-CN"/>
              </w:rPr>
              <w:t xml:space="preserve"> </w:t>
            </w:r>
            <w:r>
              <w:rPr>
                <w:rFonts w:hint="default" w:ascii="Times New Roman" w:hAnsi="Times New Roman" w:cs="Times New Roman"/>
                <w:color w:val="000000"/>
                <w:kern w:val="2"/>
                <w:sz w:val="15"/>
                <w:szCs w:val="15"/>
                <w:lang w:val="en-US" w:eastAsia="zh-CN"/>
              </w:rPr>
              <w:t>技术改造</w:t>
            </w:r>
          </w:p>
        </w:tc>
        <w:tc>
          <w:tcPr>
            <w:tcW w:w="993"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default" w:ascii="Times New Roman" w:hAnsi="Times New Roman" w:cs="Times New Roman"/>
                <w:color w:val="000000"/>
                <w:kern w:val="2"/>
                <w:sz w:val="15"/>
                <w:szCs w:val="15"/>
                <w:lang w:val="en-US" w:eastAsia="zh-CN"/>
              </w:rPr>
              <w:t>项目厂区中心经度/纬度</w:t>
            </w:r>
          </w:p>
        </w:tc>
        <w:tc>
          <w:tcPr>
            <w:tcW w:w="1852"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default" w:ascii="Times New Roman" w:hAnsi="Times New Roman" w:cs="Times New Roman"/>
                <w:color w:val="000000"/>
                <w:kern w:val="2"/>
                <w:sz w:val="15"/>
                <w:szCs w:val="15"/>
                <w:lang w:val="en-US" w:eastAsia="zh-CN"/>
              </w:rPr>
              <w:t>114度32分36.540秒，27度48分09.657秒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839"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设计生产能力</w:t>
            </w:r>
          </w:p>
        </w:tc>
        <w:tc>
          <w:tcPr>
            <w:tcW w:w="4809" w:type="dxa"/>
            <w:gridSpan w:val="7"/>
            <w:tcMar>
              <w:left w:w="57" w:type="dxa"/>
              <w:right w:w="57" w:type="dxa"/>
            </w:tcMar>
            <w:vAlign w:val="center"/>
          </w:tcPr>
          <w:p>
            <w:pPr>
              <w:spacing w:after="0"/>
              <w:jc w:val="center"/>
              <w:rPr>
                <w:rFonts w:hint="default" w:ascii="Times New Roman" w:hAnsi="Times New Roman" w:cs="Times New Roman"/>
                <w:b/>
                <w:bCs/>
                <w:color w:val="000000"/>
                <w:kern w:val="2"/>
                <w:sz w:val="15"/>
                <w:szCs w:val="15"/>
                <w:lang w:val="en-US" w:eastAsia="zh-CN"/>
              </w:rPr>
            </w:pPr>
            <w:r>
              <w:rPr>
                <w:rFonts w:hint="default" w:ascii="Times New Roman" w:hAnsi="Times New Roman" w:cs="Times New Roman"/>
                <w:b w:val="0"/>
                <w:bCs w:val="0"/>
                <w:color w:val="000000"/>
                <w:kern w:val="2"/>
                <w:sz w:val="15"/>
                <w:szCs w:val="15"/>
                <w:lang w:val="en-US" w:eastAsia="zh-CN"/>
              </w:rPr>
              <w:t>水泥构件1000套及电力设施器材4000套</w:t>
            </w:r>
          </w:p>
        </w:tc>
        <w:tc>
          <w:tcPr>
            <w:tcW w:w="1843"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实际生产能力</w:t>
            </w:r>
          </w:p>
        </w:tc>
        <w:tc>
          <w:tcPr>
            <w:tcW w:w="4110" w:type="dxa"/>
            <w:gridSpan w:val="8"/>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default" w:ascii="Times New Roman" w:hAnsi="Times New Roman" w:cs="Times New Roman"/>
                <w:color w:val="000000"/>
                <w:kern w:val="2"/>
                <w:sz w:val="15"/>
                <w:szCs w:val="15"/>
                <w:lang w:val="en-US" w:eastAsia="zh-CN"/>
              </w:rPr>
              <w:t>水泥构件1000套及电力设施器材4000套</w:t>
            </w:r>
          </w:p>
        </w:tc>
        <w:tc>
          <w:tcPr>
            <w:tcW w:w="993"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default" w:ascii="Times New Roman" w:hAnsi="Times New Roman" w:cs="Times New Roman"/>
                <w:color w:val="000000"/>
                <w:kern w:val="2"/>
                <w:sz w:val="15"/>
                <w:szCs w:val="15"/>
                <w:lang w:val="en-US" w:eastAsia="zh-CN"/>
              </w:rPr>
              <w:t>环评单位</w:t>
            </w:r>
          </w:p>
        </w:tc>
        <w:tc>
          <w:tcPr>
            <w:tcW w:w="1852"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eastAsia" w:ascii="Times New Roman" w:hAnsi="Times New Roman" w:cs="Times New Roman"/>
                <w:color w:val="000000"/>
                <w:kern w:val="2"/>
                <w:sz w:val="13"/>
                <w:szCs w:val="13"/>
                <w:lang w:val="en-US" w:eastAsia="zh-CN"/>
              </w:rPr>
              <w:t>江西六佳环保科技有限公司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839"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环评文件审批机关</w:t>
            </w:r>
          </w:p>
        </w:tc>
        <w:tc>
          <w:tcPr>
            <w:tcW w:w="4809" w:type="dxa"/>
            <w:gridSpan w:val="7"/>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宜春市袁州生态环境局</w:t>
            </w:r>
          </w:p>
        </w:tc>
        <w:tc>
          <w:tcPr>
            <w:tcW w:w="1843"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审批文号</w:t>
            </w:r>
          </w:p>
        </w:tc>
        <w:tc>
          <w:tcPr>
            <w:tcW w:w="2409"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袁环评字[2024]9号</w:t>
            </w:r>
          </w:p>
        </w:tc>
        <w:tc>
          <w:tcPr>
            <w:tcW w:w="1701" w:type="dxa"/>
            <w:gridSpan w:val="4"/>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环评文件类型</w:t>
            </w:r>
          </w:p>
        </w:tc>
        <w:tc>
          <w:tcPr>
            <w:tcW w:w="2845"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default" w:ascii="Times New Roman" w:hAnsi="Times New Roman" w:cs="Times New Roman"/>
                <w:color w:val="000000"/>
                <w:kern w:val="2"/>
                <w:sz w:val="15"/>
                <w:szCs w:val="15"/>
                <w:lang w:val="en-US" w:eastAsia="zh-CN"/>
              </w:rPr>
              <w:t>报告表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839"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highlight w:val="none"/>
              </w:rPr>
              <w:t>开工日期</w:t>
            </w:r>
          </w:p>
        </w:tc>
        <w:tc>
          <w:tcPr>
            <w:tcW w:w="4809" w:type="dxa"/>
            <w:gridSpan w:val="7"/>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2024年01月</w:t>
            </w:r>
          </w:p>
        </w:tc>
        <w:tc>
          <w:tcPr>
            <w:tcW w:w="1843"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highlight w:val="none"/>
              </w:rPr>
              <w:t>竣工日期</w:t>
            </w:r>
          </w:p>
        </w:tc>
        <w:tc>
          <w:tcPr>
            <w:tcW w:w="2409"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2024年03月</w:t>
            </w:r>
          </w:p>
        </w:tc>
        <w:tc>
          <w:tcPr>
            <w:tcW w:w="1701" w:type="dxa"/>
            <w:gridSpan w:val="4"/>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排污许可证申领时间</w:t>
            </w:r>
          </w:p>
        </w:tc>
        <w:tc>
          <w:tcPr>
            <w:tcW w:w="2845"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default" w:ascii="Times New Roman" w:hAnsi="Times New Roman" w:cs="Times New Roman"/>
                <w:color w:val="000000"/>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839"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环保设施设计单位</w:t>
            </w:r>
          </w:p>
        </w:tc>
        <w:tc>
          <w:tcPr>
            <w:tcW w:w="4809" w:type="dxa"/>
            <w:gridSpan w:val="7"/>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color w:val="000000"/>
                <w:kern w:val="2"/>
                <w:sz w:val="15"/>
                <w:szCs w:val="15"/>
              </w:rPr>
              <w:t>/</w:t>
            </w:r>
          </w:p>
        </w:tc>
        <w:tc>
          <w:tcPr>
            <w:tcW w:w="1843" w:type="dxa"/>
            <w:gridSpan w:val="2"/>
            <w:tcMar>
              <w:left w:w="57" w:type="dxa"/>
              <w:right w:w="57" w:type="dxa"/>
            </w:tcMar>
            <w:vAlign w:val="center"/>
          </w:tcPr>
          <w:p>
            <w:pPr>
              <w:spacing w:after="0"/>
              <w:jc w:val="center"/>
              <w:rPr>
                <w:rFonts w:hint="default" w:ascii="Times New Roman" w:hAnsi="Times New Roman" w:cs="Times New Roman"/>
                <w:b/>
                <w:color w:val="000000"/>
                <w:sz w:val="15"/>
                <w:szCs w:val="15"/>
              </w:rPr>
            </w:pPr>
            <w:r>
              <w:rPr>
                <w:rFonts w:hint="default" w:ascii="Times New Roman" w:hAnsi="Times New Roman" w:cs="Times New Roman"/>
                <w:b/>
                <w:color w:val="000000"/>
                <w:sz w:val="15"/>
                <w:szCs w:val="15"/>
              </w:rPr>
              <w:t>环保设施施工单位</w:t>
            </w:r>
          </w:p>
        </w:tc>
        <w:tc>
          <w:tcPr>
            <w:tcW w:w="2409"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default" w:ascii="Times New Roman" w:hAnsi="Times New Roman" w:cs="Times New Roman"/>
                <w:color w:val="000000"/>
                <w:kern w:val="2"/>
                <w:sz w:val="15"/>
                <w:szCs w:val="15"/>
                <w:lang w:val="en-US" w:eastAsia="zh-CN"/>
              </w:rPr>
              <w:t>/</w:t>
            </w:r>
          </w:p>
        </w:tc>
        <w:tc>
          <w:tcPr>
            <w:tcW w:w="1701" w:type="dxa"/>
            <w:gridSpan w:val="4"/>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本工程排污许可证编号</w:t>
            </w:r>
          </w:p>
        </w:tc>
        <w:tc>
          <w:tcPr>
            <w:tcW w:w="2845"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default" w:ascii="Times New Roman" w:hAnsi="Times New Roman" w:cs="Times New Roman"/>
                <w:color w:val="000000"/>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839"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验收单位</w:t>
            </w:r>
          </w:p>
        </w:tc>
        <w:tc>
          <w:tcPr>
            <w:tcW w:w="4809" w:type="dxa"/>
            <w:gridSpan w:val="7"/>
            <w:tcMar>
              <w:left w:w="57" w:type="dxa"/>
              <w:right w:w="57" w:type="dxa"/>
            </w:tcMar>
            <w:vAlign w:val="center"/>
          </w:tcPr>
          <w:p>
            <w:pPr>
              <w:spacing w:after="0"/>
              <w:jc w:val="center"/>
              <w:rPr>
                <w:rFonts w:hint="eastAsia" w:ascii="Times New Roman" w:hAnsi="Times New Roman" w:eastAsia="微软雅黑"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w:t>
            </w:r>
          </w:p>
        </w:tc>
        <w:tc>
          <w:tcPr>
            <w:tcW w:w="1843"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环保设施监测单位</w:t>
            </w:r>
          </w:p>
        </w:tc>
        <w:tc>
          <w:tcPr>
            <w:tcW w:w="2409"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江西省祥逸检测技术有限公司</w:t>
            </w:r>
          </w:p>
        </w:tc>
        <w:tc>
          <w:tcPr>
            <w:tcW w:w="1701" w:type="dxa"/>
            <w:gridSpan w:val="4"/>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验收监测时工况</w:t>
            </w:r>
          </w:p>
        </w:tc>
        <w:tc>
          <w:tcPr>
            <w:tcW w:w="2845"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default" w:ascii="Times New Roman" w:hAnsi="Times New Roman" w:cs="Times New Roman"/>
                <w:color w:val="000000"/>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54" w:hRule="atLeast"/>
          <w:jc w:val="center"/>
        </w:trPr>
        <w:tc>
          <w:tcPr>
            <w:tcW w:w="430" w:type="dxa"/>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839"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投资总概算（万元）</w:t>
            </w:r>
          </w:p>
        </w:tc>
        <w:tc>
          <w:tcPr>
            <w:tcW w:w="4809" w:type="dxa"/>
            <w:gridSpan w:val="7"/>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12000</w:t>
            </w:r>
            <w:r>
              <w:rPr>
                <w:rFonts w:hint="default" w:ascii="Times New Roman" w:hAnsi="Times New Roman" w:cs="Times New Roman"/>
                <w:color w:val="000000"/>
                <w:kern w:val="2"/>
                <w:sz w:val="15"/>
                <w:szCs w:val="15"/>
                <w:lang w:val="en-US" w:eastAsia="zh-CN"/>
              </w:rPr>
              <w:t>万元</w:t>
            </w:r>
          </w:p>
        </w:tc>
        <w:tc>
          <w:tcPr>
            <w:tcW w:w="1843" w:type="dxa"/>
            <w:gridSpan w:val="2"/>
            <w:tcMar>
              <w:left w:w="57" w:type="dxa"/>
              <w:right w:w="57" w:type="dxa"/>
            </w:tcMar>
            <w:vAlign w:val="center"/>
          </w:tcPr>
          <w:p>
            <w:pPr>
              <w:tabs>
                <w:tab w:val="left" w:pos="690"/>
              </w:tabs>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环保投资总概算（万元）</w:t>
            </w:r>
          </w:p>
        </w:tc>
        <w:tc>
          <w:tcPr>
            <w:tcW w:w="2409"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120</w:t>
            </w:r>
            <w:r>
              <w:rPr>
                <w:rFonts w:hint="default" w:ascii="Times New Roman" w:hAnsi="Times New Roman" w:cs="Times New Roman"/>
                <w:color w:val="000000"/>
                <w:kern w:val="2"/>
                <w:sz w:val="15"/>
                <w:szCs w:val="15"/>
                <w:lang w:val="en-US" w:eastAsia="zh-CN"/>
              </w:rPr>
              <w:t>万元</w:t>
            </w:r>
          </w:p>
        </w:tc>
        <w:tc>
          <w:tcPr>
            <w:tcW w:w="1701" w:type="dxa"/>
            <w:gridSpan w:val="4"/>
            <w:tcMar>
              <w:left w:w="57" w:type="dxa"/>
              <w:right w:w="57" w:type="dxa"/>
            </w:tcMar>
            <w:vAlign w:val="center"/>
          </w:tcPr>
          <w:p>
            <w:pPr>
              <w:tabs>
                <w:tab w:val="left" w:pos="690"/>
              </w:tabs>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所占比例（%）</w:t>
            </w:r>
          </w:p>
        </w:tc>
        <w:tc>
          <w:tcPr>
            <w:tcW w:w="2845"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839"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实际总投资</w:t>
            </w:r>
          </w:p>
        </w:tc>
        <w:tc>
          <w:tcPr>
            <w:tcW w:w="4809" w:type="dxa"/>
            <w:gridSpan w:val="7"/>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12000</w:t>
            </w:r>
            <w:r>
              <w:rPr>
                <w:rFonts w:hint="default" w:ascii="Times New Roman" w:hAnsi="Times New Roman" w:cs="Times New Roman"/>
                <w:color w:val="000000"/>
                <w:kern w:val="2"/>
                <w:sz w:val="15"/>
                <w:szCs w:val="15"/>
                <w:lang w:val="en-US" w:eastAsia="zh-CN"/>
              </w:rPr>
              <w:t>万元</w:t>
            </w:r>
          </w:p>
        </w:tc>
        <w:tc>
          <w:tcPr>
            <w:tcW w:w="1843" w:type="dxa"/>
            <w:gridSpan w:val="2"/>
            <w:tcMar>
              <w:left w:w="57" w:type="dxa"/>
              <w:right w:w="57" w:type="dxa"/>
            </w:tcMar>
            <w:vAlign w:val="center"/>
          </w:tcPr>
          <w:p>
            <w:pPr>
              <w:spacing w:after="0"/>
              <w:ind w:right="30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实际环保投资</w:t>
            </w:r>
          </w:p>
        </w:tc>
        <w:tc>
          <w:tcPr>
            <w:tcW w:w="2409"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120</w:t>
            </w:r>
            <w:r>
              <w:rPr>
                <w:rFonts w:hint="default" w:ascii="Times New Roman" w:hAnsi="Times New Roman" w:cs="Times New Roman"/>
                <w:color w:val="000000"/>
                <w:kern w:val="2"/>
                <w:sz w:val="15"/>
                <w:szCs w:val="15"/>
                <w:lang w:val="en-US" w:eastAsia="zh-CN"/>
              </w:rPr>
              <w:t>万元</w:t>
            </w:r>
          </w:p>
        </w:tc>
        <w:tc>
          <w:tcPr>
            <w:tcW w:w="1701" w:type="dxa"/>
            <w:gridSpan w:val="4"/>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所占比例（%）</w:t>
            </w:r>
          </w:p>
        </w:tc>
        <w:tc>
          <w:tcPr>
            <w:tcW w:w="2845"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430" w:type="dxa"/>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839"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废水治理（万元）</w:t>
            </w:r>
          </w:p>
        </w:tc>
        <w:tc>
          <w:tcPr>
            <w:tcW w:w="713" w:type="dxa"/>
            <w:tcMar>
              <w:left w:w="57" w:type="dxa"/>
              <w:right w:w="57" w:type="dxa"/>
            </w:tcMar>
            <w:vAlign w:val="center"/>
          </w:tcPr>
          <w:p>
            <w:pPr>
              <w:spacing w:after="0"/>
              <w:jc w:val="center"/>
              <w:rPr>
                <w:rFonts w:hint="default" w:ascii="Times New Roman" w:hAnsi="Times New Roman" w:eastAsia="微软雅黑" w:cs="Times New Roman"/>
                <w:color w:val="000000"/>
                <w:kern w:val="2"/>
                <w:sz w:val="15"/>
                <w:szCs w:val="15"/>
                <w:lang w:val="en-US" w:eastAsia="zh-CN"/>
              </w:rPr>
            </w:pPr>
            <w:r>
              <w:rPr>
                <w:rFonts w:hint="eastAsia" w:ascii="Times New Roman" w:hAnsi="Times New Roman" w:eastAsia="微软雅黑" w:cs="Times New Roman"/>
                <w:color w:val="000000"/>
                <w:kern w:val="2"/>
                <w:sz w:val="15"/>
                <w:szCs w:val="15"/>
                <w:lang w:val="en-US" w:eastAsia="zh-CN"/>
              </w:rPr>
              <w:t>40</w:t>
            </w:r>
          </w:p>
        </w:tc>
        <w:tc>
          <w:tcPr>
            <w:tcW w:w="1261" w:type="dxa"/>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废气治理（万元）</w:t>
            </w:r>
          </w:p>
        </w:tc>
        <w:tc>
          <w:tcPr>
            <w:tcW w:w="850" w:type="dxa"/>
            <w:tcMar>
              <w:left w:w="57" w:type="dxa"/>
              <w:right w:w="57" w:type="dxa"/>
            </w:tcMar>
            <w:vAlign w:val="center"/>
          </w:tcPr>
          <w:p>
            <w:pPr>
              <w:spacing w:after="0"/>
              <w:jc w:val="center"/>
              <w:rPr>
                <w:rFonts w:hint="default" w:ascii="Times New Roman" w:hAnsi="Times New Roman" w:eastAsia="微软雅黑"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30</w:t>
            </w:r>
          </w:p>
        </w:tc>
        <w:tc>
          <w:tcPr>
            <w:tcW w:w="1418"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噪声治理（万元）</w:t>
            </w:r>
          </w:p>
        </w:tc>
        <w:tc>
          <w:tcPr>
            <w:tcW w:w="567" w:type="dxa"/>
            <w:gridSpan w:val="2"/>
            <w:tcMar>
              <w:left w:w="57" w:type="dxa"/>
              <w:right w:w="57" w:type="dxa"/>
            </w:tcMar>
            <w:vAlign w:val="center"/>
          </w:tcPr>
          <w:p>
            <w:pPr>
              <w:spacing w:after="0"/>
              <w:jc w:val="center"/>
              <w:rPr>
                <w:rFonts w:hint="default" w:ascii="Times New Roman" w:hAnsi="Times New Roman" w:eastAsia="微软雅黑"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20</w:t>
            </w:r>
          </w:p>
        </w:tc>
        <w:tc>
          <w:tcPr>
            <w:tcW w:w="1843"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固体废物治理（万元）</w:t>
            </w:r>
          </w:p>
        </w:tc>
        <w:tc>
          <w:tcPr>
            <w:tcW w:w="2409"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30</w:t>
            </w:r>
          </w:p>
        </w:tc>
        <w:tc>
          <w:tcPr>
            <w:tcW w:w="1701" w:type="dxa"/>
            <w:gridSpan w:val="4"/>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绿化及生态（万元）</w:t>
            </w:r>
          </w:p>
        </w:tc>
        <w:tc>
          <w:tcPr>
            <w:tcW w:w="949" w:type="dxa"/>
            <w:tcMar>
              <w:left w:w="57" w:type="dxa"/>
              <w:right w:w="57" w:type="dxa"/>
            </w:tcMar>
            <w:vAlign w:val="center"/>
          </w:tcPr>
          <w:p>
            <w:pPr>
              <w:spacing w:after="0"/>
              <w:jc w:val="center"/>
              <w:rPr>
                <w:rFonts w:hint="default" w:ascii="Times New Roman" w:hAnsi="Times New Roman" w:cs="Times New Roman" w:eastAsiaTheme="minorEastAsia"/>
                <w:color w:val="000000"/>
                <w:kern w:val="2"/>
                <w:sz w:val="15"/>
                <w:szCs w:val="15"/>
                <w:lang w:val="en-US" w:eastAsia="zh-CN"/>
              </w:rPr>
            </w:pPr>
            <w:r>
              <w:rPr>
                <w:rFonts w:hint="eastAsia" w:ascii="Times New Roman" w:hAnsi="Times New Roman" w:cs="Times New Roman"/>
                <w:color w:val="000000"/>
                <w:kern w:val="2"/>
                <w:sz w:val="15"/>
                <w:szCs w:val="15"/>
                <w:lang w:val="en-US" w:eastAsia="zh-CN"/>
              </w:rPr>
              <w:t>/</w:t>
            </w:r>
          </w:p>
        </w:tc>
        <w:tc>
          <w:tcPr>
            <w:tcW w:w="1102"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其他（万元）</w:t>
            </w:r>
          </w:p>
        </w:tc>
        <w:tc>
          <w:tcPr>
            <w:tcW w:w="794" w:type="dxa"/>
            <w:tcMar>
              <w:left w:w="57" w:type="dxa"/>
              <w:right w:w="57" w:type="dxa"/>
            </w:tcMar>
            <w:vAlign w:val="center"/>
          </w:tcPr>
          <w:p>
            <w:pPr>
              <w:spacing w:after="0"/>
              <w:jc w:val="center"/>
              <w:rPr>
                <w:rFonts w:hint="default" w:ascii="Times New Roman" w:hAnsi="Times New Roman" w:eastAsia="微软雅黑" w:cs="Times New Roman"/>
                <w:color w:val="000000"/>
                <w:kern w:val="2"/>
                <w:sz w:val="15"/>
                <w:szCs w:val="15"/>
                <w:lang w:val="en-US" w:eastAsia="zh-CN"/>
              </w:rPr>
            </w:pPr>
            <w:r>
              <w:rPr>
                <w:rFonts w:hint="eastAsia" w:ascii="Times New Roman" w:hAnsi="Times New Roman" w:cs="Times New Roman"/>
                <w:color w:val="000000"/>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839"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新增废水处理设施能力</w:t>
            </w:r>
          </w:p>
        </w:tc>
        <w:tc>
          <w:tcPr>
            <w:tcW w:w="4809" w:type="dxa"/>
            <w:gridSpan w:val="7"/>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color w:val="000000"/>
                <w:kern w:val="2"/>
                <w:sz w:val="15"/>
                <w:szCs w:val="15"/>
              </w:rPr>
              <w:t>/</w:t>
            </w:r>
          </w:p>
        </w:tc>
        <w:tc>
          <w:tcPr>
            <w:tcW w:w="1843"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新增废气处理设施能力</w:t>
            </w:r>
          </w:p>
        </w:tc>
        <w:tc>
          <w:tcPr>
            <w:tcW w:w="2409"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color w:val="000000"/>
                <w:kern w:val="2"/>
                <w:sz w:val="15"/>
                <w:szCs w:val="15"/>
              </w:rPr>
              <w:t>/</w:t>
            </w:r>
          </w:p>
        </w:tc>
        <w:tc>
          <w:tcPr>
            <w:tcW w:w="1701"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年平均工作时</w:t>
            </w:r>
          </w:p>
        </w:tc>
        <w:tc>
          <w:tcPr>
            <w:tcW w:w="2845"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eastAsia" w:ascii="Times New Roman" w:hAnsi="Times New Roman" w:cs="Times New Roman"/>
                <w:color w:val="000000"/>
                <w:kern w:val="2"/>
                <w:sz w:val="15"/>
                <w:szCs w:val="15"/>
                <w:lang w:val="en-US" w:eastAsia="zh-CN"/>
              </w:rPr>
              <w:t>300</w:t>
            </w:r>
            <w:r>
              <w:rPr>
                <w:rFonts w:hint="default" w:ascii="Times New Roman" w:hAnsi="Times New Roman" w:cs="Times New Roman"/>
                <w:color w:val="000000"/>
                <w:kern w:val="2"/>
                <w:sz w:val="15"/>
                <w:szCs w:val="15"/>
              </w:rPr>
              <w:t>天</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2269" w:type="dxa"/>
            <w:gridSpan w:val="4"/>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运营单位</w:t>
            </w:r>
          </w:p>
        </w:tc>
        <w:tc>
          <w:tcPr>
            <w:tcW w:w="3250" w:type="dxa"/>
            <w:gridSpan w:val="4"/>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eastAsia" w:ascii="Times New Roman" w:hAnsi="Times New Roman" w:cs="Times New Roman"/>
                <w:color w:val="000000"/>
                <w:kern w:val="2"/>
                <w:sz w:val="15"/>
                <w:szCs w:val="15"/>
                <w:lang w:val="en-US" w:eastAsia="zh-CN"/>
              </w:rPr>
              <w:t>江西伟航新材料有限公司</w:t>
            </w:r>
          </w:p>
        </w:tc>
        <w:tc>
          <w:tcPr>
            <w:tcW w:w="3402" w:type="dxa"/>
            <w:gridSpan w:val="5"/>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运营单位社会统一信用代码（或组织机构代码）</w:t>
            </w:r>
          </w:p>
        </w:tc>
        <w:tc>
          <w:tcPr>
            <w:tcW w:w="1842" w:type="dxa"/>
            <w:gridSpan w:val="3"/>
            <w:tcMar>
              <w:left w:w="57" w:type="dxa"/>
              <w:right w:w="57" w:type="dxa"/>
            </w:tcMar>
            <w:vAlign w:val="center"/>
          </w:tcPr>
          <w:p>
            <w:pPr>
              <w:spacing w:after="0"/>
              <w:jc w:val="center"/>
              <w:rPr>
                <w:rFonts w:hint="default" w:ascii="Times New Roman" w:hAnsi="Times New Roman" w:eastAsia="微软雅黑" w:cs="Times New Roman"/>
                <w:color w:val="000000" w:themeColor="text1"/>
                <w:kern w:val="2"/>
                <w:sz w:val="15"/>
                <w:szCs w:val="15"/>
                <w:lang w:val="en-US" w:eastAsia="zh-CN"/>
                <w14:textFill>
                  <w14:solidFill>
                    <w14:schemeClr w14:val="tx1"/>
                  </w14:solidFill>
                </w14:textFill>
              </w:rPr>
            </w:pPr>
            <w:r>
              <w:rPr>
                <w:rFonts w:hint="eastAsia" w:ascii="Times New Roman" w:hAnsi="Times New Roman" w:eastAsia="微软雅黑" w:cs="Times New Roman"/>
                <w:color w:val="000000" w:themeColor="text1"/>
                <w:kern w:val="2"/>
                <w:sz w:val="15"/>
                <w:szCs w:val="15"/>
                <w:lang w:val="en-US" w:eastAsia="zh-CN"/>
                <w14:textFill>
                  <w14:solidFill>
                    <w14:schemeClr w14:val="tx1"/>
                  </w14:solidFill>
                </w14:textFill>
              </w:rPr>
              <w:t>/</w:t>
            </w:r>
          </w:p>
        </w:tc>
        <w:tc>
          <w:tcPr>
            <w:tcW w:w="851"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验收时间</w:t>
            </w:r>
          </w:p>
        </w:tc>
        <w:tc>
          <w:tcPr>
            <w:tcW w:w="4262" w:type="dxa"/>
            <w:gridSpan w:val="7"/>
            <w:tcMar>
              <w:left w:w="57" w:type="dxa"/>
              <w:right w:w="57" w:type="dxa"/>
            </w:tcMar>
            <w:vAlign w:val="center"/>
          </w:tcPr>
          <w:p>
            <w:pPr>
              <w:spacing w:after="0"/>
              <w:jc w:val="center"/>
              <w:rPr>
                <w:rFonts w:hint="default" w:ascii="Times New Roman" w:hAnsi="Times New Roman" w:cs="Times New Roman"/>
                <w:color w:val="000000"/>
                <w:kern w:val="2"/>
                <w:sz w:val="15"/>
                <w:szCs w:val="15"/>
                <w:lang w:val="en-US"/>
              </w:rPr>
            </w:pPr>
            <w:r>
              <w:rPr>
                <w:rFonts w:hint="default" w:ascii="Times New Roman" w:hAnsi="Times New Roman" w:cs="Times New Roman"/>
                <w:color w:val="000000"/>
                <w:kern w:val="2"/>
                <w:sz w:val="15"/>
                <w:szCs w:val="15"/>
                <w:highlight w:val="none"/>
                <w:lang w:val="en-US" w:eastAsia="zh-CN"/>
              </w:rPr>
              <w:t>202</w:t>
            </w:r>
            <w:r>
              <w:rPr>
                <w:rFonts w:hint="eastAsia" w:ascii="Times New Roman" w:hAnsi="Times New Roman" w:cs="Times New Roman"/>
                <w:color w:val="000000"/>
                <w:kern w:val="2"/>
                <w:sz w:val="15"/>
                <w:szCs w:val="15"/>
                <w:highlight w:val="none"/>
                <w:lang w:val="en-US" w:eastAsia="zh-CN"/>
              </w:rPr>
              <w:t>4</w:t>
            </w:r>
            <w:r>
              <w:rPr>
                <w:rFonts w:hint="default" w:ascii="Times New Roman" w:hAnsi="Times New Roman" w:cs="Times New Roman"/>
                <w:color w:val="000000"/>
                <w:kern w:val="2"/>
                <w:sz w:val="15"/>
                <w:szCs w:val="15"/>
                <w:highlight w:val="none"/>
                <w:lang w:val="en-US" w:eastAsia="zh-CN"/>
              </w:rPr>
              <w:t>年</w:t>
            </w:r>
            <w:r>
              <w:rPr>
                <w:rFonts w:hint="eastAsia" w:ascii="Times New Roman" w:hAnsi="Times New Roman" w:cs="Times New Roman"/>
                <w:color w:val="000000"/>
                <w:kern w:val="2"/>
                <w:sz w:val="15"/>
                <w:szCs w:val="15"/>
                <w:highlight w:val="none"/>
                <w:lang w:val="en-US" w:eastAsia="zh-CN"/>
              </w:rPr>
              <w:t>5</w:t>
            </w:r>
            <w:r>
              <w:rPr>
                <w:rFonts w:hint="default" w:ascii="Times New Roman" w:hAnsi="Times New Roman" w:cs="Times New Roman"/>
                <w:color w:val="000000"/>
                <w:kern w:val="2"/>
                <w:sz w:val="15"/>
                <w:szCs w:val="15"/>
                <w:highlight w:val="none"/>
                <w:lang w:val="en-US" w:eastAsia="zh-CN"/>
              </w:rPr>
              <w:t>月</w:t>
            </w:r>
            <w:r>
              <w:rPr>
                <w:rFonts w:hint="eastAsia" w:ascii="Times New Roman" w:hAnsi="Times New Roman" w:cs="Times New Roman"/>
                <w:color w:val="000000"/>
                <w:kern w:val="2"/>
                <w:sz w:val="15"/>
                <w:szCs w:val="15"/>
                <w:highlight w:val="none"/>
                <w:lang w:val="en-US" w:eastAsia="zh-CN"/>
              </w:rPr>
              <w:t>-</w:t>
            </w:r>
            <w:r>
              <w:rPr>
                <w:rFonts w:hint="default" w:ascii="Times New Roman" w:hAnsi="Times New Roman" w:cs="Times New Roman"/>
                <w:color w:val="000000"/>
                <w:kern w:val="2"/>
                <w:sz w:val="15"/>
                <w:szCs w:val="15"/>
                <w:highlight w:val="none"/>
                <w:lang w:val="en-US" w:eastAsia="zh-CN"/>
              </w:rPr>
              <w:t>202</w:t>
            </w:r>
            <w:r>
              <w:rPr>
                <w:rFonts w:hint="eastAsia" w:ascii="Times New Roman" w:hAnsi="Times New Roman" w:cs="Times New Roman"/>
                <w:color w:val="000000"/>
                <w:kern w:val="2"/>
                <w:sz w:val="15"/>
                <w:szCs w:val="15"/>
                <w:highlight w:val="none"/>
                <w:lang w:val="en-US" w:eastAsia="zh-CN"/>
              </w:rPr>
              <w:t>4</w:t>
            </w:r>
            <w:r>
              <w:rPr>
                <w:rFonts w:hint="default" w:ascii="Times New Roman" w:hAnsi="Times New Roman" w:cs="Times New Roman"/>
                <w:color w:val="000000"/>
                <w:kern w:val="2"/>
                <w:sz w:val="15"/>
                <w:szCs w:val="15"/>
                <w:highlight w:val="none"/>
                <w:lang w:val="en-US" w:eastAsia="zh-CN"/>
              </w:rPr>
              <w:t>年</w:t>
            </w:r>
            <w:r>
              <w:rPr>
                <w:rFonts w:hint="eastAsia" w:ascii="Times New Roman" w:hAnsi="Times New Roman" w:cs="Times New Roman"/>
                <w:color w:val="000000"/>
                <w:kern w:val="2"/>
                <w:sz w:val="15"/>
                <w:szCs w:val="15"/>
                <w:highlight w:val="none"/>
                <w:lang w:val="en-US" w:eastAsia="zh-CN"/>
              </w:rPr>
              <w:t>5</w:t>
            </w:r>
            <w:r>
              <w:rPr>
                <w:rFonts w:hint="default" w:ascii="Times New Roman" w:hAnsi="Times New Roman" w:cs="Times New Roman"/>
                <w:color w:val="000000"/>
                <w:kern w:val="2"/>
                <w:sz w:val="15"/>
                <w:szCs w:val="15"/>
                <w:highlight w:val="none"/>
                <w:lang w:val="en-US" w:eastAsia="zh-CN"/>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restart"/>
            <w:tcMar>
              <w:left w:w="57" w:type="dxa"/>
              <w:right w:w="57" w:type="dxa"/>
            </w:tcMar>
            <w:vAlign w:val="center"/>
          </w:tcPr>
          <w:p>
            <w:pPr>
              <w:spacing w:after="0"/>
              <w:jc w:val="center"/>
              <w:rPr>
                <w:rFonts w:hint="default" w:ascii="Times New Roman" w:hAnsi="Times New Roman" w:eastAsia="黑体" w:cs="Times New Roman"/>
                <w:b/>
                <w:color w:val="000000"/>
                <w:spacing w:val="20"/>
                <w:kern w:val="2"/>
                <w:sz w:val="15"/>
                <w:szCs w:val="15"/>
              </w:rPr>
            </w:pPr>
            <w:r>
              <w:rPr>
                <w:rFonts w:hint="default" w:ascii="Times New Roman" w:hAnsi="Times New Roman" w:eastAsia="黑体" w:cs="Times New Roman"/>
                <w:b/>
                <w:color w:val="000000"/>
                <w:spacing w:val="20"/>
                <w:kern w:val="2"/>
                <w:sz w:val="15"/>
                <w:szCs w:val="15"/>
              </w:rPr>
              <w:t>污染</w:t>
            </w:r>
          </w:p>
          <w:p>
            <w:pPr>
              <w:spacing w:after="0"/>
              <w:jc w:val="center"/>
              <w:rPr>
                <w:rFonts w:hint="default" w:ascii="Times New Roman" w:hAnsi="Times New Roman" w:eastAsia="黑体" w:cs="Times New Roman"/>
                <w:b/>
                <w:color w:val="000000"/>
                <w:spacing w:val="20"/>
                <w:kern w:val="2"/>
                <w:sz w:val="15"/>
                <w:szCs w:val="15"/>
              </w:rPr>
            </w:pPr>
            <w:r>
              <w:rPr>
                <w:rFonts w:hint="default" w:ascii="Times New Roman" w:hAnsi="Times New Roman" w:eastAsia="黑体" w:cs="Times New Roman"/>
                <w:b/>
                <w:color w:val="000000"/>
                <w:spacing w:val="20"/>
                <w:kern w:val="2"/>
                <w:sz w:val="15"/>
                <w:szCs w:val="15"/>
              </w:rPr>
              <w:t>物排</w:t>
            </w:r>
          </w:p>
          <w:p>
            <w:pPr>
              <w:spacing w:after="0"/>
              <w:jc w:val="center"/>
              <w:rPr>
                <w:rFonts w:hint="default" w:ascii="Times New Roman" w:hAnsi="Times New Roman" w:eastAsia="黑体" w:cs="Times New Roman"/>
                <w:b/>
                <w:color w:val="000000"/>
                <w:spacing w:val="20"/>
                <w:kern w:val="2"/>
                <w:sz w:val="15"/>
                <w:szCs w:val="15"/>
              </w:rPr>
            </w:pPr>
            <w:r>
              <w:rPr>
                <w:rFonts w:hint="default" w:ascii="Times New Roman" w:hAnsi="Times New Roman" w:eastAsia="黑体" w:cs="Times New Roman"/>
                <w:b/>
                <w:color w:val="000000"/>
                <w:spacing w:val="20"/>
                <w:kern w:val="2"/>
                <w:sz w:val="15"/>
                <w:szCs w:val="15"/>
              </w:rPr>
              <w:t>放达</w:t>
            </w:r>
          </w:p>
          <w:p>
            <w:pPr>
              <w:spacing w:after="0"/>
              <w:jc w:val="center"/>
              <w:rPr>
                <w:rFonts w:hint="default" w:ascii="Times New Roman" w:hAnsi="Times New Roman" w:eastAsia="黑体" w:cs="Times New Roman"/>
                <w:b/>
                <w:color w:val="000000"/>
                <w:spacing w:val="20"/>
                <w:kern w:val="2"/>
                <w:sz w:val="15"/>
                <w:szCs w:val="15"/>
              </w:rPr>
            </w:pPr>
            <w:r>
              <w:rPr>
                <w:rFonts w:hint="default" w:ascii="Times New Roman" w:hAnsi="Times New Roman" w:eastAsia="黑体" w:cs="Times New Roman"/>
                <w:b/>
                <w:color w:val="000000"/>
                <w:spacing w:val="20"/>
                <w:kern w:val="2"/>
                <w:sz w:val="15"/>
                <w:szCs w:val="15"/>
              </w:rPr>
              <w:t>标与</w:t>
            </w:r>
          </w:p>
          <w:p>
            <w:pPr>
              <w:spacing w:after="0"/>
              <w:jc w:val="center"/>
              <w:rPr>
                <w:rFonts w:hint="default" w:ascii="Times New Roman" w:hAnsi="Times New Roman" w:eastAsia="黑体" w:cs="Times New Roman"/>
                <w:b/>
                <w:color w:val="000000"/>
                <w:spacing w:val="20"/>
                <w:kern w:val="2"/>
                <w:sz w:val="15"/>
                <w:szCs w:val="15"/>
              </w:rPr>
            </w:pPr>
            <w:r>
              <w:rPr>
                <w:rFonts w:hint="default" w:ascii="Times New Roman" w:hAnsi="Times New Roman" w:eastAsia="黑体" w:cs="Times New Roman"/>
                <w:b/>
                <w:color w:val="000000"/>
                <w:spacing w:val="20"/>
                <w:kern w:val="2"/>
                <w:sz w:val="15"/>
                <w:szCs w:val="15"/>
              </w:rPr>
              <w:t>总量</w:t>
            </w:r>
          </w:p>
          <w:p>
            <w:pPr>
              <w:spacing w:after="0"/>
              <w:jc w:val="center"/>
              <w:rPr>
                <w:rFonts w:hint="default" w:ascii="Times New Roman" w:hAnsi="Times New Roman" w:eastAsia="黑体" w:cs="Times New Roman"/>
                <w:b/>
                <w:color w:val="000000"/>
                <w:spacing w:val="20"/>
                <w:kern w:val="2"/>
                <w:sz w:val="15"/>
                <w:szCs w:val="15"/>
              </w:rPr>
            </w:pPr>
            <w:r>
              <w:rPr>
                <w:rFonts w:hint="default" w:ascii="Times New Roman" w:hAnsi="Times New Roman" w:eastAsia="黑体" w:cs="Times New Roman"/>
                <w:b/>
                <w:color w:val="000000"/>
                <w:spacing w:val="20"/>
                <w:kern w:val="2"/>
                <w:sz w:val="15"/>
                <w:szCs w:val="15"/>
              </w:rPr>
              <w:t>控制（工</w:t>
            </w:r>
          </w:p>
          <w:p>
            <w:pPr>
              <w:spacing w:after="0"/>
              <w:jc w:val="center"/>
              <w:rPr>
                <w:rFonts w:hint="default" w:ascii="Times New Roman" w:hAnsi="Times New Roman" w:eastAsia="黑体" w:cs="Times New Roman"/>
                <w:b/>
                <w:color w:val="000000"/>
                <w:spacing w:val="20"/>
                <w:kern w:val="2"/>
                <w:sz w:val="15"/>
                <w:szCs w:val="15"/>
              </w:rPr>
            </w:pPr>
            <w:r>
              <w:rPr>
                <w:rFonts w:hint="default" w:ascii="Times New Roman" w:hAnsi="Times New Roman" w:eastAsia="黑体" w:cs="Times New Roman"/>
                <w:b/>
                <w:color w:val="000000"/>
                <w:spacing w:val="20"/>
                <w:kern w:val="2"/>
                <w:sz w:val="15"/>
                <w:szCs w:val="15"/>
              </w:rPr>
              <w:t>业建</w:t>
            </w:r>
          </w:p>
          <w:p>
            <w:pPr>
              <w:spacing w:after="0"/>
              <w:jc w:val="center"/>
              <w:rPr>
                <w:rFonts w:hint="default" w:ascii="Times New Roman" w:hAnsi="Times New Roman" w:eastAsia="黑体" w:cs="Times New Roman"/>
                <w:b/>
                <w:color w:val="000000"/>
                <w:spacing w:val="20"/>
                <w:kern w:val="2"/>
                <w:sz w:val="15"/>
                <w:szCs w:val="15"/>
              </w:rPr>
            </w:pPr>
            <w:r>
              <w:rPr>
                <w:rFonts w:hint="default" w:ascii="Times New Roman" w:hAnsi="Times New Roman" w:eastAsia="黑体" w:cs="Times New Roman"/>
                <w:b/>
                <w:color w:val="000000"/>
                <w:spacing w:val="20"/>
                <w:kern w:val="2"/>
                <w:sz w:val="15"/>
                <w:szCs w:val="15"/>
              </w:rPr>
              <w:t>设项</w:t>
            </w:r>
          </w:p>
          <w:p>
            <w:pPr>
              <w:spacing w:after="0"/>
              <w:jc w:val="center"/>
              <w:rPr>
                <w:rFonts w:hint="default" w:ascii="Times New Roman" w:hAnsi="Times New Roman" w:eastAsia="黑体" w:cs="Times New Roman"/>
                <w:b/>
                <w:color w:val="000000"/>
                <w:spacing w:val="20"/>
                <w:kern w:val="2"/>
                <w:sz w:val="15"/>
                <w:szCs w:val="15"/>
              </w:rPr>
            </w:pPr>
            <w:r>
              <w:rPr>
                <w:rFonts w:hint="default" w:ascii="Times New Roman" w:hAnsi="Times New Roman" w:eastAsia="黑体" w:cs="Times New Roman"/>
                <w:b/>
                <w:color w:val="000000"/>
                <w:spacing w:val="20"/>
                <w:kern w:val="2"/>
                <w:sz w:val="15"/>
                <w:szCs w:val="15"/>
              </w:rPr>
              <w:t>目详填）</w:t>
            </w:r>
          </w:p>
        </w:tc>
        <w:tc>
          <w:tcPr>
            <w:tcW w:w="1671"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污染物</w:t>
            </w:r>
          </w:p>
        </w:tc>
        <w:tc>
          <w:tcPr>
            <w:tcW w:w="713" w:type="dxa"/>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原有排</w:t>
            </w:r>
          </w:p>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放量(1)</w:t>
            </w:r>
          </w:p>
        </w:tc>
        <w:tc>
          <w:tcPr>
            <w:tcW w:w="1261" w:type="dxa"/>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本期工程实际排放浓度(2)</w:t>
            </w:r>
          </w:p>
        </w:tc>
        <w:tc>
          <w:tcPr>
            <w:tcW w:w="1276"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本期工程允许排放浓度(3)</w:t>
            </w:r>
          </w:p>
        </w:tc>
        <w:tc>
          <w:tcPr>
            <w:tcW w:w="1172"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本期工程产生量(4)</w:t>
            </w:r>
          </w:p>
        </w:tc>
        <w:tc>
          <w:tcPr>
            <w:tcW w:w="1016"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本期工程自身削减量(5)</w:t>
            </w:r>
          </w:p>
        </w:tc>
        <w:tc>
          <w:tcPr>
            <w:tcW w:w="1220"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本期工程实际排放量(6)</w:t>
            </w:r>
          </w:p>
        </w:tc>
        <w:tc>
          <w:tcPr>
            <w:tcW w:w="1189" w:type="dxa"/>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本期工程核定排放总量(7)</w:t>
            </w:r>
          </w:p>
        </w:tc>
        <w:tc>
          <w:tcPr>
            <w:tcW w:w="1214"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本期工程“以新带老”削减量(8)</w:t>
            </w:r>
          </w:p>
        </w:tc>
        <w:tc>
          <w:tcPr>
            <w:tcW w:w="1406" w:type="dxa"/>
            <w:gridSpan w:val="3"/>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全厂实际排放总量(9)</w:t>
            </w:r>
          </w:p>
        </w:tc>
        <w:tc>
          <w:tcPr>
            <w:tcW w:w="1244"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全厂核定排放总量(10)</w:t>
            </w:r>
          </w:p>
        </w:tc>
        <w:tc>
          <w:tcPr>
            <w:tcW w:w="1102"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区域平衡替代削减量(11)</w:t>
            </w:r>
          </w:p>
        </w:tc>
        <w:tc>
          <w:tcPr>
            <w:tcW w:w="794" w:type="dxa"/>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排放增减量(12)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671"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废水</w:t>
            </w:r>
          </w:p>
        </w:tc>
        <w:tc>
          <w:tcPr>
            <w:tcW w:w="713"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61"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76"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172"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016"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20" w:type="dxa"/>
            <w:gridSpan w:val="2"/>
            <w:tcMar>
              <w:left w:w="57" w:type="dxa"/>
              <w:right w:w="57" w:type="dxa"/>
            </w:tcMar>
            <w:vAlign w:val="center"/>
          </w:tcPr>
          <w:p>
            <w:pPr>
              <w:spacing w:after="0"/>
              <w:jc w:val="center"/>
              <w:rPr>
                <w:rFonts w:hint="default" w:ascii="Times New Roman" w:hAnsi="Times New Roman" w:eastAsia="微软雅黑" w:cs="Times New Roman"/>
                <w:color w:val="000000"/>
                <w:kern w:val="2"/>
                <w:sz w:val="15"/>
                <w:szCs w:val="15"/>
                <w:lang w:val="en-US" w:eastAsia="zh-CN"/>
              </w:rPr>
            </w:pPr>
          </w:p>
        </w:tc>
        <w:tc>
          <w:tcPr>
            <w:tcW w:w="1189"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14"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406"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44"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102"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794"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2" w:hRule="atLeast"/>
          <w:jc w:val="center"/>
        </w:trPr>
        <w:tc>
          <w:tcPr>
            <w:tcW w:w="598" w:type="dxa"/>
            <w:gridSpan w:val="2"/>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671"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化学需氧量</w:t>
            </w:r>
          </w:p>
        </w:tc>
        <w:tc>
          <w:tcPr>
            <w:tcW w:w="713"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61" w:type="dxa"/>
            <w:tcMar>
              <w:left w:w="57" w:type="dxa"/>
              <w:right w:w="57" w:type="dxa"/>
            </w:tcMar>
            <w:vAlign w:val="center"/>
          </w:tcPr>
          <w:p>
            <w:pPr>
              <w:spacing w:after="0"/>
              <w:jc w:val="center"/>
              <w:rPr>
                <w:rFonts w:hint="default" w:ascii="Times New Roman" w:hAnsi="Times New Roman" w:eastAsia="微软雅黑" w:cs="Times New Roman"/>
                <w:color w:val="000000"/>
                <w:kern w:val="2"/>
                <w:sz w:val="15"/>
                <w:szCs w:val="15"/>
                <w:lang w:val="en-US" w:eastAsia="zh-CN"/>
              </w:rPr>
            </w:pPr>
          </w:p>
        </w:tc>
        <w:tc>
          <w:tcPr>
            <w:tcW w:w="1276" w:type="dxa"/>
            <w:gridSpan w:val="2"/>
            <w:tcMar>
              <w:left w:w="57" w:type="dxa"/>
              <w:right w:w="57" w:type="dxa"/>
            </w:tcMar>
            <w:vAlign w:val="center"/>
          </w:tcPr>
          <w:p>
            <w:pPr>
              <w:spacing w:after="0"/>
              <w:jc w:val="center"/>
              <w:rPr>
                <w:rFonts w:hint="default" w:ascii="Times New Roman" w:hAnsi="Times New Roman" w:eastAsia="微软雅黑" w:cs="Times New Roman"/>
                <w:color w:val="000000"/>
                <w:kern w:val="2"/>
                <w:sz w:val="15"/>
                <w:szCs w:val="15"/>
                <w:lang w:val="en-US" w:eastAsia="zh-CN"/>
              </w:rPr>
            </w:pPr>
          </w:p>
        </w:tc>
        <w:tc>
          <w:tcPr>
            <w:tcW w:w="1172"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016"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20" w:type="dxa"/>
            <w:gridSpan w:val="2"/>
            <w:tcMar>
              <w:left w:w="57" w:type="dxa"/>
              <w:right w:w="57" w:type="dxa"/>
            </w:tcMar>
            <w:vAlign w:val="center"/>
          </w:tcPr>
          <w:p>
            <w:pPr>
              <w:spacing w:after="0"/>
              <w:jc w:val="center"/>
              <w:rPr>
                <w:rFonts w:hint="default" w:ascii="Times New Roman" w:hAnsi="Times New Roman" w:eastAsia="微软雅黑" w:cs="Times New Roman"/>
                <w:color w:val="000000"/>
                <w:kern w:val="2"/>
                <w:sz w:val="15"/>
                <w:szCs w:val="15"/>
                <w:lang w:val="en-US" w:eastAsia="zh-CN"/>
              </w:rPr>
            </w:pPr>
          </w:p>
        </w:tc>
        <w:tc>
          <w:tcPr>
            <w:tcW w:w="1189"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14"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406"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44"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102"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794"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671"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氨氮</w:t>
            </w:r>
          </w:p>
        </w:tc>
        <w:tc>
          <w:tcPr>
            <w:tcW w:w="713"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61" w:type="dxa"/>
            <w:tcMar>
              <w:left w:w="57" w:type="dxa"/>
              <w:right w:w="57" w:type="dxa"/>
            </w:tcMar>
            <w:vAlign w:val="center"/>
          </w:tcPr>
          <w:p>
            <w:pPr>
              <w:spacing w:after="0"/>
              <w:jc w:val="center"/>
              <w:rPr>
                <w:rFonts w:hint="default" w:ascii="Times New Roman" w:hAnsi="Times New Roman" w:eastAsia="微软雅黑" w:cs="Times New Roman"/>
                <w:color w:val="000000"/>
                <w:kern w:val="2"/>
                <w:sz w:val="15"/>
                <w:szCs w:val="15"/>
                <w:lang w:val="en-US" w:eastAsia="zh-CN"/>
              </w:rPr>
            </w:pPr>
          </w:p>
        </w:tc>
        <w:tc>
          <w:tcPr>
            <w:tcW w:w="1276" w:type="dxa"/>
            <w:gridSpan w:val="2"/>
            <w:tcMar>
              <w:left w:w="57" w:type="dxa"/>
              <w:right w:w="57" w:type="dxa"/>
            </w:tcMar>
            <w:vAlign w:val="center"/>
          </w:tcPr>
          <w:p>
            <w:pPr>
              <w:spacing w:after="0"/>
              <w:jc w:val="center"/>
              <w:rPr>
                <w:rFonts w:hint="default" w:ascii="Times New Roman" w:hAnsi="Times New Roman" w:eastAsia="微软雅黑" w:cs="Times New Roman"/>
                <w:color w:val="000000"/>
                <w:kern w:val="2"/>
                <w:sz w:val="15"/>
                <w:szCs w:val="15"/>
                <w:lang w:val="en-US" w:eastAsia="zh-CN"/>
              </w:rPr>
            </w:pPr>
          </w:p>
        </w:tc>
        <w:tc>
          <w:tcPr>
            <w:tcW w:w="1172"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016"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20" w:type="dxa"/>
            <w:gridSpan w:val="2"/>
            <w:tcMar>
              <w:left w:w="57" w:type="dxa"/>
              <w:right w:w="57" w:type="dxa"/>
            </w:tcMar>
            <w:vAlign w:val="center"/>
          </w:tcPr>
          <w:p>
            <w:pPr>
              <w:spacing w:after="0"/>
              <w:jc w:val="center"/>
              <w:rPr>
                <w:rFonts w:hint="default" w:ascii="Times New Roman" w:hAnsi="Times New Roman" w:eastAsia="微软雅黑" w:cs="Times New Roman"/>
                <w:color w:val="000000"/>
                <w:kern w:val="2"/>
                <w:sz w:val="15"/>
                <w:szCs w:val="15"/>
                <w:lang w:val="en-US" w:eastAsia="zh-CN"/>
              </w:rPr>
            </w:pPr>
          </w:p>
        </w:tc>
        <w:tc>
          <w:tcPr>
            <w:tcW w:w="1189"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14"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406"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44"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102"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794"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671" w:type="dxa"/>
            <w:gridSpan w:val="2"/>
            <w:tcMar>
              <w:left w:w="57" w:type="dxa"/>
              <w:right w:w="57" w:type="dxa"/>
            </w:tcMar>
            <w:vAlign w:val="center"/>
          </w:tcPr>
          <w:p>
            <w:pPr>
              <w:spacing w:after="0"/>
              <w:jc w:val="center"/>
              <w:rPr>
                <w:rFonts w:hint="default" w:ascii="Times New Roman" w:hAnsi="Times New Roman" w:eastAsia="黑体" w:cs="Times New Roman"/>
                <w:b/>
                <w:color w:val="000000"/>
                <w:kern w:val="2"/>
                <w:sz w:val="15"/>
                <w:szCs w:val="15"/>
              </w:rPr>
            </w:pPr>
            <w:r>
              <w:rPr>
                <w:rFonts w:hint="default" w:ascii="Times New Roman" w:hAnsi="Times New Roman" w:cs="Times New Roman"/>
                <w:b/>
                <w:color w:val="000000"/>
                <w:kern w:val="2"/>
                <w:sz w:val="15"/>
                <w:szCs w:val="15"/>
              </w:rPr>
              <w:t>废气</w:t>
            </w:r>
          </w:p>
        </w:tc>
        <w:tc>
          <w:tcPr>
            <w:tcW w:w="713"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61"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76"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172"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016"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20"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189"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14"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406"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44"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102"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794"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671"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二氧化硫</w:t>
            </w:r>
          </w:p>
        </w:tc>
        <w:tc>
          <w:tcPr>
            <w:tcW w:w="713"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61"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76"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172"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016"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20"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189"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14"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406"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44"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102" w:type="dxa"/>
            <w:gridSpan w:val="2"/>
            <w:tcMar>
              <w:left w:w="57" w:type="dxa"/>
              <w:right w:w="57" w:type="dxa"/>
            </w:tcMar>
            <w:vAlign w:val="center"/>
          </w:tcPr>
          <w:p>
            <w:pPr>
              <w:spacing w:after="0"/>
              <w:jc w:val="center"/>
              <w:textAlignment w:val="center"/>
              <w:rPr>
                <w:rFonts w:hint="default" w:ascii="Times New Roman" w:hAnsi="Times New Roman" w:cs="Times New Roman"/>
                <w:color w:val="000000"/>
                <w:kern w:val="2"/>
                <w:sz w:val="15"/>
                <w:szCs w:val="15"/>
              </w:rPr>
            </w:pPr>
          </w:p>
        </w:tc>
        <w:tc>
          <w:tcPr>
            <w:tcW w:w="794" w:type="dxa"/>
            <w:tcMar>
              <w:left w:w="57" w:type="dxa"/>
              <w:right w:w="57" w:type="dxa"/>
            </w:tcMar>
            <w:vAlign w:val="center"/>
          </w:tcPr>
          <w:p>
            <w:pPr>
              <w:spacing w:after="0"/>
              <w:jc w:val="center"/>
              <w:textAlignment w:val="center"/>
              <w:rPr>
                <w:rFonts w:hint="default" w:ascii="Times New Roman" w:hAnsi="Times New Roman" w:cs="Times New Roman"/>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671" w:type="dxa"/>
            <w:gridSpan w:val="2"/>
            <w:tcMar>
              <w:left w:w="57" w:type="dxa"/>
              <w:right w:w="57" w:type="dxa"/>
            </w:tcMar>
            <w:vAlign w:val="center"/>
          </w:tcPr>
          <w:p>
            <w:pPr>
              <w:spacing w:after="0"/>
              <w:jc w:val="center"/>
              <w:rPr>
                <w:rFonts w:hint="default" w:ascii="Times New Roman" w:hAnsi="Times New Roman" w:cs="Times New Roman"/>
                <w:b/>
                <w:color w:val="000000"/>
                <w:kern w:val="2"/>
                <w:sz w:val="15"/>
                <w:szCs w:val="15"/>
              </w:rPr>
            </w:pPr>
            <w:r>
              <w:rPr>
                <w:rFonts w:hint="default" w:ascii="Times New Roman" w:hAnsi="Times New Roman" w:cs="Times New Roman"/>
                <w:b/>
                <w:color w:val="000000"/>
                <w:kern w:val="2"/>
                <w:sz w:val="15"/>
                <w:szCs w:val="15"/>
              </w:rPr>
              <w:t>烟尘</w:t>
            </w:r>
          </w:p>
        </w:tc>
        <w:tc>
          <w:tcPr>
            <w:tcW w:w="713"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61"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76"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172"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016"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20"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189"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14"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406"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44"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102" w:type="dxa"/>
            <w:gridSpan w:val="2"/>
            <w:tcMar>
              <w:left w:w="57" w:type="dxa"/>
              <w:right w:w="57" w:type="dxa"/>
            </w:tcMar>
            <w:vAlign w:val="center"/>
          </w:tcPr>
          <w:p>
            <w:pPr>
              <w:spacing w:after="0"/>
              <w:jc w:val="center"/>
              <w:textAlignment w:val="center"/>
              <w:rPr>
                <w:rFonts w:hint="default" w:ascii="Times New Roman" w:hAnsi="Times New Roman" w:cs="Times New Roman"/>
                <w:color w:val="000000"/>
                <w:kern w:val="2"/>
                <w:sz w:val="15"/>
                <w:szCs w:val="15"/>
              </w:rPr>
            </w:pPr>
          </w:p>
        </w:tc>
        <w:tc>
          <w:tcPr>
            <w:tcW w:w="794" w:type="dxa"/>
            <w:tcMar>
              <w:left w:w="57" w:type="dxa"/>
              <w:right w:w="57" w:type="dxa"/>
            </w:tcMar>
            <w:vAlign w:val="center"/>
          </w:tcPr>
          <w:p>
            <w:pPr>
              <w:spacing w:after="0"/>
              <w:jc w:val="center"/>
              <w:textAlignment w:val="center"/>
              <w:rPr>
                <w:rFonts w:hint="default" w:ascii="Times New Roman" w:hAnsi="Times New Roman" w:cs="Times New Roman"/>
                <w:color w:val="000000"/>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598" w:type="dxa"/>
            <w:gridSpan w:val="2"/>
            <w:vMerge w:val="continue"/>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35"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r>
              <w:rPr>
                <w:rFonts w:hint="default" w:ascii="Times New Roman" w:hAnsi="Times New Roman" w:cs="Times New Roman"/>
                <w:b/>
                <w:color w:val="000000"/>
                <w:kern w:val="2"/>
                <w:sz w:val="15"/>
                <w:szCs w:val="15"/>
              </w:rPr>
              <w:t>与项目有关的其他特征污染物</w:t>
            </w:r>
          </w:p>
        </w:tc>
        <w:tc>
          <w:tcPr>
            <w:tcW w:w="436"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713"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61"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76"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172"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016"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20"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189"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14"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406" w:type="dxa"/>
            <w:gridSpan w:val="3"/>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244"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1102" w:type="dxa"/>
            <w:gridSpan w:val="2"/>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c>
          <w:tcPr>
            <w:tcW w:w="794" w:type="dxa"/>
            <w:tcMar>
              <w:left w:w="57" w:type="dxa"/>
              <w:right w:w="57" w:type="dxa"/>
            </w:tcMar>
            <w:vAlign w:val="center"/>
          </w:tcPr>
          <w:p>
            <w:pPr>
              <w:spacing w:after="0"/>
              <w:jc w:val="center"/>
              <w:rPr>
                <w:rFonts w:hint="default" w:ascii="Times New Roman" w:hAnsi="Times New Roman" w:cs="Times New Roman"/>
                <w:color w:val="000000"/>
                <w:kern w:val="2"/>
                <w:sz w:val="15"/>
                <w:szCs w:val="15"/>
              </w:rPr>
            </w:pPr>
          </w:p>
        </w:tc>
      </w:tr>
    </w:tbl>
    <w:p>
      <w:pPr>
        <w:rPr>
          <w:rFonts w:hint="default" w:ascii="Times New Roman" w:hAnsi="Times New Roman" w:cs="Times New Roman"/>
        </w:rPr>
      </w:pPr>
      <w:r>
        <w:rPr>
          <w:rFonts w:hint="default" w:ascii="Times New Roman" w:hAnsi="Times New Roman" w:cs="Times New Roman"/>
          <w:b/>
          <w:color w:val="000000"/>
          <w:sz w:val="15"/>
          <w:szCs w:val="15"/>
        </w:rPr>
        <w:t>注</w:t>
      </w:r>
      <w:r>
        <w:rPr>
          <w:rFonts w:hint="default" w:ascii="Times New Roman" w:hAnsi="Times New Roman" w:cs="Times New Roman"/>
          <w:color w:val="000000"/>
          <w:sz w:val="15"/>
          <w:szCs w:val="15"/>
        </w:rPr>
        <w:t>：1、</w:t>
      </w:r>
      <w:r>
        <w:rPr>
          <w:rFonts w:hint="default" w:ascii="Times New Roman" w:hAnsi="Times New Roman" w:cs="Times New Roman"/>
          <w:color w:val="000000"/>
          <w:spacing w:val="-4"/>
          <w:sz w:val="15"/>
          <w:szCs w:val="15"/>
        </w:rPr>
        <w:t>排放增减量：（+）表示增加，（-）表示减少。2、(12)=(6)-(8)-(11)，（9）= (4)-(5)-(8)- (11) +（1）。3、计量单位：废水排放量——万吨/年；废气排放量——万标立方米/年；工业固体废物排放</w:t>
      </w:r>
      <w:r>
        <w:rPr>
          <w:rFonts w:hint="default" w:ascii="Times New Roman" w:hAnsi="Times New Roman" w:cs="Times New Roman"/>
          <w:color w:val="000000"/>
          <w:sz w:val="15"/>
          <w:szCs w:val="15"/>
        </w:rPr>
        <w:t>量——万吨/</w:t>
      </w:r>
    </w:p>
    <w:p>
      <w:pPr>
        <w:pStyle w:val="26"/>
      </w:pPr>
      <w:r>
        <w:drawing>
          <wp:inline distT="0" distB="0" distL="114300" distR="114300">
            <wp:extent cx="8647430" cy="4989830"/>
            <wp:effectExtent l="0" t="0" r="1270" b="127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9"/>
                    <a:stretch>
                      <a:fillRect/>
                    </a:stretch>
                  </pic:blipFill>
                  <pic:spPr>
                    <a:xfrm>
                      <a:off x="0" y="0"/>
                      <a:ext cx="8647430" cy="4989830"/>
                    </a:xfrm>
                    <a:prstGeom prst="rect">
                      <a:avLst/>
                    </a:prstGeom>
                    <a:noFill/>
                    <a:ln>
                      <a:noFill/>
                    </a:ln>
                  </pic:spPr>
                </pic:pic>
              </a:graphicData>
            </a:graphic>
          </wp:inline>
        </w:drawing>
      </w:r>
    </w:p>
    <w:p>
      <w:pPr>
        <w:rPr>
          <w:rFonts w:hint="eastAsia"/>
          <w:sz w:val="36"/>
          <w:szCs w:val="44"/>
          <w:lang w:val="en-US" w:eastAsia="zh-CN"/>
        </w:rPr>
      </w:pPr>
      <w:r>
        <w:rPr>
          <w:rFonts w:hint="eastAsia"/>
          <w:lang w:val="en-US" w:eastAsia="zh-CN"/>
        </w:rPr>
        <w:t xml:space="preserve">                                           </w:t>
      </w:r>
      <w:r>
        <w:rPr>
          <w:rFonts w:hint="eastAsia"/>
          <w:sz w:val="36"/>
          <w:szCs w:val="44"/>
          <w:lang w:val="en-US" w:eastAsia="zh-CN"/>
        </w:rPr>
        <w:t xml:space="preserve">  </w:t>
      </w:r>
      <w:r>
        <w:rPr>
          <w:rFonts w:hint="eastAsia" w:ascii="宋体" w:hAnsi="Calibri" w:eastAsia="宋体" w:cs="宋体"/>
          <w:b/>
          <w:bCs/>
          <w:color w:val="000000"/>
          <w:kern w:val="0"/>
          <w:sz w:val="28"/>
          <w:szCs w:val="28"/>
          <w:lang w:val="en-US" w:eastAsia="zh-CN" w:bidi="ar-SA"/>
        </w:rPr>
        <w:t xml:space="preserve">  附图一  地理位置图</w:t>
      </w:r>
    </w:p>
    <w:p>
      <w:pPr>
        <w:pStyle w:val="26"/>
        <w:rPr>
          <w:rFonts w:hint="eastAsia"/>
          <w:sz w:val="36"/>
          <w:szCs w:val="44"/>
          <w:lang w:val="en-US" w:eastAsia="zh-CN"/>
        </w:rPr>
      </w:pPr>
    </w:p>
    <w:p>
      <w:r>
        <w:drawing>
          <wp:inline distT="0" distB="0" distL="114300" distR="114300">
            <wp:extent cx="8402955" cy="4202430"/>
            <wp:effectExtent l="0" t="0" r="4445" b="127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10"/>
                    <a:stretch>
                      <a:fillRect/>
                    </a:stretch>
                  </pic:blipFill>
                  <pic:spPr>
                    <a:xfrm>
                      <a:off x="0" y="0"/>
                      <a:ext cx="8402955" cy="4202430"/>
                    </a:xfrm>
                    <a:prstGeom prst="rect">
                      <a:avLst/>
                    </a:prstGeom>
                    <a:noFill/>
                    <a:ln>
                      <a:noFill/>
                    </a:ln>
                  </pic:spPr>
                </pic:pic>
              </a:graphicData>
            </a:graphic>
          </wp:inline>
        </w:drawing>
      </w:r>
    </w:p>
    <w:p>
      <w:pPr>
        <w:pStyle w:val="26"/>
        <w:rPr>
          <w:rFonts w:hint="eastAsia" w:eastAsia="宋体"/>
          <w:b/>
          <w:bCs/>
          <w:sz w:val="28"/>
          <w:szCs w:val="28"/>
          <w:lang w:val="en-US" w:eastAsia="zh-CN"/>
        </w:rPr>
      </w:pPr>
      <w:r>
        <w:rPr>
          <w:rFonts w:hint="eastAsia" w:eastAsia="宋体"/>
          <w:lang w:val="en-US" w:eastAsia="zh-CN"/>
        </w:rPr>
        <w:t xml:space="preserve">                                  </w:t>
      </w:r>
      <w:r>
        <w:rPr>
          <w:rFonts w:hint="eastAsia" w:eastAsia="宋体"/>
          <w:sz w:val="28"/>
          <w:szCs w:val="28"/>
          <w:lang w:val="en-US" w:eastAsia="zh-CN"/>
        </w:rPr>
        <w:t xml:space="preserve">  </w:t>
      </w:r>
      <w:r>
        <w:rPr>
          <w:rFonts w:hint="eastAsia" w:eastAsia="宋体"/>
          <w:b/>
          <w:bCs/>
          <w:sz w:val="28"/>
          <w:szCs w:val="28"/>
          <w:lang w:val="en-US" w:eastAsia="zh-CN"/>
        </w:rPr>
        <w:t>附件二 防护距离包络线图</w:t>
      </w:r>
    </w:p>
    <w:p>
      <w:pPr>
        <w:pStyle w:val="8"/>
        <w:rPr>
          <w:rFonts w:hint="default" w:eastAsiaTheme="minorEastAsia"/>
          <w:lang w:val="en-US" w:eastAsia="zh-CN"/>
        </w:rPr>
      </w:pPr>
    </w:p>
    <w:p>
      <w:pPr>
        <w:pStyle w:val="26"/>
        <w:rPr>
          <w:rFonts w:hint="eastAsia" w:ascii="宋体" w:hAnsi="Calibri" w:eastAsia="宋体" w:cs="宋体"/>
          <w:b/>
          <w:bCs/>
          <w:color w:val="000000"/>
          <w:kern w:val="0"/>
          <w:sz w:val="28"/>
          <w:szCs w:val="28"/>
          <w:lang w:val="en-US" w:eastAsia="zh-CN" w:bidi="ar-SA"/>
        </w:rPr>
      </w:pPr>
      <w:r>
        <w:drawing>
          <wp:inline distT="0" distB="0" distL="114300" distR="114300">
            <wp:extent cx="7761605" cy="4877435"/>
            <wp:effectExtent l="0" t="0" r="10795" b="12065"/>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1"/>
                    <a:stretch>
                      <a:fillRect/>
                    </a:stretch>
                  </pic:blipFill>
                  <pic:spPr>
                    <a:xfrm>
                      <a:off x="0" y="0"/>
                      <a:ext cx="7761605" cy="4877435"/>
                    </a:xfrm>
                    <a:prstGeom prst="rect">
                      <a:avLst/>
                    </a:prstGeom>
                    <a:noFill/>
                    <a:ln>
                      <a:noFill/>
                    </a:ln>
                  </pic:spPr>
                </pic:pic>
              </a:graphicData>
            </a:graphic>
          </wp:inline>
        </w:drawing>
      </w:r>
    </w:p>
    <w:p>
      <w:pPr>
        <w:ind w:firstLine="2249" w:firstLineChars="800"/>
        <w:jc w:val="center"/>
        <w:rPr>
          <w:rFonts w:hint="eastAsia" w:ascii="宋体" w:hAnsi="Calibri" w:eastAsia="宋体" w:cs="宋体"/>
          <w:b/>
          <w:bCs/>
          <w:color w:val="000000"/>
          <w:kern w:val="0"/>
          <w:sz w:val="28"/>
          <w:szCs w:val="28"/>
          <w:lang w:val="en-US" w:eastAsia="zh-CN" w:bidi="ar-SA"/>
        </w:rPr>
        <w:sectPr>
          <w:pgSz w:w="16838" w:h="11906" w:orient="landscape"/>
          <w:pgMar w:top="1440" w:right="1800" w:bottom="1440" w:left="1800" w:header="851" w:footer="992" w:gutter="0"/>
          <w:cols w:space="425" w:num="1"/>
          <w:docGrid w:type="lines" w:linePitch="312" w:charSpace="0"/>
        </w:sectPr>
      </w:pPr>
      <w:r>
        <w:rPr>
          <w:rFonts w:hint="eastAsia" w:ascii="宋体" w:hAnsi="Calibri" w:eastAsia="宋体" w:cs="宋体"/>
          <w:b/>
          <w:bCs/>
          <w:color w:val="000000"/>
          <w:kern w:val="0"/>
          <w:sz w:val="28"/>
          <w:szCs w:val="28"/>
          <w:lang w:val="en-US" w:eastAsia="zh-CN" w:bidi="ar-SA"/>
        </w:rPr>
        <w:t>附图三  项目平面图</w:t>
      </w:r>
    </w:p>
    <w:p>
      <w:pPr>
        <w:pStyle w:val="26"/>
        <w:rPr>
          <w:rFonts w:hint="eastAsia"/>
          <w:b/>
          <w:bCs/>
          <w:sz w:val="32"/>
          <w:szCs w:val="32"/>
          <w:lang w:val="en-US" w:eastAsia="zh-CN"/>
        </w:rPr>
      </w:pPr>
      <w:r>
        <w:rPr>
          <w:rFonts w:hint="eastAsia"/>
          <w:b/>
          <w:bCs/>
          <w:sz w:val="32"/>
          <w:szCs w:val="32"/>
          <w:lang w:val="en-US" w:eastAsia="zh-CN"/>
        </w:rPr>
        <w:t>附件一环评批复</w:t>
      </w:r>
    </w:p>
    <w:p>
      <w:pPr>
        <w:rPr>
          <w:rFonts w:hint="eastAsia"/>
          <w:lang w:val="en-US" w:eastAsia="zh-CN"/>
        </w:rPr>
      </w:pPr>
      <w:r>
        <w:drawing>
          <wp:inline distT="0" distB="0" distL="114300" distR="114300">
            <wp:extent cx="5215255" cy="7376795"/>
            <wp:effectExtent l="0" t="0" r="4445" b="1905"/>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icPr>
                  <pic:blipFill>
                    <a:blip r:embed="rId12"/>
                    <a:stretch>
                      <a:fillRect/>
                    </a:stretch>
                  </pic:blipFill>
                  <pic:spPr>
                    <a:xfrm>
                      <a:off x="0" y="0"/>
                      <a:ext cx="5215255" cy="7376795"/>
                    </a:xfrm>
                    <a:prstGeom prst="rect">
                      <a:avLst/>
                    </a:prstGeom>
                    <a:noFill/>
                    <a:ln>
                      <a:noFill/>
                    </a:ln>
                  </pic:spPr>
                </pic:pic>
              </a:graphicData>
            </a:graphic>
          </wp:inline>
        </w:drawing>
      </w:r>
    </w:p>
    <w:p>
      <w:pPr>
        <w:pStyle w:val="26"/>
        <w:rPr>
          <w:rFonts w:hint="eastAsia" w:eastAsia="宋体"/>
          <w:lang w:val="en-US" w:eastAsia="zh-CN"/>
        </w:rPr>
        <w:sectPr>
          <w:pgSz w:w="11906" w:h="16838"/>
          <w:pgMar w:top="1440" w:right="1800" w:bottom="1440" w:left="1800" w:header="851" w:footer="992" w:gutter="0"/>
          <w:cols w:space="425" w:num="1"/>
          <w:docGrid w:type="lines" w:linePitch="312" w:charSpace="0"/>
        </w:sectPr>
      </w:pPr>
      <w:r>
        <w:drawing>
          <wp:inline distT="0" distB="0" distL="114300" distR="114300">
            <wp:extent cx="5556885" cy="7864475"/>
            <wp:effectExtent l="0" t="0" r="5715" b="9525"/>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pic:cNvPicPr>
                      <a:picLocks noChangeAspect="1"/>
                    </pic:cNvPicPr>
                  </pic:nvPicPr>
                  <pic:blipFill>
                    <a:blip r:embed="rId13"/>
                    <a:stretch>
                      <a:fillRect/>
                    </a:stretch>
                  </pic:blipFill>
                  <pic:spPr>
                    <a:xfrm>
                      <a:off x="0" y="0"/>
                      <a:ext cx="5556885" cy="7864475"/>
                    </a:xfrm>
                    <a:prstGeom prst="rect">
                      <a:avLst/>
                    </a:prstGeom>
                    <a:noFill/>
                    <a:ln>
                      <a:noFill/>
                    </a:ln>
                  </pic:spPr>
                </pic:pic>
              </a:graphicData>
            </a:graphic>
          </wp:inline>
        </w:drawing>
      </w:r>
      <w:r>
        <w:drawing>
          <wp:inline distT="0" distB="0" distL="114300" distR="114300">
            <wp:extent cx="6049645" cy="8241030"/>
            <wp:effectExtent l="0" t="0" r="8255" b="1270"/>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icPr>
                  <pic:blipFill>
                    <a:blip r:embed="rId14"/>
                    <a:stretch>
                      <a:fillRect/>
                    </a:stretch>
                  </pic:blipFill>
                  <pic:spPr>
                    <a:xfrm>
                      <a:off x="0" y="0"/>
                      <a:ext cx="6049645" cy="8241030"/>
                    </a:xfrm>
                    <a:prstGeom prst="rect">
                      <a:avLst/>
                    </a:prstGeom>
                    <a:noFill/>
                    <a:ln>
                      <a:noFill/>
                    </a:ln>
                  </pic:spPr>
                </pic:pic>
              </a:graphicData>
            </a:graphic>
          </wp:inline>
        </w:drawing>
      </w:r>
      <w:r>
        <w:drawing>
          <wp:inline distT="0" distB="0" distL="114300" distR="114300">
            <wp:extent cx="5822950" cy="8298180"/>
            <wp:effectExtent l="0" t="0" r="6350" b="7620"/>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pic:cNvPicPr>
                      <a:picLocks noChangeAspect="1"/>
                    </pic:cNvPicPr>
                  </pic:nvPicPr>
                  <pic:blipFill>
                    <a:blip r:embed="rId15"/>
                    <a:stretch>
                      <a:fillRect/>
                    </a:stretch>
                  </pic:blipFill>
                  <pic:spPr>
                    <a:xfrm>
                      <a:off x="0" y="0"/>
                      <a:ext cx="5822950" cy="8298180"/>
                    </a:xfrm>
                    <a:prstGeom prst="rect">
                      <a:avLst/>
                    </a:prstGeom>
                    <a:noFill/>
                    <a:ln>
                      <a:noFill/>
                    </a:ln>
                  </pic:spPr>
                </pic:pic>
              </a:graphicData>
            </a:graphic>
          </wp:inline>
        </w:drawing>
      </w:r>
      <w:r>
        <w:drawing>
          <wp:inline distT="0" distB="0" distL="114300" distR="114300">
            <wp:extent cx="5610860" cy="7954010"/>
            <wp:effectExtent l="0" t="0" r="2540" b="8890"/>
            <wp:docPr id="1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pic:cNvPicPr>
                      <a:picLocks noChangeAspect="1"/>
                    </pic:cNvPicPr>
                  </pic:nvPicPr>
                  <pic:blipFill>
                    <a:blip r:embed="rId16"/>
                    <a:stretch>
                      <a:fillRect/>
                    </a:stretch>
                  </pic:blipFill>
                  <pic:spPr>
                    <a:xfrm>
                      <a:off x="0" y="0"/>
                      <a:ext cx="5610860" cy="7954010"/>
                    </a:xfrm>
                    <a:prstGeom prst="rect">
                      <a:avLst/>
                    </a:prstGeom>
                    <a:noFill/>
                    <a:ln>
                      <a:noFill/>
                    </a:ln>
                  </pic:spPr>
                </pic:pic>
              </a:graphicData>
            </a:graphic>
          </wp:inline>
        </w:drawing>
      </w:r>
      <w:r>
        <w:drawing>
          <wp:inline distT="0" distB="0" distL="114300" distR="114300">
            <wp:extent cx="5547995" cy="8089265"/>
            <wp:effectExtent l="0" t="0" r="1905" b="635"/>
            <wp:docPr id="1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2"/>
                    <pic:cNvPicPr>
                      <a:picLocks noChangeAspect="1"/>
                    </pic:cNvPicPr>
                  </pic:nvPicPr>
                  <pic:blipFill>
                    <a:blip r:embed="rId17"/>
                    <a:stretch>
                      <a:fillRect/>
                    </a:stretch>
                  </pic:blipFill>
                  <pic:spPr>
                    <a:xfrm>
                      <a:off x="0" y="0"/>
                      <a:ext cx="5547995" cy="8089265"/>
                    </a:xfrm>
                    <a:prstGeom prst="rect">
                      <a:avLst/>
                    </a:prstGeom>
                    <a:noFill/>
                    <a:ln>
                      <a:noFill/>
                    </a:ln>
                  </pic:spPr>
                </pic:pic>
              </a:graphicData>
            </a:graphic>
          </wp:inline>
        </w:drawing>
      </w:r>
    </w:p>
    <w:p>
      <w:pPr>
        <w:pStyle w:val="26"/>
        <w:rPr>
          <w:rFonts w:hint="eastAsia" w:ascii="宋体" w:hAnsi="Calibri" w:eastAsia="宋体" w:cs="宋体"/>
          <w:color w:val="000000"/>
          <w:kern w:val="0"/>
          <w:sz w:val="24"/>
          <w:szCs w:val="24"/>
          <w:lang w:val="en-US" w:eastAsia="zh-CN" w:bidi="ar-SA"/>
        </w:rPr>
      </w:pPr>
      <w:r>
        <w:rPr>
          <w:rFonts w:hint="eastAsia" w:eastAsia="宋体"/>
          <w:lang w:val="en-US" w:eastAsia="zh-CN"/>
        </w:rPr>
        <w:t>附件二</w:t>
      </w:r>
      <w:r>
        <w:rPr>
          <w:rFonts w:hint="eastAsia" w:ascii="宋体" w:hAnsi="Calibri" w:eastAsia="宋体" w:cs="宋体"/>
          <w:color w:val="000000"/>
          <w:kern w:val="0"/>
          <w:sz w:val="24"/>
          <w:szCs w:val="24"/>
          <w:lang w:val="en-US" w:eastAsia="zh-CN" w:bidi="ar-SA"/>
        </w:rPr>
        <w:t>环境保护规章制度</w:t>
      </w:r>
    </w:p>
    <w:p>
      <w:pPr>
        <w:jc w:val="center"/>
        <w:rPr>
          <w:rFonts w:hint="eastAsia"/>
          <w:b/>
          <w:bCs/>
          <w:sz w:val="32"/>
          <w:szCs w:val="32"/>
          <w:lang w:eastAsia="zh-CN"/>
        </w:rPr>
      </w:pPr>
      <w:r>
        <w:rPr>
          <w:rFonts w:hint="eastAsia"/>
          <w:b/>
          <w:bCs/>
          <w:sz w:val="32"/>
          <w:szCs w:val="32"/>
          <w:lang w:eastAsia="zh-CN"/>
        </w:rPr>
        <w:t>环境保护规章制度</w:t>
      </w:r>
    </w:p>
    <w:p>
      <w:pPr>
        <w:jc w:val="center"/>
        <w:rPr>
          <w:rFonts w:hint="eastAsia"/>
          <w:b/>
          <w:bCs/>
          <w:sz w:val="32"/>
          <w:szCs w:val="32"/>
          <w:lang w:eastAsia="zh-CN"/>
        </w:rPr>
      </w:pP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1、总则</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1.1根据《中华人民共和国环境保护法》</w:t>
      </w:r>
      <w:r>
        <w:rPr>
          <w:rFonts w:hint="eastAsia" w:ascii="Times New Roman" w:hAnsi="Times New Roman" w:cs="Times New Roman"/>
          <w:sz w:val="24"/>
          <w:szCs w:val="24"/>
          <w:lang w:eastAsia="zh-CN"/>
        </w:rPr>
        <w:t>“</w:t>
      </w:r>
      <w:r>
        <w:rPr>
          <w:rFonts w:hint="default" w:ascii="Times New Roman" w:hAnsi="Times New Roman" w:eastAsia="宋体" w:cs="Times New Roman"/>
          <w:sz w:val="24"/>
          <w:szCs w:val="24"/>
        </w:rPr>
        <w:t>为认真执行全面规划，合理布局，综合利用，化害为利，依靠群众，大家动手，保护环境，造福人民</w:t>
      </w:r>
      <w:r>
        <w:rPr>
          <w:rFonts w:hint="eastAsia" w:ascii="Times New Roman" w:hAnsi="Times New Roman" w:cs="Times New Roman"/>
          <w:sz w:val="24"/>
          <w:szCs w:val="24"/>
          <w:lang w:eastAsia="zh-CN"/>
        </w:rPr>
        <w:t>”</w:t>
      </w:r>
      <w:r>
        <w:rPr>
          <w:rFonts w:hint="default" w:ascii="Times New Roman" w:hAnsi="Times New Roman" w:eastAsia="宋体" w:cs="Times New Roman"/>
          <w:sz w:val="24"/>
          <w:szCs w:val="24"/>
        </w:rPr>
        <w:t>的环境方针，搞好本</w:t>
      </w:r>
      <w:r>
        <w:rPr>
          <w:rFonts w:hint="eastAsia" w:ascii="Times New Roman" w:hAnsi="Times New Roman" w:cs="Times New Roman"/>
          <w:sz w:val="24"/>
          <w:szCs w:val="24"/>
          <w:lang w:eastAsia="zh-CN"/>
        </w:rPr>
        <w:t>厂</w:t>
      </w:r>
      <w:r>
        <w:rPr>
          <w:rFonts w:hint="default" w:ascii="Times New Roman" w:hAnsi="Times New Roman" w:eastAsia="宋体" w:cs="Times New Roman"/>
          <w:sz w:val="24"/>
          <w:szCs w:val="24"/>
        </w:rPr>
        <w:t>的环境保护工作，特制定本管理制度。</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1.2本</w:t>
      </w:r>
      <w:r>
        <w:rPr>
          <w:rFonts w:hint="eastAsia" w:ascii="Times New Roman" w:hAnsi="Times New Roman" w:cs="Times New Roman"/>
          <w:sz w:val="24"/>
          <w:szCs w:val="24"/>
          <w:lang w:eastAsia="zh-CN"/>
        </w:rPr>
        <w:t>司</w:t>
      </w:r>
      <w:r>
        <w:rPr>
          <w:rFonts w:hint="default" w:ascii="Times New Roman" w:hAnsi="Times New Roman" w:eastAsia="宋体" w:cs="Times New Roman"/>
          <w:sz w:val="24"/>
          <w:szCs w:val="24"/>
        </w:rPr>
        <w:t>环境保护管理制度的主要任务是：宣传和执行环境保护法律法规及有关规定，充分、合理地利用各种资源，能源，控制和消除污染，促进本</w:t>
      </w:r>
      <w:r>
        <w:rPr>
          <w:rFonts w:hint="eastAsia" w:ascii="Times New Roman" w:hAnsi="Times New Roman" w:cs="Times New Roman"/>
          <w:sz w:val="24"/>
          <w:szCs w:val="24"/>
          <w:lang w:eastAsia="zh-CN"/>
        </w:rPr>
        <w:t>厂</w:t>
      </w:r>
      <w:r>
        <w:rPr>
          <w:rFonts w:hint="default" w:ascii="Times New Roman" w:hAnsi="Times New Roman" w:eastAsia="宋体" w:cs="Times New Roman"/>
          <w:sz w:val="24"/>
          <w:szCs w:val="24"/>
        </w:rPr>
        <w:t>生产发展，创造良好的工作生活环境，使得经济活动尽量减少对周围生态环境的污染。</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1.3保护环境人人有责。员工、领导都要认真、自觉学习、遵守环境保护法律法规及有关规定，正确看待和处理生产与保护环境之间的关系，坚持预防为主，防治结合的方针，提倡企业清洁生产、循环利用，从源头上尽量消灭污染物，并认真执行</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谁污染、谁治理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的原则。</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2、组织结构</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2.1根据环境保护法，</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应设立环境保护和环境监测机构，</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环保部门全面负责本</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环境保护工作的管理和监测任务，改善</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的环境状况，减少</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对周边环境的污染，协调</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与政府环保部门之间的工作。</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2.2建立</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环境保护网，由</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领导和</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环保员组成。</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定期召开</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环保情况报告会和专题会议，负责贯彻会议决定，共同</w:t>
      </w:r>
      <w:r>
        <w:rPr>
          <w:rFonts w:hint="default" w:ascii="Times New Roman" w:hAnsi="Times New Roman" w:eastAsia="宋体" w:cs="Times New Roman"/>
          <w:sz w:val="24"/>
          <w:szCs w:val="24"/>
          <w:lang w:eastAsia="zh-CN"/>
        </w:rPr>
        <w:t>做</w:t>
      </w:r>
      <w:r>
        <w:rPr>
          <w:rFonts w:hint="default" w:ascii="Times New Roman" w:hAnsi="Times New Roman" w:eastAsia="宋体" w:cs="Times New Roman"/>
          <w:sz w:val="24"/>
          <w:szCs w:val="24"/>
        </w:rPr>
        <w:t>好本</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的环境保护工作。</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2.3</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环境保护机构必须配备环保专业技能人员，并保持相对稳定。设置一名高层领导来分管环境保护工作，并指定若干名专职环保技术员，协助领导工作。环保机构只能加强，不能削弱。</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3、基本管理制度</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3.1</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环保工作由分管环保领导主管，做好</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内的环保工作并直接向</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负责人负责相关环保事项。</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3.2</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环保工作人员应当重视防治</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三废</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污染，保护环境，要将保护环境工作作为生产管理的一个重要组成部分，纳入到日常生产中去，实行生产环保一齐抓。</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3.3环境保护工作关系到周边环境和每个职工的身体健康及</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健康的生产发展，</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所有员工必须严格执行环境保护工作制度，任何违反环保工作制度，造成事故者，必根据事故程度追究责任。</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3.4防止</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三废</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污染，实行“谁污染，谁治理”的原则，所有造成环境污染和其他公害的车间都必须提出治理规划，有计划、有步骤地加以实施，</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在财力、物力、人力方面应当及时给予安排解决。</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3.5对</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内环境保护设施设备等要认真管理，建立定期检查、维护及维修和维修后验收制度，保证环保设备、设施的完好和正常运作。</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eastAsia"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3.6各生产工序应积极采用清洁生产工艺，努力实现废物综合利用。</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w:t>
      </w:r>
      <w:r>
        <w:rPr>
          <w:rFonts w:hint="eastAsia" w:ascii="Times New Roman" w:hAnsi="Times New Roman" w:cs="Times New Roman"/>
          <w:sz w:val="24"/>
          <w:szCs w:val="24"/>
          <w:lang w:val="en-US" w:eastAsia="zh-CN"/>
        </w:rPr>
        <w:t>7</w:t>
      </w:r>
      <w:r>
        <w:rPr>
          <w:rFonts w:hint="default" w:ascii="Times New Roman" w:hAnsi="Times New Roman" w:eastAsia="宋体" w:cs="Times New Roman"/>
          <w:sz w:val="24"/>
          <w:szCs w:val="24"/>
        </w:rPr>
        <w:t>在下达</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考核各项技术经济指标的同时，把环保工作作为重要的评定内容之一。</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w:t>
      </w:r>
      <w:r>
        <w:rPr>
          <w:rFonts w:hint="eastAsia" w:ascii="Times New Roman" w:hAnsi="Times New Roman" w:cs="Times New Roman"/>
          <w:sz w:val="24"/>
          <w:szCs w:val="24"/>
          <w:lang w:val="en-US" w:eastAsia="zh-CN"/>
        </w:rPr>
        <w:t>8</w:t>
      </w:r>
      <w:r>
        <w:rPr>
          <w:rFonts w:hint="default" w:ascii="Times New Roman" w:hAnsi="Times New Roman" w:eastAsia="宋体" w:cs="Times New Roman"/>
          <w:sz w:val="24"/>
          <w:szCs w:val="24"/>
        </w:rPr>
        <w:t>凡新建、扩建、改造项目中的</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三废</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治理和综合利用工作所需资金、设备材料，必须同时列入计划，切实予以保护，在施工过程中不得以任何理由为借口排挤</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三废</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治理和综合利用工程的资金、设备、材料和人力等。</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b w:val="0"/>
          <w:i w:val="0"/>
          <w:caps w:val="0"/>
          <w:color w:val="000000"/>
          <w:spacing w:val="0"/>
          <w:kern w:val="0"/>
          <w:sz w:val="24"/>
          <w:szCs w:val="24"/>
          <w:shd w:val="clear" w:color="auto" w:fill="FFFFFF"/>
          <w:lang w:val="en-US" w:eastAsia="zh-CN" w:bidi="ar"/>
        </w:rPr>
      </w:pPr>
      <w:r>
        <w:rPr>
          <w:rFonts w:hint="default" w:ascii="Times New Roman" w:hAnsi="Times New Roman" w:eastAsia="宋体" w:cs="Times New Roman"/>
          <w:sz w:val="24"/>
          <w:szCs w:val="24"/>
          <w:lang w:val="en-US" w:eastAsia="zh-CN"/>
        </w:rPr>
        <w:t>3.</w:t>
      </w:r>
      <w:r>
        <w:rPr>
          <w:rFonts w:hint="eastAsia" w:ascii="Times New Roman" w:hAnsi="Times New Roman" w:cs="Times New Roman"/>
          <w:sz w:val="24"/>
          <w:szCs w:val="24"/>
          <w:lang w:val="en-US" w:eastAsia="zh-CN"/>
        </w:rPr>
        <w:t>9</w:t>
      </w:r>
      <w:r>
        <w:rPr>
          <w:rFonts w:hint="eastAsia" w:ascii="Times New Roman" w:hAnsi="Times New Roman" w:cs="Times New Roman"/>
          <w:b w:val="0"/>
          <w:i w:val="0"/>
          <w:caps w:val="0"/>
          <w:color w:val="000000"/>
          <w:spacing w:val="0"/>
          <w:kern w:val="0"/>
          <w:sz w:val="24"/>
          <w:szCs w:val="24"/>
          <w:shd w:val="clear" w:color="auto" w:fill="FFFFFF"/>
          <w:lang w:val="en-US" w:eastAsia="zh-CN" w:bidi="ar"/>
        </w:rPr>
        <w:t>公司</w:t>
      </w:r>
      <w:r>
        <w:rPr>
          <w:rFonts w:hint="default" w:ascii="Times New Roman" w:hAnsi="Times New Roman" w:eastAsia="宋体" w:cs="Times New Roman"/>
          <w:b w:val="0"/>
          <w:i w:val="0"/>
          <w:caps w:val="0"/>
          <w:color w:val="000000"/>
          <w:spacing w:val="0"/>
          <w:kern w:val="0"/>
          <w:sz w:val="24"/>
          <w:szCs w:val="24"/>
          <w:shd w:val="clear" w:color="auto" w:fill="FFFFFF"/>
          <w:lang w:val="en-US" w:eastAsia="zh-CN" w:bidi="ar"/>
        </w:rPr>
        <w:t>每年投入相当比例的资金用于污染治理及防治，新技术研发应用，持续改善厂区环境状况。</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b w:val="0"/>
          <w:i w:val="0"/>
          <w:caps w:val="0"/>
          <w:color w:val="000000"/>
          <w:spacing w:val="0"/>
          <w:kern w:val="0"/>
          <w:sz w:val="24"/>
          <w:szCs w:val="24"/>
          <w:shd w:val="clear" w:color="auto" w:fill="FFFFFF"/>
          <w:lang w:val="en-US" w:eastAsia="zh-CN" w:bidi="ar"/>
        </w:rPr>
      </w:pPr>
      <w:r>
        <w:rPr>
          <w:rFonts w:hint="default" w:ascii="Times New Roman" w:hAnsi="Times New Roman" w:eastAsia="宋体" w:cs="Times New Roman"/>
          <w:b w:val="0"/>
          <w:i w:val="0"/>
          <w:caps w:val="0"/>
          <w:color w:val="000000"/>
          <w:spacing w:val="0"/>
          <w:kern w:val="0"/>
          <w:sz w:val="24"/>
          <w:szCs w:val="24"/>
          <w:shd w:val="clear" w:color="auto" w:fill="FFFFFF"/>
          <w:lang w:val="en-US" w:eastAsia="zh-CN" w:bidi="ar"/>
        </w:rPr>
        <w:t>3.</w:t>
      </w:r>
      <w:r>
        <w:rPr>
          <w:rFonts w:hint="eastAsia" w:ascii="Times New Roman" w:hAnsi="Times New Roman" w:cs="Times New Roman"/>
          <w:b w:val="0"/>
          <w:i w:val="0"/>
          <w:caps w:val="0"/>
          <w:color w:val="000000"/>
          <w:spacing w:val="0"/>
          <w:kern w:val="0"/>
          <w:sz w:val="24"/>
          <w:szCs w:val="24"/>
          <w:shd w:val="clear" w:color="auto" w:fill="FFFFFF"/>
          <w:lang w:val="en-US" w:eastAsia="zh-CN" w:bidi="ar"/>
        </w:rPr>
        <w:t>10公司</w:t>
      </w:r>
      <w:r>
        <w:rPr>
          <w:rFonts w:hint="default" w:ascii="Times New Roman" w:hAnsi="Times New Roman" w:eastAsia="宋体" w:cs="Times New Roman"/>
          <w:b w:val="0"/>
          <w:i w:val="0"/>
          <w:caps w:val="0"/>
          <w:color w:val="000000"/>
          <w:spacing w:val="0"/>
          <w:kern w:val="0"/>
          <w:sz w:val="24"/>
          <w:szCs w:val="24"/>
          <w:shd w:val="clear" w:color="auto" w:fill="FFFFFF"/>
          <w:lang w:val="en-US" w:eastAsia="zh-CN" w:bidi="ar"/>
        </w:rPr>
        <w:t>安全环保处环保科应结合督察室每年邀请环保局监测部门来厂进行监测，持续改进，加强对环境质量的监督管理。</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b w:val="0"/>
          <w:i w:val="0"/>
          <w:caps w:val="0"/>
          <w:color w:val="000000"/>
          <w:spacing w:val="0"/>
          <w:kern w:val="0"/>
          <w:sz w:val="24"/>
          <w:szCs w:val="24"/>
          <w:shd w:val="clear" w:color="auto" w:fill="FFFFFF"/>
          <w:lang w:val="en-US" w:eastAsia="zh-CN" w:bidi="ar"/>
        </w:rPr>
      </w:pPr>
      <w:r>
        <w:rPr>
          <w:rFonts w:hint="default" w:ascii="Times New Roman" w:hAnsi="Times New Roman" w:eastAsia="宋体" w:cs="Times New Roman"/>
          <w:b w:val="0"/>
          <w:i w:val="0"/>
          <w:caps w:val="0"/>
          <w:color w:val="000000"/>
          <w:spacing w:val="0"/>
          <w:kern w:val="0"/>
          <w:sz w:val="24"/>
          <w:szCs w:val="24"/>
          <w:shd w:val="clear" w:color="auto" w:fill="FFFFFF"/>
          <w:lang w:val="en-US" w:eastAsia="zh-CN" w:bidi="ar"/>
        </w:rPr>
        <w:t>3.1</w:t>
      </w:r>
      <w:r>
        <w:rPr>
          <w:rFonts w:hint="eastAsia" w:ascii="Times New Roman" w:hAnsi="Times New Roman" w:cs="Times New Roman"/>
          <w:b w:val="0"/>
          <w:i w:val="0"/>
          <w:caps w:val="0"/>
          <w:color w:val="000000"/>
          <w:spacing w:val="0"/>
          <w:kern w:val="0"/>
          <w:sz w:val="24"/>
          <w:szCs w:val="24"/>
          <w:shd w:val="clear" w:color="auto" w:fill="FFFFFF"/>
          <w:lang w:val="en-US" w:eastAsia="zh-CN" w:bidi="ar"/>
        </w:rPr>
        <w:t>1</w:t>
      </w:r>
      <w:r>
        <w:rPr>
          <w:rFonts w:hint="default" w:ascii="Times New Roman" w:hAnsi="Times New Roman" w:eastAsia="宋体" w:cs="Times New Roman"/>
          <w:b w:val="0"/>
          <w:i w:val="0"/>
          <w:caps w:val="0"/>
          <w:color w:val="000000"/>
          <w:spacing w:val="0"/>
          <w:kern w:val="0"/>
          <w:sz w:val="24"/>
          <w:szCs w:val="24"/>
          <w:shd w:val="clear" w:color="auto" w:fill="FFFFFF"/>
          <w:lang w:val="en-US" w:eastAsia="zh-CN" w:bidi="ar"/>
        </w:rPr>
        <w:t>各生产单位必须保证环保设施随生产同步运行，环保设施或设备进行检修，须向设备机动处、安全环保处报告，经同意后，方可实施。环保设施必须严格按照操作说明书进行操作。</w:t>
      </w:r>
    </w:p>
    <w:p>
      <w:pPr>
        <w:keepNext w:val="0"/>
        <w:keepLines w:val="0"/>
        <w:pageBreakBefore w:val="0"/>
        <w:widowControl w:val="0"/>
        <w:numPr>
          <w:ilvl w:val="0"/>
          <w:numId w:val="2"/>
        </w:numPr>
        <w:kinsoku/>
        <w:wordWrap/>
        <w:overflowPunct/>
        <w:topLinePunct w:val="0"/>
        <w:autoSpaceDE/>
        <w:autoSpaceDN/>
        <w:bidi w:val="0"/>
        <w:adjustRightInd/>
        <w:snapToGrid/>
        <w:spacing w:line="300" w:lineRule="auto"/>
        <w:ind w:firstLine="435"/>
        <w:textAlignment w:val="auto"/>
        <w:outlineLvl w:val="9"/>
        <w:rPr>
          <w:rFonts w:hint="eastAsia" w:ascii="Times New Roman" w:hAnsi="Times New Roman" w:cs="Times New Roman"/>
          <w:b/>
          <w:bCs/>
          <w:i w:val="0"/>
          <w:caps w:val="0"/>
          <w:color w:val="000000"/>
          <w:spacing w:val="0"/>
          <w:kern w:val="0"/>
          <w:sz w:val="24"/>
          <w:szCs w:val="24"/>
          <w:shd w:val="clear" w:color="auto" w:fill="FFFFFF"/>
          <w:lang w:val="en-US" w:eastAsia="zh-CN" w:bidi="ar"/>
        </w:rPr>
      </w:pPr>
      <w:r>
        <w:rPr>
          <w:rFonts w:hint="eastAsia" w:ascii="Times New Roman" w:hAnsi="Times New Roman" w:cs="Times New Roman"/>
          <w:b/>
          <w:bCs/>
          <w:i w:val="0"/>
          <w:caps w:val="0"/>
          <w:color w:val="000000"/>
          <w:spacing w:val="0"/>
          <w:kern w:val="0"/>
          <w:sz w:val="24"/>
          <w:szCs w:val="24"/>
          <w:shd w:val="clear" w:color="auto" w:fill="FFFFFF"/>
          <w:lang w:val="en-US" w:eastAsia="zh-CN" w:bidi="ar"/>
        </w:rPr>
        <w:t>防治措施</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textAlignment w:val="auto"/>
        <w:outlineLvl w:val="9"/>
        <w:rPr>
          <w:rFonts w:hint="eastAsia" w:ascii="Times New Roman" w:hAnsi="Times New Roman" w:cs="Times New Roman"/>
          <w:b w:val="0"/>
          <w:i w:val="0"/>
          <w:caps w:val="0"/>
          <w:color w:val="000000"/>
          <w:spacing w:val="0"/>
          <w:kern w:val="0"/>
          <w:sz w:val="24"/>
          <w:szCs w:val="24"/>
          <w:shd w:val="clear" w:color="auto" w:fill="FFFFFF"/>
          <w:lang w:val="en-US" w:eastAsia="zh-CN" w:bidi="ar"/>
        </w:rPr>
      </w:pPr>
      <w:r>
        <w:rPr>
          <w:rFonts w:hint="eastAsia" w:ascii="Times New Roman" w:hAnsi="Times New Roman" w:cs="Times New Roman"/>
          <w:b w:val="0"/>
          <w:i w:val="0"/>
          <w:caps w:val="0"/>
          <w:color w:val="000000"/>
          <w:spacing w:val="0"/>
          <w:kern w:val="0"/>
          <w:sz w:val="24"/>
          <w:szCs w:val="24"/>
          <w:shd w:val="clear" w:color="auto" w:fill="FFFFFF"/>
          <w:lang w:val="en-US" w:eastAsia="zh-CN" w:bidi="ar"/>
        </w:rPr>
        <w:t>4.1大气污染防治的监督管理</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textAlignment w:val="auto"/>
        <w:outlineLvl w:val="9"/>
        <w:rPr>
          <w:rFonts w:hint="eastAsia" w:ascii="Times New Roman" w:hAnsi="Times New Roman" w:cs="Times New Roman"/>
          <w:b w:val="0"/>
          <w:i w:val="0"/>
          <w:caps w:val="0"/>
          <w:color w:val="000000"/>
          <w:spacing w:val="0"/>
          <w:kern w:val="0"/>
          <w:sz w:val="24"/>
          <w:szCs w:val="24"/>
          <w:shd w:val="clear" w:color="auto" w:fill="FFFFFF"/>
          <w:lang w:val="en-US" w:eastAsia="zh-CN" w:bidi="ar"/>
        </w:rPr>
      </w:pPr>
      <w:r>
        <w:rPr>
          <w:rFonts w:hint="eastAsia" w:ascii="Times New Roman" w:hAnsi="Times New Roman" w:cs="Times New Roman"/>
          <w:b w:val="0"/>
          <w:i w:val="0"/>
          <w:caps w:val="0"/>
          <w:color w:val="000000"/>
          <w:spacing w:val="0"/>
          <w:kern w:val="0"/>
          <w:sz w:val="24"/>
          <w:szCs w:val="24"/>
          <w:shd w:val="clear" w:color="auto" w:fill="FFFFFF"/>
          <w:lang w:val="en-US" w:eastAsia="zh-CN" w:bidi="ar"/>
        </w:rPr>
        <w:t>4.1.1逐步实行污染物排放许可证制度，对大气污染物实行总量控制，安全环保处根据政府规定的排污总量进行分配管理，各生产单位在排放口达标排放的基础上不得超过规定的排放总量。</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textAlignment w:val="auto"/>
        <w:outlineLvl w:val="9"/>
        <w:rPr>
          <w:rFonts w:hint="eastAsia" w:ascii="Times New Roman" w:hAnsi="Times New Roman" w:cs="Times New Roman"/>
          <w:b w:val="0"/>
          <w:i w:val="0"/>
          <w:caps w:val="0"/>
          <w:color w:val="000000"/>
          <w:spacing w:val="0"/>
          <w:kern w:val="0"/>
          <w:sz w:val="24"/>
          <w:szCs w:val="24"/>
          <w:shd w:val="clear" w:color="auto" w:fill="FFFFFF"/>
          <w:lang w:val="en-US" w:eastAsia="zh-CN" w:bidi="ar"/>
        </w:rPr>
      </w:pPr>
      <w:r>
        <w:rPr>
          <w:rFonts w:hint="eastAsia" w:ascii="Times New Roman" w:hAnsi="Times New Roman" w:cs="Times New Roman"/>
          <w:b w:val="0"/>
          <w:i w:val="0"/>
          <w:caps w:val="0"/>
          <w:color w:val="000000"/>
          <w:spacing w:val="0"/>
          <w:kern w:val="0"/>
          <w:sz w:val="24"/>
          <w:szCs w:val="24"/>
          <w:shd w:val="clear" w:color="auto" w:fill="FFFFFF"/>
          <w:lang w:val="en-US" w:eastAsia="zh-CN" w:bidi="ar"/>
        </w:rPr>
        <w:t>4.1.2各生产单位须保证大气污染防治设施的正常运行。</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textAlignment w:val="auto"/>
        <w:outlineLvl w:val="9"/>
        <w:rPr>
          <w:rFonts w:hint="eastAsia" w:ascii="Times New Roman" w:hAnsi="Times New Roman" w:cs="Times New Roman"/>
          <w:b w:val="0"/>
          <w:i w:val="0"/>
          <w:caps w:val="0"/>
          <w:color w:val="000000"/>
          <w:spacing w:val="0"/>
          <w:kern w:val="0"/>
          <w:sz w:val="24"/>
          <w:szCs w:val="24"/>
          <w:shd w:val="clear" w:color="auto" w:fill="FFFFFF"/>
          <w:lang w:val="en-US" w:eastAsia="zh-CN" w:bidi="ar"/>
        </w:rPr>
      </w:pPr>
      <w:r>
        <w:rPr>
          <w:rFonts w:hint="eastAsia" w:ascii="Times New Roman" w:hAnsi="Times New Roman" w:cs="Times New Roman"/>
          <w:b w:val="0"/>
          <w:i w:val="0"/>
          <w:caps w:val="0"/>
          <w:color w:val="000000"/>
          <w:spacing w:val="0"/>
          <w:kern w:val="0"/>
          <w:sz w:val="24"/>
          <w:szCs w:val="24"/>
          <w:shd w:val="clear" w:color="auto" w:fill="FFFFFF"/>
          <w:lang w:val="en-US" w:eastAsia="zh-CN" w:bidi="ar"/>
        </w:rPr>
        <w:t>4.2防治废气、烟粉尘污染</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textAlignment w:val="auto"/>
        <w:outlineLvl w:val="9"/>
        <w:rPr>
          <w:rFonts w:hint="eastAsia" w:ascii="Times New Roman" w:hAnsi="Times New Roman" w:cs="Times New Roman"/>
          <w:b w:val="0"/>
          <w:i w:val="0"/>
          <w:caps w:val="0"/>
          <w:color w:val="000000"/>
          <w:spacing w:val="0"/>
          <w:kern w:val="0"/>
          <w:sz w:val="24"/>
          <w:szCs w:val="24"/>
          <w:shd w:val="clear" w:color="auto" w:fill="FFFFFF"/>
          <w:lang w:val="en-US" w:eastAsia="zh-CN" w:bidi="ar"/>
        </w:rPr>
      </w:pPr>
      <w:r>
        <w:rPr>
          <w:rFonts w:hint="eastAsia" w:ascii="Times New Roman" w:hAnsi="Times New Roman" w:cs="Times New Roman"/>
          <w:b w:val="0"/>
          <w:i w:val="0"/>
          <w:caps w:val="0"/>
          <w:color w:val="000000"/>
          <w:spacing w:val="0"/>
          <w:kern w:val="0"/>
          <w:sz w:val="24"/>
          <w:szCs w:val="24"/>
          <w:shd w:val="clear" w:color="auto" w:fill="FFFFFF"/>
          <w:lang w:val="en-US" w:eastAsia="zh-CN" w:bidi="ar"/>
        </w:rPr>
        <w:t>4.2.1各单位在生产工艺中易产生无组织的部位或场所，必须采取相应措施收集和处理，在国家规定要求内排放。</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textAlignment w:val="auto"/>
        <w:outlineLvl w:val="9"/>
        <w:rPr>
          <w:rFonts w:hint="eastAsia" w:ascii="Times New Roman" w:hAnsi="Times New Roman" w:cs="Times New Roman"/>
          <w:b w:val="0"/>
          <w:i w:val="0"/>
          <w:caps w:val="0"/>
          <w:color w:val="000000"/>
          <w:spacing w:val="0"/>
          <w:kern w:val="0"/>
          <w:sz w:val="24"/>
          <w:szCs w:val="24"/>
          <w:shd w:val="clear" w:color="auto" w:fill="FFFFFF"/>
          <w:lang w:val="en-US" w:eastAsia="zh-CN" w:bidi="ar"/>
        </w:rPr>
      </w:pPr>
      <w:r>
        <w:rPr>
          <w:rFonts w:hint="eastAsia" w:ascii="Times New Roman" w:hAnsi="Times New Roman" w:cs="Times New Roman"/>
          <w:b w:val="0"/>
          <w:i w:val="0"/>
          <w:caps w:val="0"/>
          <w:color w:val="000000"/>
          <w:spacing w:val="0"/>
          <w:kern w:val="0"/>
          <w:sz w:val="24"/>
          <w:szCs w:val="24"/>
          <w:shd w:val="clear" w:color="auto" w:fill="FFFFFF"/>
          <w:lang w:val="en-US" w:eastAsia="zh-CN" w:bidi="ar"/>
        </w:rPr>
        <w:t>4.2.2禁止在厂区内焚烧枯草、落叶、垃圾及其他产生有毒有害气体或恶臭气体的物质。</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textAlignment w:val="auto"/>
        <w:outlineLvl w:val="9"/>
        <w:rPr>
          <w:rFonts w:hint="eastAsia" w:ascii="Times New Roman" w:hAnsi="Times New Roman" w:cs="Times New Roman"/>
          <w:b w:val="0"/>
          <w:i w:val="0"/>
          <w:caps w:val="0"/>
          <w:color w:val="000000"/>
          <w:spacing w:val="0"/>
          <w:kern w:val="0"/>
          <w:sz w:val="24"/>
          <w:szCs w:val="24"/>
          <w:shd w:val="clear" w:color="auto" w:fill="FFFFFF"/>
          <w:lang w:val="en-US" w:eastAsia="zh-CN" w:bidi="ar"/>
        </w:rPr>
      </w:pPr>
      <w:r>
        <w:rPr>
          <w:rFonts w:hint="eastAsia" w:ascii="Times New Roman" w:hAnsi="Times New Roman" w:cs="Times New Roman"/>
          <w:b w:val="0"/>
          <w:i w:val="0"/>
          <w:caps w:val="0"/>
          <w:color w:val="000000"/>
          <w:spacing w:val="0"/>
          <w:kern w:val="0"/>
          <w:sz w:val="24"/>
          <w:szCs w:val="24"/>
          <w:shd w:val="clear" w:color="auto" w:fill="FFFFFF"/>
          <w:lang w:val="en-US" w:eastAsia="zh-CN" w:bidi="ar"/>
        </w:rPr>
        <w:t>4.3水污染防治监督管理办法</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textAlignment w:val="auto"/>
        <w:outlineLvl w:val="9"/>
        <w:rPr>
          <w:rFonts w:hint="eastAsia" w:ascii="Times New Roman" w:hAnsi="Times New Roman" w:cs="Times New Roman"/>
          <w:b w:val="0"/>
          <w:i w:val="0"/>
          <w:caps w:val="0"/>
          <w:color w:val="000000"/>
          <w:spacing w:val="0"/>
          <w:kern w:val="0"/>
          <w:sz w:val="24"/>
          <w:szCs w:val="24"/>
          <w:shd w:val="clear" w:color="auto" w:fill="FFFFFF"/>
          <w:lang w:val="en-US" w:eastAsia="zh-CN" w:bidi="ar"/>
        </w:rPr>
      </w:pPr>
      <w:r>
        <w:rPr>
          <w:rFonts w:hint="eastAsia" w:ascii="Times New Roman" w:hAnsi="Times New Roman" w:cs="Times New Roman"/>
          <w:b w:val="0"/>
          <w:i w:val="0"/>
          <w:caps w:val="0"/>
          <w:color w:val="000000"/>
          <w:spacing w:val="0"/>
          <w:kern w:val="0"/>
          <w:sz w:val="24"/>
          <w:szCs w:val="24"/>
          <w:shd w:val="clear" w:color="auto" w:fill="FFFFFF"/>
          <w:lang w:val="en-US" w:eastAsia="zh-CN" w:bidi="ar"/>
        </w:rPr>
        <w:t>4.3.1各生产单位合理安排生产，对产生废水污染的工艺、设备逐步进行调整和技术改造，采取综合防治措施，提高水资源的重复利用率，合理利用水资源。</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textAlignment w:val="auto"/>
        <w:outlineLvl w:val="9"/>
        <w:rPr>
          <w:rFonts w:hint="eastAsia" w:ascii="Times New Roman" w:hAnsi="Times New Roman" w:cs="Times New Roman"/>
          <w:b w:val="0"/>
          <w:i w:val="0"/>
          <w:caps w:val="0"/>
          <w:color w:val="000000"/>
          <w:spacing w:val="0"/>
          <w:kern w:val="0"/>
          <w:sz w:val="24"/>
          <w:szCs w:val="24"/>
          <w:shd w:val="clear" w:color="auto" w:fill="FFFFFF"/>
          <w:lang w:val="en-US" w:eastAsia="zh-CN" w:bidi="ar"/>
        </w:rPr>
      </w:pPr>
      <w:r>
        <w:rPr>
          <w:rFonts w:hint="eastAsia" w:ascii="Times New Roman" w:hAnsi="Times New Roman" w:cs="Times New Roman"/>
          <w:b w:val="0"/>
          <w:i w:val="0"/>
          <w:caps w:val="0"/>
          <w:color w:val="000000"/>
          <w:spacing w:val="0"/>
          <w:kern w:val="0"/>
          <w:sz w:val="24"/>
          <w:szCs w:val="24"/>
          <w:shd w:val="clear" w:color="auto" w:fill="FFFFFF"/>
          <w:lang w:val="en-US" w:eastAsia="zh-CN" w:bidi="ar"/>
        </w:rPr>
        <w:t>4.3.2必须保证废水处理、净化设施的正常运行。</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textAlignment w:val="auto"/>
        <w:outlineLvl w:val="9"/>
        <w:rPr>
          <w:rFonts w:hint="eastAsia" w:ascii="Times New Roman" w:hAnsi="Times New Roman" w:cs="Times New Roman"/>
          <w:b w:val="0"/>
          <w:i w:val="0"/>
          <w:caps w:val="0"/>
          <w:color w:val="000000"/>
          <w:spacing w:val="0"/>
          <w:kern w:val="0"/>
          <w:sz w:val="24"/>
          <w:szCs w:val="24"/>
          <w:shd w:val="clear" w:color="auto" w:fill="FFFFFF"/>
          <w:lang w:val="en-US" w:eastAsia="zh-CN" w:bidi="ar"/>
        </w:rPr>
      </w:pPr>
      <w:r>
        <w:rPr>
          <w:rFonts w:hint="eastAsia" w:ascii="Times New Roman" w:hAnsi="Times New Roman" w:cs="Times New Roman"/>
          <w:b w:val="0"/>
          <w:i w:val="0"/>
          <w:caps w:val="0"/>
          <w:color w:val="000000"/>
          <w:spacing w:val="0"/>
          <w:kern w:val="0"/>
          <w:sz w:val="24"/>
          <w:szCs w:val="24"/>
          <w:shd w:val="clear" w:color="auto" w:fill="FFFFFF"/>
          <w:lang w:val="en-US" w:eastAsia="zh-CN" w:bidi="ar"/>
        </w:rPr>
        <w:t>4.4固体废物管理办法</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textAlignment w:val="auto"/>
        <w:outlineLvl w:val="9"/>
        <w:rPr>
          <w:rFonts w:hint="eastAsia" w:ascii="Times New Roman" w:hAnsi="Times New Roman" w:cs="Times New Roman"/>
          <w:b w:val="0"/>
          <w:i w:val="0"/>
          <w:caps w:val="0"/>
          <w:color w:val="000000"/>
          <w:spacing w:val="0"/>
          <w:kern w:val="0"/>
          <w:sz w:val="24"/>
          <w:szCs w:val="24"/>
          <w:shd w:val="clear" w:color="auto" w:fill="FFFFFF"/>
          <w:lang w:val="en-US" w:eastAsia="zh-CN" w:bidi="ar"/>
        </w:rPr>
      </w:pPr>
      <w:r>
        <w:rPr>
          <w:rFonts w:hint="eastAsia" w:ascii="Times New Roman" w:hAnsi="Times New Roman" w:cs="Times New Roman"/>
          <w:b w:val="0"/>
          <w:i w:val="0"/>
          <w:caps w:val="0"/>
          <w:color w:val="000000"/>
          <w:spacing w:val="0"/>
          <w:kern w:val="0"/>
          <w:sz w:val="24"/>
          <w:szCs w:val="24"/>
          <w:shd w:val="clear" w:color="auto" w:fill="FFFFFF"/>
          <w:lang w:val="en-US" w:eastAsia="zh-CN" w:bidi="ar"/>
        </w:rPr>
        <w:t>4.4.1收集、贮存、运输、利用、处理固体废物的单位或个人，须采取措施防扬散、防流失、防渗漏；不得擅自倾倒、堆放、丢弃、遗撒固体废物。</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80"/>
        <w:textAlignment w:val="auto"/>
        <w:outlineLvl w:val="9"/>
        <w:rPr>
          <w:rFonts w:hint="default" w:ascii="Times New Roman" w:hAnsi="Times New Roman" w:cs="Times New Roman"/>
          <w:b w:val="0"/>
          <w:i w:val="0"/>
          <w:caps w:val="0"/>
          <w:color w:val="000000"/>
          <w:spacing w:val="0"/>
          <w:kern w:val="0"/>
          <w:sz w:val="24"/>
          <w:szCs w:val="24"/>
          <w:shd w:val="clear" w:color="auto" w:fill="FFFFFF"/>
          <w:lang w:val="en-US" w:eastAsia="zh-CN" w:bidi="ar"/>
        </w:rPr>
      </w:pPr>
      <w:r>
        <w:rPr>
          <w:rFonts w:hint="eastAsia" w:ascii="Times New Roman" w:hAnsi="Times New Roman" w:cs="Times New Roman"/>
          <w:b w:val="0"/>
          <w:i w:val="0"/>
          <w:caps w:val="0"/>
          <w:color w:val="000000"/>
          <w:spacing w:val="0"/>
          <w:kern w:val="0"/>
          <w:sz w:val="24"/>
          <w:szCs w:val="24"/>
          <w:shd w:val="clear" w:color="auto" w:fill="FFFFFF"/>
          <w:lang w:val="en-US" w:eastAsia="zh-CN" w:bidi="ar"/>
        </w:rPr>
        <w:t>4.4.2各生产单位要在指定地点倾倒垃圾，对垃圾进行分类，及时清理，禁止随意扔撒或堆放垃圾。</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b/>
          <w:bCs/>
          <w:sz w:val="24"/>
          <w:szCs w:val="24"/>
        </w:rPr>
      </w:pPr>
      <w:r>
        <w:rPr>
          <w:rFonts w:hint="eastAsia" w:ascii="Times New Roman" w:hAnsi="Times New Roman" w:cs="Times New Roman"/>
          <w:b/>
          <w:bCs/>
          <w:sz w:val="24"/>
          <w:szCs w:val="24"/>
          <w:lang w:val="en-US" w:eastAsia="zh-CN"/>
        </w:rPr>
        <w:t>5</w:t>
      </w:r>
      <w:r>
        <w:rPr>
          <w:rFonts w:hint="default" w:ascii="Times New Roman" w:hAnsi="Times New Roman" w:eastAsia="宋体" w:cs="Times New Roman"/>
          <w:b/>
          <w:bCs/>
          <w:sz w:val="24"/>
          <w:szCs w:val="24"/>
        </w:rPr>
        <w:t>、环保机构职责</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eastAsia" w:ascii="Times New Roman" w:hAnsi="Times New Roman" w:cs="Times New Roman"/>
          <w:sz w:val="24"/>
          <w:szCs w:val="24"/>
          <w:lang w:val="en-US" w:eastAsia="zh-CN"/>
        </w:rPr>
        <w:t>5</w:t>
      </w:r>
      <w:r>
        <w:rPr>
          <w:rFonts w:hint="default" w:ascii="Times New Roman" w:hAnsi="Times New Roman" w:eastAsia="宋体" w:cs="Times New Roman"/>
          <w:sz w:val="24"/>
          <w:szCs w:val="24"/>
        </w:rPr>
        <w:t>.1本</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环保机构职责</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eastAsia" w:ascii="Times New Roman" w:hAnsi="Times New Roman" w:cs="Times New Roman"/>
          <w:sz w:val="24"/>
          <w:szCs w:val="24"/>
          <w:lang w:val="en-US" w:eastAsia="zh-CN"/>
        </w:rPr>
        <w:t>5</w:t>
      </w:r>
      <w:r>
        <w:rPr>
          <w:rFonts w:hint="default" w:ascii="Times New Roman" w:hAnsi="Times New Roman" w:eastAsia="宋体" w:cs="Times New Roman"/>
          <w:sz w:val="24"/>
          <w:szCs w:val="24"/>
        </w:rPr>
        <w:t>.1.1在本</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分管领导下，认真贯彻执行国家、上级主管部门的有关环保方针、政策和法规，负责本</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的环保工作的管理、监察和测试等。</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eastAsia" w:ascii="Times New Roman" w:hAnsi="Times New Roman" w:cs="Times New Roman"/>
          <w:sz w:val="24"/>
          <w:szCs w:val="24"/>
          <w:lang w:val="en-US" w:eastAsia="zh-CN"/>
        </w:rPr>
        <w:t>5</w:t>
      </w:r>
      <w:r>
        <w:rPr>
          <w:rFonts w:hint="default" w:ascii="Times New Roman" w:hAnsi="Times New Roman" w:eastAsia="宋体" w:cs="Times New Roman"/>
          <w:sz w:val="24"/>
          <w:szCs w:val="24"/>
        </w:rPr>
        <w:t>.1.2负责组织制定环保长远规划和年度总结报告。</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eastAsia" w:ascii="Times New Roman" w:hAnsi="Times New Roman" w:cs="Times New Roman"/>
          <w:sz w:val="24"/>
          <w:szCs w:val="24"/>
          <w:lang w:val="en-US" w:eastAsia="zh-CN"/>
        </w:rPr>
        <w:t>5</w:t>
      </w:r>
      <w:r>
        <w:rPr>
          <w:rFonts w:hint="default" w:ascii="Times New Roman" w:hAnsi="Times New Roman" w:eastAsia="宋体" w:cs="Times New Roman"/>
          <w:sz w:val="24"/>
          <w:szCs w:val="24"/>
        </w:rPr>
        <w:t>.1.3监督检查本</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执行</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三废</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治理情况，参加新建、扩建和改造项目方案的研究和审查工作，并参加验收，提出环保意见和要求。</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eastAsia" w:ascii="Times New Roman" w:hAnsi="Times New Roman" w:cs="Times New Roman"/>
          <w:sz w:val="24"/>
          <w:szCs w:val="24"/>
          <w:lang w:val="en-US" w:eastAsia="zh-CN"/>
        </w:rPr>
        <w:t>5</w:t>
      </w:r>
      <w:r>
        <w:rPr>
          <w:rFonts w:hint="default" w:ascii="Times New Roman" w:hAnsi="Times New Roman" w:eastAsia="宋体" w:cs="Times New Roman"/>
          <w:sz w:val="24"/>
          <w:szCs w:val="24"/>
        </w:rPr>
        <w:t>.1.4组织内部环境监测，掌握原始记录，建立环保设施运行台帐，做好环保资料的归档和统计工作，及时向上级环保部门报告。</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eastAsia" w:ascii="Times New Roman" w:hAnsi="Times New Roman" w:cs="Times New Roman"/>
          <w:b w:val="0"/>
          <w:i w:val="0"/>
          <w:caps w:val="0"/>
          <w:color w:val="000000"/>
          <w:spacing w:val="0"/>
          <w:kern w:val="0"/>
          <w:sz w:val="24"/>
          <w:szCs w:val="24"/>
          <w:shd w:val="clear" w:color="auto" w:fill="FFFFFF"/>
          <w:lang w:val="en-US" w:eastAsia="zh-CN" w:bidi="ar"/>
        </w:rPr>
        <w:t>5</w:t>
      </w:r>
      <w:r>
        <w:rPr>
          <w:rFonts w:hint="default" w:ascii="Times New Roman" w:hAnsi="Times New Roman" w:eastAsia="宋体" w:cs="Times New Roman"/>
          <w:b w:val="0"/>
          <w:i w:val="0"/>
          <w:caps w:val="0"/>
          <w:color w:val="000000"/>
          <w:spacing w:val="0"/>
          <w:kern w:val="0"/>
          <w:sz w:val="24"/>
          <w:szCs w:val="24"/>
          <w:shd w:val="clear" w:color="auto" w:fill="FFFFFF"/>
          <w:lang w:val="en-US" w:eastAsia="zh-CN" w:bidi="ar"/>
        </w:rPr>
        <w:t>.1.5</w:t>
      </w:r>
      <w:r>
        <w:rPr>
          <w:rFonts w:hint="eastAsia" w:ascii="Times New Roman" w:hAnsi="Times New Roman" w:cs="Times New Roman"/>
          <w:b w:val="0"/>
          <w:i w:val="0"/>
          <w:caps w:val="0"/>
          <w:color w:val="000000"/>
          <w:spacing w:val="0"/>
          <w:kern w:val="0"/>
          <w:sz w:val="24"/>
          <w:szCs w:val="24"/>
          <w:shd w:val="clear" w:color="auto" w:fill="FFFFFF"/>
          <w:lang w:val="en-US" w:eastAsia="zh-CN" w:bidi="ar"/>
        </w:rPr>
        <w:t>公司</w:t>
      </w:r>
      <w:r>
        <w:rPr>
          <w:rFonts w:hint="default" w:ascii="Times New Roman" w:hAnsi="Times New Roman" w:eastAsia="宋体" w:cs="Times New Roman"/>
          <w:b w:val="0"/>
          <w:i w:val="0"/>
          <w:caps w:val="0"/>
          <w:color w:val="000000"/>
          <w:spacing w:val="0"/>
          <w:kern w:val="0"/>
          <w:sz w:val="24"/>
          <w:szCs w:val="24"/>
          <w:shd w:val="clear" w:color="auto" w:fill="FFFFFF"/>
          <w:lang w:val="en-US" w:eastAsia="zh-CN" w:bidi="ar"/>
        </w:rPr>
        <w:t>安全环保处环保科人员要经常深入现场，对环保设施运转使用情况及污染现象进行检查、指导，并对职工提出的环境问题予以答复，对于存在的环保问题提出整改意见，限期整改。</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eastAsia" w:ascii="Times New Roman" w:hAnsi="Times New Roman" w:cs="Times New Roman"/>
          <w:sz w:val="24"/>
          <w:szCs w:val="24"/>
          <w:lang w:val="en-US" w:eastAsia="zh-CN"/>
        </w:rPr>
        <w:t>5</w:t>
      </w:r>
      <w:r>
        <w:rPr>
          <w:rFonts w:hint="default" w:ascii="Times New Roman" w:hAnsi="Times New Roman" w:eastAsia="宋体" w:cs="Times New Roman"/>
          <w:sz w:val="24"/>
          <w:szCs w:val="24"/>
        </w:rPr>
        <w:t>.1.</w:t>
      </w:r>
      <w:r>
        <w:rPr>
          <w:rFonts w:hint="default"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对员工进行环保法律法规教育和宣传，提高员工的环保意识并对环保岗位进行培训考核。</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eastAsia" w:ascii="Times New Roman" w:hAnsi="Times New Roman" w:cs="Times New Roman"/>
          <w:sz w:val="24"/>
          <w:szCs w:val="24"/>
          <w:lang w:val="en-US" w:eastAsia="zh-CN"/>
        </w:rPr>
        <w:t>5</w:t>
      </w:r>
      <w:r>
        <w:rPr>
          <w:rFonts w:hint="default" w:ascii="Times New Roman" w:hAnsi="Times New Roman" w:eastAsia="宋体" w:cs="Times New Roman"/>
          <w:sz w:val="24"/>
          <w:szCs w:val="24"/>
        </w:rPr>
        <w:t>.2凡本</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员工玩忽职守，随意排放</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三废</w:t>
      </w:r>
      <w:r>
        <w:rPr>
          <w:rFonts w:hint="eastAsia" w:ascii="Times New Roman" w:hAnsi="Times New Roman" w:cs="Times New Roman"/>
          <w:sz w:val="24"/>
          <w:szCs w:val="24"/>
          <w:lang w:eastAsia="zh-CN"/>
        </w:rPr>
        <w:t>”</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造成污染环境时间，按触犯《中华人民共和国环境保护法》论处，视情节轻重，给予行政处分，罚款，直至追究刑事责任。</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b/>
          <w:bCs/>
          <w:sz w:val="24"/>
          <w:szCs w:val="24"/>
        </w:rPr>
      </w:pPr>
      <w:r>
        <w:rPr>
          <w:rFonts w:hint="eastAsia" w:ascii="Times New Roman" w:hAnsi="Times New Roman" w:cs="Times New Roman"/>
          <w:b/>
          <w:bCs/>
          <w:sz w:val="24"/>
          <w:szCs w:val="24"/>
          <w:lang w:val="en-US" w:eastAsia="zh-CN"/>
        </w:rPr>
        <w:t>6</w:t>
      </w:r>
      <w:r>
        <w:rPr>
          <w:rFonts w:hint="default" w:ascii="Times New Roman" w:hAnsi="Times New Roman" w:eastAsia="宋体" w:cs="Times New Roman"/>
          <w:b/>
          <w:bCs/>
          <w:sz w:val="24"/>
          <w:szCs w:val="24"/>
        </w:rPr>
        <w:t>、附则</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eastAsia" w:ascii="Times New Roman" w:hAnsi="Times New Roman" w:cs="Times New Roman"/>
          <w:sz w:val="24"/>
          <w:szCs w:val="24"/>
          <w:lang w:val="en-US" w:eastAsia="zh-CN"/>
        </w:rPr>
        <w:t>6</w:t>
      </w:r>
      <w:r>
        <w:rPr>
          <w:rFonts w:hint="default" w:ascii="Times New Roman" w:hAnsi="Times New Roman" w:eastAsia="宋体" w:cs="Times New Roman"/>
          <w:sz w:val="24"/>
          <w:szCs w:val="24"/>
        </w:rPr>
        <w:t>.1本制度与国家法律、法规及上级部门文件有抵触时，按上级文件规定执行。</w:t>
      </w:r>
    </w:p>
    <w:p>
      <w:pPr>
        <w:keepNext w:val="0"/>
        <w:keepLines w:val="0"/>
        <w:pageBreakBefore w:val="0"/>
        <w:widowControl w:val="0"/>
        <w:kinsoku/>
        <w:wordWrap/>
        <w:overflowPunct/>
        <w:topLinePunct w:val="0"/>
        <w:autoSpaceDE/>
        <w:autoSpaceDN/>
        <w:bidi w:val="0"/>
        <w:adjustRightInd/>
        <w:snapToGrid/>
        <w:spacing w:line="300" w:lineRule="auto"/>
        <w:ind w:firstLine="435"/>
        <w:textAlignment w:val="auto"/>
        <w:outlineLvl w:val="9"/>
        <w:rPr>
          <w:rFonts w:hint="default" w:ascii="Times New Roman" w:hAnsi="Times New Roman" w:eastAsia="宋体" w:cs="Times New Roman"/>
          <w:sz w:val="24"/>
          <w:szCs w:val="24"/>
        </w:rPr>
      </w:pPr>
      <w:r>
        <w:rPr>
          <w:rFonts w:hint="eastAsia" w:ascii="Times New Roman" w:hAnsi="Times New Roman" w:cs="Times New Roman"/>
          <w:sz w:val="24"/>
          <w:szCs w:val="24"/>
          <w:lang w:val="en-US" w:eastAsia="zh-CN"/>
        </w:rPr>
        <w:t>6</w:t>
      </w:r>
      <w:r>
        <w:rPr>
          <w:rFonts w:hint="default" w:ascii="Times New Roman" w:hAnsi="Times New Roman" w:eastAsia="宋体" w:cs="Times New Roman"/>
          <w:sz w:val="24"/>
          <w:szCs w:val="24"/>
        </w:rPr>
        <w:t>.2本管理制度属于</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规章制度的一部分，由</w:t>
      </w:r>
      <w:r>
        <w:rPr>
          <w:rFonts w:hint="eastAsia" w:ascii="Times New Roman" w:hAnsi="Times New Roman" w:cs="Times New Roman"/>
          <w:sz w:val="24"/>
          <w:szCs w:val="24"/>
          <w:lang w:eastAsia="zh-CN"/>
        </w:rPr>
        <w:t>公司</w:t>
      </w:r>
      <w:r>
        <w:rPr>
          <w:rFonts w:hint="default" w:ascii="Times New Roman" w:hAnsi="Times New Roman" w:eastAsia="宋体" w:cs="Times New Roman"/>
          <w:sz w:val="24"/>
          <w:szCs w:val="24"/>
        </w:rPr>
        <w:t>负责贯彻落实和执行。管理部门要严格执行，并监督、检查。</w:t>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outlineLvl w:val="9"/>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00" w:lineRule="auto"/>
        <w:jc w:val="left"/>
        <w:textAlignment w:val="auto"/>
        <w:outlineLvl w:val="9"/>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00" w:lineRule="auto"/>
        <w:jc w:val="left"/>
        <w:textAlignment w:val="auto"/>
        <w:outlineLvl w:val="9"/>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00" w:lineRule="auto"/>
        <w:jc w:val="left"/>
        <w:textAlignment w:val="auto"/>
        <w:outlineLvl w:val="9"/>
        <w:rPr>
          <w:rFonts w:hint="eastAsia" w:ascii="Times New Roman" w:hAnsi="Times New Roman" w:cs="Times New Roman"/>
          <w:sz w:val="24"/>
          <w:szCs w:val="24"/>
          <w:lang w:val="en-US" w:eastAsia="zh-CN"/>
        </w:rPr>
      </w:pPr>
    </w:p>
    <w:p>
      <w:pPr>
        <w:jc w:val="right"/>
        <w:rPr>
          <w:rFonts w:hint="eastAsia" w:ascii="Times New Roman" w:hAnsi="Times New Roman" w:cs="Times New Roman"/>
          <w:color w:val="auto"/>
          <w:sz w:val="24"/>
          <w:lang w:val="en-US" w:eastAsia="zh-CN"/>
        </w:rPr>
        <w:sectPr>
          <w:pgSz w:w="11906" w:h="16838"/>
          <w:pgMar w:top="1440" w:right="1800" w:bottom="1440" w:left="1800" w:header="851" w:footer="992" w:gutter="0"/>
          <w:cols w:space="425" w:num="1"/>
          <w:docGrid w:type="lines" w:linePitch="312" w:charSpace="0"/>
        </w:sectPr>
      </w:pPr>
      <w:r>
        <w:rPr>
          <w:rFonts w:hint="eastAsia" w:ascii="Times New Roman" w:hAnsi="Times New Roman" w:cs="Times New Roman"/>
          <w:color w:val="auto"/>
          <w:sz w:val="24"/>
          <w:lang w:val="en-US" w:eastAsia="zh-CN"/>
        </w:rPr>
        <w:t>江西伟航新材料有限公司</w:t>
      </w:r>
    </w:p>
    <w:p>
      <w:pPr>
        <w:jc w:val="both"/>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附件三应急预案</w:t>
      </w:r>
    </w:p>
    <w:p>
      <w:pPr>
        <w:keepNext w:val="0"/>
        <w:keepLines w:val="0"/>
        <w:pageBreakBefore w:val="0"/>
        <w:widowControl w:val="0"/>
        <w:kinsoku/>
        <w:wordWrap/>
        <w:overflowPunct/>
        <w:topLinePunct w:val="0"/>
        <w:autoSpaceDE/>
        <w:autoSpaceDN/>
        <w:bidi w:val="0"/>
        <w:adjustRightInd/>
        <w:snapToGrid/>
        <w:spacing w:line="360" w:lineRule="auto"/>
        <w:ind w:left="0" w:firstLine="0"/>
        <w:jc w:val="center"/>
        <w:textAlignment w:val="auto"/>
        <w:outlineLvl w:val="9"/>
        <w:rPr>
          <w:b/>
          <w:sz w:val="36"/>
          <w:szCs w:val="36"/>
        </w:rPr>
      </w:pPr>
      <w:r>
        <w:rPr>
          <w:rFonts w:hint="eastAsia"/>
          <w:b/>
          <w:sz w:val="36"/>
          <w:szCs w:val="36"/>
        </w:rPr>
        <w:t>环境风险应急预案</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为贯彻《中华人民共和国突发事件应对法》、《突发环境事件应急预案管理暂行办法》及其他环境保护法律法规的有关要求，保护单位员工的生命安全，减少公司财产损失，降低对环境的影响，保证事故发生后能快速、有效地实施应急救援，结合</w:t>
      </w:r>
      <w:r>
        <w:rPr>
          <w:rFonts w:hint="eastAsia" w:ascii="Times New Roman" w:hAnsi="Times New Roman" w:cs="Times New Roman"/>
          <w:color w:val="auto"/>
          <w:sz w:val="24"/>
          <w:lang w:val="en-US" w:eastAsia="zh-CN"/>
        </w:rPr>
        <w:t>江西伟航新材料有限公司</w:t>
      </w:r>
      <w:r>
        <w:rPr>
          <w:rFonts w:hint="eastAsia" w:asciiTheme="minorEastAsia" w:hAnsiTheme="minorEastAsia"/>
          <w:sz w:val="24"/>
          <w:szCs w:val="24"/>
        </w:rPr>
        <w:t>实际运行情况及调整应急组织架构，特编制了环境风险应急预案。</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asciiTheme="minorEastAsia" w:hAnsiTheme="minorEastAsia"/>
          <w:sz w:val="24"/>
          <w:szCs w:val="24"/>
        </w:rPr>
      </w:pPr>
      <w:r>
        <w:rPr>
          <w:rFonts w:asciiTheme="minorEastAsia" w:hAnsiTheme="minorEastAsia"/>
          <w:sz w:val="24"/>
          <w:szCs w:val="24"/>
        </w:rPr>
        <w:t>一、指导思想</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asciiTheme="minorEastAsia" w:hAnsiTheme="minorEastAsia"/>
          <w:sz w:val="24"/>
          <w:szCs w:val="24"/>
        </w:rPr>
      </w:pPr>
      <w:r>
        <w:rPr>
          <w:rFonts w:hint="eastAsia" w:asciiTheme="minorEastAsia" w:hAnsiTheme="minorEastAsia"/>
          <w:sz w:val="24"/>
          <w:szCs w:val="24"/>
        </w:rPr>
        <w:t>为了提高应对突发环境事件的能力，确保突发环境事件发生后，能及时、有序、高效地组织应急救援工作，防止污染周边环境，将事件造成的损失与社会危害降到最低，以维护社会稳定，保障公众生命健康和财产安全，保护环境，促进社会全面、协调、可持续发展。特制定本预案。</w:t>
      </w:r>
    </w:p>
    <w:p>
      <w:pPr>
        <w:keepNext w:val="0"/>
        <w:keepLines w:val="0"/>
        <w:pageBreakBefore w:val="0"/>
        <w:widowControl w:val="0"/>
        <w:kinsoku/>
        <w:wordWrap/>
        <w:overflowPunct/>
        <w:topLinePunct w:val="0"/>
        <w:autoSpaceDE/>
        <w:autoSpaceDN/>
        <w:bidi w:val="0"/>
        <w:adjustRightInd/>
        <w:snapToGrid/>
        <w:spacing w:line="360" w:lineRule="auto"/>
        <w:ind w:left="362" w:hanging="362" w:hangingChars="151"/>
        <w:jc w:val="left"/>
        <w:textAlignment w:val="auto"/>
        <w:outlineLvl w:val="9"/>
        <w:rPr>
          <w:rFonts w:asciiTheme="minorEastAsia" w:hAnsiTheme="minorEastAsia"/>
          <w:sz w:val="24"/>
          <w:szCs w:val="24"/>
        </w:rPr>
      </w:pPr>
      <w:r>
        <w:rPr>
          <w:rFonts w:asciiTheme="minorEastAsia" w:hAnsiTheme="minorEastAsia"/>
          <w:sz w:val="24"/>
          <w:szCs w:val="24"/>
        </w:rPr>
        <w:t>二、应急预案适用范围</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项目</w:t>
      </w:r>
      <w:r>
        <w:rPr>
          <w:rFonts w:asciiTheme="minorEastAsia" w:hAnsiTheme="minorEastAsia"/>
          <w:sz w:val="24"/>
          <w:szCs w:val="24"/>
        </w:rPr>
        <w:t>突发环境污染事故，包括废水、</w:t>
      </w:r>
      <w:r>
        <w:rPr>
          <w:rFonts w:hint="eastAsia" w:asciiTheme="minorEastAsia" w:hAnsiTheme="minorEastAsia"/>
          <w:sz w:val="24"/>
          <w:szCs w:val="24"/>
        </w:rPr>
        <w:t>废气</w:t>
      </w:r>
      <w:r>
        <w:rPr>
          <w:rFonts w:asciiTheme="minorEastAsia" w:hAnsiTheme="minorEastAsia"/>
          <w:sz w:val="24"/>
          <w:szCs w:val="24"/>
        </w:rPr>
        <w:t>、</w:t>
      </w:r>
      <w:r>
        <w:rPr>
          <w:rFonts w:hint="eastAsia" w:asciiTheme="minorEastAsia" w:hAnsiTheme="minorEastAsia"/>
          <w:sz w:val="24"/>
          <w:szCs w:val="24"/>
        </w:rPr>
        <w:t>固体</w:t>
      </w:r>
      <w:r>
        <w:rPr>
          <w:rFonts w:asciiTheme="minorEastAsia" w:hAnsiTheme="minorEastAsia"/>
          <w:sz w:val="24"/>
          <w:szCs w:val="24"/>
        </w:rPr>
        <w:t>废物事故排放等对河水造成污染、对当地大气环境造成污染、对员工或周围居民的生命已经或可能造成重大影响的环境污染事故。</w:t>
      </w:r>
    </w:p>
    <w:p>
      <w:pPr>
        <w:keepNext w:val="0"/>
        <w:keepLines w:val="0"/>
        <w:pageBreakBefore w:val="0"/>
        <w:widowControl w:val="0"/>
        <w:kinsoku/>
        <w:wordWrap/>
        <w:overflowPunct/>
        <w:topLinePunct w:val="0"/>
        <w:autoSpaceDE/>
        <w:autoSpaceDN/>
        <w:bidi w:val="0"/>
        <w:adjustRightInd/>
        <w:snapToGrid/>
        <w:spacing w:line="360" w:lineRule="auto"/>
        <w:ind w:left="362" w:hanging="362" w:hangingChars="151"/>
        <w:jc w:val="left"/>
        <w:textAlignment w:val="auto"/>
        <w:outlineLvl w:val="9"/>
        <w:rPr>
          <w:rFonts w:asciiTheme="minorEastAsia" w:hAnsiTheme="minorEastAsia"/>
          <w:sz w:val="24"/>
          <w:szCs w:val="24"/>
        </w:rPr>
      </w:pPr>
      <w:r>
        <w:rPr>
          <w:rFonts w:asciiTheme="minorEastAsia" w:hAnsiTheme="minorEastAsia"/>
          <w:sz w:val="24"/>
          <w:szCs w:val="24"/>
        </w:rPr>
        <w:t>三、危险辨</w:t>
      </w:r>
      <w:r>
        <w:rPr>
          <w:rFonts w:hint="eastAsia" w:asciiTheme="minorEastAsia" w:hAnsiTheme="minorEastAsia"/>
          <w:sz w:val="24"/>
          <w:szCs w:val="24"/>
          <w:lang w:eastAsia="zh-CN"/>
        </w:rPr>
        <w:t>识</w:t>
      </w:r>
      <w:r>
        <w:rPr>
          <w:rFonts w:asciiTheme="minorEastAsia" w:hAnsiTheme="minorEastAsia"/>
          <w:sz w:val="24"/>
          <w:szCs w:val="24"/>
        </w:rPr>
        <w:t>与评估</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Theme="minorEastAsia" w:hAnsiTheme="minorEastAsia"/>
          <w:sz w:val="24"/>
          <w:szCs w:val="24"/>
          <w:lang w:eastAsia="zh-CN"/>
        </w:rPr>
      </w:pPr>
      <w:r>
        <w:rPr>
          <w:rFonts w:hint="eastAsia" w:asciiTheme="minorEastAsia" w:hAnsiTheme="minorEastAsia"/>
          <w:sz w:val="24"/>
          <w:szCs w:val="24"/>
          <w:lang w:val="en-US" w:eastAsia="zh-CN"/>
        </w:rPr>
        <w:t>1、</w:t>
      </w:r>
      <w:r>
        <w:rPr>
          <w:rFonts w:hint="eastAsia" w:asciiTheme="minorEastAsia" w:hAnsiTheme="minorEastAsia"/>
          <w:sz w:val="24"/>
          <w:szCs w:val="24"/>
          <w:lang w:eastAsia="zh-CN"/>
        </w:rPr>
        <w:t>项目使用的机械设备在规定的整个使用期内，由于设备自身的缺陷或操作者违规失误等因素引起危害人身安全事故，机械伤害事故等。</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Theme="minorEastAsia" w:hAnsiTheme="minorEastAsia"/>
          <w:sz w:val="24"/>
          <w:szCs w:val="24"/>
          <w:lang w:eastAsia="zh-CN"/>
        </w:rPr>
      </w:pPr>
      <w:r>
        <w:rPr>
          <w:rFonts w:hint="eastAsia" w:asciiTheme="minorEastAsia" w:hAnsiTheme="minorEastAsia"/>
          <w:sz w:val="24"/>
          <w:szCs w:val="24"/>
          <w:lang w:val="en-US" w:eastAsia="zh-CN"/>
        </w:rPr>
        <w:t>2、本厂生产</w:t>
      </w:r>
      <w:r>
        <w:rPr>
          <w:rFonts w:hint="eastAsia" w:asciiTheme="minorEastAsia" w:hAnsiTheme="minorEastAsia"/>
          <w:sz w:val="24"/>
          <w:szCs w:val="24"/>
        </w:rPr>
        <w:t>项目如发生环境污染事故，从物质的属性上分主要有污水、大气。从事故的类型分主要有火灾、废水事故排放、大气事故排放等</w:t>
      </w:r>
      <w:r>
        <w:rPr>
          <w:rFonts w:asciiTheme="minorEastAsia" w:hAnsiTheme="minorEastAsia"/>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sz w:val="24"/>
          <w:szCs w:val="24"/>
          <w:lang w:eastAsia="zh-CN"/>
        </w:rPr>
      </w:pPr>
      <w:r>
        <w:rPr>
          <w:rFonts w:hint="eastAsia" w:asciiTheme="minorEastAsia" w:hAnsiTheme="minorEastAsia"/>
          <w:sz w:val="24"/>
          <w:szCs w:val="24"/>
          <w:lang w:eastAsia="zh-CN"/>
        </w:rPr>
        <w:t>四、事件分级</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Theme="minorEastAsia" w:hAnsiTheme="minorEastAsia"/>
          <w:sz w:val="24"/>
          <w:szCs w:val="24"/>
          <w:lang w:val="en-US" w:eastAsia="zh-CN"/>
        </w:rPr>
      </w:pPr>
      <w:r>
        <w:rPr>
          <w:rFonts w:hint="eastAsia" w:asciiTheme="minorEastAsia" w:hAnsiTheme="minorEastAsia"/>
          <w:sz w:val="24"/>
          <w:szCs w:val="24"/>
          <w:lang w:val="en-US" w:eastAsia="zh-CN"/>
        </w:rPr>
        <w:t>执行《国家突发环境事件应急预案》关于突发性环境事件分级的规定，分为特别重大环境事件（</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 1 \* ROMAN \* MERGEFORMAT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rPr>
        <w:t>I</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级</w:t>
      </w:r>
      <w:r>
        <w:rPr>
          <w:rFonts w:hint="eastAsia" w:asciiTheme="minorEastAsia" w:hAnsiTheme="minorEastAsia"/>
          <w:sz w:val="24"/>
          <w:szCs w:val="24"/>
          <w:lang w:val="en-US" w:eastAsia="zh-CN"/>
        </w:rPr>
        <w:t>）、</w:t>
      </w:r>
      <w:r>
        <w:rPr>
          <w:rFonts w:hint="default" w:ascii="Times New Roman" w:hAnsi="Times New Roman" w:cs="Times New Roman"/>
          <w:sz w:val="24"/>
          <w:szCs w:val="24"/>
          <w:lang w:val="en-US" w:eastAsia="zh-CN"/>
        </w:rPr>
        <w:t>重大环境事件（</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 2 \* ROMAN \* MERGEFORMAT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rPr>
        <w:t>II</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级）、较大环境事件（</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 3 \* ROMAN \* MERGEFORMAT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rPr>
        <w:t>III</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级）和一般环境事件（</w:t>
      </w:r>
      <w:r>
        <w:rPr>
          <w:rFonts w:hint="default" w:ascii="Times New Roman" w:hAnsi="Times New Roman" w:cs="Times New Roman"/>
          <w:sz w:val="24"/>
          <w:szCs w:val="24"/>
          <w:lang w:val="en-US" w:eastAsia="zh-CN"/>
        </w:rPr>
        <w:fldChar w:fldCharType="begin"/>
      </w:r>
      <w:r>
        <w:rPr>
          <w:rFonts w:hint="default" w:ascii="Times New Roman" w:hAnsi="Times New Roman" w:cs="Times New Roman"/>
          <w:sz w:val="24"/>
          <w:szCs w:val="24"/>
          <w:lang w:val="en-US" w:eastAsia="zh-CN"/>
        </w:rPr>
        <w:instrText xml:space="preserve"> = 4 \* ROMAN \* MERGEFORMAT </w:instrText>
      </w:r>
      <w:r>
        <w:rPr>
          <w:rFonts w:hint="default" w:ascii="Times New Roman" w:hAnsi="Times New Roman" w:cs="Times New Roman"/>
          <w:sz w:val="24"/>
          <w:szCs w:val="24"/>
          <w:lang w:val="en-US" w:eastAsia="zh-CN"/>
        </w:rPr>
        <w:fldChar w:fldCharType="separate"/>
      </w:r>
      <w:r>
        <w:rPr>
          <w:rFonts w:hint="default" w:ascii="Times New Roman" w:hAnsi="Times New Roman" w:cs="Times New Roman"/>
          <w:sz w:val="24"/>
          <w:szCs w:val="24"/>
        </w:rPr>
        <w:t>IV</w:t>
      </w:r>
      <w:r>
        <w:rPr>
          <w:rFonts w:hint="default" w:ascii="Times New Roman" w:hAnsi="Times New Roman" w:cs="Times New Roman"/>
          <w:sz w:val="24"/>
          <w:szCs w:val="24"/>
          <w:lang w:val="en-US" w:eastAsia="zh-CN"/>
        </w:rPr>
        <w:fldChar w:fldCharType="end"/>
      </w:r>
      <w:r>
        <w:rPr>
          <w:rFonts w:hint="default" w:ascii="Times New Roman" w:hAnsi="Times New Roman" w:cs="Times New Roman"/>
          <w:sz w:val="24"/>
          <w:szCs w:val="24"/>
          <w:lang w:val="en-US" w:eastAsia="zh-CN"/>
        </w:rPr>
        <w:t>级）</w:t>
      </w:r>
      <w:r>
        <w:rPr>
          <w:rFonts w:hint="eastAsia" w:ascii="Times New Roman" w:hAnsi="Times New Roman" w:cs="Times New Roman"/>
          <w:sz w:val="24"/>
          <w:szCs w:val="24"/>
          <w:lang w:val="en-US" w:eastAsia="zh-CN"/>
        </w:rPr>
        <w:t>具体分类标准参照</w:t>
      </w:r>
      <w:r>
        <w:rPr>
          <w:rFonts w:hint="eastAsia" w:asciiTheme="minorEastAsia" w:hAnsiTheme="minorEastAsia"/>
          <w:sz w:val="24"/>
          <w:szCs w:val="24"/>
          <w:lang w:val="en-US" w:eastAsia="zh-CN"/>
        </w:rPr>
        <w:t>《国家突发环境事件应急预案》。</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sz w:val="24"/>
          <w:szCs w:val="24"/>
          <w:lang w:val="en-US" w:eastAsia="zh-CN"/>
        </w:rPr>
      </w:pPr>
      <w:r>
        <w:rPr>
          <w:rFonts w:hint="eastAsia" w:asciiTheme="minorEastAsia" w:hAnsiTheme="minorEastAsia"/>
          <w:sz w:val="24"/>
          <w:szCs w:val="24"/>
          <w:lang w:val="en-US" w:eastAsia="zh-CN"/>
        </w:rPr>
        <w:t>工作原则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hint="eastAsia" w:asciiTheme="minorEastAsia" w:hAnsiTheme="minorEastAsia"/>
          <w:sz w:val="24"/>
          <w:szCs w:val="24"/>
          <w:lang w:val="en-US" w:eastAsia="zh-CN"/>
        </w:rPr>
      </w:pPr>
      <w:r>
        <w:rPr>
          <w:rFonts w:hint="eastAsia" w:asciiTheme="minorEastAsia" w:hAnsiTheme="minorEastAsia"/>
          <w:sz w:val="24"/>
          <w:szCs w:val="24"/>
          <w:lang w:val="en-US" w:eastAsia="zh-CN"/>
        </w:rPr>
        <w:t>5.1“预防为主、减少危害”，切实做到及时发现、及时报告、迅速反应、及时控制。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hint="eastAsia" w:asciiTheme="minorEastAsia" w:hAnsiTheme="minorEastAsia"/>
          <w:sz w:val="24"/>
          <w:szCs w:val="24"/>
          <w:lang w:val="en-US" w:eastAsia="zh-CN"/>
        </w:rPr>
      </w:pPr>
      <w:r>
        <w:rPr>
          <w:rFonts w:hint="eastAsia" w:asciiTheme="minorEastAsia" w:hAnsiTheme="minorEastAsia"/>
          <w:sz w:val="24"/>
          <w:szCs w:val="24"/>
          <w:lang w:val="en-US" w:eastAsia="zh-CN"/>
        </w:rPr>
        <w:t>5.2“统一领导、分级负责”，坚持统一领导、指挥部门，各部门、各单位按照职责分工，各司其职，协同作战，确保有序进行。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outlineLvl w:val="9"/>
        <w:rPr>
          <w:rFonts w:hint="eastAsia" w:asciiTheme="minorEastAsia" w:hAnsiTheme="minorEastAsia"/>
          <w:sz w:val="24"/>
          <w:szCs w:val="24"/>
          <w:lang w:val="en-US" w:eastAsia="zh-CN"/>
        </w:rPr>
      </w:pPr>
      <w:r>
        <w:rPr>
          <w:rFonts w:hint="eastAsia" w:asciiTheme="minorEastAsia" w:hAnsiTheme="minorEastAsia"/>
          <w:sz w:val="24"/>
          <w:szCs w:val="24"/>
          <w:lang w:val="en-US" w:eastAsia="zh-CN"/>
        </w:rPr>
        <w:t>5.3“先控制后处理”和“企业自救、属地管理，整合资源、联动管理”原则，果断提出处置措施，防止污染扩大，尽量减少污染范围，同是向当地政府报告，必要时可请求社会支援。</w:t>
      </w:r>
    </w:p>
    <w:p>
      <w:pPr>
        <w:keepNext w:val="0"/>
        <w:keepLines w:val="0"/>
        <w:pageBreakBefore w:val="0"/>
        <w:widowControl w:val="0"/>
        <w:kinsoku/>
        <w:wordWrap/>
        <w:overflowPunct/>
        <w:topLinePunct w:val="0"/>
        <w:autoSpaceDE/>
        <w:autoSpaceDN/>
        <w:bidi w:val="0"/>
        <w:adjustRightInd/>
        <w:snapToGrid/>
        <w:spacing w:line="360" w:lineRule="auto"/>
        <w:ind w:left="362" w:hanging="362" w:hangingChars="151"/>
        <w:jc w:val="left"/>
        <w:textAlignment w:val="auto"/>
        <w:outlineLvl w:val="9"/>
        <w:rPr>
          <w:rFonts w:asciiTheme="minorEastAsia" w:hAnsiTheme="minorEastAsia"/>
          <w:sz w:val="24"/>
          <w:szCs w:val="24"/>
        </w:rPr>
      </w:pPr>
      <w:r>
        <w:rPr>
          <w:rFonts w:hint="eastAsia" w:asciiTheme="minorEastAsia" w:hAnsiTheme="minorEastAsia"/>
          <w:sz w:val="24"/>
          <w:szCs w:val="24"/>
          <w:lang w:eastAsia="zh-CN"/>
        </w:rPr>
        <w:t>六</w:t>
      </w:r>
      <w:r>
        <w:rPr>
          <w:rFonts w:asciiTheme="minorEastAsia" w:hAnsiTheme="minorEastAsia"/>
          <w:sz w:val="24"/>
          <w:szCs w:val="24"/>
        </w:rPr>
        <w:t>、</w:t>
      </w:r>
      <w:r>
        <w:rPr>
          <w:rFonts w:hint="eastAsia" w:asciiTheme="minorEastAsia" w:hAnsiTheme="minorEastAsia"/>
          <w:sz w:val="24"/>
          <w:szCs w:val="24"/>
        </w:rPr>
        <w:t>应急救援组织机构职责</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（一）机构</w:t>
      </w:r>
      <w:r>
        <w:rPr>
          <w:rFonts w:hint="eastAsia" w:asciiTheme="minorEastAsia" w:hAnsiTheme="minorEastAsia"/>
          <w:sz w:val="24"/>
          <w:szCs w:val="24"/>
        </w:rPr>
        <w:t>设置</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公司应急救援小组，由</w:t>
      </w:r>
      <w:r>
        <w:rPr>
          <w:rFonts w:hint="eastAsia" w:asciiTheme="minorEastAsia" w:hAnsiTheme="minorEastAsia"/>
          <w:sz w:val="24"/>
          <w:szCs w:val="24"/>
          <w:lang w:eastAsia="zh-CN"/>
        </w:rPr>
        <w:t>总经理担</w:t>
      </w:r>
      <w:r>
        <w:rPr>
          <w:rFonts w:hint="eastAsia" w:asciiTheme="minorEastAsia" w:hAnsiTheme="minorEastAsia"/>
          <w:sz w:val="24"/>
          <w:szCs w:val="24"/>
        </w:rPr>
        <w:t>任组长，</w:t>
      </w:r>
      <w:r>
        <w:rPr>
          <w:rFonts w:hint="eastAsia" w:asciiTheme="minorEastAsia" w:hAnsiTheme="minorEastAsia"/>
          <w:sz w:val="24"/>
          <w:szCs w:val="24"/>
          <w:lang w:eastAsia="zh-CN"/>
        </w:rPr>
        <w:t>副总经理担</w:t>
      </w:r>
      <w:r>
        <w:rPr>
          <w:rFonts w:hint="eastAsia" w:asciiTheme="minorEastAsia" w:hAnsiTheme="minorEastAsia"/>
          <w:sz w:val="24"/>
          <w:szCs w:val="24"/>
        </w:rPr>
        <w:t>任副组长，组员由各部门负责人担任；</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（二）</w:t>
      </w:r>
      <w:r>
        <w:rPr>
          <w:rFonts w:hint="eastAsia" w:asciiTheme="minorEastAsia" w:hAnsiTheme="minorEastAsia"/>
          <w:sz w:val="24"/>
          <w:szCs w:val="24"/>
        </w:rPr>
        <w:t>应急救援小组</w:t>
      </w:r>
      <w:r>
        <w:rPr>
          <w:rFonts w:asciiTheme="minorEastAsia" w:hAnsiTheme="minorEastAsia"/>
          <w:sz w:val="24"/>
          <w:szCs w:val="24"/>
        </w:rPr>
        <w:t>职责</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1、</w:t>
      </w:r>
      <w:r>
        <w:rPr>
          <w:rFonts w:asciiTheme="minorEastAsia" w:hAnsiTheme="minorEastAsia"/>
          <w:sz w:val="24"/>
          <w:szCs w:val="24"/>
        </w:rPr>
        <w:t>负责“预案”的制定、修订；</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2、</w:t>
      </w:r>
      <w:r>
        <w:rPr>
          <w:rFonts w:asciiTheme="minorEastAsia" w:hAnsiTheme="minorEastAsia"/>
          <w:sz w:val="24"/>
          <w:szCs w:val="24"/>
        </w:rPr>
        <w:t>组建应急救援专业队伍，组织实施和演练；</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3、</w:t>
      </w:r>
      <w:r>
        <w:rPr>
          <w:rFonts w:asciiTheme="minorEastAsia" w:hAnsiTheme="minorEastAsia"/>
          <w:sz w:val="24"/>
          <w:szCs w:val="24"/>
        </w:rPr>
        <w:t>组织指挥救援队伍实施救援行动；</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Theme="minorEastAsia" w:hAnsiTheme="minorEastAsia"/>
          <w:sz w:val="24"/>
          <w:szCs w:val="24"/>
        </w:rPr>
      </w:pPr>
      <w:r>
        <w:rPr>
          <w:rFonts w:hint="eastAsia" w:asciiTheme="minorEastAsia" w:hAnsiTheme="minorEastAsia"/>
          <w:sz w:val="24"/>
          <w:szCs w:val="24"/>
        </w:rPr>
        <w:t>4、</w:t>
      </w:r>
      <w:r>
        <w:rPr>
          <w:rFonts w:asciiTheme="minorEastAsia" w:hAnsiTheme="minorEastAsia"/>
          <w:sz w:val="24"/>
          <w:szCs w:val="24"/>
        </w:rPr>
        <w:t>向上级汇报和向友</w:t>
      </w:r>
      <w:r>
        <w:rPr>
          <w:rFonts w:hint="eastAsia" w:asciiTheme="minorEastAsia" w:hAnsiTheme="minorEastAsia"/>
          <w:sz w:val="24"/>
          <w:szCs w:val="24"/>
          <w:lang w:eastAsia="zh-CN"/>
        </w:rPr>
        <w:t>邻</w:t>
      </w:r>
      <w:r>
        <w:rPr>
          <w:rFonts w:asciiTheme="minorEastAsia" w:hAnsiTheme="minorEastAsia"/>
          <w:sz w:val="24"/>
          <w:szCs w:val="24"/>
        </w:rPr>
        <w:t>单位通报事故情况，必要时</w:t>
      </w:r>
      <w:r>
        <w:rPr>
          <w:rFonts w:hint="eastAsia" w:asciiTheme="minorEastAsia" w:hAnsiTheme="minorEastAsia"/>
          <w:sz w:val="24"/>
          <w:szCs w:val="24"/>
          <w:lang w:eastAsia="zh-CN"/>
        </w:rPr>
        <w:t>向</w:t>
      </w:r>
      <w:r>
        <w:rPr>
          <w:rFonts w:asciiTheme="minorEastAsia" w:hAnsiTheme="minorEastAsia"/>
          <w:sz w:val="24"/>
          <w:szCs w:val="24"/>
        </w:rPr>
        <w:t>有关单位发出救援请求，组织事故调查，总结应急救援经验教训</w:t>
      </w:r>
      <w:r>
        <w:rPr>
          <w:rFonts w:hint="eastAsia" w:asciiTheme="minorEastAsia" w:hAnsiTheme="minorEastAsia"/>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5、负责保护现场和相关数据；</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lang w:val="en-US" w:eastAsia="zh-CN"/>
        </w:rPr>
        <w:t>6</w:t>
      </w:r>
      <w:r>
        <w:rPr>
          <w:rFonts w:hint="eastAsia" w:asciiTheme="minorEastAsia" w:hAnsiTheme="minorEastAsia"/>
          <w:sz w:val="24"/>
          <w:szCs w:val="24"/>
        </w:rPr>
        <w:t>、各职能部门及生产车间主要负责人电话</w:t>
      </w:r>
      <w:r>
        <w:rPr>
          <w:rFonts w:hint="eastAsia" w:ascii="Times New Roman" w:hAnsi="Times New Roman" w:cs="Times New Roman"/>
          <w:sz w:val="24"/>
          <w:szCs w:val="24"/>
        </w:rPr>
        <w:t>24</w:t>
      </w:r>
      <w:r>
        <w:rPr>
          <w:rFonts w:hint="eastAsia" w:asciiTheme="minorEastAsia" w:hAnsiTheme="minorEastAsia"/>
          <w:sz w:val="24"/>
          <w:szCs w:val="24"/>
        </w:rPr>
        <w:t>小时畅通。</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（三）成员分工</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1、组长负责组织、指挥厂区的应急救援工作，协调部门关系。</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2、副组长全面协助组长的救援组织、指挥工作，及时报警，及时向上级政府部门汇报事故情况、向邻近单位通报事故可能带来的影响。在组长外出时全面履行组长、副组长职责。负责应急预案的制定。</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3、生产总监组织各车间经验足、身体好的精干力量组成应急小组，在组长指挥下进行现场事故紧急处理。解救被困人员</w:t>
      </w:r>
      <w:r>
        <w:rPr>
          <w:rFonts w:hint="eastAsia" w:asciiTheme="minorEastAsia" w:hAnsiTheme="minorEastAsia"/>
          <w:sz w:val="24"/>
          <w:szCs w:val="24"/>
          <w:lang w:eastAsia="zh-CN"/>
        </w:rPr>
        <w:t>并将受伤人员及时送医</w:t>
      </w:r>
      <w:r>
        <w:rPr>
          <w:rFonts w:hint="eastAsia" w:asciiTheme="minorEastAsia" w:hAnsiTheme="minorEastAsia"/>
          <w:sz w:val="24"/>
          <w:szCs w:val="24"/>
        </w:rPr>
        <w:t>，控制事态发展，消除事故后患。事故处理完毕后及时清理现场，马上恢复生产。平时组织应急演练，提高应急能力。做好重大事故的预防措施和应急救援的各项准备工作。</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4、安全生产监督管理部和人资部主要负责事故现场调查取证，总结应急救援经验教训；调查分析主要污染物种类、污染程度和范围，对周边生态环境影响；协助组长、副组长完成事故应急预案的修改或完善工作；负责编制环境污染事故报告，并将事故报告向上级部门汇报。</w:t>
      </w:r>
    </w:p>
    <w:p>
      <w:pPr>
        <w:keepNext w:val="0"/>
        <w:keepLines w:val="0"/>
        <w:pageBreakBefore w:val="0"/>
        <w:widowControl w:val="0"/>
        <w:kinsoku/>
        <w:wordWrap/>
        <w:overflowPunct/>
        <w:topLinePunct w:val="0"/>
        <w:autoSpaceDE/>
        <w:autoSpaceDN/>
        <w:bidi w:val="0"/>
        <w:adjustRightInd/>
        <w:snapToGrid/>
        <w:spacing w:line="360" w:lineRule="auto"/>
        <w:ind w:left="362" w:hanging="362" w:hangingChars="151"/>
        <w:jc w:val="left"/>
        <w:textAlignment w:val="auto"/>
        <w:outlineLvl w:val="9"/>
        <w:rPr>
          <w:rFonts w:asciiTheme="minorEastAsia" w:hAnsiTheme="minorEastAsia"/>
          <w:sz w:val="24"/>
          <w:szCs w:val="24"/>
        </w:rPr>
      </w:pPr>
      <w:r>
        <w:rPr>
          <w:rFonts w:hint="eastAsia" w:asciiTheme="minorEastAsia" w:hAnsiTheme="minorEastAsia"/>
          <w:sz w:val="24"/>
          <w:szCs w:val="24"/>
          <w:lang w:eastAsia="zh-CN"/>
        </w:rPr>
        <w:t>七</w:t>
      </w:r>
      <w:r>
        <w:rPr>
          <w:rFonts w:asciiTheme="minorEastAsia" w:hAnsiTheme="minorEastAsia"/>
          <w:sz w:val="24"/>
          <w:szCs w:val="24"/>
        </w:rPr>
        <w:t>、事故处置程序</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(一）抢险实施</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1、立即采取有效措施，切断污染源，隔离污染区，防止污染扩散。</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2、现场第一人立即拨打报警电话，并迅速报告公司环境突发事故应急领导小组；</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3、采取隔离和疏散措施，避免无关人员进入事件发生区域，并合理布置消防和救援力量；</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4、迅速将受伤、中毒人员送往医院抢救；</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5、</w:t>
      </w:r>
      <w:r>
        <w:rPr>
          <w:rFonts w:asciiTheme="minorEastAsia" w:hAnsiTheme="minorEastAsia"/>
          <w:sz w:val="24"/>
          <w:szCs w:val="24"/>
        </w:rPr>
        <w:t>专家组接到命令后，立即赶到现场，为事故处理提供必要的技术指导，防止事故的扩大蔓延，防止二次危害的发生。要对现场的重要物资和设备等进行安全转移。</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6、启用储备的应急救援物资和装备，必要时向单位和个人购买、征用应急救援所需设备、设施、场地、交通工具和其他物资，组织有关企业加紧生产、提供相关的应急救援物资和装备。</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（二）现场调查与报告</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1、污染事故现场勘察和技术调查取证。</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asciiTheme="minorEastAsia" w:hAnsiTheme="minorEastAsia"/>
          <w:sz w:val="24"/>
          <w:szCs w:val="24"/>
        </w:rPr>
        <w:t>2、</w:t>
      </w:r>
      <w:r>
        <w:rPr>
          <w:rFonts w:hint="eastAsia" w:asciiTheme="minorEastAsia" w:hAnsiTheme="minorEastAsia"/>
          <w:sz w:val="24"/>
          <w:szCs w:val="24"/>
        </w:rPr>
        <w:t>加强现场监测，防止各种次生和衍生灾害事故发生。</w:t>
      </w:r>
      <w:r>
        <w:rPr>
          <w:rFonts w:asciiTheme="minorEastAsia" w:hAnsiTheme="minorEastAsia"/>
          <w:sz w:val="24"/>
          <w:szCs w:val="24"/>
        </w:rPr>
        <w:t>一般要求水污染在</w:t>
      </w:r>
      <w:r>
        <w:rPr>
          <w:rFonts w:hint="default" w:ascii="Times New Roman" w:hAnsi="Times New Roman" w:cs="Times New Roman"/>
          <w:sz w:val="24"/>
          <w:szCs w:val="24"/>
        </w:rPr>
        <w:t>4</w:t>
      </w:r>
      <w:r>
        <w:rPr>
          <w:rFonts w:asciiTheme="minorEastAsia" w:hAnsiTheme="minorEastAsia"/>
          <w:sz w:val="24"/>
          <w:szCs w:val="24"/>
        </w:rPr>
        <w:t>小时内，</w:t>
      </w:r>
      <w:r>
        <w:rPr>
          <w:rFonts w:hint="eastAsia" w:asciiTheme="minorEastAsia" w:hAnsiTheme="minorEastAsia"/>
          <w:sz w:val="24"/>
          <w:szCs w:val="24"/>
        </w:rPr>
        <w:t>大气</w:t>
      </w:r>
      <w:r>
        <w:rPr>
          <w:rFonts w:asciiTheme="minorEastAsia" w:hAnsiTheme="minorEastAsia"/>
          <w:sz w:val="24"/>
          <w:szCs w:val="24"/>
        </w:rPr>
        <w:t>污染在</w:t>
      </w:r>
      <w:r>
        <w:rPr>
          <w:rFonts w:hint="default" w:ascii="Times New Roman" w:hAnsi="Times New Roman" w:cs="Times New Roman"/>
          <w:sz w:val="24"/>
          <w:szCs w:val="24"/>
        </w:rPr>
        <w:t>2</w:t>
      </w:r>
      <w:r>
        <w:rPr>
          <w:rFonts w:asciiTheme="minorEastAsia" w:hAnsiTheme="minorEastAsia"/>
          <w:sz w:val="24"/>
          <w:szCs w:val="24"/>
        </w:rPr>
        <w:t>小时内定性检测出污染物的种类及其可能的危害。</w:t>
      </w:r>
      <w:r>
        <w:rPr>
          <w:rFonts w:hint="default" w:ascii="Times New Roman" w:hAnsi="Times New Roman" w:cs="Times New Roman"/>
          <w:sz w:val="24"/>
          <w:szCs w:val="24"/>
        </w:rPr>
        <w:t>24</w:t>
      </w:r>
      <w:r>
        <w:rPr>
          <w:rFonts w:asciiTheme="minorEastAsia" w:hAnsiTheme="minorEastAsia"/>
          <w:sz w:val="24"/>
          <w:szCs w:val="24"/>
        </w:rPr>
        <w:t>小时内定量检测出污染物的浓度、污染的程度和范围，发出检测报告。并采取污染跟踪监测，直到污染事故处理完毕，污染警报消除。</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asciiTheme="minorEastAsia" w:hAnsiTheme="minorEastAsia"/>
          <w:sz w:val="24"/>
          <w:szCs w:val="24"/>
        </w:rPr>
      </w:pPr>
      <w:r>
        <w:rPr>
          <w:rFonts w:hint="eastAsia" w:asciiTheme="minorEastAsia" w:hAnsiTheme="minorEastAsia"/>
          <w:sz w:val="24"/>
          <w:szCs w:val="24"/>
          <w:lang w:eastAsia="zh-CN"/>
        </w:rPr>
        <w:t>八</w:t>
      </w:r>
      <w:r>
        <w:rPr>
          <w:rFonts w:hint="eastAsia" w:asciiTheme="minorEastAsia" w:hAnsiTheme="minorEastAsia"/>
          <w:sz w:val="24"/>
          <w:szCs w:val="24"/>
        </w:rPr>
        <w:t>、责任与奖惩</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1、突发公共事件应急处置工作实行责任追究制。</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2、对突发公共事件应急管理工作中做出突出贡献的先进集体和个人要给予表彰和奖励。</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3、对迟报、谎报、瞒报和漏报突发公共事件重要情况或者应急管理工作中有其他失职、渎职行为的，依法对有关责任人给予行政处分；构成犯罪的，依法追究刑事责任。</w:t>
      </w:r>
    </w:p>
    <w:p>
      <w:pPr>
        <w:keepNext w:val="0"/>
        <w:keepLines w:val="0"/>
        <w:pageBreakBefore w:val="0"/>
        <w:widowControl w:val="0"/>
        <w:kinsoku/>
        <w:wordWrap/>
        <w:overflowPunct/>
        <w:topLinePunct w:val="0"/>
        <w:autoSpaceDE/>
        <w:autoSpaceDN/>
        <w:bidi w:val="0"/>
        <w:adjustRightInd/>
        <w:snapToGrid/>
        <w:spacing w:line="360" w:lineRule="auto"/>
        <w:ind w:left="362" w:hanging="362" w:hangingChars="151"/>
        <w:jc w:val="left"/>
        <w:textAlignment w:val="auto"/>
        <w:outlineLvl w:val="9"/>
        <w:rPr>
          <w:sz w:val="24"/>
          <w:szCs w:val="24"/>
        </w:rPr>
      </w:pPr>
      <w:r>
        <w:rPr>
          <w:rFonts w:hint="eastAsia"/>
          <w:sz w:val="24"/>
          <w:szCs w:val="24"/>
          <w:lang w:eastAsia="zh-CN"/>
        </w:rPr>
        <w:t>九</w:t>
      </w:r>
      <w:r>
        <w:rPr>
          <w:sz w:val="24"/>
          <w:szCs w:val="24"/>
        </w:rPr>
        <w:t>、应急保障</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sz w:val="24"/>
          <w:szCs w:val="24"/>
        </w:rPr>
        <w:t>保证事故应急救援所需要经费充足、通信保障、物资保障、宣传和培训等。加大对环境保护的宣传力度，培养一批训练有素、有责任心的专业人士。</w:t>
      </w:r>
    </w:p>
    <w:p>
      <w:pPr>
        <w:keepNext w:val="0"/>
        <w:keepLines w:val="0"/>
        <w:pageBreakBefore w:val="0"/>
        <w:widowControl w:val="0"/>
        <w:kinsoku/>
        <w:wordWrap/>
        <w:overflowPunct/>
        <w:topLinePunct w:val="0"/>
        <w:autoSpaceDE/>
        <w:autoSpaceDN/>
        <w:bidi w:val="0"/>
        <w:adjustRightInd/>
        <w:snapToGrid/>
        <w:spacing w:line="360" w:lineRule="auto"/>
        <w:ind w:left="362" w:hanging="362" w:hangingChars="151"/>
        <w:jc w:val="left"/>
        <w:textAlignment w:val="auto"/>
        <w:outlineLvl w:val="9"/>
        <w:rPr>
          <w:rFonts w:hint="eastAsia"/>
          <w:sz w:val="24"/>
          <w:szCs w:val="24"/>
          <w:lang w:eastAsia="zh-CN"/>
        </w:rPr>
      </w:pPr>
      <w:r>
        <w:rPr>
          <w:rFonts w:hint="eastAsia"/>
          <w:sz w:val="24"/>
          <w:szCs w:val="24"/>
          <w:lang w:eastAsia="zh-CN"/>
        </w:rPr>
        <w:t>十、附则</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（一）预案管理与更新</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随着应急救援相关法律法规的制定、修改和完善，部门职责或应急资源发生变化，或者应急过程中发现存在的问题和出现的新情况，应及时修改预案。</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（二）预案实施</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Theme="minorEastAsia" w:hAnsiTheme="minorEastAsia"/>
          <w:sz w:val="24"/>
          <w:szCs w:val="24"/>
        </w:rPr>
      </w:pPr>
      <w:r>
        <w:rPr>
          <w:rFonts w:hint="eastAsia" w:asciiTheme="minorEastAsia" w:hAnsiTheme="minorEastAsia"/>
          <w:sz w:val="24"/>
          <w:szCs w:val="24"/>
        </w:rPr>
        <w:t>本预案自公布之日起施行。</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Theme="minorEastAsia" w:hAnsiTheme="minorEastAsia"/>
          <w:sz w:val="24"/>
          <w:szCs w:val="24"/>
          <w:lang w:eastAsia="zh-CN"/>
        </w:rPr>
      </w:pPr>
      <w:r>
        <w:rPr>
          <w:rFonts w:hint="eastAsia" w:asciiTheme="minorEastAsia" w:hAnsiTheme="minorEastAsia"/>
          <w:sz w:val="24"/>
          <w:szCs w:val="24"/>
          <w:lang w:eastAsia="zh-CN"/>
        </w:rPr>
        <w:t>其他</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200"/>
        <w:jc w:val="left"/>
        <w:textAlignment w:val="auto"/>
        <w:outlineLvl w:val="9"/>
        <w:rPr>
          <w:rFonts w:hint="eastAsia" w:asciiTheme="minorEastAsia" w:hAnsiTheme="minorEastAsia"/>
          <w:sz w:val="24"/>
          <w:szCs w:val="24"/>
          <w:lang w:val="en-US" w:eastAsia="zh-CN"/>
        </w:rPr>
      </w:pPr>
      <w:r>
        <w:rPr>
          <w:rFonts w:hint="eastAsia" w:asciiTheme="minorEastAsia" w:hAnsiTheme="minorEastAsia"/>
          <w:sz w:val="24"/>
          <w:szCs w:val="24"/>
          <w:lang w:val="en-US" w:eastAsia="zh-CN"/>
        </w:rPr>
        <w:t>定期组织应急培训，提高应急救援人员急救援技能及员工应急避险知识；</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200"/>
        <w:jc w:val="left"/>
        <w:textAlignment w:val="auto"/>
        <w:outlineLvl w:val="9"/>
        <w:rPr>
          <w:rFonts w:hint="eastAsia" w:asciiTheme="minorEastAsia" w:hAnsiTheme="minorEastAsia"/>
          <w:sz w:val="24"/>
          <w:szCs w:val="24"/>
          <w:lang w:val="en-US" w:eastAsia="zh-CN"/>
        </w:rPr>
      </w:pPr>
      <w:r>
        <w:rPr>
          <w:rFonts w:hint="eastAsia" w:asciiTheme="minorEastAsia" w:hAnsiTheme="minorEastAsia"/>
          <w:sz w:val="24"/>
          <w:szCs w:val="24"/>
          <w:lang w:val="en-US" w:eastAsia="zh-CN"/>
        </w:rPr>
        <w:t>定期组织应急救援演练；</w:t>
      </w:r>
    </w:p>
    <w:p>
      <w:pPr>
        <w:keepNext w:val="0"/>
        <w:keepLines w:val="0"/>
        <w:pageBreakBefore w:val="0"/>
        <w:widowControl w:val="0"/>
        <w:kinsoku/>
        <w:wordWrap/>
        <w:overflowPunct/>
        <w:topLinePunct w:val="0"/>
        <w:autoSpaceDE/>
        <w:autoSpaceDN/>
        <w:bidi w:val="0"/>
        <w:adjustRightInd/>
        <w:snapToGrid/>
        <w:spacing w:line="360" w:lineRule="auto"/>
        <w:ind w:left="362" w:hanging="362" w:hangingChars="151"/>
        <w:jc w:val="left"/>
        <w:textAlignment w:val="auto"/>
        <w:outlineLvl w:val="9"/>
        <w:rPr>
          <w:rFonts w:hint="eastAsia" w:asciiTheme="minorEastAsia" w:hAnsiTheme="minorEastAsia" w:eastAsiaTheme="minorEastAsia"/>
          <w:sz w:val="24"/>
          <w:szCs w:val="24"/>
          <w:lang w:val="en-US" w:eastAsia="zh-CN"/>
        </w:rPr>
      </w:pPr>
      <w:r>
        <w:rPr>
          <w:rFonts w:hint="eastAsia"/>
          <w:sz w:val="24"/>
          <w:szCs w:val="24"/>
          <w:lang w:eastAsia="zh-CN"/>
        </w:rPr>
        <w:t>十一、联系电话</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报警电话：</w:t>
      </w:r>
      <w:r>
        <w:rPr>
          <w:rFonts w:hint="eastAsia" w:ascii="Times New Roman" w:hAnsi="Times New Roman" w:cs="Times New Roman"/>
          <w:sz w:val="24"/>
          <w:szCs w:val="24"/>
        </w:rPr>
        <w:t>110</w:t>
      </w:r>
      <w:r>
        <w:rPr>
          <w:rFonts w:hint="eastAsia" w:asciiTheme="minorEastAsia" w:hAnsiTheme="minorEastAsia"/>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r>
        <w:rPr>
          <w:rFonts w:hint="eastAsia" w:asciiTheme="minorEastAsia" w:hAnsiTheme="minorEastAsia"/>
          <w:sz w:val="24"/>
          <w:szCs w:val="24"/>
        </w:rPr>
        <w:t>火警电话：</w:t>
      </w:r>
      <w:r>
        <w:rPr>
          <w:rFonts w:hint="eastAsia" w:ascii="Times New Roman" w:hAnsi="Times New Roman" w:cs="Times New Roman"/>
          <w:sz w:val="24"/>
          <w:szCs w:val="24"/>
        </w:rPr>
        <w:t>119</w:t>
      </w:r>
      <w:r>
        <w:rPr>
          <w:rFonts w:hint="eastAsia" w:asciiTheme="minorEastAsia" w:hAnsiTheme="minorEastAsia"/>
          <w:sz w:val="24"/>
          <w:szCs w:val="24"/>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hint="eastAsia" w:asciiTheme="minorEastAsia" w:hAnsiTheme="minorEastAsia"/>
          <w:sz w:val="24"/>
          <w:szCs w:val="24"/>
        </w:rPr>
      </w:pPr>
      <w:r>
        <w:rPr>
          <w:rFonts w:hint="eastAsia" w:asciiTheme="minorEastAsia" w:hAnsiTheme="minorEastAsia"/>
          <w:sz w:val="24"/>
          <w:szCs w:val="24"/>
        </w:rPr>
        <w:t>急救中心电话：</w:t>
      </w:r>
      <w:r>
        <w:rPr>
          <w:rFonts w:hint="default" w:ascii="Times New Roman" w:hAnsi="Times New Roman" w:cs="Times New Roman"/>
          <w:sz w:val="24"/>
          <w:szCs w:val="24"/>
        </w:rPr>
        <w:t>120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outlineLvl w:val="9"/>
        <w:rPr>
          <w:rFonts w:asciiTheme="minorEastAsia" w:hAnsiTheme="minorEastAsia"/>
          <w:sz w:val="24"/>
          <w:szCs w:val="24"/>
        </w:rPr>
      </w:pPr>
    </w:p>
    <w:p>
      <w:pPr>
        <w:jc w:val="right"/>
        <w:rPr>
          <w:rFonts w:hint="eastAsia" w:ascii="Times New Roman" w:hAnsi="Times New Roman" w:cs="Times New Roman"/>
          <w:color w:val="auto"/>
          <w:sz w:val="24"/>
          <w:lang w:val="en-US" w:eastAsia="zh-CN"/>
        </w:rPr>
        <w:sectPr>
          <w:pgSz w:w="11906" w:h="16838"/>
          <w:pgMar w:top="1440" w:right="1800" w:bottom="1440" w:left="1800" w:header="851" w:footer="992" w:gutter="0"/>
          <w:cols w:space="425" w:num="1"/>
          <w:docGrid w:type="lines" w:linePitch="312" w:charSpace="0"/>
        </w:sectPr>
      </w:pPr>
      <w:r>
        <w:rPr>
          <w:rFonts w:hint="eastAsia"/>
          <w:color w:val="000000"/>
          <w:sz w:val="24"/>
        </w:rPr>
        <w:t xml:space="preserve"> </w:t>
      </w:r>
      <w:r>
        <w:rPr>
          <w:color w:val="000000"/>
          <w:sz w:val="24"/>
        </w:rPr>
        <w:t xml:space="preserve">               </w:t>
      </w:r>
      <w:r>
        <w:rPr>
          <w:rFonts w:hint="eastAsia"/>
          <w:color w:val="000000"/>
          <w:sz w:val="24"/>
          <w:lang w:val="en-US" w:eastAsia="zh-CN"/>
        </w:rPr>
        <w:t xml:space="preserve">                 </w:t>
      </w:r>
      <w:r>
        <w:rPr>
          <w:rFonts w:hint="eastAsia"/>
          <w:color w:val="FF0000"/>
          <w:sz w:val="24"/>
          <w:lang w:val="en-US" w:eastAsia="zh-CN"/>
        </w:rPr>
        <w:t xml:space="preserve">  </w:t>
      </w:r>
      <w:r>
        <w:rPr>
          <w:rFonts w:hint="eastAsia" w:ascii="Times New Roman" w:hAnsi="Times New Roman" w:cs="Times New Roman"/>
          <w:color w:val="auto"/>
          <w:sz w:val="24"/>
          <w:lang w:val="en-US" w:eastAsia="zh-CN"/>
        </w:rPr>
        <w:t>江西伟航新材料有限公司</w:t>
      </w:r>
    </w:p>
    <w:p>
      <w:pPr>
        <w:jc w:val="both"/>
        <w:rPr>
          <w:rFonts w:hint="eastAsia" w:ascii="Times New Roman" w:hAnsi="Times New Roman" w:cs="Times New Roman"/>
          <w:color w:val="auto"/>
          <w:sz w:val="24"/>
          <w:lang w:val="en-US" w:eastAsia="zh-CN"/>
        </w:rPr>
      </w:pPr>
      <w:r>
        <w:rPr>
          <w:rFonts w:hint="eastAsia" w:ascii="Times New Roman" w:hAnsi="Times New Roman" w:cs="Times New Roman"/>
          <w:color w:val="auto"/>
          <w:sz w:val="24"/>
          <w:lang w:val="en-US" w:eastAsia="zh-CN"/>
        </w:rPr>
        <w:t>附件五生产负荷报告</w:t>
      </w:r>
    </w:p>
    <w:p>
      <w:pPr>
        <w:jc w:val="center"/>
        <w:rPr>
          <w:rFonts w:hint="eastAsia"/>
          <w:b/>
          <w:color w:val="auto"/>
          <w:sz w:val="36"/>
        </w:rPr>
      </w:pPr>
      <w:r>
        <w:rPr>
          <w:rFonts w:hint="eastAsia"/>
          <w:b/>
          <w:color w:val="auto"/>
          <w:sz w:val="36"/>
        </w:rPr>
        <w:t>建设项目竣工环境保护验收监测期间</w:t>
      </w:r>
    </w:p>
    <w:p>
      <w:pPr>
        <w:jc w:val="center"/>
        <w:rPr>
          <w:rFonts w:hint="eastAsia"/>
          <w:b/>
          <w:color w:val="auto"/>
          <w:sz w:val="36"/>
        </w:rPr>
      </w:pPr>
      <w:r>
        <w:rPr>
          <w:rFonts w:hint="eastAsia"/>
          <w:b/>
          <w:color w:val="auto"/>
          <w:sz w:val="36"/>
        </w:rPr>
        <w:t>生产负荷报告</w:t>
      </w:r>
    </w:p>
    <w:p>
      <w:pPr>
        <w:rPr>
          <w:rFonts w:hint="eastAsia"/>
          <w:color w:val="auto"/>
          <w:sz w:val="28"/>
        </w:rPr>
      </w:pPr>
    </w:p>
    <w:p>
      <w:pPr>
        <w:ind w:firstLine="560" w:firstLineChars="200"/>
        <w:rPr>
          <w:rFonts w:hint="eastAsia" w:ascii="Times New Roman" w:hAnsi="Times New Roman" w:eastAsia="宋体" w:cs="Times New Roman"/>
          <w:color w:val="auto"/>
          <w:sz w:val="28"/>
          <w:szCs w:val="28"/>
          <w:lang w:val="en-US" w:eastAsia="zh-CN"/>
        </w:rPr>
      </w:pPr>
      <w:r>
        <w:rPr>
          <w:rFonts w:hint="default" w:ascii="Times New Roman" w:hAnsi="Times New Roman" w:cs="Times New Roman"/>
          <w:color w:val="auto"/>
          <w:sz w:val="28"/>
        </w:rPr>
        <w:t>我</w:t>
      </w:r>
      <w:r>
        <w:rPr>
          <w:rFonts w:hint="default" w:ascii="Times New Roman" w:hAnsi="Times New Roman" w:cs="Times New Roman"/>
          <w:color w:val="auto"/>
          <w:sz w:val="28"/>
          <w:lang w:val="en-US" w:eastAsia="zh-CN"/>
        </w:rPr>
        <w:t>公司</w:t>
      </w:r>
      <w:r>
        <w:rPr>
          <w:rFonts w:hint="eastAsia" w:ascii="Times New Roman" w:hAnsi="Times New Roman" w:cs="Times New Roman"/>
          <w:color w:val="auto"/>
          <w:sz w:val="28"/>
          <w:lang w:val="en-US" w:eastAsia="zh-CN"/>
        </w:rPr>
        <w:t>江西伟航新材料有限公司水泥构件及电力设施器材制造项目</w:t>
      </w:r>
      <w:r>
        <w:rPr>
          <w:rFonts w:hint="default" w:ascii="Times New Roman" w:hAnsi="Times New Roman" w:cs="Times New Roman"/>
          <w:color w:val="auto"/>
          <w:sz w:val="28"/>
          <w:lang w:val="en-US" w:eastAsia="zh-CN"/>
        </w:rPr>
        <w:t>竣工环境保护验</w:t>
      </w:r>
      <w:r>
        <w:rPr>
          <w:rFonts w:hint="default" w:ascii="Times New Roman" w:hAnsi="Times New Roman" w:cs="Times New Roman"/>
          <w:color w:val="auto"/>
          <w:sz w:val="28"/>
        </w:rPr>
        <w:t>收监测期间，生产负荷情况如下：</w:t>
      </w:r>
    </w:p>
    <w:p>
      <w:pPr>
        <w:ind w:firstLine="560" w:firstLineChars="200"/>
        <w:rPr>
          <w:rFonts w:hint="default" w:ascii="Times New Roman" w:hAnsi="Times New Roman" w:cs="Times New Roman"/>
          <w:sz w:val="28"/>
          <w:szCs w:val="28"/>
          <w:lang w:val="en-US" w:eastAsia="zh-CN"/>
        </w:rPr>
      </w:pPr>
      <w:r>
        <w:rPr>
          <w:rFonts w:hint="eastAsia" w:ascii="Times New Roman" w:hAnsi="Times New Roman" w:eastAsia="宋体" w:cs="Times New Roman"/>
          <w:color w:val="auto"/>
          <w:sz w:val="28"/>
          <w:szCs w:val="28"/>
          <w:lang w:val="en-US" w:eastAsia="zh-CN"/>
        </w:rPr>
        <w:t>江西伟航新材料有限公司水泥构件及电力设施器材制造项目</w:t>
      </w:r>
      <w:r>
        <w:rPr>
          <w:rFonts w:hint="default" w:ascii="Times New Roman" w:hAnsi="Times New Roman" w:cs="Times New Roman"/>
          <w:sz w:val="28"/>
          <w:szCs w:val="28"/>
          <w:lang w:val="en-US" w:eastAsia="zh-CN"/>
        </w:rPr>
        <w:t>，验收监测期间生产正常</w:t>
      </w:r>
      <w:r>
        <w:rPr>
          <w:rFonts w:hint="eastAsia" w:ascii="Times New Roman" w:hAnsi="Times New Roman" w:cs="Times New Roman"/>
          <w:sz w:val="28"/>
          <w:szCs w:val="28"/>
          <w:lang w:val="en-US" w:eastAsia="zh-CN"/>
        </w:rPr>
        <w:t>工况达80%以上</w:t>
      </w:r>
      <w:r>
        <w:rPr>
          <w:rFonts w:hint="default" w:ascii="Times New Roman" w:hAnsi="Times New Roman" w:cs="Times New Roman"/>
          <w:sz w:val="28"/>
          <w:szCs w:val="28"/>
          <w:lang w:val="en-US" w:eastAsia="zh-CN"/>
        </w:rPr>
        <w:t>。</w:t>
      </w:r>
    </w:p>
    <w:p>
      <w:pPr>
        <w:rPr>
          <w:rFonts w:hint="default" w:ascii="Times New Roman" w:hAnsi="Times New Roman" w:cs="Times New Roman"/>
          <w:color w:val="auto"/>
        </w:rPr>
      </w:pPr>
    </w:p>
    <w:p>
      <w:pPr>
        <w:rPr>
          <w:rFonts w:hint="default" w:ascii="Times New Roman" w:hAnsi="Times New Roman" w:cs="Times New Roman"/>
          <w:color w:val="auto"/>
        </w:rPr>
      </w:pPr>
    </w:p>
    <w:p>
      <w:pPr>
        <w:ind w:right="1120"/>
        <w:jc w:val="both"/>
        <w:rPr>
          <w:rFonts w:hint="default" w:ascii="Times New Roman" w:hAnsi="Times New Roman" w:cs="Times New Roman"/>
          <w:color w:val="auto"/>
          <w:sz w:val="28"/>
          <w:szCs w:val="22"/>
          <w:lang w:val="en-US" w:eastAsia="zh-CN"/>
        </w:rPr>
      </w:pPr>
    </w:p>
    <w:p>
      <w:pPr>
        <w:ind w:right="0"/>
        <w:jc w:val="right"/>
        <w:rPr>
          <w:rFonts w:hint="eastAsia" w:ascii="Times New Roman" w:hAnsi="Times New Roman" w:cs="Times New Roman"/>
          <w:color w:val="FF0000"/>
          <w:sz w:val="28"/>
          <w:lang w:val="en-US" w:eastAsia="zh-CN"/>
        </w:rPr>
      </w:pPr>
      <w:r>
        <w:rPr>
          <w:rFonts w:hint="eastAsia" w:ascii="Times New Roman" w:hAnsi="Times New Roman" w:eastAsia="宋体" w:cs="Times New Roman"/>
          <w:color w:val="auto"/>
          <w:sz w:val="28"/>
          <w:szCs w:val="28"/>
          <w:lang w:val="en-US" w:eastAsia="zh-CN"/>
        </w:rPr>
        <w:t>江西伟航新材料有限公司</w:t>
      </w:r>
    </w:p>
    <w:p>
      <w:pPr>
        <w:ind w:right="0"/>
        <w:jc w:val="right"/>
        <w:rPr>
          <w:rFonts w:hint="default" w:ascii="Times New Roman" w:hAnsi="Times New Roman" w:cs="Times New Roman"/>
          <w:color w:val="000000" w:themeColor="text1"/>
          <w:sz w:val="28"/>
          <w:lang w:val="en-US" w:eastAsia="zh-CN"/>
          <w14:textFill>
            <w14:solidFill>
              <w14:schemeClr w14:val="tx1"/>
            </w14:solidFill>
          </w14:textFill>
        </w:rPr>
      </w:pPr>
      <w:r>
        <w:rPr>
          <w:rFonts w:hint="default" w:ascii="Times New Roman" w:hAnsi="Times New Roman" w:cs="Times New Roman"/>
          <w:color w:val="000000" w:themeColor="text1"/>
          <w:sz w:val="28"/>
          <w14:textFill>
            <w14:solidFill>
              <w14:schemeClr w14:val="tx1"/>
            </w14:solidFill>
          </w14:textFill>
        </w:rPr>
        <w:t>20</w:t>
      </w:r>
      <w:r>
        <w:rPr>
          <w:rFonts w:hint="eastAsia" w:ascii="Times New Roman" w:hAnsi="Times New Roman" w:cs="Times New Roman"/>
          <w:color w:val="000000" w:themeColor="text1"/>
          <w:sz w:val="28"/>
          <w:lang w:val="en-US" w:eastAsia="zh-CN"/>
          <w14:textFill>
            <w14:solidFill>
              <w14:schemeClr w14:val="tx1"/>
            </w14:solidFill>
          </w14:textFill>
        </w:rPr>
        <w:t>24</w:t>
      </w:r>
      <w:r>
        <w:rPr>
          <w:rFonts w:hint="default" w:ascii="Times New Roman" w:hAnsi="Times New Roman" w:cs="Times New Roman"/>
          <w:color w:val="000000" w:themeColor="text1"/>
          <w:sz w:val="28"/>
          <w14:textFill>
            <w14:solidFill>
              <w14:schemeClr w14:val="tx1"/>
            </w14:solidFill>
          </w14:textFill>
        </w:rPr>
        <w:t>年</w:t>
      </w:r>
      <w:r>
        <w:rPr>
          <w:rFonts w:hint="eastAsia" w:ascii="Times New Roman" w:hAnsi="Times New Roman" w:cs="Times New Roman"/>
          <w:color w:val="000000" w:themeColor="text1"/>
          <w:sz w:val="28"/>
          <w:lang w:val="en-US" w:eastAsia="zh-CN"/>
          <w14:textFill>
            <w14:solidFill>
              <w14:schemeClr w14:val="tx1"/>
            </w14:solidFill>
          </w14:textFill>
        </w:rPr>
        <w:t>05</w:t>
      </w:r>
      <w:r>
        <w:rPr>
          <w:rFonts w:hint="default" w:ascii="Times New Roman" w:hAnsi="Times New Roman" w:cs="Times New Roman"/>
          <w:color w:val="000000" w:themeColor="text1"/>
          <w:sz w:val="28"/>
          <w14:textFill>
            <w14:solidFill>
              <w14:schemeClr w14:val="tx1"/>
            </w14:solidFill>
          </w14:textFill>
        </w:rPr>
        <w:t>月</w:t>
      </w:r>
      <w:r>
        <w:rPr>
          <w:rFonts w:hint="eastAsia" w:ascii="Times New Roman" w:hAnsi="Times New Roman" w:cs="Times New Roman"/>
          <w:color w:val="000000" w:themeColor="text1"/>
          <w:sz w:val="28"/>
          <w:lang w:val="en-US" w:eastAsia="zh-CN"/>
          <w14:textFill>
            <w14:solidFill>
              <w14:schemeClr w14:val="tx1"/>
            </w14:solidFill>
          </w14:textFill>
        </w:rPr>
        <w:t>08日</w:t>
      </w:r>
    </w:p>
    <w:p>
      <w:pPr>
        <w:pStyle w:val="8"/>
        <w:rPr>
          <w:rFonts w:hint="default"/>
          <w:lang w:val="en-US" w:eastAsia="zh-CN"/>
        </w:rPr>
      </w:pPr>
    </w:p>
    <w:p>
      <w:pPr>
        <w:rPr>
          <w:rFonts w:hint="default"/>
          <w:lang w:val="en-US" w:eastAsia="zh-CN"/>
        </w:rPr>
      </w:pPr>
    </w:p>
    <w:p>
      <w:pPr>
        <w:pStyle w:val="8"/>
        <w:rPr>
          <w:rFonts w:hint="default"/>
          <w:lang w:val="en-US" w:eastAsia="zh-CN"/>
        </w:rPr>
      </w:pPr>
    </w:p>
    <w:p>
      <w:pPr>
        <w:rPr>
          <w:rFonts w:hint="eastAsia" w:eastAsiaTheme="minorEastAsia"/>
          <w:lang w:val="en-US" w:eastAsia="zh-CN"/>
        </w:rPr>
      </w:pPr>
    </w:p>
    <w:sectPr>
      <w:pgSz w:w="11906" w:h="16838"/>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创艺简楷体">
    <w:altName w:val="楷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7E44DA"/>
    <w:multiLevelType w:val="singleLevel"/>
    <w:tmpl w:val="DF7E44DA"/>
    <w:lvl w:ilvl="0" w:tentative="0">
      <w:start w:val="4"/>
      <w:numFmt w:val="decimal"/>
      <w:suff w:val="nothing"/>
      <w:lvlText w:val="%1、"/>
      <w:lvlJc w:val="left"/>
    </w:lvl>
  </w:abstractNum>
  <w:abstractNum w:abstractNumId="1">
    <w:nsid w:val="E261363C"/>
    <w:multiLevelType w:val="singleLevel"/>
    <w:tmpl w:val="E261363C"/>
    <w:lvl w:ilvl="0" w:tentative="0">
      <w:start w:val="1"/>
      <w:numFmt w:val="decimal"/>
      <w:suff w:val="nothing"/>
      <w:lvlText w:val="%1、"/>
      <w:lvlJc w:val="left"/>
    </w:lvl>
  </w:abstractNum>
  <w:abstractNum w:abstractNumId="2">
    <w:nsid w:val="07BFA711"/>
    <w:multiLevelType w:val="singleLevel"/>
    <w:tmpl w:val="07BFA711"/>
    <w:lvl w:ilvl="0" w:tentative="0">
      <w:start w:val="1"/>
      <w:numFmt w:val="decimal"/>
      <w:suff w:val="nothing"/>
      <w:lvlText w:val="%1、"/>
      <w:lvlJc w:val="left"/>
    </w:lvl>
  </w:abstractNum>
  <w:abstractNum w:abstractNumId="3">
    <w:nsid w:val="4B8D818A"/>
    <w:multiLevelType w:val="singleLevel"/>
    <w:tmpl w:val="4B8D818A"/>
    <w:lvl w:ilvl="0" w:tentative="0">
      <w:start w:val="3"/>
      <w:numFmt w:val="chineseCounting"/>
      <w:suff w:val="nothing"/>
      <w:lvlText w:val="（%1）"/>
      <w:lvlJc w:val="left"/>
      <w:rPr>
        <w:rFonts w:hint="eastAsia"/>
      </w:rPr>
    </w:lvl>
  </w:abstractNum>
  <w:abstractNum w:abstractNumId="4">
    <w:nsid w:val="6C3ECAE6"/>
    <w:multiLevelType w:val="singleLevel"/>
    <w:tmpl w:val="6C3ECAE6"/>
    <w:lvl w:ilvl="0" w:tentative="0">
      <w:start w:val="5"/>
      <w:numFmt w:val="chineseCounting"/>
      <w:suff w:val="nothing"/>
      <w:lvlText w:val="%1、"/>
      <w:lvlJc w:val="left"/>
      <w:rPr>
        <w:rFonts w:hint="eastAsia"/>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MzZWI3NzU2M2U5NzFmZTc5NTc0OTJmYzkwYTNlZWEifQ=="/>
    <w:docVar w:name="KSO_WPS_MARK_KEY" w:val="e2f3b5aa-5537-4112-9cff-a18ac932ed80"/>
  </w:docVars>
  <w:rsids>
    <w:rsidRoot w:val="42CD64F4"/>
    <w:rsid w:val="002F15FA"/>
    <w:rsid w:val="003D00C8"/>
    <w:rsid w:val="00775675"/>
    <w:rsid w:val="008D42B7"/>
    <w:rsid w:val="00AA1D15"/>
    <w:rsid w:val="00B27E97"/>
    <w:rsid w:val="012A6BDB"/>
    <w:rsid w:val="02445ACC"/>
    <w:rsid w:val="026D3223"/>
    <w:rsid w:val="02C4726D"/>
    <w:rsid w:val="037F436B"/>
    <w:rsid w:val="0389560C"/>
    <w:rsid w:val="03C04D24"/>
    <w:rsid w:val="03D942D2"/>
    <w:rsid w:val="03EA679B"/>
    <w:rsid w:val="050D06FB"/>
    <w:rsid w:val="058672CE"/>
    <w:rsid w:val="069916BB"/>
    <w:rsid w:val="081F6A2B"/>
    <w:rsid w:val="08752E31"/>
    <w:rsid w:val="0882554E"/>
    <w:rsid w:val="08E26F9B"/>
    <w:rsid w:val="09FA7797"/>
    <w:rsid w:val="0A2A585A"/>
    <w:rsid w:val="0A3B59B5"/>
    <w:rsid w:val="0A975F4D"/>
    <w:rsid w:val="0A9B1D98"/>
    <w:rsid w:val="0ABA0FCF"/>
    <w:rsid w:val="0BCD088E"/>
    <w:rsid w:val="0BE861E5"/>
    <w:rsid w:val="0C1879C5"/>
    <w:rsid w:val="0C1D6900"/>
    <w:rsid w:val="0C381E6C"/>
    <w:rsid w:val="0CC14C34"/>
    <w:rsid w:val="0DA52143"/>
    <w:rsid w:val="0DD759F4"/>
    <w:rsid w:val="0F615EBD"/>
    <w:rsid w:val="0F825E34"/>
    <w:rsid w:val="0F955E06"/>
    <w:rsid w:val="0FD718E6"/>
    <w:rsid w:val="10055A37"/>
    <w:rsid w:val="101A606C"/>
    <w:rsid w:val="10A832F4"/>
    <w:rsid w:val="10CE56DF"/>
    <w:rsid w:val="111F2CA8"/>
    <w:rsid w:val="116B02DD"/>
    <w:rsid w:val="120A5904"/>
    <w:rsid w:val="121546D2"/>
    <w:rsid w:val="12471A65"/>
    <w:rsid w:val="124949E7"/>
    <w:rsid w:val="12980CF8"/>
    <w:rsid w:val="136C3083"/>
    <w:rsid w:val="13742D5D"/>
    <w:rsid w:val="1397043A"/>
    <w:rsid w:val="13FB0937"/>
    <w:rsid w:val="14042D48"/>
    <w:rsid w:val="143F3C6A"/>
    <w:rsid w:val="14936ABE"/>
    <w:rsid w:val="1514752E"/>
    <w:rsid w:val="15D46CBD"/>
    <w:rsid w:val="167069E6"/>
    <w:rsid w:val="16D01B7A"/>
    <w:rsid w:val="16E026EA"/>
    <w:rsid w:val="170A6E3A"/>
    <w:rsid w:val="175034F0"/>
    <w:rsid w:val="17810C39"/>
    <w:rsid w:val="18387273"/>
    <w:rsid w:val="195C2E49"/>
    <w:rsid w:val="19976A31"/>
    <w:rsid w:val="19E92142"/>
    <w:rsid w:val="1ACB68E1"/>
    <w:rsid w:val="1B4A3A6B"/>
    <w:rsid w:val="1B942149"/>
    <w:rsid w:val="1B9F71CB"/>
    <w:rsid w:val="1BD545C9"/>
    <w:rsid w:val="1C1C0D86"/>
    <w:rsid w:val="1C2274F0"/>
    <w:rsid w:val="1CD75A11"/>
    <w:rsid w:val="1D0262E8"/>
    <w:rsid w:val="1D0B5FA6"/>
    <w:rsid w:val="1D230C56"/>
    <w:rsid w:val="1DF20628"/>
    <w:rsid w:val="1E1422D2"/>
    <w:rsid w:val="1ECF0BC9"/>
    <w:rsid w:val="1F1D7927"/>
    <w:rsid w:val="1F6924FB"/>
    <w:rsid w:val="20F176D1"/>
    <w:rsid w:val="21020207"/>
    <w:rsid w:val="213700B6"/>
    <w:rsid w:val="215313DE"/>
    <w:rsid w:val="21624DC4"/>
    <w:rsid w:val="216860A3"/>
    <w:rsid w:val="21952B97"/>
    <w:rsid w:val="222436A1"/>
    <w:rsid w:val="225C6B8F"/>
    <w:rsid w:val="23044AC1"/>
    <w:rsid w:val="23A630BF"/>
    <w:rsid w:val="23F53629"/>
    <w:rsid w:val="247725C7"/>
    <w:rsid w:val="2478197B"/>
    <w:rsid w:val="255F2A47"/>
    <w:rsid w:val="257E07A2"/>
    <w:rsid w:val="26034D00"/>
    <w:rsid w:val="26DB60FD"/>
    <w:rsid w:val="281A2C55"/>
    <w:rsid w:val="28327BD5"/>
    <w:rsid w:val="283E209B"/>
    <w:rsid w:val="284734C6"/>
    <w:rsid w:val="296740C8"/>
    <w:rsid w:val="296F60AE"/>
    <w:rsid w:val="299B54DA"/>
    <w:rsid w:val="29DF7089"/>
    <w:rsid w:val="2A3C699D"/>
    <w:rsid w:val="2A741800"/>
    <w:rsid w:val="2BB02A37"/>
    <w:rsid w:val="2C466C2E"/>
    <w:rsid w:val="2CC9735F"/>
    <w:rsid w:val="2CED4FA1"/>
    <w:rsid w:val="2CEE24D4"/>
    <w:rsid w:val="2D2F0F51"/>
    <w:rsid w:val="2D590201"/>
    <w:rsid w:val="2D5F53CA"/>
    <w:rsid w:val="2DEF3750"/>
    <w:rsid w:val="2E1168A9"/>
    <w:rsid w:val="2E13617D"/>
    <w:rsid w:val="2E151BBD"/>
    <w:rsid w:val="2E9A65B8"/>
    <w:rsid w:val="2F3B6968"/>
    <w:rsid w:val="2FBD0A5E"/>
    <w:rsid w:val="308E2433"/>
    <w:rsid w:val="30ED53AB"/>
    <w:rsid w:val="315319BC"/>
    <w:rsid w:val="318B7E1B"/>
    <w:rsid w:val="3220355E"/>
    <w:rsid w:val="32502C8B"/>
    <w:rsid w:val="32FF13C6"/>
    <w:rsid w:val="33590AD6"/>
    <w:rsid w:val="33CD6DCE"/>
    <w:rsid w:val="33E07DD2"/>
    <w:rsid w:val="349D49F2"/>
    <w:rsid w:val="35092F1D"/>
    <w:rsid w:val="352F793E"/>
    <w:rsid w:val="366130D3"/>
    <w:rsid w:val="378E4AC6"/>
    <w:rsid w:val="37D050DF"/>
    <w:rsid w:val="37E336F5"/>
    <w:rsid w:val="37FC2DAD"/>
    <w:rsid w:val="380D00E1"/>
    <w:rsid w:val="39262192"/>
    <w:rsid w:val="39396CB4"/>
    <w:rsid w:val="398616DE"/>
    <w:rsid w:val="39BA4298"/>
    <w:rsid w:val="3A915A51"/>
    <w:rsid w:val="3AB62305"/>
    <w:rsid w:val="3ACF167E"/>
    <w:rsid w:val="3BFB5A98"/>
    <w:rsid w:val="3C940DD1"/>
    <w:rsid w:val="3CB35F03"/>
    <w:rsid w:val="3D286E7E"/>
    <w:rsid w:val="3D483FA5"/>
    <w:rsid w:val="3DA91089"/>
    <w:rsid w:val="3E491747"/>
    <w:rsid w:val="3EB90281"/>
    <w:rsid w:val="3ED2205D"/>
    <w:rsid w:val="3FAA57D9"/>
    <w:rsid w:val="4052194D"/>
    <w:rsid w:val="40956EC5"/>
    <w:rsid w:val="40A67324"/>
    <w:rsid w:val="40DD79B5"/>
    <w:rsid w:val="41A61DF6"/>
    <w:rsid w:val="41E84EF9"/>
    <w:rsid w:val="4233056C"/>
    <w:rsid w:val="42417062"/>
    <w:rsid w:val="4278084D"/>
    <w:rsid w:val="42C6780A"/>
    <w:rsid w:val="42CD64F4"/>
    <w:rsid w:val="42EC0495"/>
    <w:rsid w:val="435720D9"/>
    <w:rsid w:val="43911BC6"/>
    <w:rsid w:val="43AC2EA4"/>
    <w:rsid w:val="43E527F0"/>
    <w:rsid w:val="44112D07"/>
    <w:rsid w:val="443864E5"/>
    <w:rsid w:val="44472EDA"/>
    <w:rsid w:val="4519661B"/>
    <w:rsid w:val="45CE68E5"/>
    <w:rsid w:val="467B48E0"/>
    <w:rsid w:val="468E7C06"/>
    <w:rsid w:val="46CF6E7E"/>
    <w:rsid w:val="46EE655F"/>
    <w:rsid w:val="46F00934"/>
    <w:rsid w:val="47376F28"/>
    <w:rsid w:val="475C073D"/>
    <w:rsid w:val="476756C1"/>
    <w:rsid w:val="476B49E4"/>
    <w:rsid w:val="47CB7671"/>
    <w:rsid w:val="47F47FF2"/>
    <w:rsid w:val="48142DC6"/>
    <w:rsid w:val="48831CF9"/>
    <w:rsid w:val="48C40E1D"/>
    <w:rsid w:val="49523BA5"/>
    <w:rsid w:val="495B7E3C"/>
    <w:rsid w:val="49834E73"/>
    <w:rsid w:val="49D664A5"/>
    <w:rsid w:val="4A3E237C"/>
    <w:rsid w:val="4AB0269B"/>
    <w:rsid w:val="4ACB3565"/>
    <w:rsid w:val="4AD43BE1"/>
    <w:rsid w:val="4BB23E7B"/>
    <w:rsid w:val="4CA26BF2"/>
    <w:rsid w:val="4D007AFD"/>
    <w:rsid w:val="4D032986"/>
    <w:rsid w:val="4DBA51C4"/>
    <w:rsid w:val="4E1F01AC"/>
    <w:rsid w:val="4F003E56"/>
    <w:rsid w:val="4FA05120"/>
    <w:rsid w:val="4FA17A8B"/>
    <w:rsid w:val="4FE90FDC"/>
    <w:rsid w:val="502F0DDF"/>
    <w:rsid w:val="505C2D85"/>
    <w:rsid w:val="506B7C43"/>
    <w:rsid w:val="51CB0999"/>
    <w:rsid w:val="52302EF0"/>
    <w:rsid w:val="527372E5"/>
    <w:rsid w:val="537867B2"/>
    <w:rsid w:val="542E5247"/>
    <w:rsid w:val="54AF39D0"/>
    <w:rsid w:val="55197C6D"/>
    <w:rsid w:val="56222B52"/>
    <w:rsid w:val="56260894"/>
    <w:rsid w:val="56290384"/>
    <w:rsid w:val="56867584"/>
    <w:rsid w:val="57433C4B"/>
    <w:rsid w:val="576C0528"/>
    <w:rsid w:val="578B1008"/>
    <w:rsid w:val="582F025F"/>
    <w:rsid w:val="58360551"/>
    <w:rsid w:val="584119B5"/>
    <w:rsid w:val="594159E5"/>
    <w:rsid w:val="597160E4"/>
    <w:rsid w:val="59B13728"/>
    <w:rsid w:val="59E602D2"/>
    <w:rsid w:val="5A5E6C71"/>
    <w:rsid w:val="5A821E11"/>
    <w:rsid w:val="5AE825BC"/>
    <w:rsid w:val="5B044F1C"/>
    <w:rsid w:val="5B1F7BDD"/>
    <w:rsid w:val="5B7756EE"/>
    <w:rsid w:val="5BC742A2"/>
    <w:rsid w:val="5BFA3376"/>
    <w:rsid w:val="5C0F4771"/>
    <w:rsid w:val="5C1D6295"/>
    <w:rsid w:val="5C49244A"/>
    <w:rsid w:val="5C4F21C6"/>
    <w:rsid w:val="5C5B500F"/>
    <w:rsid w:val="5C8005D2"/>
    <w:rsid w:val="5C960D52"/>
    <w:rsid w:val="5CEE6DC7"/>
    <w:rsid w:val="5E065190"/>
    <w:rsid w:val="60DB28A3"/>
    <w:rsid w:val="611D59EA"/>
    <w:rsid w:val="611F660B"/>
    <w:rsid w:val="612C2AD6"/>
    <w:rsid w:val="61344D85"/>
    <w:rsid w:val="61363955"/>
    <w:rsid w:val="61644F46"/>
    <w:rsid w:val="617526CF"/>
    <w:rsid w:val="6206747F"/>
    <w:rsid w:val="62450724"/>
    <w:rsid w:val="62742987"/>
    <w:rsid w:val="628F4FAE"/>
    <w:rsid w:val="632C14B3"/>
    <w:rsid w:val="632E7B44"/>
    <w:rsid w:val="63DF02D4"/>
    <w:rsid w:val="6477675E"/>
    <w:rsid w:val="65C15EE3"/>
    <w:rsid w:val="66BB5028"/>
    <w:rsid w:val="674072DB"/>
    <w:rsid w:val="67544288"/>
    <w:rsid w:val="67703072"/>
    <w:rsid w:val="67DC06F7"/>
    <w:rsid w:val="67F64532"/>
    <w:rsid w:val="6837462A"/>
    <w:rsid w:val="68863217"/>
    <w:rsid w:val="68BA4E6C"/>
    <w:rsid w:val="68F20AA9"/>
    <w:rsid w:val="6B256F14"/>
    <w:rsid w:val="6BE33269"/>
    <w:rsid w:val="6DDF2DD5"/>
    <w:rsid w:val="6DF44C7C"/>
    <w:rsid w:val="6E16396A"/>
    <w:rsid w:val="6E5378F4"/>
    <w:rsid w:val="6E5F098F"/>
    <w:rsid w:val="6EB80153"/>
    <w:rsid w:val="6F0C3D55"/>
    <w:rsid w:val="6FB46F97"/>
    <w:rsid w:val="6FD05147"/>
    <w:rsid w:val="6FD451F8"/>
    <w:rsid w:val="700565A0"/>
    <w:rsid w:val="716A5126"/>
    <w:rsid w:val="71C8684B"/>
    <w:rsid w:val="722B41AC"/>
    <w:rsid w:val="723415A1"/>
    <w:rsid w:val="72620A4E"/>
    <w:rsid w:val="72747502"/>
    <w:rsid w:val="72790E75"/>
    <w:rsid w:val="72AC3A77"/>
    <w:rsid w:val="72AC7F1B"/>
    <w:rsid w:val="72BD513B"/>
    <w:rsid w:val="732310DD"/>
    <w:rsid w:val="73263829"/>
    <w:rsid w:val="73812DEF"/>
    <w:rsid w:val="73AA6208"/>
    <w:rsid w:val="73E3189F"/>
    <w:rsid w:val="74B55DA6"/>
    <w:rsid w:val="74BF3F35"/>
    <w:rsid w:val="75476946"/>
    <w:rsid w:val="754826B7"/>
    <w:rsid w:val="759727BC"/>
    <w:rsid w:val="76004806"/>
    <w:rsid w:val="774B1AB0"/>
    <w:rsid w:val="775E5A5C"/>
    <w:rsid w:val="77646F31"/>
    <w:rsid w:val="77A8220D"/>
    <w:rsid w:val="788C3132"/>
    <w:rsid w:val="78DD498A"/>
    <w:rsid w:val="78E0447A"/>
    <w:rsid w:val="790308A8"/>
    <w:rsid w:val="79342F5D"/>
    <w:rsid w:val="7983778C"/>
    <w:rsid w:val="799040F2"/>
    <w:rsid w:val="79D5182B"/>
    <w:rsid w:val="7A5213A8"/>
    <w:rsid w:val="7A560E98"/>
    <w:rsid w:val="7B3239D6"/>
    <w:rsid w:val="7BB32F79"/>
    <w:rsid w:val="7C5F2999"/>
    <w:rsid w:val="7CA66F4E"/>
    <w:rsid w:val="7E121CC4"/>
    <w:rsid w:val="7E3E19A2"/>
    <w:rsid w:val="7E4A016B"/>
    <w:rsid w:val="7E751B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paragraph" w:styleId="6">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2">
    <w:name w:val="heading 3"/>
    <w:basedOn w:val="1"/>
    <w:next w:val="3"/>
    <w:qFormat/>
    <w:uiPriority w:val="0"/>
    <w:pPr>
      <w:keepNext/>
      <w:keepLines/>
      <w:spacing w:before="260" w:after="260" w:line="416" w:lineRule="auto"/>
      <w:outlineLvl w:val="2"/>
    </w:pPr>
    <w:rPr>
      <w:b/>
      <w:bCs/>
      <w:sz w:val="32"/>
      <w:szCs w:val="32"/>
    </w:rPr>
  </w:style>
  <w:style w:type="paragraph" w:styleId="4">
    <w:name w:val="heading 4"/>
    <w:basedOn w:val="1"/>
    <w:next w:val="1"/>
    <w:qFormat/>
    <w:uiPriority w:val="0"/>
    <w:pPr>
      <w:keepNext/>
      <w:ind w:left="0"/>
      <w:jc w:val="both"/>
      <w:outlineLvl w:val="3"/>
    </w:pPr>
    <w:rPr>
      <w:sz w:val="24"/>
      <w:szCs w:val="24"/>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3">
    <w:name w:val="Normal Indent"/>
    <w:basedOn w:val="1"/>
    <w:next w:val="4"/>
    <w:qFormat/>
    <w:uiPriority w:val="0"/>
    <w:pPr>
      <w:ind w:firstLine="420"/>
    </w:pPr>
  </w:style>
  <w:style w:type="paragraph" w:styleId="7">
    <w:name w:val="annotation text"/>
    <w:basedOn w:val="1"/>
    <w:qFormat/>
    <w:uiPriority w:val="0"/>
    <w:pPr>
      <w:jc w:val="left"/>
    </w:pPr>
  </w:style>
  <w:style w:type="paragraph" w:styleId="8">
    <w:name w:val="Body Text"/>
    <w:basedOn w:val="1"/>
    <w:qFormat/>
    <w:uiPriority w:val="0"/>
    <w:pPr>
      <w:widowControl/>
      <w:snapToGrid w:val="0"/>
      <w:spacing w:before="60" w:after="160" w:line="259" w:lineRule="auto"/>
      <w:ind w:right="113"/>
    </w:pPr>
    <w:rPr>
      <w:kern w:val="0"/>
      <w:sz w:val="18"/>
      <w:szCs w:val="20"/>
    </w:rPr>
  </w:style>
  <w:style w:type="paragraph" w:styleId="9">
    <w:name w:val="Body Text Indent"/>
    <w:basedOn w:val="1"/>
    <w:next w:val="10"/>
    <w:qFormat/>
    <w:uiPriority w:val="0"/>
    <w:pPr>
      <w:spacing w:line="500" w:lineRule="exact"/>
      <w:ind w:firstLine="437"/>
    </w:pPr>
    <w:rPr>
      <w:rFonts w:eastAsia="创艺简楷体"/>
      <w:sz w:val="24"/>
    </w:rPr>
  </w:style>
  <w:style w:type="paragraph" w:styleId="10">
    <w:name w:val="header"/>
    <w:basedOn w:val="1"/>
    <w:next w:val="11"/>
    <w:qFormat/>
    <w:uiPriority w:val="99"/>
    <w:pPr>
      <w:pBdr>
        <w:bottom w:val="single" w:color="auto" w:sz="6" w:space="1"/>
      </w:pBdr>
      <w:tabs>
        <w:tab w:val="center" w:pos="4153"/>
        <w:tab w:val="right" w:pos="8306"/>
      </w:tabs>
      <w:snapToGrid w:val="0"/>
      <w:jc w:val="center"/>
    </w:pPr>
    <w:rPr>
      <w:sz w:val="18"/>
      <w:szCs w:val="18"/>
    </w:rPr>
  </w:style>
  <w:style w:type="paragraph" w:customStyle="1" w:styleId="11">
    <w:name w:val="样式5"/>
    <w:basedOn w:val="12"/>
    <w:qFormat/>
    <w:uiPriority w:val="0"/>
    <w:pPr>
      <w:snapToGrid w:val="0"/>
      <w:spacing w:beforeLines="20" w:afterLines="20" w:line="480" w:lineRule="exact"/>
      <w:ind w:firstLine="523" w:firstLineChars="218"/>
      <w:jc w:val="both"/>
    </w:pPr>
    <w:rPr>
      <w:i/>
      <w:iCs/>
      <w:kern w:val="2"/>
      <w:sz w:val="24"/>
      <w:szCs w:val="20"/>
    </w:rPr>
  </w:style>
  <w:style w:type="paragraph" w:customStyle="1" w:styleId="12">
    <w:name w:val="正文1"/>
    <w:basedOn w:val="13"/>
    <w:next w:val="1"/>
    <w:qFormat/>
    <w:uiPriority w:val="0"/>
    <w:pPr>
      <w:adjustRightInd w:val="0"/>
      <w:snapToGrid w:val="0"/>
      <w:spacing w:line="480" w:lineRule="exact"/>
      <w:ind w:firstLine="200" w:firstLineChars="200"/>
    </w:pPr>
    <w:rPr>
      <w:sz w:val="24"/>
    </w:rPr>
  </w:style>
  <w:style w:type="paragraph" w:styleId="13">
    <w:name w:val="Body Text 2"/>
    <w:basedOn w:val="1"/>
    <w:qFormat/>
    <w:uiPriority w:val="0"/>
    <w:pPr>
      <w:spacing w:after="120" w:afterLines="0" w:line="480" w:lineRule="auto"/>
    </w:pPr>
  </w:style>
  <w:style w:type="paragraph" w:styleId="14">
    <w:name w:val="Plain Text"/>
    <w:basedOn w:val="1"/>
    <w:next w:val="15"/>
    <w:qFormat/>
    <w:uiPriority w:val="0"/>
    <w:rPr>
      <w:rFonts w:ascii="宋体" w:hAnsi="Courier New" w:cs="Courier New"/>
      <w:szCs w:val="21"/>
    </w:rPr>
  </w:style>
  <w:style w:type="paragraph" w:styleId="15">
    <w:name w:val="toc 1"/>
    <w:basedOn w:val="1"/>
    <w:next w:val="1"/>
    <w:qFormat/>
    <w:uiPriority w:val="39"/>
    <w:pPr>
      <w:spacing w:before="120" w:after="120"/>
      <w:jc w:val="left"/>
    </w:pPr>
    <w:rPr>
      <w:b/>
      <w:bCs/>
      <w:caps/>
      <w:sz w:val="20"/>
    </w:r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List"/>
    <w:basedOn w:val="1"/>
    <w:qFormat/>
    <w:uiPriority w:val="0"/>
    <w:pPr>
      <w:spacing w:line="280" w:lineRule="exact"/>
      <w:jc w:val="center"/>
    </w:pPr>
    <w:rPr>
      <w:snapToGrid w:val="0"/>
      <w:spacing w:val="-2"/>
      <w:szCs w:val="21"/>
    </w:rPr>
  </w:style>
  <w:style w:type="paragraph" w:styleId="1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9">
    <w:name w:val="Body Text First Indent"/>
    <w:basedOn w:val="8"/>
    <w:next w:val="1"/>
    <w:qFormat/>
    <w:uiPriority w:val="0"/>
    <w:pPr>
      <w:spacing w:after="120" w:line="240" w:lineRule="auto"/>
      <w:ind w:firstLine="420" w:firstLineChars="100"/>
    </w:pPr>
    <w:rPr>
      <w:sz w:val="21"/>
      <w:szCs w:val="24"/>
    </w:rPr>
  </w:style>
  <w:style w:type="paragraph" w:styleId="20">
    <w:name w:val="Body Text First Indent 2"/>
    <w:basedOn w:val="9"/>
    <w:next w:val="1"/>
    <w:qFormat/>
    <w:uiPriority w:val="0"/>
    <w:pPr>
      <w:ind w:firstLine="420" w:firstLineChars="200"/>
    </w:p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basedOn w:val="23"/>
    <w:qFormat/>
    <w:uiPriority w:val="0"/>
  </w:style>
  <w:style w:type="character" w:styleId="25">
    <w:name w:val="Hyperlink"/>
    <w:basedOn w:val="23"/>
    <w:qFormat/>
    <w:uiPriority w:val="0"/>
    <w:rPr>
      <w:color w:val="0000FF"/>
      <w:u w:val="single"/>
    </w:rPr>
  </w:style>
  <w:style w:type="paragraph" w:customStyle="1" w:styleId="26">
    <w:name w:val="Default1"/>
    <w:basedOn w:val="27"/>
    <w:next w:val="1"/>
    <w:qFormat/>
    <w:uiPriority w:val="0"/>
    <w:pPr>
      <w:widowControl w:val="0"/>
      <w:autoSpaceDE w:val="0"/>
      <w:autoSpaceDN w:val="0"/>
      <w:adjustRightInd w:val="0"/>
    </w:pPr>
    <w:rPr>
      <w:rFonts w:ascii="宋体" w:cs="宋体"/>
      <w:color w:val="000000"/>
      <w:sz w:val="24"/>
      <w:szCs w:val="24"/>
      <w:lang w:val="en-US" w:eastAsia="zh-CN" w:bidi="ar-SA"/>
    </w:rPr>
  </w:style>
  <w:style w:type="paragraph" w:customStyle="1" w:styleId="27">
    <w:name w:val="Normal_14_0"/>
    <w:qFormat/>
    <w:uiPriority w:val="0"/>
    <w:pPr>
      <w:spacing w:before="120" w:after="240"/>
      <w:jc w:val="both"/>
    </w:pPr>
    <w:rPr>
      <w:rFonts w:ascii="Calibri" w:hAnsi="Calibri" w:eastAsia="Calibri" w:cs="Times New Roman"/>
      <w:sz w:val="22"/>
      <w:szCs w:val="22"/>
      <w:lang w:val="ru-RU" w:eastAsia="en-US" w:bidi="ar-SA"/>
    </w:rPr>
  </w:style>
  <w:style w:type="paragraph" w:customStyle="1" w:styleId="28">
    <w:name w:val="样式 标题 1一级标题 + 段前: 0.5 行 段后: 0.5 行"/>
    <w:basedOn w:val="5"/>
    <w:qFormat/>
    <w:uiPriority w:val="99"/>
    <w:pPr>
      <w:spacing w:line="320" w:lineRule="exact"/>
      <w:outlineLvl w:val="9"/>
    </w:pPr>
    <w:rPr>
      <w:spacing w:val="-6"/>
      <w:sz w:val="21"/>
      <w:szCs w:val="21"/>
    </w:rPr>
  </w:style>
  <w:style w:type="paragraph" w:customStyle="1" w:styleId="29">
    <w:name w:val="xl27"/>
    <w:basedOn w:val="1"/>
    <w:qFormat/>
    <w:uiPriority w:val="0"/>
    <w:pPr>
      <w:keepNext w:val="0"/>
      <w:keepLines w:val="0"/>
      <w:widowControl/>
      <w:suppressLineNumbers w:val="0"/>
      <w:pBdr>
        <w:top w:val="none" w:color="auto" w:sz="0" w:space="0"/>
        <w:left w:val="none" w:color="auto" w:sz="0" w:space="0"/>
        <w:bottom w:val="single" w:color="auto" w:sz="4" w:space="0"/>
        <w:right w:val="single" w:color="auto" w:sz="4" w:space="0"/>
      </w:pBdr>
      <w:spacing w:before="100" w:beforeAutospacing="1" w:after="100" w:afterAutospacing="1"/>
      <w:ind w:left="0" w:right="0"/>
      <w:jc w:val="center"/>
    </w:pPr>
    <w:rPr>
      <w:rFonts w:hint="eastAsia" w:ascii="仿宋_GB2312" w:hAnsi="Arial Unicode MS" w:eastAsia="宋体" w:cs="Arial Unicode MS"/>
      <w:kern w:val="0"/>
      <w:sz w:val="21"/>
      <w:szCs w:val="21"/>
      <w:lang w:val="en-US" w:eastAsia="zh-CN" w:bidi="ar"/>
    </w:rPr>
  </w:style>
  <w:style w:type="paragraph" w:customStyle="1" w:styleId="30">
    <w:name w:val="样式 标题 2"/>
    <w:basedOn w:val="6"/>
    <w:next w:val="26"/>
    <w:qFormat/>
    <w:uiPriority w:val="0"/>
    <w:pPr>
      <w:adjustRightInd w:val="0"/>
      <w:snapToGrid w:val="0"/>
      <w:spacing w:before="120" w:beforeLines="0" w:after="120" w:afterLines="0" w:line="240" w:lineRule="auto"/>
      <w:textAlignment w:val="baseline"/>
    </w:pPr>
    <w:rPr>
      <w:rFonts w:ascii="Arial" w:hAnsi="Arial" w:eastAsia="宋体" w:cs="宋体"/>
      <w:sz w:val="32"/>
      <w:szCs w:val="32"/>
    </w:rPr>
  </w:style>
  <w:style w:type="paragraph" w:customStyle="1" w:styleId="31">
    <w:name w:val="六表内容"/>
    <w:basedOn w:val="1"/>
    <w:qFormat/>
    <w:uiPriority w:val="0"/>
    <w:pPr>
      <w:spacing w:line="340" w:lineRule="exact"/>
      <w:jc w:val="center"/>
    </w:pPr>
    <w:rPr>
      <w:szCs w:val="21"/>
    </w:rPr>
  </w:style>
  <w:style w:type="paragraph" w:customStyle="1" w:styleId="32">
    <w:name w:val="正文首行缩进 2 + Times New Roman"/>
    <w:basedOn w:val="1"/>
    <w:qFormat/>
    <w:uiPriority w:val="0"/>
    <w:pPr>
      <w:tabs>
        <w:tab w:val="left" w:pos="0"/>
        <w:tab w:val="left" w:pos="870"/>
        <w:tab w:val="left" w:pos="3150"/>
      </w:tabs>
      <w:autoSpaceDE w:val="0"/>
      <w:autoSpaceDN w:val="0"/>
      <w:spacing w:line="360" w:lineRule="auto"/>
      <w:ind w:firstLine="480" w:firstLineChars="200"/>
      <w:jc w:val="left"/>
    </w:pPr>
    <w:rPr>
      <w:kern w:val="0"/>
      <w:sz w:val="24"/>
      <w:szCs w:val="20"/>
    </w:rPr>
  </w:style>
  <w:style w:type="paragraph" w:customStyle="1" w:styleId="33">
    <w:name w:val="Default"/>
    <w:basedOn w:val="34"/>
    <w:next w:val="20"/>
    <w:qFormat/>
    <w:uiPriority w:val="99"/>
    <w:pPr>
      <w:widowControl w:val="0"/>
      <w:autoSpaceDE w:val="0"/>
      <w:autoSpaceDN w:val="0"/>
    </w:pPr>
    <w:rPr>
      <w:rFonts w:ascii="宋体" w:cs="宋体"/>
      <w:color w:val="000000"/>
      <w:sz w:val="24"/>
      <w:szCs w:val="24"/>
      <w:lang w:val="en-US" w:eastAsia="zh-CN" w:bidi="ar-SA"/>
    </w:rPr>
  </w:style>
  <w:style w:type="paragraph" w:customStyle="1" w:styleId="34">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35">
    <w:name w:val="图文框"/>
    <w:basedOn w:val="1"/>
    <w:qFormat/>
    <w:uiPriority w:val="0"/>
    <w:pPr>
      <w:adjustRightInd w:val="0"/>
      <w:snapToGrid w:val="0"/>
      <w:ind w:left="-111" w:leftChars="-53" w:right="-101" w:rightChars="-48"/>
      <w:jc w:val="center"/>
    </w:pPr>
    <w:rPr>
      <w:snapToGrid w:val="0"/>
      <w:kern w:val="0"/>
    </w:rPr>
  </w:style>
  <w:style w:type="paragraph" w:customStyle="1" w:styleId="36">
    <w:name w:val="表格内文字"/>
    <w:basedOn w:val="1"/>
    <w:qFormat/>
    <w:uiPriority w:val="0"/>
    <w:pPr>
      <w:spacing w:before="100" w:after="100" w:line="320" w:lineRule="exact"/>
      <w:jc w:val="center"/>
    </w:pPr>
    <w:rPr>
      <w:spacing w:val="10"/>
      <w:sz w:val="24"/>
    </w:rPr>
  </w:style>
  <w:style w:type="paragraph" w:customStyle="1" w:styleId="37">
    <w:name w:val="Table Paragraph"/>
    <w:basedOn w:val="1"/>
    <w:qFormat/>
    <w:uiPriority w:val="1"/>
    <w:pPr>
      <w:autoSpaceDE w:val="0"/>
      <w:autoSpaceDN w:val="0"/>
      <w:jc w:val="center"/>
    </w:pPr>
    <w:rPr>
      <w:rFonts w:ascii="宋体" w:hAnsi="宋体" w:cs="宋体"/>
      <w:kern w:val="0"/>
      <w:sz w:val="22"/>
      <w:szCs w:val="22"/>
      <w:lang w:val="zh-CN" w:bidi="zh-CN"/>
    </w:rPr>
  </w:style>
  <w:style w:type="paragraph" w:customStyle="1" w:styleId="38">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9">
    <w:name w:val="Table Text"/>
    <w:basedOn w:val="1"/>
    <w:semiHidden/>
    <w:qFormat/>
    <w:uiPriority w:val="0"/>
    <w:rPr>
      <w:rFonts w:ascii="宋体" w:hAnsi="宋体" w:eastAsia="宋体" w:cs="宋体"/>
      <w:sz w:val="24"/>
      <w:szCs w:val="24"/>
      <w:lang w:val="en-US" w:eastAsia="en-US" w:bidi="ar-SA"/>
    </w:rPr>
  </w:style>
  <w:style w:type="table" w:customStyle="1" w:styleId="40">
    <w:name w:val="Table Normal"/>
    <w:semiHidden/>
    <w:unhideWhenUsed/>
    <w:qFormat/>
    <w:uiPriority w:val="0"/>
    <w:tblPr>
      <w:tblCellMar>
        <w:top w:w="0" w:type="dxa"/>
        <w:left w:w="0" w:type="dxa"/>
        <w:bottom w:w="0" w:type="dxa"/>
        <w:right w:w="0" w:type="dxa"/>
      </w:tblCellMar>
    </w:tblPr>
  </w:style>
  <w:style w:type="paragraph" w:customStyle="1" w:styleId="41">
    <w:name w:val="CM44"/>
    <w:basedOn w:val="33"/>
    <w:next w:val="33"/>
    <w:qFormat/>
    <w:uiPriority w:val="99"/>
    <w:pPr>
      <w:spacing w:line="500" w:lineRule="atLeast"/>
    </w:pPr>
    <w:rPr>
      <w:rFonts w:ascii="黑体" w:hAnsi="Calibri" w:eastAsia="黑体" w:cs="Times New Roman"/>
      <w:color w:val="auto"/>
    </w:rPr>
  </w:style>
  <w:style w:type="character" w:customStyle="1" w:styleId="42">
    <w:name w:val="font21"/>
    <w:basedOn w:val="23"/>
    <w:qFormat/>
    <w:uiPriority w:val="0"/>
    <w:rPr>
      <w:rFonts w:ascii="宋体" w:hAnsi="宋体" w:eastAsia="宋体" w:cs="宋体"/>
      <w:color w:val="000000"/>
      <w:sz w:val="40"/>
      <w:szCs w:val="40"/>
      <w:u w:val="none"/>
    </w:rPr>
  </w:style>
  <w:style w:type="character" w:customStyle="1" w:styleId="43">
    <w:name w:val="font31"/>
    <w:basedOn w:val="23"/>
    <w:qFormat/>
    <w:uiPriority w:val="0"/>
    <w:rPr>
      <w:rFonts w:ascii="宋体" w:hAnsi="宋体" w:eastAsia="宋体" w:cs="宋体"/>
      <w:b/>
      <w:bCs/>
      <w:color w:val="000000"/>
      <w:sz w:val="40"/>
      <w:szCs w:val="40"/>
      <w:u w:val="none"/>
    </w:rPr>
  </w:style>
  <w:style w:type="character" w:customStyle="1" w:styleId="44">
    <w:name w:val="font41"/>
    <w:basedOn w:val="23"/>
    <w:qFormat/>
    <w:uiPriority w:val="0"/>
    <w:rPr>
      <w:rFonts w:ascii="宋体" w:hAnsi="宋体" w:eastAsia="宋体" w:cs="宋体"/>
      <w:color w:val="000000"/>
      <w:sz w:val="40"/>
      <w:szCs w:val="40"/>
      <w:u w:val="none"/>
    </w:rPr>
  </w:style>
  <w:style w:type="character" w:customStyle="1" w:styleId="45">
    <w:name w:val="font51"/>
    <w:basedOn w:val="23"/>
    <w:qFormat/>
    <w:uiPriority w:val="0"/>
    <w:rPr>
      <w:rFonts w:ascii="宋体" w:hAnsi="宋体" w:eastAsia="宋体" w:cs="宋体"/>
      <w:b/>
      <w:bCs/>
      <w:color w:val="000000"/>
      <w:sz w:val="40"/>
      <w:szCs w:val="40"/>
      <w:u w:val="none"/>
    </w:rPr>
  </w:style>
  <w:style w:type="character" w:customStyle="1" w:styleId="46">
    <w:name w:val="font61"/>
    <w:basedOn w:val="23"/>
    <w:qFormat/>
    <w:uiPriority w:val="0"/>
    <w:rPr>
      <w:rFonts w:ascii="Calibri" w:hAnsi="Calibri" w:cs="Calibri"/>
      <w:color w:val="000000"/>
      <w:sz w:val="40"/>
      <w:szCs w:val="40"/>
      <w:u w:val="none"/>
    </w:rPr>
  </w:style>
  <w:style w:type="character" w:customStyle="1" w:styleId="47">
    <w:name w:val="font01"/>
    <w:basedOn w:val="23"/>
    <w:qFormat/>
    <w:uiPriority w:val="0"/>
    <w:rPr>
      <w:rFonts w:hint="default" w:ascii="Arial" w:hAnsi="Arial" w:cs="Arial"/>
      <w:color w:val="000000"/>
      <w:sz w:val="7"/>
      <w:szCs w:val="7"/>
      <w:u w:val="none"/>
    </w:rPr>
  </w:style>
  <w:style w:type="character" w:customStyle="1" w:styleId="48">
    <w:name w:val="font11"/>
    <w:basedOn w:val="23"/>
    <w:qFormat/>
    <w:uiPriority w:val="0"/>
    <w:rPr>
      <w:rFonts w:ascii="宋体" w:hAnsi="宋体" w:eastAsia="宋体" w:cs="宋体"/>
      <w:color w:val="000000"/>
      <w:sz w:val="20"/>
      <w:szCs w:val="20"/>
      <w:u w:val="none"/>
    </w:rPr>
  </w:style>
  <w:style w:type="character" w:customStyle="1" w:styleId="49">
    <w:name w:val="font71"/>
    <w:basedOn w:val="23"/>
    <w:qFormat/>
    <w:uiPriority w:val="0"/>
    <w:rPr>
      <w:rFonts w:ascii="Calibri" w:hAnsi="Calibri" w:cs="Calibri"/>
      <w:color w:val="000000"/>
      <w:sz w:val="40"/>
      <w:szCs w:val="40"/>
      <w:u w:val="none"/>
    </w:rPr>
  </w:style>
  <w:style w:type="paragraph" w:customStyle="1" w:styleId="50">
    <w:name w:val="表格内容"/>
    <w:qFormat/>
    <w:uiPriority w:val="0"/>
    <w:pPr>
      <w:adjustRightInd w:val="0"/>
      <w:snapToGrid w:val="0"/>
      <w:spacing w:line="360" w:lineRule="exact"/>
      <w:jc w:val="center"/>
    </w:pPr>
    <w:rPr>
      <w:rFonts w:ascii="Times New Roman" w:hAnsi="Times New Roman" w:eastAsia="宋体" w:cs="Times New Roman"/>
      <w:color w:val="000000"/>
      <w:szCs w:val="24"/>
      <w:lang w:val="en-US" w:eastAsia="zh-CN" w:bidi="ar-SA"/>
    </w:rPr>
  </w:style>
  <w:style w:type="paragraph" w:customStyle="1" w:styleId="51">
    <w:name w:val="17表格内容居中"/>
    <w:basedOn w:val="52"/>
    <w:next w:val="1"/>
    <w:qFormat/>
    <w:uiPriority w:val="0"/>
    <w:pPr>
      <w:spacing w:line="240" w:lineRule="auto"/>
    </w:pPr>
    <w:rPr>
      <w:b w:val="0"/>
    </w:rPr>
  </w:style>
  <w:style w:type="paragraph" w:customStyle="1" w:styleId="52">
    <w:name w:val="16表格标题"/>
    <w:qFormat/>
    <w:uiPriority w:val="0"/>
    <w:pPr>
      <w:spacing w:line="360" w:lineRule="auto"/>
      <w:jc w:val="center"/>
    </w:pPr>
    <w:rPr>
      <w:rFonts w:ascii="Times New Roman" w:hAnsi="Times New Roman" w:eastAsia="宋体" w:cs="宋体"/>
      <w:b/>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21849</Words>
  <Characters>24772</Characters>
  <Lines>0</Lines>
  <Paragraphs>0</Paragraphs>
  <TotalTime>4</TotalTime>
  <ScaleCrop>false</ScaleCrop>
  <LinksUpToDate>false</LinksUpToDate>
  <CharactersWithSpaces>25156</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2023-04-23T00:43:00Z</dcterms:created>
  <dc:creator>碧霞</dc:creator>
  <cp:lastModifiedBy>黄林平</cp:lastModifiedBy>
  <cp:lastPrinted>2024-04-30T03:12:00Z</cp:lastPrinted>
  <dcterms:modified xsi:type="dcterms:W3CDTF">2024-05-09T07:32:44Z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BDD86A77435549FC829D56E3F77A7341_13</vt:lpwstr>
  </property>
</Properties>
</file>